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Override1.xml" ContentType="application/vnd.openxmlformats-officedocument.themeOverride+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theme/themeOverride2.xml" ContentType="application/vnd.openxmlformats-officedocument.themeOverride+xml"/>
  <Override PartName="/word/charts/chart20.xml" ContentType="application/vnd.openxmlformats-officedocument.drawingml.chart+xml"/>
  <Override PartName="/word/theme/themeOverride3.xml" ContentType="application/vnd.openxmlformats-officedocument.themeOverride+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lledutableau8"/>
        <w:tblW w:w="10207"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9"/>
        <w:gridCol w:w="4961"/>
        <w:gridCol w:w="2977"/>
      </w:tblGrid>
      <w:tr w:rsidR="006D04B1" w:rsidRPr="0037360E" w:rsidTr="006D04B1">
        <w:tc>
          <w:tcPr>
            <w:tcW w:w="2269" w:type="dxa"/>
            <w:vAlign w:val="center"/>
          </w:tcPr>
          <w:p w:rsidR="006D04B1" w:rsidRPr="0037360E" w:rsidRDefault="006D04B1" w:rsidP="006D04B1">
            <w:pPr>
              <w:jc w:val="center"/>
              <w:rPr>
                <w:rFonts w:ascii="Arial" w:hAnsi="Arial" w:cs="Arial"/>
                <w:noProof/>
              </w:rPr>
            </w:pPr>
            <w:bookmarkStart w:id="0" w:name="_Toc365284002"/>
            <w:bookmarkStart w:id="1" w:name="_Toc365675581"/>
            <w:bookmarkStart w:id="2" w:name="_Toc368483784"/>
            <w:bookmarkStart w:id="3" w:name="_Toc368779678"/>
            <w:bookmarkStart w:id="4" w:name="_Toc399933235"/>
            <w:bookmarkStart w:id="5" w:name="_Toc400638568"/>
            <w:bookmarkStart w:id="6" w:name="_Toc400643282"/>
            <w:bookmarkStart w:id="7" w:name="_Toc326744857"/>
            <w:bookmarkStart w:id="8" w:name="_Toc326748096"/>
            <w:bookmarkStart w:id="9" w:name="_Toc424550972"/>
            <w:bookmarkStart w:id="10" w:name="_Toc424552478"/>
            <w:bookmarkStart w:id="11" w:name="_Toc427009684"/>
            <w:bookmarkStart w:id="12" w:name="_Toc459122772"/>
            <w:bookmarkStart w:id="13" w:name="_GoBack"/>
            <w:bookmarkEnd w:id="13"/>
          </w:p>
          <w:p w:rsidR="006D04B1" w:rsidRPr="0037360E" w:rsidRDefault="006D04B1" w:rsidP="006D04B1">
            <w:pPr>
              <w:jc w:val="center"/>
              <w:rPr>
                <w:rFonts w:ascii="Arial" w:hAnsi="Arial" w:cs="Arial"/>
                <w:noProof/>
                <w:sz w:val="18"/>
                <w:szCs w:val="18"/>
              </w:rPr>
            </w:pPr>
          </w:p>
        </w:tc>
        <w:tc>
          <w:tcPr>
            <w:tcW w:w="4961" w:type="dxa"/>
          </w:tcPr>
          <w:p w:rsidR="006D04B1" w:rsidRPr="0037360E" w:rsidRDefault="00B17172" w:rsidP="006D04B1">
            <w:pPr>
              <w:jc w:val="center"/>
              <w:rPr>
                <w:rFonts w:ascii="Arial" w:hAnsi="Arial" w:cs="Arial"/>
                <w:noProof/>
              </w:rPr>
            </w:pPr>
            <w:r>
              <w:rPr>
                <w:rFonts w:ascii="Arial" w:hAnsi="Arial" w:cs="Arial"/>
                <w:noProof/>
              </w:rPr>
              <w:t xml:space="preserve">                  </w:t>
            </w:r>
            <w:r w:rsidR="006D04B1" w:rsidRPr="0037360E">
              <w:rPr>
                <w:rFonts w:ascii="Arial" w:hAnsi="Arial" w:cs="Arial"/>
                <w:noProof/>
                <w:lang w:eastAsia="fr-FR"/>
              </w:rPr>
              <w:drawing>
                <wp:inline distT="0" distB="0" distL="0" distR="0" wp14:anchorId="1BA30A57" wp14:editId="58D07C9A">
                  <wp:extent cx="1386426" cy="1272209"/>
                  <wp:effectExtent l="19050" t="0" r="4224" b="0"/>
                  <wp:docPr id="4" name="Image 8" descr="C:\Users\auchan\Desktop\gsm\Nouveau dossier\Videos\ind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uchan\Desktop\gsm\Nouveau dossier\Videos\index.png"/>
                          <pic:cNvPicPr>
                            <a:picLocks noChangeAspect="1" noChangeArrowheads="1"/>
                          </pic:cNvPicPr>
                        </pic:nvPicPr>
                        <pic:blipFill>
                          <a:blip r:embed="rId8" cstate="print"/>
                          <a:srcRect/>
                          <a:stretch>
                            <a:fillRect/>
                          </a:stretch>
                        </pic:blipFill>
                        <pic:spPr bwMode="auto">
                          <a:xfrm>
                            <a:off x="0" y="0"/>
                            <a:ext cx="1397662" cy="1282519"/>
                          </a:xfrm>
                          <a:prstGeom prst="rect">
                            <a:avLst/>
                          </a:prstGeom>
                          <a:noFill/>
                          <a:ln w="9525">
                            <a:noFill/>
                            <a:miter lim="800000"/>
                            <a:headEnd/>
                            <a:tailEnd/>
                          </a:ln>
                        </pic:spPr>
                      </pic:pic>
                    </a:graphicData>
                  </a:graphic>
                </wp:inline>
              </w:drawing>
            </w:r>
          </w:p>
        </w:tc>
        <w:tc>
          <w:tcPr>
            <w:tcW w:w="2977" w:type="dxa"/>
            <w:vAlign w:val="center"/>
          </w:tcPr>
          <w:p w:rsidR="006D04B1" w:rsidRPr="0037360E" w:rsidRDefault="006D04B1" w:rsidP="006D04B1">
            <w:pPr>
              <w:jc w:val="center"/>
              <w:rPr>
                <w:rFonts w:ascii="Arial" w:hAnsi="Arial" w:cs="Arial"/>
                <w:noProof/>
              </w:rPr>
            </w:pPr>
          </w:p>
        </w:tc>
      </w:tr>
    </w:tbl>
    <w:p w:rsidR="006D04B1" w:rsidRPr="0019774E" w:rsidRDefault="006D04B1" w:rsidP="006D04B1">
      <w:pPr>
        <w:rPr>
          <w:rFonts w:ascii="Rockwell" w:hAnsi="Rockwell" w:cs="Arial"/>
          <w:b/>
          <w:noProof/>
        </w:rPr>
      </w:pPr>
      <w:r>
        <w:rPr>
          <w:rFonts w:ascii="Arial" w:hAnsi="Arial" w:cs="Arial"/>
          <w:b/>
          <w:noProof/>
        </w:rPr>
        <w:t xml:space="preserve">                                                                </w:t>
      </w:r>
      <w:r w:rsidR="00AB6839">
        <w:rPr>
          <w:rFonts w:ascii="Arial" w:hAnsi="Arial" w:cs="Arial"/>
          <w:b/>
          <w:noProof/>
        </w:rPr>
        <w:t xml:space="preserve">  </w:t>
      </w:r>
      <w:r w:rsidRPr="0019774E">
        <w:rPr>
          <w:rFonts w:ascii="Rockwell" w:hAnsi="Rockwell" w:cs="Arial"/>
          <w:b/>
          <w:noProof/>
        </w:rPr>
        <w:t>BURKINA FASO</w:t>
      </w:r>
    </w:p>
    <w:p w:rsidR="006D04B1" w:rsidRPr="0019774E" w:rsidRDefault="006D04B1" w:rsidP="006D04B1">
      <w:pPr>
        <w:rPr>
          <w:rFonts w:ascii="Rockwell" w:hAnsi="Rockwell" w:cs="Arial"/>
          <w:noProof/>
          <w:sz w:val="24"/>
          <w:lang w:eastAsia="fr-FR"/>
        </w:rPr>
      </w:pPr>
      <w:r>
        <w:rPr>
          <w:rFonts w:ascii="Arial" w:hAnsi="Arial" w:cs="Arial"/>
          <w:b/>
          <w:noProof/>
          <w:sz w:val="18"/>
          <w:szCs w:val="18"/>
        </w:rPr>
        <w:t xml:space="preserve">                                                                  </w:t>
      </w:r>
      <w:r w:rsidR="00B17172">
        <w:rPr>
          <w:rFonts w:ascii="Arial" w:hAnsi="Arial" w:cs="Arial"/>
          <w:b/>
          <w:noProof/>
          <w:sz w:val="18"/>
          <w:szCs w:val="18"/>
        </w:rPr>
        <w:t xml:space="preserve">         </w:t>
      </w:r>
      <w:r>
        <w:rPr>
          <w:rFonts w:ascii="Arial" w:hAnsi="Arial" w:cs="Arial"/>
          <w:b/>
          <w:noProof/>
          <w:sz w:val="18"/>
          <w:szCs w:val="18"/>
        </w:rPr>
        <w:t xml:space="preserve"> </w:t>
      </w:r>
      <w:r w:rsidRPr="0019774E">
        <w:rPr>
          <w:rFonts w:ascii="Rockwell" w:hAnsi="Rockwell" w:cs="Arial"/>
          <w:b/>
          <w:noProof/>
          <w:sz w:val="20"/>
          <w:szCs w:val="18"/>
        </w:rPr>
        <w:t>Unité-Progrès-Justice</w:t>
      </w:r>
    </w:p>
    <w:p w:rsidR="006D04B1" w:rsidRPr="000413E6" w:rsidRDefault="006D04B1" w:rsidP="006D04B1">
      <w:pPr>
        <w:rPr>
          <w:rFonts w:ascii="Arial" w:hAnsi="Arial" w:cs="Arial"/>
          <w:sz w:val="18"/>
          <w:lang w:eastAsia="fr-FR"/>
        </w:rPr>
      </w:pPr>
    </w:p>
    <w:p w:rsidR="006D04B1" w:rsidRPr="00A44257" w:rsidRDefault="006D04B1" w:rsidP="00B17172">
      <w:pPr>
        <w:jc w:val="center"/>
        <w:rPr>
          <w:rFonts w:ascii="Rockwell" w:hAnsi="Rockwell" w:cs="Arial"/>
          <w:b/>
          <w:sz w:val="40"/>
          <w:szCs w:val="40"/>
          <w:u w:val="single"/>
          <w:lang w:eastAsia="fr-FR"/>
        </w:rPr>
      </w:pPr>
      <w:r w:rsidRPr="00A44257">
        <w:rPr>
          <w:rFonts w:ascii="Rockwell" w:hAnsi="Rockwell" w:cs="Arial"/>
          <w:b/>
          <w:sz w:val="40"/>
          <w:szCs w:val="40"/>
          <w:u w:val="single"/>
          <w:lang w:eastAsia="fr-FR"/>
        </w:rPr>
        <w:t>COOPERATION POUR LE DEVELOPPEMENT</w:t>
      </w:r>
    </w:p>
    <w:p w:rsidR="006D04B1" w:rsidRDefault="006D04B1" w:rsidP="006D04B1">
      <w:pPr>
        <w:jc w:val="center"/>
        <w:rPr>
          <w:rFonts w:ascii="Arial" w:hAnsi="Arial" w:cs="Arial"/>
          <w:b/>
          <w:sz w:val="28"/>
          <w:szCs w:val="28"/>
        </w:rPr>
      </w:pPr>
    </w:p>
    <w:p w:rsidR="006D04B1" w:rsidRDefault="006D04B1" w:rsidP="006D04B1">
      <w:pPr>
        <w:jc w:val="center"/>
        <w:rPr>
          <w:rFonts w:ascii="Arial" w:hAnsi="Arial" w:cs="Arial"/>
          <w:b/>
          <w:sz w:val="28"/>
          <w:szCs w:val="28"/>
        </w:rPr>
      </w:pPr>
    </w:p>
    <w:p w:rsidR="006D04B1" w:rsidRPr="0019774E" w:rsidRDefault="006D04B1" w:rsidP="006D04B1">
      <w:pPr>
        <w:jc w:val="center"/>
        <w:rPr>
          <w:rFonts w:ascii="Rockwell" w:hAnsi="Rockwell" w:cs="Arial"/>
          <w:b/>
          <w:sz w:val="28"/>
          <w:szCs w:val="28"/>
        </w:rPr>
      </w:pPr>
      <w:r w:rsidRPr="0019774E">
        <w:rPr>
          <w:rFonts w:ascii="Rockwell" w:hAnsi="Rockwell" w:cs="Arial"/>
          <w:b/>
          <w:sz w:val="28"/>
          <w:szCs w:val="28"/>
        </w:rPr>
        <w:t>LE FINANCEMENT DU PLAN NATIONAL DE DEVELOPPEMENT ECONOMIQUE ET SOCIAL 2016-2020: DEFIS ET PERSPECTIVES </w:t>
      </w:r>
    </w:p>
    <w:p w:rsidR="006D04B1" w:rsidRDefault="006D04B1" w:rsidP="006D04B1">
      <w:pPr>
        <w:jc w:val="center"/>
        <w:rPr>
          <w:rFonts w:ascii="Arial" w:hAnsi="Arial" w:cs="Arial"/>
          <w:noProof/>
          <w:sz w:val="24"/>
          <w:szCs w:val="24"/>
          <w:lang w:eastAsia="fr-FR"/>
        </w:rPr>
      </w:pPr>
      <w:r w:rsidRPr="00926FEB">
        <w:rPr>
          <w:rFonts w:ascii="Arial" w:hAnsi="Arial" w:cs="Arial"/>
          <w:noProof/>
          <w:sz w:val="24"/>
          <w:szCs w:val="24"/>
          <w:lang w:eastAsia="fr-FR"/>
        </w:rPr>
        <w:drawing>
          <wp:inline distT="0" distB="0" distL="0" distR="0" wp14:anchorId="51490758" wp14:editId="79ABAE48">
            <wp:extent cx="1843088" cy="911225"/>
            <wp:effectExtent l="0" t="0" r="4762" b="0"/>
            <wp:docPr id="5" name="Image 21"/>
            <wp:cNvGraphicFramePr/>
            <a:graphic xmlns:a="http://schemas.openxmlformats.org/drawingml/2006/main">
              <a:graphicData uri="http://schemas.openxmlformats.org/drawingml/2006/picture">
                <pic:pic xmlns:pic="http://schemas.openxmlformats.org/drawingml/2006/picture">
                  <pic:nvPicPr>
                    <pic:cNvPr id="28682" name="Image 11"/>
                    <pic:cNvPicPr>
                      <a:picLocks noChangeAspect="1"/>
                    </pic:cNvPicPr>
                  </pic:nvPicPr>
                  <pic:blipFill>
                    <a:blip r:embed="rId9" cstate="print"/>
                    <a:srcRect l="11024" t="8862" r="4932" b="20976"/>
                    <a:stretch>
                      <a:fillRect/>
                    </a:stretch>
                  </pic:blipFill>
                  <pic:spPr bwMode="auto">
                    <a:xfrm>
                      <a:off x="0" y="0"/>
                      <a:ext cx="1843088" cy="911225"/>
                    </a:xfrm>
                    <a:prstGeom prst="rect">
                      <a:avLst/>
                    </a:prstGeom>
                    <a:noFill/>
                    <a:ln w="9525">
                      <a:noFill/>
                      <a:miter lim="800000"/>
                      <a:headEnd/>
                      <a:tailEnd/>
                    </a:ln>
                  </pic:spPr>
                </pic:pic>
              </a:graphicData>
            </a:graphic>
          </wp:inline>
        </w:drawing>
      </w:r>
    </w:p>
    <w:p w:rsidR="006D04B1" w:rsidRPr="00871F81" w:rsidRDefault="006D04B1" w:rsidP="006D04B1">
      <w:pPr>
        <w:jc w:val="center"/>
        <w:rPr>
          <w:rFonts w:ascii="Arial" w:hAnsi="Arial" w:cs="Arial"/>
          <w:sz w:val="24"/>
          <w:szCs w:val="24"/>
          <w:lang w:eastAsia="fr-FR"/>
        </w:rPr>
      </w:pPr>
      <w:r>
        <w:rPr>
          <w:rFonts w:ascii="Arial" w:hAnsi="Arial" w:cs="Arial"/>
          <w:noProof/>
          <w:sz w:val="24"/>
          <w:szCs w:val="24"/>
          <w:lang w:eastAsia="fr-FR"/>
        </w:rPr>
        <w:drawing>
          <wp:inline distT="0" distB="0" distL="0" distR="0" wp14:anchorId="4A49EEE6" wp14:editId="115ED93B">
            <wp:extent cx="5167746" cy="2452255"/>
            <wp:effectExtent l="0" t="0" r="0" b="0"/>
            <wp:docPr id="14" name="Image 14" descr="C:\Users\HP\Desktop\3 Atelier RCD 2016_BAGA\PHOTOS\arton18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3 Atelier RCD 2016_BAGA\PHOTOS\arton1866.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65261" cy="2451076"/>
                    </a:xfrm>
                    <a:prstGeom prst="rect">
                      <a:avLst/>
                    </a:prstGeom>
                    <a:noFill/>
                    <a:ln>
                      <a:noFill/>
                    </a:ln>
                  </pic:spPr>
                </pic:pic>
              </a:graphicData>
            </a:graphic>
          </wp:inline>
        </w:drawing>
      </w:r>
    </w:p>
    <w:p w:rsidR="00B17172" w:rsidRPr="0037360E" w:rsidRDefault="00B17172" w:rsidP="00B17172">
      <w:pPr>
        <w:tabs>
          <w:tab w:val="left" w:pos="7485"/>
        </w:tabs>
        <w:contextualSpacing/>
        <w:jc w:val="center"/>
        <w:rPr>
          <w:rFonts w:ascii="Arial" w:hAnsi="Arial" w:cs="Arial"/>
          <w:b/>
          <w:sz w:val="24"/>
          <w:szCs w:val="24"/>
          <w:lang w:eastAsia="fr-FR"/>
        </w:rPr>
      </w:pPr>
      <w:r>
        <w:rPr>
          <w:rFonts w:ascii="Arial" w:hAnsi="Arial" w:cs="Arial"/>
          <w:b/>
          <w:sz w:val="24"/>
          <w:szCs w:val="24"/>
          <w:lang w:eastAsia="fr-FR"/>
        </w:rPr>
        <w:t xml:space="preserve">          </w:t>
      </w:r>
      <w:r w:rsidR="00A22371">
        <w:rPr>
          <w:rFonts w:ascii="Arial" w:hAnsi="Arial" w:cs="Arial"/>
          <w:b/>
          <w:noProof/>
          <w:sz w:val="24"/>
          <w:szCs w:val="24"/>
          <w:lang w:eastAsia="fr-FR"/>
        </w:rPr>
        <w:drawing>
          <wp:inline distT="0" distB="0" distL="0" distR="0" wp14:anchorId="7EC06095" wp14:editId="35461E27">
            <wp:extent cx="1123950" cy="1040496"/>
            <wp:effectExtent l="0" t="0" r="0" b="762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29042" cy="1045210"/>
                    </a:xfrm>
                    <a:prstGeom prst="rect">
                      <a:avLst/>
                    </a:prstGeom>
                    <a:noFill/>
                    <a:ln>
                      <a:noFill/>
                    </a:ln>
                  </pic:spPr>
                </pic:pic>
              </a:graphicData>
            </a:graphic>
          </wp:inline>
        </w:drawing>
      </w:r>
      <w:r>
        <w:rPr>
          <w:rFonts w:ascii="Arial" w:hAnsi="Arial" w:cs="Arial"/>
          <w:b/>
          <w:sz w:val="24"/>
          <w:szCs w:val="24"/>
          <w:lang w:eastAsia="fr-FR"/>
        </w:rPr>
        <w:t xml:space="preserve">                                                                          </w:t>
      </w:r>
      <w:r w:rsidR="00A22371">
        <w:rPr>
          <w:rFonts w:ascii="Arial" w:hAnsi="Arial" w:cs="Arial"/>
          <w:b/>
          <w:sz w:val="24"/>
          <w:szCs w:val="24"/>
          <w:lang w:eastAsia="fr-FR"/>
        </w:rPr>
        <w:t xml:space="preserve"> </w:t>
      </w:r>
      <w:r>
        <w:rPr>
          <w:rFonts w:ascii="Arial" w:hAnsi="Arial" w:cs="Arial"/>
          <w:b/>
          <w:sz w:val="24"/>
          <w:szCs w:val="24"/>
          <w:lang w:eastAsia="fr-FR"/>
        </w:rPr>
        <w:t>RAPPORT 2016</w:t>
      </w:r>
    </w:p>
    <w:p w:rsidR="00B17172" w:rsidRPr="0037360E" w:rsidRDefault="00B17172" w:rsidP="00B17172">
      <w:pPr>
        <w:tabs>
          <w:tab w:val="center" w:pos="4536"/>
          <w:tab w:val="right" w:pos="9072"/>
        </w:tabs>
        <w:contextualSpacing/>
        <w:jc w:val="right"/>
        <w:rPr>
          <w:rFonts w:ascii="Arial" w:hAnsi="Arial" w:cs="Arial"/>
        </w:rPr>
      </w:pPr>
      <w:r w:rsidRPr="0037360E">
        <w:rPr>
          <w:rFonts w:ascii="Arial" w:hAnsi="Arial" w:cs="Arial"/>
          <w:sz w:val="24"/>
          <w:szCs w:val="24"/>
          <w:lang w:eastAsia="fr-FR"/>
        </w:rPr>
        <w:tab/>
      </w:r>
      <w:r w:rsidRPr="0037360E">
        <w:rPr>
          <w:rFonts w:ascii="Arial" w:hAnsi="Arial" w:cs="Arial"/>
        </w:rPr>
        <w:t xml:space="preserve">                                                                                                              </w:t>
      </w:r>
      <w:r>
        <w:rPr>
          <w:rFonts w:ascii="Arial" w:hAnsi="Arial" w:cs="Arial"/>
        </w:rPr>
        <w:t xml:space="preserve">       Ouagadougou, octobre 2017</w:t>
      </w:r>
    </w:p>
    <w:p w:rsidR="00A60D96" w:rsidRDefault="00B17172" w:rsidP="00A60D96">
      <w:pPr>
        <w:contextualSpacing/>
        <w:rPr>
          <w:rFonts w:ascii="Arial" w:hAnsi="Arial" w:cs="Arial"/>
          <w:sz w:val="40"/>
          <w:szCs w:val="40"/>
          <w:lang w:eastAsia="fr-FR"/>
        </w:rPr>
      </w:pPr>
      <w:r>
        <w:rPr>
          <w:rFonts w:ascii="Arial" w:hAnsi="Arial" w:cs="Arial"/>
        </w:rPr>
        <w:t xml:space="preserve">          </w:t>
      </w:r>
      <w:r w:rsidRPr="0037360E">
        <w:rPr>
          <w:rFonts w:ascii="Arial" w:hAnsi="Arial" w:cs="Arial"/>
        </w:rPr>
        <w:t xml:space="preserve">                                                                                               </w:t>
      </w:r>
      <w:r>
        <w:rPr>
          <w:rFonts w:ascii="Arial" w:hAnsi="Arial" w:cs="Arial"/>
        </w:rPr>
        <w:t xml:space="preserve">                      </w:t>
      </w:r>
      <w:hyperlink r:id="rId12" w:history="1">
        <w:r w:rsidRPr="0051230A">
          <w:rPr>
            <w:rStyle w:val="Lienhypertexte"/>
            <w:rFonts w:ascii="Arial" w:hAnsi="Arial" w:cs="Arial"/>
            <w:i/>
          </w:rPr>
          <w:t>www.dgcoop.gov.bf</w:t>
        </w:r>
      </w:hyperlink>
      <w:r w:rsidR="00A60D96">
        <w:rPr>
          <w:rFonts w:ascii="Arial" w:hAnsi="Arial" w:cs="Arial"/>
          <w:sz w:val="40"/>
          <w:szCs w:val="40"/>
          <w:lang w:eastAsia="fr-FR"/>
        </w:rPr>
        <w:br w:type="page"/>
      </w:r>
    </w:p>
    <w:p w:rsidR="00CA0DB9" w:rsidRPr="00A6746A" w:rsidRDefault="00CA0DB9" w:rsidP="00A60D96">
      <w:pPr>
        <w:pStyle w:val="Titre"/>
        <w:rPr>
          <w:rFonts w:asciiTheme="majorHAnsi" w:hAnsiTheme="majorHAnsi"/>
          <w:sz w:val="26"/>
          <w:szCs w:val="26"/>
        </w:rPr>
      </w:pPr>
      <w:bookmarkStart w:id="14" w:name="_Toc492972147"/>
      <w:bookmarkEnd w:id="0"/>
      <w:bookmarkEnd w:id="1"/>
      <w:bookmarkEnd w:id="2"/>
      <w:bookmarkEnd w:id="3"/>
      <w:bookmarkEnd w:id="4"/>
      <w:bookmarkEnd w:id="5"/>
      <w:bookmarkEnd w:id="6"/>
      <w:bookmarkEnd w:id="7"/>
      <w:bookmarkEnd w:id="8"/>
      <w:r w:rsidRPr="00A6746A">
        <w:rPr>
          <w:rFonts w:asciiTheme="majorHAnsi" w:hAnsiTheme="majorHAnsi"/>
          <w:sz w:val="26"/>
          <w:szCs w:val="26"/>
        </w:rPr>
        <w:lastRenderedPageBreak/>
        <w:t>T</w:t>
      </w:r>
      <w:r w:rsidR="00A6746A">
        <w:rPr>
          <w:rFonts w:asciiTheme="majorHAnsi" w:hAnsiTheme="majorHAnsi"/>
          <w:sz w:val="26"/>
          <w:szCs w:val="26"/>
        </w:rPr>
        <w:t>ABLE DES MATIERES</w:t>
      </w:r>
      <w:bookmarkEnd w:id="14"/>
    </w:p>
    <w:p w:rsidR="007D0974" w:rsidRDefault="007D0974"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r>
        <w:rPr>
          <w:bCs w:val="0"/>
          <w:i w:val="0"/>
          <w:caps w:val="0"/>
          <w:smallCaps/>
        </w:rPr>
        <w:fldChar w:fldCharType="begin"/>
      </w:r>
      <w:r>
        <w:rPr>
          <w:bCs w:val="0"/>
          <w:i w:val="0"/>
          <w:caps w:val="0"/>
          <w:smallCaps/>
        </w:rPr>
        <w:instrText xml:space="preserve"> TOC \h \z \t "Titre 1;2;Titre 2;3;Titre 3;4;Titre 4;5;Titre;1;CSD1;2" </w:instrText>
      </w:r>
      <w:r>
        <w:rPr>
          <w:bCs w:val="0"/>
          <w:i w:val="0"/>
          <w:caps w:val="0"/>
          <w:smallCaps/>
        </w:rPr>
        <w:fldChar w:fldCharType="separate"/>
      </w:r>
      <w:hyperlink w:anchor="_Toc492972147" w:history="1">
        <w:r w:rsidRPr="00C37E66">
          <w:rPr>
            <w:rStyle w:val="Lienhypertexte"/>
            <w:rFonts w:asciiTheme="majorHAnsi" w:hAnsiTheme="majorHAnsi"/>
          </w:rPr>
          <w:t>TABLE DES MATIERES</w:t>
        </w:r>
        <w:r>
          <w:rPr>
            <w:webHidden/>
          </w:rPr>
          <w:tab/>
        </w:r>
        <w:r>
          <w:rPr>
            <w:webHidden/>
          </w:rPr>
          <w:fldChar w:fldCharType="begin"/>
        </w:r>
        <w:r>
          <w:rPr>
            <w:webHidden/>
          </w:rPr>
          <w:instrText xml:space="preserve"> PAGEREF _Toc492972147 \h </w:instrText>
        </w:r>
        <w:r>
          <w:rPr>
            <w:webHidden/>
          </w:rPr>
        </w:r>
        <w:r>
          <w:rPr>
            <w:webHidden/>
          </w:rPr>
          <w:fldChar w:fldCharType="separate"/>
        </w:r>
        <w:r w:rsidR="00E95BEE">
          <w:rPr>
            <w:webHidden/>
          </w:rPr>
          <w:t>III</w:t>
        </w:r>
        <w:r>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48" w:history="1">
        <w:r w:rsidR="007D0974" w:rsidRPr="00C37E66">
          <w:rPr>
            <w:rStyle w:val="Lienhypertexte"/>
            <w:rFonts w:asciiTheme="majorHAnsi" w:hAnsiTheme="majorHAnsi"/>
          </w:rPr>
          <w:t>LISTE DES TABLEAUX</w:t>
        </w:r>
        <w:r w:rsidR="007D0974">
          <w:rPr>
            <w:webHidden/>
          </w:rPr>
          <w:tab/>
        </w:r>
        <w:r w:rsidR="007D0974">
          <w:rPr>
            <w:webHidden/>
          </w:rPr>
          <w:fldChar w:fldCharType="begin"/>
        </w:r>
        <w:r w:rsidR="007D0974">
          <w:rPr>
            <w:webHidden/>
          </w:rPr>
          <w:instrText xml:space="preserve"> PAGEREF _Toc492972148 \h </w:instrText>
        </w:r>
        <w:r w:rsidR="007D0974">
          <w:rPr>
            <w:webHidden/>
          </w:rPr>
        </w:r>
        <w:r w:rsidR="007D0974">
          <w:rPr>
            <w:webHidden/>
          </w:rPr>
          <w:fldChar w:fldCharType="separate"/>
        </w:r>
        <w:r w:rsidR="00E95BEE">
          <w:rPr>
            <w:webHidden/>
          </w:rPr>
          <w:t>VII</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49" w:history="1">
        <w:r w:rsidR="007D0974" w:rsidRPr="00C37E66">
          <w:rPr>
            <w:rStyle w:val="Lienhypertexte"/>
            <w:rFonts w:asciiTheme="majorHAnsi" w:hAnsiTheme="majorHAnsi"/>
          </w:rPr>
          <w:t>TABLE DES GRAPHIQUES</w:t>
        </w:r>
        <w:r w:rsidR="007D0974">
          <w:rPr>
            <w:webHidden/>
          </w:rPr>
          <w:tab/>
        </w:r>
        <w:r w:rsidR="007D0974">
          <w:rPr>
            <w:webHidden/>
          </w:rPr>
          <w:fldChar w:fldCharType="begin"/>
        </w:r>
        <w:r w:rsidR="007D0974">
          <w:rPr>
            <w:webHidden/>
          </w:rPr>
          <w:instrText xml:space="preserve"> PAGEREF _Toc492972149 \h </w:instrText>
        </w:r>
        <w:r w:rsidR="007D0974">
          <w:rPr>
            <w:webHidden/>
          </w:rPr>
        </w:r>
        <w:r w:rsidR="007D0974">
          <w:rPr>
            <w:webHidden/>
          </w:rPr>
          <w:fldChar w:fldCharType="separate"/>
        </w:r>
        <w:r w:rsidR="00E95BEE">
          <w:rPr>
            <w:webHidden/>
          </w:rPr>
          <w:t>VIII</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50" w:history="1">
        <w:r w:rsidR="007D0974" w:rsidRPr="00C37E66">
          <w:rPr>
            <w:rStyle w:val="Lienhypertexte"/>
            <w:rFonts w:asciiTheme="majorHAnsi" w:hAnsiTheme="majorHAnsi"/>
          </w:rPr>
          <w:t>AVANT PROPOS</w:t>
        </w:r>
        <w:r w:rsidR="007D0974">
          <w:rPr>
            <w:webHidden/>
          </w:rPr>
          <w:tab/>
        </w:r>
        <w:r w:rsidR="007D0974">
          <w:rPr>
            <w:webHidden/>
          </w:rPr>
          <w:fldChar w:fldCharType="begin"/>
        </w:r>
        <w:r w:rsidR="007D0974">
          <w:rPr>
            <w:webHidden/>
          </w:rPr>
          <w:instrText xml:space="preserve"> PAGEREF _Toc492972150 \h </w:instrText>
        </w:r>
        <w:r w:rsidR="007D0974">
          <w:rPr>
            <w:webHidden/>
          </w:rPr>
        </w:r>
        <w:r w:rsidR="007D0974">
          <w:rPr>
            <w:webHidden/>
          </w:rPr>
          <w:fldChar w:fldCharType="separate"/>
        </w:r>
        <w:r w:rsidR="00E95BEE">
          <w:rPr>
            <w:webHidden/>
          </w:rPr>
          <w:t>IX</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51" w:history="1">
        <w:r w:rsidR="007D0974" w:rsidRPr="00C37E66">
          <w:rPr>
            <w:rStyle w:val="Lienhypertexte"/>
            <w:rFonts w:asciiTheme="majorHAnsi" w:hAnsiTheme="majorHAnsi"/>
          </w:rPr>
          <w:t>SIGLES ET ABREVIATIONS</w:t>
        </w:r>
        <w:r w:rsidR="007D0974">
          <w:rPr>
            <w:webHidden/>
          </w:rPr>
          <w:tab/>
        </w:r>
        <w:r w:rsidR="007D0974">
          <w:rPr>
            <w:webHidden/>
          </w:rPr>
          <w:fldChar w:fldCharType="begin"/>
        </w:r>
        <w:r w:rsidR="007D0974">
          <w:rPr>
            <w:webHidden/>
          </w:rPr>
          <w:instrText xml:space="preserve"> PAGEREF _Toc492972151 \h </w:instrText>
        </w:r>
        <w:r w:rsidR="007D0974">
          <w:rPr>
            <w:webHidden/>
          </w:rPr>
        </w:r>
        <w:r w:rsidR="007D0974">
          <w:rPr>
            <w:webHidden/>
          </w:rPr>
          <w:fldChar w:fldCharType="separate"/>
        </w:r>
        <w:r w:rsidR="00E95BEE">
          <w:rPr>
            <w:webHidden/>
          </w:rPr>
          <w:t>X</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52" w:history="1">
        <w:r w:rsidR="007D0974" w:rsidRPr="00C37E66">
          <w:rPr>
            <w:rStyle w:val="Lienhypertexte"/>
            <w:rFonts w:asciiTheme="majorHAnsi" w:hAnsiTheme="majorHAnsi"/>
          </w:rPr>
          <w:t>INDICATEURS DE BASE</w:t>
        </w:r>
        <w:r w:rsidR="007D0974">
          <w:rPr>
            <w:webHidden/>
          </w:rPr>
          <w:tab/>
        </w:r>
        <w:r w:rsidR="007D0974">
          <w:rPr>
            <w:webHidden/>
          </w:rPr>
          <w:fldChar w:fldCharType="begin"/>
        </w:r>
        <w:r w:rsidR="007D0974">
          <w:rPr>
            <w:webHidden/>
          </w:rPr>
          <w:instrText xml:space="preserve"> PAGEREF _Toc492972152 \h </w:instrText>
        </w:r>
        <w:r w:rsidR="007D0974">
          <w:rPr>
            <w:webHidden/>
          </w:rPr>
        </w:r>
        <w:r w:rsidR="007D0974">
          <w:rPr>
            <w:webHidden/>
          </w:rPr>
          <w:fldChar w:fldCharType="separate"/>
        </w:r>
        <w:r w:rsidR="00E95BEE">
          <w:rPr>
            <w:webHidden/>
          </w:rPr>
          <w:t>XV</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53" w:history="1">
        <w:r w:rsidR="007D0974" w:rsidRPr="00C37E66">
          <w:rPr>
            <w:rStyle w:val="Lienhypertexte"/>
            <w:rFonts w:asciiTheme="majorHAnsi" w:hAnsiTheme="majorHAnsi"/>
          </w:rPr>
          <w:t>SOURCES ET METHODES</w:t>
        </w:r>
        <w:r w:rsidR="007D0974">
          <w:rPr>
            <w:webHidden/>
          </w:rPr>
          <w:tab/>
        </w:r>
        <w:r w:rsidR="007D0974">
          <w:rPr>
            <w:webHidden/>
          </w:rPr>
          <w:fldChar w:fldCharType="begin"/>
        </w:r>
        <w:r w:rsidR="007D0974">
          <w:rPr>
            <w:webHidden/>
          </w:rPr>
          <w:instrText xml:space="preserve"> PAGEREF _Toc492972153 \h </w:instrText>
        </w:r>
        <w:r w:rsidR="007D0974">
          <w:rPr>
            <w:webHidden/>
          </w:rPr>
        </w:r>
        <w:r w:rsidR="007D0974">
          <w:rPr>
            <w:webHidden/>
          </w:rPr>
          <w:fldChar w:fldCharType="separate"/>
        </w:r>
        <w:r w:rsidR="00E95BEE">
          <w:rPr>
            <w:webHidden/>
          </w:rPr>
          <w:t>XVIII</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54" w:history="1">
        <w:r w:rsidR="007D0974" w:rsidRPr="00C37E66">
          <w:rPr>
            <w:rStyle w:val="Lienhypertexte"/>
            <w:rFonts w:asciiTheme="majorHAnsi" w:hAnsiTheme="majorHAnsi"/>
          </w:rPr>
          <w:t>RESUME</w:t>
        </w:r>
        <w:r w:rsidR="007D0974">
          <w:rPr>
            <w:webHidden/>
          </w:rPr>
          <w:tab/>
        </w:r>
        <w:r w:rsidR="007D0974">
          <w:rPr>
            <w:webHidden/>
          </w:rPr>
          <w:fldChar w:fldCharType="begin"/>
        </w:r>
        <w:r w:rsidR="007D0974">
          <w:rPr>
            <w:webHidden/>
          </w:rPr>
          <w:instrText xml:space="preserve"> PAGEREF _Toc492972154 \h </w:instrText>
        </w:r>
        <w:r w:rsidR="007D0974">
          <w:rPr>
            <w:webHidden/>
          </w:rPr>
        </w:r>
        <w:r w:rsidR="007D0974">
          <w:rPr>
            <w:webHidden/>
          </w:rPr>
          <w:fldChar w:fldCharType="separate"/>
        </w:r>
        <w:r w:rsidR="00E95BEE">
          <w:rPr>
            <w:webHidden/>
          </w:rPr>
          <w:t>XX</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55" w:history="1">
        <w:r w:rsidR="007D0974" w:rsidRPr="00C37E66">
          <w:rPr>
            <w:rStyle w:val="Lienhypertexte"/>
            <w:rFonts w:asciiTheme="majorHAnsi" w:hAnsiTheme="majorHAnsi"/>
          </w:rPr>
          <w:t>INTRODUCTION GENERALE</w:t>
        </w:r>
        <w:r w:rsidR="007D0974">
          <w:rPr>
            <w:webHidden/>
          </w:rPr>
          <w:tab/>
        </w:r>
        <w:r w:rsidR="007D0974">
          <w:rPr>
            <w:webHidden/>
          </w:rPr>
          <w:fldChar w:fldCharType="begin"/>
        </w:r>
        <w:r w:rsidR="007D0974">
          <w:rPr>
            <w:webHidden/>
          </w:rPr>
          <w:instrText xml:space="preserve"> PAGEREF _Toc492972155 \h </w:instrText>
        </w:r>
        <w:r w:rsidR="007D0974">
          <w:rPr>
            <w:webHidden/>
          </w:rPr>
        </w:r>
        <w:r w:rsidR="007D0974">
          <w:rPr>
            <w:webHidden/>
          </w:rPr>
          <w:fldChar w:fldCharType="separate"/>
        </w:r>
        <w:r w:rsidR="00E95BEE">
          <w:rPr>
            <w:webHidden/>
          </w:rPr>
          <w:t>1</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56" w:history="1">
        <w:r w:rsidR="007D0974" w:rsidRPr="00C37E66">
          <w:rPr>
            <w:rStyle w:val="Lienhypertexte"/>
            <w:rFonts w:asciiTheme="majorHAnsi" w:hAnsiTheme="majorHAnsi"/>
          </w:rPr>
          <w:t>PREMIERE PARTIE : SITUATION SOCIOECONOMIQUE, PLANIFICATION DU DEVELEOPPEMENT ET COORDINATION DE L’AIDE</w:t>
        </w:r>
        <w:r w:rsidR="007D0974">
          <w:rPr>
            <w:webHidden/>
          </w:rPr>
          <w:tab/>
        </w:r>
        <w:r w:rsidR="007D0974">
          <w:rPr>
            <w:webHidden/>
          </w:rPr>
          <w:fldChar w:fldCharType="begin"/>
        </w:r>
        <w:r w:rsidR="007D0974">
          <w:rPr>
            <w:webHidden/>
          </w:rPr>
          <w:instrText xml:space="preserve"> PAGEREF _Toc492972156 \h </w:instrText>
        </w:r>
        <w:r w:rsidR="007D0974">
          <w:rPr>
            <w:webHidden/>
          </w:rPr>
        </w:r>
        <w:r w:rsidR="007D0974">
          <w:rPr>
            <w:webHidden/>
          </w:rPr>
          <w:fldChar w:fldCharType="separate"/>
        </w:r>
        <w:r w:rsidR="00E95BEE">
          <w:rPr>
            <w:webHidden/>
          </w:rPr>
          <w:t>2</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157" w:history="1">
        <w:r w:rsidR="007D0974" w:rsidRPr="00C37E66">
          <w:rPr>
            <w:rStyle w:val="Lienhypertexte"/>
            <w:lang w:eastAsia="fr-FR"/>
          </w:rPr>
          <w:t>CHAPITRE 1. APERCU DE LA SITUATION ECONOMIQUE INTERNATIONALE ET NATIONALE</w:t>
        </w:r>
        <w:r w:rsidR="007D0974">
          <w:rPr>
            <w:webHidden/>
          </w:rPr>
          <w:tab/>
        </w:r>
        <w:r w:rsidR="007D0974">
          <w:rPr>
            <w:webHidden/>
          </w:rPr>
          <w:fldChar w:fldCharType="begin"/>
        </w:r>
        <w:r w:rsidR="007D0974">
          <w:rPr>
            <w:webHidden/>
          </w:rPr>
          <w:instrText xml:space="preserve"> PAGEREF _Toc492972157 \h </w:instrText>
        </w:r>
        <w:r w:rsidR="007D0974">
          <w:rPr>
            <w:webHidden/>
          </w:rPr>
        </w:r>
        <w:r w:rsidR="007D0974">
          <w:rPr>
            <w:webHidden/>
          </w:rPr>
          <w:fldChar w:fldCharType="separate"/>
        </w:r>
        <w:r w:rsidR="00E95BEE">
          <w:rPr>
            <w:webHidden/>
          </w:rPr>
          <w:t>3</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158" w:history="1">
        <w:r w:rsidR="007D0974" w:rsidRPr="00C37E66">
          <w:rPr>
            <w:rStyle w:val="Lienhypertexte"/>
          </w:rPr>
          <w:t>1.1.</w:t>
        </w:r>
        <w:r w:rsidR="007D0974">
          <w:rPr>
            <w:rFonts w:asciiTheme="minorHAnsi" w:eastAsiaTheme="minorEastAsia" w:hAnsiTheme="minorHAnsi" w:cstheme="minorBidi"/>
            <w:bCs w:val="0"/>
            <w:iCs w:val="0"/>
            <w:sz w:val="22"/>
            <w:szCs w:val="22"/>
            <w:lang w:val="fr-FR"/>
          </w:rPr>
          <w:tab/>
        </w:r>
        <w:r w:rsidR="007D0974" w:rsidRPr="00C37E66">
          <w:rPr>
            <w:rStyle w:val="Lienhypertexte"/>
          </w:rPr>
          <w:t>L’environnement économique international</w:t>
        </w:r>
        <w:r w:rsidR="007D0974">
          <w:rPr>
            <w:webHidden/>
          </w:rPr>
          <w:tab/>
        </w:r>
        <w:r w:rsidR="007D0974">
          <w:rPr>
            <w:webHidden/>
          </w:rPr>
          <w:fldChar w:fldCharType="begin"/>
        </w:r>
        <w:r w:rsidR="007D0974">
          <w:rPr>
            <w:webHidden/>
          </w:rPr>
          <w:instrText xml:space="preserve"> PAGEREF _Toc492972158 \h </w:instrText>
        </w:r>
        <w:r w:rsidR="007D0974">
          <w:rPr>
            <w:webHidden/>
          </w:rPr>
        </w:r>
        <w:r w:rsidR="007D0974">
          <w:rPr>
            <w:webHidden/>
          </w:rPr>
          <w:fldChar w:fldCharType="separate"/>
        </w:r>
        <w:r w:rsidR="00E95BEE">
          <w:rPr>
            <w:webHidden/>
          </w:rPr>
          <w:t>3</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159" w:history="1">
        <w:r w:rsidR="007D0974" w:rsidRPr="00C37E66">
          <w:rPr>
            <w:rStyle w:val="Lienhypertexte"/>
          </w:rPr>
          <w:t>1.2.</w:t>
        </w:r>
        <w:r w:rsidR="007D0974">
          <w:rPr>
            <w:rFonts w:asciiTheme="minorHAnsi" w:eastAsiaTheme="minorEastAsia" w:hAnsiTheme="minorHAnsi" w:cstheme="minorBidi"/>
            <w:bCs w:val="0"/>
            <w:iCs w:val="0"/>
            <w:sz w:val="22"/>
            <w:szCs w:val="22"/>
            <w:lang w:val="fr-FR"/>
          </w:rPr>
          <w:tab/>
        </w:r>
        <w:r w:rsidR="007D0974" w:rsidRPr="00C37E66">
          <w:rPr>
            <w:rStyle w:val="Lienhypertexte"/>
          </w:rPr>
          <w:t>La situation économique et sociale du Burkina Faso</w:t>
        </w:r>
        <w:r w:rsidR="007D0974">
          <w:rPr>
            <w:webHidden/>
          </w:rPr>
          <w:tab/>
        </w:r>
        <w:r w:rsidR="007D0974">
          <w:rPr>
            <w:webHidden/>
          </w:rPr>
          <w:fldChar w:fldCharType="begin"/>
        </w:r>
        <w:r w:rsidR="007D0974">
          <w:rPr>
            <w:webHidden/>
          </w:rPr>
          <w:instrText xml:space="preserve"> PAGEREF _Toc492972159 \h </w:instrText>
        </w:r>
        <w:r w:rsidR="007D0974">
          <w:rPr>
            <w:webHidden/>
          </w:rPr>
        </w:r>
        <w:r w:rsidR="007D0974">
          <w:rPr>
            <w:webHidden/>
          </w:rPr>
          <w:fldChar w:fldCharType="separate"/>
        </w:r>
        <w:r w:rsidR="00E95BEE">
          <w:rPr>
            <w:webHidden/>
          </w:rPr>
          <w:t>3</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60" w:history="1">
        <w:r w:rsidR="007D0974" w:rsidRPr="00C37E66">
          <w:rPr>
            <w:rStyle w:val="Lienhypertexte"/>
            <w:noProof/>
          </w:rPr>
          <w:t>1.2.1.</w:t>
        </w:r>
        <w:r w:rsidR="007D0974">
          <w:rPr>
            <w:rFonts w:eastAsiaTheme="minorEastAsia" w:cstheme="minorBidi"/>
            <w:noProof/>
            <w:sz w:val="22"/>
            <w:szCs w:val="22"/>
            <w:lang w:eastAsia="fr-FR"/>
          </w:rPr>
          <w:tab/>
        </w:r>
        <w:r w:rsidR="007D0974" w:rsidRPr="00C37E66">
          <w:rPr>
            <w:rStyle w:val="Lienhypertexte"/>
            <w:noProof/>
          </w:rPr>
          <w:t>La situation macroéconomique</w:t>
        </w:r>
        <w:r w:rsidR="007D0974">
          <w:rPr>
            <w:noProof/>
            <w:webHidden/>
          </w:rPr>
          <w:tab/>
        </w:r>
        <w:r w:rsidR="007D0974">
          <w:rPr>
            <w:noProof/>
            <w:webHidden/>
          </w:rPr>
          <w:fldChar w:fldCharType="begin"/>
        </w:r>
        <w:r w:rsidR="007D0974">
          <w:rPr>
            <w:noProof/>
            <w:webHidden/>
          </w:rPr>
          <w:instrText xml:space="preserve"> PAGEREF _Toc492972160 \h </w:instrText>
        </w:r>
        <w:r w:rsidR="007D0974">
          <w:rPr>
            <w:noProof/>
            <w:webHidden/>
          </w:rPr>
        </w:r>
        <w:r w:rsidR="007D0974">
          <w:rPr>
            <w:noProof/>
            <w:webHidden/>
          </w:rPr>
          <w:fldChar w:fldCharType="separate"/>
        </w:r>
        <w:r w:rsidR="00E95BEE">
          <w:rPr>
            <w:noProof/>
            <w:webHidden/>
          </w:rPr>
          <w:t>3</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61" w:history="1">
        <w:r w:rsidR="007D0974" w:rsidRPr="00C37E66">
          <w:rPr>
            <w:rStyle w:val="Lienhypertexte"/>
            <w:noProof/>
          </w:rPr>
          <w:t>1.2.1.1.</w:t>
        </w:r>
        <w:r w:rsidR="007D0974">
          <w:rPr>
            <w:rFonts w:eastAsiaTheme="minorEastAsia" w:cstheme="minorBidi"/>
            <w:noProof/>
            <w:sz w:val="22"/>
            <w:szCs w:val="22"/>
            <w:lang w:eastAsia="fr-FR"/>
          </w:rPr>
          <w:tab/>
        </w:r>
        <w:r w:rsidR="007D0974" w:rsidRPr="00C37E66">
          <w:rPr>
            <w:rStyle w:val="Lienhypertexte"/>
            <w:noProof/>
          </w:rPr>
          <w:t>Le Produit Intérieur Brut</w:t>
        </w:r>
        <w:r w:rsidR="007D0974">
          <w:rPr>
            <w:noProof/>
            <w:webHidden/>
          </w:rPr>
          <w:tab/>
        </w:r>
        <w:r w:rsidR="007D0974">
          <w:rPr>
            <w:noProof/>
            <w:webHidden/>
          </w:rPr>
          <w:fldChar w:fldCharType="begin"/>
        </w:r>
        <w:r w:rsidR="007D0974">
          <w:rPr>
            <w:noProof/>
            <w:webHidden/>
          </w:rPr>
          <w:instrText xml:space="preserve"> PAGEREF _Toc492972161 \h </w:instrText>
        </w:r>
        <w:r w:rsidR="007D0974">
          <w:rPr>
            <w:noProof/>
            <w:webHidden/>
          </w:rPr>
        </w:r>
        <w:r w:rsidR="007D0974">
          <w:rPr>
            <w:noProof/>
            <w:webHidden/>
          </w:rPr>
          <w:fldChar w:fldCharType="separate"/>
        </w:r>
        <w:r w:rsidR="00E95BEE">
          <w:rPr>
            <w:noProof/>
            <w:webHidden/>
          </w:rPr>
          <w:t>3</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62" w:history="1">
        <w:r w:rsidR="007D0974" w:rsidRPr="00C37E66">
          <w:rPr>
            <w:rStyle w:val="Lienhypertexte"/>
            <w:noProof/>
          </w:rPr>
          <w:t>1.2.1.2.</w:t>
        </w:r>
        <w:r w:rsidR="007D0974">
          <w:rPr>
            <w:rFonts w:eastAsiaTheme="minorEastAsia" w:cstheme="minorBidi"/>
            <w:noProof/>
            <w:sz w:val="22"/>
            <w:szCs w:val="22"/>
            <w:lang w:eastAsia="fr-FR"/>
          </w:rPr>
          <w:tab/>
        </w:r>
        <w:r w:rsidR="007D0974" w:rsidRPr="00C37E66">
          <w:rPr>
            <w:rStyle w:val="Lienhypertexte"/>
            <w:noProof/>
          </w:rPr>
          <w:t>Les prix à la consommation</w:t>
        </w:r>
        <w:r w:rsidR="007D0974">
          <w:rPr>
            <w:noProof/>
            <w:webHidden/>
          </w:rPr>
          <w:tab/>
        </w:r>
        <w:r w:rsidR="007D0974">
          <w:rPr>
            <w:noProof/>
            <w:webHidden/>
          </w:rPr>
          <w:fldChar w:fldCharType="begin"/>
        </w:r>
        <w:r w:rsidR="007D0974">
          <w:rPr>
            <w:noProof/>
            <w:webHidden/>
          </w:rPr>
          <w:instrText xml:space="preserve"> PAGEREF _Toc492972162 \h </w:instrText>
        </w:r>
        <w:r w:rsidR="007D0974">
          <w:rPr>
            <w:noProof/>
            <w:webHidden/>
          </w:rPr>
        </w:r>
        <w:r w:rsidR="007D0974">
          <w:rPr>
            <w:noProof/>
            <w:webHidden/>
          </w:rPr>
          <w:fldChar w:fldCharType="separate"/>
        </w:r>
        <w:r w:rsidR="00E95BEE">
          <w:rPr>
            <w:noProof/>
            <w:webHidden/>
          </w:rPr>
          <w:t>4</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63" w:history="1">
        <w:r w:rsidR="007D0974" w:rsidRPr="00C37E66">
          <w:rPr>
            <w:rStyle w:val="Lienhypertexte"/>
            <w:noProof/>
          </w:rPr>
          <w:t>1.2.1.3.</w:t>
        </w:r>
        <w:r w:rsidR="007D0974">
          <w:rPr>
            <w:rFonts w:eastAsiaTheme="minorEastAsia" w:cstheme="minorBidi"/>
            <w:noProof/>
            <w:sz w:val="22"/>
            <w:szCs w:val="22"/>
            <w:lang w:eastAsia="fr-FR"/>
          </w:rPr>
          <w:tab/>
        </w:r>
        <w:r w:rsidR="007D0974" w:rsidRPr="00C37E66">
          <w:rPr>
            <w:rStyle w:val="Lienhypertexte"/>
            <w:noProof/>
          </w:rPr>
          <w:t>Les finances publiques</w:t>
        </w:r>
        <w:r w:rsidR="007D0974">
          <w:rPr>
            <w:noProof/>
            <w:webHidden/>
          </w:rPr>
          <w:tab/>
        </w:r>
        <w:r w:rsidR="007D0974">
          <w:rPr>
            <w:noProof/>
            <w:webHidden/>
          </w:rPr>
          <w:fldChar w:fldCharType="begin"/>
        </w:r>
        <w:r w:rsidR="007D0974">
          <w:rPr>
            <w:noProof/>
            <w:webHidden/>
          </w:rPr>
          <w:instrText xml:space="preserve"> PAGEREF _Toc492972163 \h </w:instrText>
        </w:r>
        <w:r w:rsidR="007D0974">
          <w:rPr>
            <w:noProof/>
            <w:webHidden/>
          </w:rPr>
        </w:r>
        <w:r w:rsidR="007D0974">
          <w:rPr>
            <w:noProof/>
            <w:webHidden/>
          </w:rPr>
          <w:fldChar w:fldCharType="separate"/>
        </w:r>
        <w:r w:rsidR="00E95BEE">
          <w:rPr>
            <w:noProof/>
            <w:webHidden/>
          </w:rPr>
          <w:t>4</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64" w:history="1">
        <w:r w:rsidR="007D0974" w:rsidRPr="00C37E66">
          <w:rPr>
            <w:rStyle w:val="Lienhypertexte"/>
            <w:noProof/>
          </w:rPr>
          <w:t>1.2.1.4.</w:t>
        </w:r>
        <w:r w:rsidR="007D0974">
          <w:rPr>
            <w:rFonts w:eastAsiaTheme="minorEastAsia" w:cstheme="minorBidi"/>
            <w:noProof/>
            <w:sz w:val="22"/>
            <w:szCs w:val="22"/>
            <w:lang w:eastAsia="fr-FR"/>
          </w:rPr>
          <w:tab/>
        </w:r>
        <w:r w:rsidR="007D0974" w:rsidRPr="00C37E66">
          <w:rPr>
            <w:rStyle w:val="Lienhypertexte"/>
            <w:noProof/>
          </w:rPr>
          <w:t>La balance commerciale.</w:t>
        </w:r>
        <w:r w:rsidR="007D0974">
          <w:rPr>
            <w:noProof/>
            <w:webHidden/>
          </w:rPr>
          <w:tab/>
        </w:r>
        <w:r w:rsidR="007D0974">
          <w:rPr>
            <w:noProof/>
            <w:webHidden/>
          </w:rPr>
          <w:fldChar w:fldCharType="begin"/>
        </w:r>
        <w:r w:rsidR="007D0974">
          <w:rPr>
            <w:noProof/>
            <w:webHidden/>
          </w:rPr>
          <w:instrText xml:space="preserve"> PAGEREF _Toc492972164 \h </w:instrText>
        </w:r>
        <w:r w:rsidR="007D0974">
          <w:rPr>
            <w:noProof/>
            <w:webHidden/>
          </w:rPr>
        </w:r>
        <w:r w:rsidR="007D0974">
          <w:rPr>
            <w:noProof/>
            <w:webHidden/>
          </w:rPr>
          <w:fldChar w:fldCharType="separate"/>
        </w:r>
        <w:r w:rsidR="00E95BEE">
          <w:rPr>
            <w:noProof/>
            <w:webHidden/>
          </w:rPr>
          <w:t>6</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65" w:history="1">
        <w:r w:rsidR="007D0974" w:rsidRPr="00C37E66">
          <w:rPr>
            <w:rStyle w:val="Lienhypertexte"/>
            <w:noProof/>
          </w:rPr>
          <w:t>1.2.1.5.</w:t>
        </w:r>
        <w:r w:rsidR="007D0974">
          <w:rPr>
            <w:rFonts w:eastAsiaTheme="minorEastAsia" w:cstheme="minorBidi"/>
            <w:noProof/>
            <w:sz w:val="22"/>
            <w:szCs w:val="22"/>
            <w:lang w:eastAsia="fr-FR"/>
          </w:rPr>
          <w:tab/>
        </w:r>
        <w:r w:rsidR="007D0974" w:rsidRPr="00C37E66">
          <w:rPr>
            <w:rStyle w:val="Lienhypertexte"/>
            <w:noProof/>
          </w:rPr>
          <w:t>La situation monétaire</w:t>
        </w:r>
        <w:r w:rsidR="007D0974">
          <w:rPr>
            <w:noProof/>
            <w:webHidden/>
          </w:rPr>
          <w:tab/>
        </w:r>
        <w:r w:rsidR="007D0974">
          <w:rPr>
            <w:noProof/>
            <w:webHidden/>
          </w:rPr>
          <w:fldChar w:fldCharType="begin"/>
        </w:r>
        <w:r w:rsidR="007D0974">
          <w:rPr>
            <w:noProof/>
            <w:webHidden/>
          </w:rPr>
          <w:instrText xml:space="preserve"> PAGEREF _Toc492972165 \h </w:instrText>
        </w:r>
        <w:r w:rsidR="007D0974">
          <w:rPr>
            <w:noProof/>
            <w:webHidden/>
          </w:rPr>
        </w:r>
        <w:r w:rsidR="007D0974">
          <w:rPr>
            <w:noProof/>
            <w:webHidden/>
          </w:rPr>
          <w:fldChar w:fldCharType="separate"/>
        </w:r>
        <w:r w:rsidR="00E95BEE">
          <w:rPr>
            <w:noProof/>
            <w:webHidden/>
          </w:rPr>
          <w:t>6</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66" w:history="1">
        <w:r w:rsidR="007D0974" w:rsidRPr="00C37E66">
          <w:rPr>
            <w:rStyle w:val="Lienhypertexte"/>
            <w:noProof/>
          </w:rPr>
          <w:t>1.2.1.6.</w:t>
        </w:r>
        <w:r w:rsidR="007D0974">
          <w:rPr>
            <w:rFonts w:eastAsiaTheme="minorEastAsia" w:cstheme="minorBidi"/>
            <w:noProof/>
            <w:sz w:val="22"/>
            <w:szCs w:val="22"/>
            <w:lang w:eastAsia="fr-FR"/>
          </w:rPr>
          <w:tab/>
        </w:r>
        <w:r w:rsidR="007D0974" w:rsidRPr="00C37E66">
          <w:rPr>
            <w:rStyle w:val="Lienhypertexte"/>
            <w:noProof/>
          </w:rPr>
          <w:t>L’état de la convergence</w:t>
        </w:r>
        <w:r w:rsidR="007D0974">
          <w:rPr>
            <w:noProof/>
            <w:webHidden/>
          </w:rPr>
          <w:tab/>
        </w:r>
        <w:r w:rsidR="007D0974">
          <w:rPr>
            <w:noProof/>
            <w:webHidden/>
          </w:rPr>
          <w:fldChar w:fldCharType="begin"/>
        </w:r>
        <w:r w:rsidR="007D0974">
          <w:rPr>
            <w:noProof/>
            <w:webHidden/>
          </w:rPr>
          <w:instrText xml:space="preserve"> PAGEREF _Toc492972166 \h </w:instrText>
        </w:r>
        <w:r w:rsidR="007D0974">
          <w:rPr>
            <w:noProof/>
            <w:webHidden/>
          </w:rPr>
        </w:r>
        <w:r w:rsidR="007D0974">
          <w:rPr>
            <w:noProof/>
            <w:webHidden/>
          </w:rPr>
          <w:fldChar w:fldCharType="separate"/>
        </w:r>
        <w:r w:rsidR="00E95BEE">
          <w:rPr>
            <w:noProof/>
            <w:webHidden/>
          </w:rPr>
          <w:t>7</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67" w:history="1">
        <w:r w:rsidR="007D0974" w:rsidRPr="00C37E66">
          <w:rPr>
            <w:rStyle w:val="Lienhypertexte"/>
            <w:noProof/>
          </w:rPr>
          <w:t>1.2.2.</w:t>
        </w:r>
        <w:r w:rsidR="007D0974">
          <w:rPr>
            <w:rFonts w:eastAsiaTheme="minorEastAsia" w:cstheme="minorBidi"/>
            <w:noProof/>
            <w:sz w:val="22"/>
            <w:szCs w:val="22"/>
            <w:lang w:eastAsia="fr-FR"/>
          </w:rPr>
          <w:tab/>
        </w:r>
        <w:r w:rsidR="007D0974" w:rsidRPr="00C37E66">
          <w:rPr>
            <w:rStyle w:val="Lienhypertexte"/>
            <w:noProof/>
          </w:rPr>
          <w:t>Aperçu de la situation sociale</w:t>
        </w:r>
        <w:r w:rsidR="007D0974">
          <w:rPr>
            <w:noProof/>
            <w:webHidden/>
          </w:rPr>
          <w:tab/>
        </w:r>
        <w:r w:rsidR="007D0974">
          <w:rPr>
            <w:noProof/>
            <w:webHidden/>
          </w:rPr>
          <w:fldChar w:fldCharType="begin"/>
        </w:r>
        <w:r w:rsidR="007D0974">
          <w:rPr>
            <w:noProof/>
            <w:webHidden/>
          </w:rPr>
          <w:instrText xml:space="preserve"> PAGEREF _Toc492972167 \h </w:instrText>
        </w:r>
        <w:r w:rsidR="007D0974">
          <w:rPr>
            <w:noProof/>
            <w:webHidden/>
          </w:rPr>
        </w:r>
        <w:r w:rsidR="007D0974">
          <w:rPr>
            <w:noProof/>
            <w:webHidden/>
          </w:rPr>
          <w:fldChar w:fldCharType="separate"/>
        </w:r>
        <w:r w:rsidR="00E95BEE">
          <w:rPr>
            <w:noProof/>
            <w:webHidden/>
          </w:rPr>
          <w:t>7</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68" w:history="1">
        <w:r w:rsidR="007D0974" w:rsidRPr="00C37E66">
          <w:rPr>
            <w:rStyle w:val="Lienhypertexte"/>
            <w:noProof/>
          </w:rPr>
          <w:t>1.2.2.1.</w:t>
        </w:r>
        <w:r w:rsidR="007D0974">
          <w:rPr>
            <w:rFonts w:eastAsiaTheme="minorEastAsia" w:cstheme="minorBidi"/>
            <w:noProof/>
            <w:sz w:val="22"/>
            <w:szCs w:val="22"/>
            <w:lang w:eastAsia="fr-FR"/>
          </w:rPr>
          <w:tab/>
        </w:r>
        <w:r w:rsidR="007D0974" w:rsidRPr="00C37E66">
          <w:rPr>
            <w:rStyle w:val="Lienhypertexte"/>
            <w:noProof/>
          </w:rPr>
          <w:t>Accès aux services de l’éducation</w:t>
        </w:r>
        <w:r w:rsidR="007D0974">
          <w:rPr>
            <w:noProof/>
            <w:webHidden/>
          </w:rPr>
          <w:tab/>
        </w:r>
        <w:r w:rsidR="007D0974">
          <w:rPr>
            <w:noProof/>
            <w:webHidden/>
          </w:rPr>
          <w:fldChar w:fldCharType="begin"/>
        </w:r>
        <w:r w:rsidR="007D0974">
          <w:rPr>
            <w:noProof/>
            <w:webHidden/>
          </w:rPr>
          <w:instrText xml:space="preserve"> PAGEREF _Toc492972168 \h </w:instrText>
        </w:r>
        <w:r w:rsidR="007D0974">
          <w:rPr>
            <w:noProof/>
            <w:webHidden/>
          </w:rPr>
        </w:r>
        <w:r w:rsidR="007D0974">
          <w:rPr>
            <w:noProof/>
            <w:webHidden/>
          </w:rPr>
          <w:fldChar w:fldCharType="separate"/>
        </w:r>
        <w:r w:rsidR="00E95BEE">
          <w:rPr>
            <w:noProof/>
            <w:webHidden/>
          </w:rPr>
          <w:t>7</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69" w:history="1">
        <w:r w:rsidR="007D0974" w:rsidRPr="00C37E66">
          <w:rPr>
            <w:rStyle w:val="Lienhypertexte"/>
            <w:noProof/>
          </w:rPr>
          <w:t>1.2.2.2.</w:t>
        </w:r>
        <w:r w:rsidR="007D0974">
          <w:rPr>
            <w:rFonts w:eastAsiaTheme="minorEastAsia" w:cstheme="minorBidi"/>
            <w:noProof/>
            <w:sz w:val="22"/>
            <w:szCs w:val="22"/>
            <w:lang w:eastAsia="fr-FR"/>
          </w:rPr>
          <w:tab/>
        </w:r>
        <w:r w:rsidR="007D0974" w:rsidRPr="00C37E66">
          <w:rPr>
            <w:rStyle w:val="Lienhypertexte"/>
            <w:noProof/>
          </w:rPr>
          <w:t>L’accès aux services de santé</w:t>
        </w:r>
        <w:r w:rsidR="007D0974">
          <w:rPr>
            <w:noProof/>
            <w:webHidden/>
          </w:rPr>
          <w:tab/>
        </w:r>
        <w:r w:rsidR="007D0974">
          <w:rPr>
            <w:noProof/>
            <w:webHidden/>
          </w:rPr>
          <w:fldChar w:fldCharType="begin"/>
        </w:r>
        <w:r w:rsidR="007D0974">
          <w:rPr>
            <w:noProof/>
            <w:webHidden/>
          </w:rPr>
          <w:instrText xml:space="preserve"> PAGEREF _Toc492972169 \h </w:instrText>
        </w:r>
        <w:r w:rsidR="007D0974">
          <w:rPr>
            <w:noProof/>
            <w:webHidden/>
          </w:rPr>
        </w:r>
        <w:r w:rsidR="007D0974">
          <w:rPr>
            <w:noProof/>
            <w:webHidden/>
          </w:rPr>
          <w:fldChar w:fldCharType="separate"/>
        </w:r>
        <w:r w:rsidR="00E95BEE">
          <w:rPr>
            <w:noProof/>
            <w:webHidden/>
          </w:rPr>
          <w:t>9</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70" w:history="1">
        <w:r w:rsidR="007D0974" w:rsidRPr="00C37E66">
          <w:rPr>
            <w:rStyle w:val="Lienhypertexte"/>
            <w:noProof/>
          </w:rPr>
          <w:t>1.2.2.3.</w:t>
        </w:r>
        <w:r w:rsidR="007D0974">
          <w:rPr>
            <w:rFonts w:eastAsiaTheme="minorEastAsia" w:cstheme="minorBidi"/>
            <w:noProof/>
            <w:sz w:val="22"/>
            <w:szCs w:val="22"/>
            <w:lang w:eastAsia="fr-FR"/>
          </w:rPr>
          <w:tab/>
        </w:r>
        <w:r w:rsidR="007D0974" w:rsidRPr="00C37E66">
          <w:rPr>
            <w:rStyle w:val="Lienhypertexte"/>
            <w:noProof/>
          </w:rPr>
          <w:t>L’accès à l’eau potable et à l’assainissement</w:t>
        </w:r>
        <w:r w:rsidR="007D0974">
          <w:rPr>
            <w:noProof/>
            <w:webHidden/>
          </w:rPr>
          <w:tab/>
        </w:r>
        <w:r w:rsidR="007D0974">
          <w:rPr>
            <w:noProof/>
            <w:webHidden/>
          </w:rPr>
          <w:fldChar w:fldCharType="begin"/>
        </w:r>
        <w:r w:rsidR="007D0974">
          <w:rPr>
            <w:noProof/>
            <w:webHidden/>
          </w:rPr>
          <w:instrText xml:space="preserve"> PAGEREF _Toc492972170 \h </w:instrText>
        </w:r>
        <w:r w:rsidR="007D0974">
          <w:rPr>
            <w:noProof/>
            <w:webHidden/>
          </w:rPr>
        </w:r>
        <w:r w:rsidR="007D0974">
          <w:rPr>
            <w:noProof/>
            <w:webHidden/>
          </w:rPr>
          <w:fldChar w:fldCharType="separate"/>
        </w:r>
        <w:r w:rsidR="00E95BEE">
          <w:rPr>
            <w:noProof/>
            <w:webHidden/>
          </w:rPr>
          <w:t>10</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71" w:history="1">
        <w:r w:rsidR="007D0974" w:rsidRPr="00C37E66">
          <w:rPr>
            <w:rStyle w:val="Lienhypertexte"/>
            <w:noProof/>
          </w:rPr>
          <w:t>1.2.2.4.</w:t>
        </w:r>
        <w:r w:rsidR="007D0974">
          <w:rPr>
            <w:rFonts w:eastAsiaTheme="minorEastAsia" w:cstheme="minorBidi"/>
            <w:noProof/>
            <w:sz w:val="22"/>
            <w:szCs w:val="22"/>
            <w:lang w:eastAsia="fr-FR"/>
          </w:rPr>
          <w:tab/>
        </w:r>
        <w:r w:rsidR="007D0974" w:rsidRPr="00C37E66">
          <w:rPr>
            <w:rStyle w:val="Lienhypertexte"/>
            <w:noProof/>
          </w:rPr>
          <w:t>La promotion et la création d’emplois</w:t>
        </w:r>
        <w:r w:rsidR="007D0974">
          <w:rPr>
            <w:noProof/>
            <w:webHidden/>
          </w:rPr>
          <w:tab/>
        </w:r>
        <w:r w:rsidR="007D0974">
          <w:rPr>
            <w:noProof/>
            <w:webHidden/>
          </w:rPr>
          <w:fldChar w:fldCharType="begin"/>
        </w:r>
        <w:r w:rsidR="007D0974">
          <w:rPr>
            <w:noProof/>
            <w:webHidden/>
          </w:rPr>
          <w:instrText xml:space="preserve"> PAGEREF _Toc492972171 \h </w:instrText>
        </w:r>
        <w:r w:rsidR="007D0974">
          <w:rPr>
            <w:noProof/>
            <w:webHidden/>
          </w:rPr>
        </w:r>
        <w:r w:rsidR="007D0974">
          <w:rPr>
            <w:noProof/>
            <w:webHidden/>
          </w:rPr>
          <w:fldChar w:fldCharType="separate"/>
        </w:r>
        <w:r w:rsidR="00E95BEE">
          <w:rPr>
            <w:noProof/>
            <w:webHidden/>
          </w:rPr>
          <w:t>11</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72" w:history="1">
        <w:r w:rsidR="007D0974" w:rsidRPr="00C37E66">
          <w:rPr>
            <w:rStyle w:val="Lienhypertexte"/>
            <w:noProof/>
          </w:rPr>
          <w:t>1.2.2.5.</w:t>
        </w:r>
        <w:r w:rsidR="007D0974">
          <w:rPr>
            <w:rFonts w:eastAsiaTheme="minorEastAsia" w:cstheme="minorBidi"/>
            <w:noProof/>
            <w:sz w:val="22"/>
            <w:szCs w:val="22"/>
            <w:lang w:eastAsia="fr-FR"/>
          </w:rPr>
          <w:tab/>
        </w:r>
        <w:r w:rsidR="007D0974" w:rsidRPr="00C37E66">
          <w:rPr>
            <w:rStyle w:val="Lienhypertexte"/>
            <w:noProof/>
          </w:rPr>
          <w:t>La réduction des inégalités de genre</w:t>
        </w:r>
        <w:r w:rsidR="007D0974">
          <w:rPr>
            <w:noProof/>
            <w:webHidden/>
          </w:rPr>
          <w:tab/>
        </w:r>
        <w:r w:rsidR="007D0974">
          <w:rPr>
            <w:noProof/>
            <w:webHidden/>
          </w:rPr>
          <w:fldChar w:fldCharType="begin"/>
        </w:r>
        <w:r w:rsidR="007D0974">
          <w:rPr>
            <w:noProof/>
            <w:webHidden/>
          </w:rPr>
          <w:instrText xml:space="preserve"> PAGEREF _Toc492972172 \h </w:instrText>
        </w:r>
        <w:r w:rsidR="007D0974">
          <w:rPr>
            <w:noProof/>
            <w:webHidden/>
          </w:rPr>
        </w:r>
        <w:r w:rsidR="007D0974">
          <w:rPr>
            <w:noProof/>
            <w:webHidden/>
          </w:rPr>
          <w:fldChar w:fldCharType="separate"/>
        </w:r>
        <w:r w:rsidR="00E95BEE">
          <w:rPr>
            <w:noProof/>
            <w:webHidden/>
          </w:rPr>
          <w:t>11</w:t>
        </w:r>
        <w:r w:rsidR="007D0974">
          <w:rPr>
            <w:noProof/>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173" w:history="1">
        <w:r w:rsidR="007D0974" w:rsidRPr="00C37E66">
          <w:rPr>
            <w:rStyle w:val="Lienhypertexte"/>
            <w:lang w:eastAsia="fr-FR"/>
          </w:rPr>
          <w:t>CHAPITRE 2: PLANIFICATION DU DEVELOPPEMENT ET COORDINATION DE L’AIDE</w:t>
        </w:r>
        <w:r w:rsidR="007D0974">
          <w:rPr>
            <w:webHidden/>
          </w:rPr>
          <w:tab/>
        </w:r>
        <w:r w:rsidR="007D0974">
          <w:rPr>
            <w:webHidden/>
          </w:rPr>
          <w:fldChar w:fldCharType="begin"/>
        </w:r>
        <w:r w:rsidR="007D0974">
          <w:rPr>
            <w:webHidden/>
          </w:rPr>
          <w:instrText xml:space="preserve"> PAGEREF _Toc492972173 \h </w:instrText>
        </w:r>
        <w:r w:rsidR="007D0974">
          <w:rPr>
            <w:webHidden/>
          </w:rPr>
        </w:r>
        <w:r w:rsidR="007D0974">
          <w:rPr>
            <w:webHidden/>
          </w:rPr>
          <w:fldChar w:fldCharType="separate"/>
        </w:r>
        <w:r w:rsidR="00E95BEE">
          <w:rPr>
            <w:webHidden/>
          </w:rPr>
          <w:t>13</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174" w:history="1">
        <w:r w:rsidR="007D0974" w:rsidRPr="00C37E66">
          <w:rPr>
            <w:rStyle w:val="Lienhypertexte"/>
          </w:rPr>
          <w:t>2.1.</w:t>
        </w:r>
        <w:r w:rsidR="007D0974">
          <w:rPr>
            <w:rFonts w:asciiTheme="minorHAnsi" w:eastAsiaTheme="minorEastAsia" w:hAnsiTheme="minorHAnsi" w:cstheme="minorBidi"/>
            <w:bCs w:val="0"/>
            <w:iCs w:val="0"/>
            <w:sz w:val="22"/>
            <w:szCs w:val="22"/>
            <w:lang w:val="fr-FR"/>
          </w:rPr>
          <w:tab/>
        </w:r>
        <w:r w:rsidR="007D0974" w:rsidRPr="00C37E66">
          <w:rPr>
            <w:rStyle w:val="Lienhypertexte"/>
          </w:rPr>
          <w:t>Planification du développement</w:t>
        </w:r>
        <w:r w:rsidR="007D0974">
          <w:rPr>
            <w:webHidden/>
          </w:rPr>
          <w:tab/>
        </w:r>
        <w:r w:rsidR="007D0974">
          <w:rPr>
            <w:webHidden/>
          </w:rPr>
          <w:fldChar w:fldCharType="begin"/>
        </w:r>
        <w:r w:rsidR="007D0974">
          <w:rPr>
            <w:webHidden/>
          </w:rPr>
          <w:instrText xml:space="preserve"> PAGEREF _Toc492972174 \h </w:instrText>
        </w:r>
        <w:r w:rsidR="007D0974">
          <w:rPr>
            <w:webHidden/>
          </w:rPr>
        </w:r>
        <w:r w:rsidR="007D0974">
          <w:rPr>
            <w:webHidden/>
          </w:rPr>
          <w:fldChar w:fldCharType="separate"/>
        </w:r>
        <w:r w:rsidR="00E95BEE">
          <w:rPr>
            <w:webHidden/>
          </w:rPr>
          <w:t>13</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75" w:history="1">
        <w:r w:rsidR="007D0974" w:rsidRPr="00C37E66">
          <w:rPr>
            <w:rStyle w:val="Lienhypertexte"/>
            <w:noProof/>
          </w:rPr>
          <w:t>2.1.1.</w:t>
        </w:r>
        <w:r w:rsidR="007D0974">
          <w:rPr>
            <w:rFonts w:eastAsiaTheme="minorEastAsia" w:cstheme="minorBidi"/>
            <w:noProof/>
            <w:sz w:val="22"/>
            <w:szCs w:val="22"/>
            <w:lang w:eastAsia="fr-FR"/>
          </w:rPr>
          <w:tab/>
        </w:r>
        <w:r w:rsidR="007D0974" w:rsidRPr="00C37E66">
          <w:rPr>
            <w:rStyle w:val="Lienhypertexte"/>
            <w:noProof/>
          </w:rPr>
          <w:t>Les instruments de suivi-évaluation du PNDES</w:t>
        </w:r>
        <w:r w:rsidR="007D0974">
          <w:rPr>
            <w:noProof/>
            <w:webHidden/>
          </w:rPr>
          <w:tab/>
        </w:r>
        <w:r w:rsidR="007D0974">
          <w:rPr>
            <w:noProof/>
            <w:webHidden/>
          </w:rPr>
          <w:fldChar w:fldCharType="begin"/>
        </w:r>
        <w:r w:rsidR="007D0974">
          <w:rPr>
            <w:noProof/>
            <w:webHidden/>
          </w:rPr>
          <w:instrText xml:space="preserve"> PAGEREF _Toc492972175 \h </w:instrText>
        </w:r>
        <w:r w:rsidR="007D0974">
          <w:rPr>
            <w:noProof/>
            <w:webHidden/>
          </w:rPr>
        </w:r>
        <w:r w:rsidR="007D0974">
          <w:rPr>
            <w:noProof/>
            <w:webHidden/>
          </w:rPr>
          <w:fldChar w:fldCharType="separate"/>
        </w:r>
        <w:r w:rsidR="00E95BEE">
          <w:rPr>
            <w:noProof/>
            <w:webHidden/>
          </w:rPr>
          <w:t>13</w:t>
        </w:r>
        <w:r w:rsidR="007D0974">
          <w:rPr>
            <w:noProof/>
            <w:webHidden/>
          </w:rPr>
          <w:fldChar w:fldCharType="end"/>
        </w:r>
      </w:hyperlink>
    </w:p>
    <w:p w:rsidR="007D0974" w:rsidRDefault="0015344F" w:rsidP="0021108C">
      <w:pPr>
        <w:pStyle w:val="TM5"/>
        <w:tabs>
          <w:tab w:val="right" w:leader="dot" w:pos="10206"/>
        </w:tabs>
        <w:jc w:val="both"/>
        <w:rPr>
          <w:rFonts w:eastAsiaTheme="minorEastAsia" w:cstheme="minorBidi"/>
          <w:noProof/>
          <w:sz w:val="22"/>
          <w:szCs w:val="22"/>
          <w:lang w:eastAsia="fr-FR"/>
        </w:rPr>
      </w:pPr>
      <w:hyperlink w:anchor="_Toc492972176" w:history="1">
        <w:r w:rsidR="007D0974" w:rsidRPr="00C37E66">
          <w:rPr>
            <w:rStyle w:val="Lienhypertexte"/>
            <w:noProof/>
          </w:rPr>
          <w:t>2.1.1.1. La matrice des réformes stratégiques et des investissements structurants</w:t>
        </w:r>
        <w:r w:rsidR="007D0974">
          <w:rPr>
            <w:noProof/>
            <w:webHidden/>
          </w:rPr>
          <w:tab/>
        </w:r>
        <w:r w:rsidR="007D0974">
          <w:rPr>
            <w:noProof/>
            <w:webHidden/>
          </w:rPr>
          <w:fldChar w:fldCharType="begin"/>
        </w:r>
        <w:r w:rsidR="007D0974">
          <w:rPr>
            <w:noProof/>
            <w:webHidden/>
          </w:rPr>
          <w:instrText xml:space="preserve"> PAGEREF _Toc492972176 \h </w:instrText>
        </w:r>
        <w:r w:rsidR="007D0974">
          <w:rPr>
            <w:noProof/>
            <w:webHidden/>
          </w:rPr>
        </w:r>
        <w:r w:rsidR="007D0974">
          <w:rPr>
            <w:noProof/>
            <w:webHidden/>
          </w:rPr>
          <w:fldChar w:fldCharType="separate"/>
        </w:r>
        <w:r w:rsidR="00E95BEE">
          <w:rPr>
            <w:noProof/>
            <w:webHidden/>
          </w:rPr>
          <w:t>13</w:t>
        </w:r>
        <w:r w:rsidR="007D0974">
          <w:rPr>
            <w:noProof/>
            <w:webHidden/>
          </w:rPr>
          <w:fldChar w:fldCharType="end"/>
        </w:r>
      </w:hyperlink>
    </w:p>
    <w:p w:rsidR="007D0974" w:rsidRDefault="0015344F" w:rsidP="0021108C">
      <w:pPr>
        <w:pStyle w:val="TM5"/>
        <w:tabs>
          <w:tab w:val="right" w:leader="dot" w:pos="10206"/>
        </w:tabs>
        <w:jc w:val="both"/>
        <w:rPr>
          <w:rFonts w:eastAsiaTheme="minorEastAsia" w:cstheme="minorBidi"/>
          <w:noProof/>
          <w:sz w:val="22"/>
          <w:szCs w:val="22"/>
          <w:lang w:eastAsia="fr-FR"/>
        </w:rPr>
      </w:pPr>
      <w:hyperlink w:anchor="_Toc492972177" w:history="1">
        <w:r w:rsidR="007D0974" w:rsidRPr="00C37E66">
          <w:rPr>
            <w:rStyle w:val="Lienhypertexte"/>
            <w:noProof/>
          </w:rPr>
          <w:t>2.1.1.2. Rapport annuel de performance du PNDES</w:t>
        </w:r>
        <w:r w:rsidR="007D0974">
          <w:rPr>
            <w:noProof/>
            <w:webHidden/>
          </w:rPr>
          <w:tab/>
        </w:r>
        <w:r w:rsidR="007D0974">
          <w:rPr>
            <w:noProof/>
            <w:webHidden/>
          </w:rPr>
          <w:fldChar w:fldCharType="begin"/>
        </w:r>
        <w:r w:rsidR="007D0974">
          <w:rPr>
            <w:noProof/>
            <w:webHidden/>
          </w:rPr>
          <w:instrText xml:space="preserve"> PAGEREF _Toc492972177 \h </w:instrText>
        </w:r>
        <w:r w:rsidR="007D0974">
          <w:rPr>
            <w:noProof/>
            <w:webHidden/>
          </w:rPr>
        </w:r>
        <w:r w:rsidR="007D0974">
          <w:rPr>
            <w:noProof/>
            <w:webHidden/>
          </w:rPr>
          <w:fldChar w:fldCharType="separate"/>
        </w:r>
        <w:r w:rsidR="00E95BEE">
          <w:rPr>
            <w:noProof/>
            <w:webHidden/>
          </w:rPr>
          <w:t>14</w:t>
        </w:r>
        <w:r w:rsidR="007D0974">
          <w:rPr>
            <w:noProof/>
            <w:webHidden/>
          </w:rPr>
          <w:fldChar w:fldCharType="end"/>
        </w:r>
      </w:hyperlink>
    </w:p>
    <w:p w:rsidR="007D0974" w:rsidRDefault="0015344F" w:rsidP="0021108C">
      <w:pPr>
        <w:pStyle w:val="TM5"/>
        <w:tabs>
          <w:tab w:val="right" w:leader="dot" w:pos="10206"/>
        </w:tabs>
        <w:jc w:val="both"/>
        <w:rPr>
          <w:rFonts w:eastAsiaTheme="minorEastAsia" w:cstheme="minorBidi"/>
          <w:noProof/>
          <w:sz w:val="22"/>
          <w:szCs w:val="22"/>
          <w:lang w:eastAsia="fr-FR"/>
        </w:rPr>
      </w:pPr>
      <w:hyperlink w:anchor="_Toc492972178" w:history="1">
        <w:r w:rsidR="007D0974" w:rsidRPr="00C37E66">
          <w:rPr>
            <w:rStyle w:val="Lienhypertexte"/>
            <w:noProof/>
          </w:rPr>
          <w:t>2.1.1.3. Les évaluations prévues dans le PNDES</w:t>
        </w:r>
        <w:r w:rsidR="007D0974">
          <w:rPr>
            <w:noProof/>
            <w:webHidden/>
          </w:rPr>
          <w:tab/>
        </w:r>
        <w:r w:rsidR="007D0974">
          <w:rPr>
            <w:noProof/>
            <w:webHidden/>
          </w:rPr>
          <w:fldChar w:fldCharType="begin"/>
        </w:r>
        <w:r w:rsidR="007D0974">
          <w:rPr>
            <w:noProof/>
            <w:webHidden/>
          </w:rPr>
          <w:instrText xml:space="preserve"> PAGEREF _Toc492972178 \h </w:instrText>
        </w:r>
        <w:r w:rsidR="007D0974">
          <w:rPr>
            <w:noProof/>
            <w:webHidden/>
          </w:rPr>
        </w:r>
        <w:r w:rsidR="007D0974">
          <w:rPr>
            <w:noProof/>
            <w:webHidden/>
          </w:rPr>
          <w:fldChar w:fldCharType="separate"/>
        </w:r>
        <w:r w:rsidR="00E95BEE">
          <w:rPr>
            <w:noProof/>
            <w:webHidden/>
          </w:rPr>
          <w:t>14</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79" w:history="1">
        <w:r w:rsidR="007D0974" w:rsidRPr="00C37E66">
          <w:rPr>
            <w:rStyle w:val="Lienhypertexte"/>
            <w:noProof/>
          </w:rPr>
          <w:t>2.1.2.</w:t>
        </w:r>
        <w:r w:rsidR="007D0974">
          <w:rPr>
            <w:rFonts w:eastAsiaTheme="minorEastAsia" w:cstheme="minorBidi"/>
            <w:noProof/>
            <w:sz w:val="22"/>
            <w:szCs w:val="22"/>
            <w:lang w:eastAsia="fr-FR"/>
          </w:rPr>
          <w:tab/>
        </w:r>
        <w:r w:rsidR="007D0974" w:rsidRPr="00C37E66">
          <w:rPr>
            <w:rStyle w:val="Lienhypertexte"/>
            <w:noProof/>
          </w:rPr>
          <w:t>Le Cadre Budgétaire à Moyen Terme (CBMT) 2017-2019</w:t>
        </w:r>
        <w:r w:rsidR="007D0974">
          <w:rPr>
            <w:noProof/>
            <w:webHidden/>
          </w:rPr>
          <w:tab/>
        </w:r>
        <w:r w:rsidR="007D0974">
          <w:rPr>
            <w:noProof/>
            <w:webHidden/>
          </w:rPr>
          <w:fldChar w:fldCharType="begin"/>
        </w:r>
        <w:r w:rsidR="007D0974">
          <w:rPr>
            <w:noProof/>
            <w:webHidden/>
          </w:rPr>
          <w:instrText xml:space="preserve"> PAGEREF _Toc492972179 \h </w:instrText>
        </w:r>
        <w:r w:rsidR="007D0974">
          <w:rPr>
            <w:noProof/>
            <w:webHidden/>
          </w:rPr>
        </w:r>
        <w:r w:rsidR="007D0974">
          <w:rPr>
            <w:noProof/>
            <w:webHidden/>
          </w:rPr>
          <w:fldChar w:fldCharType="separate"/>
        </w:r>
        <w:r w:rsidR="00E95BEE">
          <w:rPr>
            <w:noProof/>
            <w:webHidden/>
          </w:rPr>
          <w:t>14</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80" w:history="1">
        <w:r w:rsidR="007D0974" w:rsidRPr="00C37E66">
          <w:rPr>
            <w:rStyle w:val="Lienhypertexte"/>
            <w:noProof/>
          </w:rPr>
          <w:t>2.1.3.</w:t>
        </w:r>
        <w:r w:rsidR="007D0974">
          <w:rPr>
            <w:rFonts w:eastAsiaTheme="minorEastAsia" w:cstheme="minorBidi"/>
            <w:noProof/>
            <w:sz w:val="22"/>
            <w:szCs w:val="22"/>
            <w:lang w:eastAsia="fr-FR"/>
          </w:rPr>
          <w:tab/>
        </w:r>
        <w:r w:rsidR="007D0974" w:rsidRPr="00C37E66">
          <w:rPr>
            <w:rStyle w:val="Lienhypertexte"/>
            <w:noProof/>
          </w:rPr>
          <w:t>Le Programme d’Investissements Publics (PIP)</w:t>
        </w:r>
        <w:r w:rsidR="007D0974">
          <w:rPr>
            <w:noProof/>
            <w:webHidden/>
          </w:rPr>
          <w:tab/>
        </w:r>
        <w:r w:rsidR="007D0974">
          <w:rPr>
            <w:noProof/>
            <w:webHidden/>
          </w:rPr>
          <w:fldChar w:fldCharType="begin"/>
        </w:r>
        <w:r w:rsidR="007D0974">
          <w:rPr>
            <w:noProof/>
            <w:webHidden/>
          </w:rPr>
          <w:instrText xml:space="preserve"> PAGEREF _Toc492972180 \h </w:instrText>
        </w:r>
        <w:r w:rsidR="007D0974">
          <w:rPr>
            <w:noProof/>
            <w:webHidden/>
          </w:rPr>
        </w:r>
        <w:r w:rsidR="007D0974">
          <w:rPr>
            <w:noProof/>
            <w:webHidden/>
          </w:rPr>
          <w:fldChar w:fldCharType="separate"/>
        </w:r>
        <w:r w:rsidR="00E95BEE">
          <w:rPr>
            <w:noProof/>
            <w:webHidden/>
          </w:rPr>
          <w:t>16</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81" w:history="1">
        <w:r w:rsidR="007D0974" w:rsidRPr="00C37E66">
          <w:rPr>
            <w:rStyle w:val="Lienhypertexte"/>
            <w:noProof/>
          </w:rPr>
          <w:t>2.1.4.</w:t>
        </w:r>
        <w:r w:rsidR="007D0974">
          <w:rPr>
            <w:rFonts w:eastAsiaTheme="minorEastAsia" w:cstheme="minorBidi"/>
            <w:noProof/>
            <w:sz w:val="22"/>
            <w:szCs w:val="22"/>
            <w:lang w:eastAsia="fr-FR"/>
          </w:rPr>
          <w:tab/>
        </w:r>
        <w:r w:rsidR="007D0974" w:rsidRPr="00C37E66">
          <w:rPr>
            <w:rStyle w:val="Lienhypertexte"/>
            <w:noProof/>
          </w:rPr>
          <w:t>Les réformes budgétaires</w:t>
        </w:r>
        <w:r w:rsidR="007D0974">
          <w:rPr>
            <w:noProof/>
            <w:webHidden/>
          </w:rPr>
          <w:tab/>
        </w:r>
        <w:r w:rsidR="007D0974">
          <w:rPr>
            <w:noProof/>
            <w:webHidden/>
          </w:rPr>
          <w:fldChar w:fldCharType="begin"/>
        </w:r>
        <w:r w:rsidR="007D0974">
          <w:rPr>
            <w:noProof/>
            <w:webHidden/>
          </w:rPr>
          <w:instrText xml:space="preserve"> PAGEREF _Toc492972181 \h </w:instrText>
        </w:r>
        <w:r w:rsidR="007D0974">
          <w:rPr>
            <w:noProof/>
            <w:webHidden/>
          </w:rPr>
        </w:r>
        <w:r w:rsidR="007D0974">
          <w:rPr>
            <w:noProof/>
            <w:webHidden/>
          </w:rPr>
          <w:fldChar w:fldCharType="separate"/>
        </w:r>
        <w:r w:rsidR="00E95BEE">
          <w:rPr>
            <w:noProof/>
            <w:webHidden/>
          </w:rPr>
          <w:t>17</w:t>
        </w:r>
        <w:r w:rsidR="007D0974">
          <w:rPr>
            <w:noProof/>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182" w:history="1">
        <w:r w:rsidR="007D0974" w:rsidRPr="00C37E66">
          <w:rPr>
            <w:rStyle w:val="Lienhypertexte"/>
          </w:rPr>
          <w:t>2.2.</w:t>
        </w:r>
        <w:r w:rsidR="007D0974">
          <w:rPr>
            <w:rFonts w:asciiTheme="minorHAnsi" w:eastAsiaTheme="minorEastAsia" w:hAnsiTheme="minorHAnsi" w:cstheme="minorBidi"/>
            <w:bCs w:val="0"/>
            <w:iCs w:val="0"/>
            <w:sz w:val="22"/>
            <w:szCs w:val="22"/>
            <w:lang w:val="fr-FR"/>
          </w:rPr>
          <w:tab/>
        </w:r>
        <w:r w:rsidR="007D0974" w:rsidRPr="00C37E66">
          <w:rPr>
            <w:rStyle w:val="Lienhypertexte"/>
          </w:rPr>
          <w:t>Coordination de l’aide</w:t>
        </w:r>
        <w:r w:rsidR="007D0974">
          <w:rPr>
            <w:webHidden/>
          </w:rPr>
          <w:tab/>
        </w:r>
        <w:r w:rsidR="007D0974">
          <w:rPr>
            <w:webHidden/>
          </w:rPr>
          <w:fldChar w:fldCharType="begin"/>
        </w:r>
        <w:r w:rsidR="007D0974">
          <w:rPr>
            <w:webHidden/>
          </w:rPr>
          <w:instrText xml:space="preserve"> PAGEREF _Toc492972182 \h </w:instrText>
        </w:r>
        <w:r w:rsidR="007D0974">
          <w:rPr>
            <w:webHidden/>
          </w:rPr>
        </w:r>
        <w:r w:rsidR="007D0974">
          <w:rPr>
            <w:webHidden/>
          </w:rPr>
          <w:fldChar w:fldCharType="separate"/>
        </w:r>
        <w:r w:rsidR="00E95BEE">
          <w:rPr>
            <w:webHidden/>
          </w:rPr>
          <w:t>18</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83" w:history="1">
        <w:r w:rsidR="007D0974" w:rsidRPr="00C37E66">
          <w:rPr>
            <w:rStyle w:val="Lienhypertexte"/>
            <w:noProof/>
          </w:rPr>
          <w:t>2.2.1.</w:t>
        </w:r>
        <w:r w:rsidR="007D0974">
          <w:rPr>
            <w:rFonts w:eastAsiaTheme="minorEastAsia" w:cstheme="minorBidi"/>
            <w:noProof/>
            <w:sz w:val="22"/>
            <w:szCs w:val="22"/>
            <w:lang w:eastAsia="fr-FR"/>
          </w:rPr>
          <w:tab/>
        </w:r>
        <w:r w:rsidR="007D0974" w:rsidRPr="00C37E66">
          <w:rPr>
            <w:rStyle w:val="Lienhypertexte"/>
            <w:noProof/>
          </w:rPr>
          <w:t>Le cadre de coordination inhérent à l’administration</w:t>
        </w:r>
        <w:r w:rsidR="007D0974">
          <w:rPr>
            <w:noProof/>
            <w:webHidden/>
          </w:rPr>
          <w:tab/>
        </w:r>
        <w:r w:rsidR="007D0974">
          <w:rPr>
            <w:noProof/>
            <w:webHidden/>
          </w:rPr>
          <w:fldChar w:fldCharType="begin"/>
        </w:r>
        <w:r w:rsidR="007D0974">
          <w:rPr>
            <w:noProof/>
            <w:webHidden/>
          </w:rPr>
          <w:instrText xml:space="preserve"> PAGEREF _Toc492972183 \h </w:instrText>
        </w:r>
        <w:r w:rsidR="007D0974">
          <w:rPr>
            <w:noProof/>
            <w:webHidden/>
          </w:rPr>
        </w:r>
        <w:r w:rsidR="007D0974">
          <w:rPr>
            <w:noProof/>
            <w:webHidden/>
          </w:rPr>
          <w:fldChar w:fldCharType="separate"/>
        </w:r>
        <w:r w:rsidR="00E95BEE">
          <w:rPr>
            <w:noProof/>
            <w:webHidden/>
          </w:rPr>
          <w:t>18</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84" w:history="1">
        <w:r w:rsidR="007D0974" w:rsidRPr="00C37E66">
          <w:rPr>
            <w:rStyle w:val="Lienhypertexte"/>
            <w:noProof/>
          </w:rPr>
          <w:t>2.2.2.</w:t>
        </w:r>
        <w:r w:rsidR="007D0974">
          <w:rPr>
            <w:rFonts w:eastAsiaTheme="minorEastAsia" w:cstheme="minorBidi"/>
            <w:noProof/>
            <w:sz w:val="22"/>
            <w:szCs w:val="22"/>
            <w:lang w:eastAsia="fr-FR"/>
          </w:rPr>
          <w:tab/>
        </w:r>
        <w:r w:rsidR="007D0974" w:rsidRPr="00C37E66">
          <w:rPr>
            <w:rStyle w:val="Lienhypertexte"/>
            <w:noProof/>
          </w:rPr>
          <w:t>Le dispositif de coordination propre aux PTF</w:t>
        </w:r>
        <w:r w:rsidR="007D0974">
          <w:rPr>
            <w:noProof/>
            <w:webHidden/>
          </w:rPr>
          <w:tab/>
        </w:r>
        <w:r w:rsidR="007D0974">
          <w:rPr>
            <w:noProof/>
            <w:webHidden/>
          </w:rPr>
          <w:fldChar w:fldCharType="begin"/>
        </w:r>
        <w:r w:rsidR="007D0974">
          <w:rPr>
            <w:noProof/>
            <w:webHidden/>
          </w:rPr>
          <w:instrText xml:space="preserve"> PAGEREF _Toc492972184 \h </w:instrText>
        </w:r>
        <w:r w:rsidR="007D0974">
          <w:rPr>
            <w:noProof/>
            <w:webHidden/>
          </w:rPr>
        </w:r>
        <w:r w:rsidR="007D0974">
          <w:rPr>
            <w:noProof/>
            <w:webHidden/>
          </w:rPr>
          <w:fldChar w:fldCharType="separate"/>
        </w:r>
        <w:r w:rsidR="00E95BEE">
          <w:rPr>
            <w:noProof/>
            <w:webHidden/>
          </w:rPr>
          <w:t>19</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85" w:history="1">
        <w:r w:rsidR="007D0974" w:rsidRPr="00C37E66">
          <w:rPr>
            <w:rStyle w:val="Lienhypertexte"/>
            <w:noProof/>
          </w:rPr>
          <w:t>2.2.3.</w:t>
        </w:r>
        <w:r w:rsidR="007D0974">
          <w:rPr>
            <w:rFonts w:eastAsiaTheme="minorEastAsia" w:cstheme="minorBidi"/>
            <w:noProof/>
            <w:sz w:val="22"/>
            <w:szCs w:val="22"/>
            <w:lang w:eastAsia="fr-FR"/>
          </w:rPr>
          <w:tab/>
        </w:r>
        <w:r w:rsidR="007D0974" w:rsidRPr="00C37E66">
          <w:rPr>
            <w:rStyle w:val="Lienhypertexte"/>
            <w:noProof/>
          </w:rPr>
          <w:t>Les cadres de concertations mixtes</w:t>
        </w:r>
        <w:r w:rsidR="007D0974">
          <w:rPr>
            <w:noProof/>
            <w:webHidden/>
          </w:rPr>
          <w:tab/>
        </w:r>
        <w:r w:rsidR="007D0974">
          <w:rPr>
            <w:noProof/>
            <w:webHidden/>
          </w:rPr>
          <w:fldChar w:fldCharType="begin"/>
        </w:r>
        <w:r w:rsidR="007D0974">
          <w:rPr>
            <w:noProof/>
            <w:webHidden/>
          </w:rPr>
          <w:instrText xml:space="preserve"> PAGEREF _Toc492972185 \h </w:instrText>
        </w:r>
        <w:r w:rsidR="007D0974">
          <w:rPr>
            <w:noProof/>
            <w:webHidden/>
          </w:rPr>
        </w:r>
        <w:r w:rsidR="007D0974">
          <w:rPr>
            <w:noProof/>
            <w:webHidden/>
          </w:rPr>
          <w:fldChar w:fldCharType="separate"/>
        </w:r>
        <w:r w:rsidR="00E95BEE">
          <w:rPr>
            <w:noProof/>
            <w:webHidden/>
          </w:rPr>
          <w:t>20</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86" w:history="1">
        <w:r w:rsidR="007D0974" w:rsidRPr="00C37E66">
          <w:rPr>
            <w:rStyle w:val="Lienhypertexte"/>
            <w:noProof/>
            <w:lang w:eastAsia="fr-FR"/>
          </w:rPr>
          <w:t>2.2.3.1.</w:t>
        </w:r>
        <w:r w:rsidR="007D0974">
          <w:rPr>
            <w:rFonts w:eastAsiaTheme="minorEastAsia" w:cstheme="minorBidi"/>
            <w:noProof/>
            <w:sz w:val="22"/>
            <w:szCs w:val="22"/>
            <w:lang w:eastAsia="fr-FR"/>
          </w:rPr>
          <w:tab/>
        </w:r>
        <w:r w:rsidR="007D0974" w:rsidRPr="00C37E66">
          <w:rPr>
            <w:rStyle w:val="Lienhypertexte"/>
            <w:noProof/>
            <w:lang w:eastAsia="fr-FR"/>
          </w:rPr>
          <w:t>Le dispositif de suivi et d’évaluation du PNDES</w:t>
        </w:r>
        <w:r w:rsidR="007D0974">
          <w:rPr>
            <w:noProof/>
            <w:webHidden/>
          </w:rPr>
          <w:tab/>
        </w:r>
        <w:r w:rsidR="007D0974">
          <w:rPr>
            <w:noProof/>
            <w:webHidden/>
          </w:rPr>
          <w:fldChar w:fldCharType="begin"/>
        </w:r>
        <w:r w:rsidR="007D0974">
          <w:rPr>
            <w:noProof/>
            <w:webHidden/>
          </w:rPr>
          <w:instrText xml:space="preserve"> PAGEREF _Toc492972186 \h </w:instrText>
        </w:r>
        <w:r w:rsidR="007D0974">
          <w:rPr>
            <w:noProof/>
            <w:webHidden/>
          </w:rPr>
        </w:r>
        <w:r w:rsidR="007D0974">
          <w:rPr>
            <w:noProof/>
            <w:webHidden/>
          </w:rPr>
          <w:fldChar w:fldCharType="separate"/>
        </w:r>
        <w:r w:rsidR="00E95BEE">
          <w:rPr>
            <w:noProof/>
            <w:webHidden/>
          </w:rPr>
          <w:t>20</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87" w:history="1">
        <w:r w:rsidR="007D0974" w:rsidRPr="00C37E66">
          <w:rPr>
            <w:rStyle w:val="Lienhypertexte"/>
            <w:noProof/>
            <w:lang w:eastAsia="fr-FR"/>
          </w:rPr>
          <w:t>2.2.3.2.</w:t>
        </w:r>
        <w:r w:rsidR="007D0974">
          <w:rPr>
            <w:rFonts w:eastAsiaTheme="minorEastAsia" w:cstheme="minorBidi"/>
            <w:noProof/>
            <w:sz w:val="22"/>
            <w:szCs w:val="22"/>
            <w:lang w:eastAsia="fr-FR"/>
          </w:rPr>
          <w:tab/>
        </w:r>
        <w:r w:rsidR="007D0974" w:rsidRPr="00C37E66">
          <w:rPr>
            <w:rStyle w:val="Lienhypertexte"/>
            <w:noProof/>
            <w:lang w:eastAsia="fr-FR"/>
          </w:rPr>
          <w:t>Les tables rondes de mobilisation des ressources</w:t>
        </w:r>
        <w:r w:rsidR="007D0974">
          <w:rPr>
            <w:noProof/>
            <w:webHidden/>
          </w:rPr>
          <w:tab/>
        </w:r>
        <w:r w:rsidR="007D0974">
          <w:rPr>
            <w:noProof/>
            <w:webHidden/>
          </w:rPr>
          <w:fldChar w:fldCharType="begin"/>
        </w:r>
        <w:r w:rsidR="007D0974">
          <w:rPr>
            <w:noProof/>
            <w:webHidden/>
          </w:rPr>
          <w:instrText xml:space="preserve"> PAGEREF _Toc492972187 \h </w:instrText>
        </w:r>
        <w:r w:rsidR="007D0974">
          <w:rPr>
            <w:noProof/>
            <w:webHidden/>
          </w:rPr>
        </w:r>
        <w:r w:rsidR="007D0974">
          <w:rPr>
            <w:noProof/>
            <w:webHidden/>
          </w:rPr>
          <w:fldChar w:fldCharType="separate"/>
        </w:r>
        <w:r w:rsidR="00E95BEE">
          <w:rPr>
            <w:noProof/>
            <w:webHidden/>
          </w:rPr>
          <w:t>21</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88" w:history="1">
        <w:r w:rsidR="007D0974" w:rsidRPr="00C37E66">
          <w:rPr>
            <w:rStyle w:val="Lienhypertexte"/>
            <w:noProof/>
            <w:lang w:eastAsia="fr-FR"/>
          </w:rPr>
          <w:t>2.2.3.3.</w:t>
        </w:r>
        <w:r w:rsidR="007D0974">
          <w:rPr>
            <w:rFonts w:eastAsiaTheme="minorEastAsia" w:cstheme="minorBidi"/>
            <w:noProof/>
            <w:sz w:val="22"/>
            <w:szCs w:val="22"/>
            <w:lang w:eastAsia="fr-FR"/>
          </w:rPr>
          <w:tab/>
        </w:r>
        <w:r w:rsidR="007D0974" w:rsidRPr="00C37E66">
          <w:rPr>
            <w:rStyle w:val="Lienhypertexte"/>
            <w:noProof/>
            <w:lang w:eastAsia="fr-FR"/>
          </w:rPr>
          <w:t>Rencontres MINEFID-Troïka des PTF</w:t>
        </w:r>
        <w:r w:rsidR="007D0974">
          <w:rPr>
            <w:noProof/>
            <w:webHidden/>
          </w:rPr>
          <w:tab/>
        </w:r>
        <w:r w:rsidR="007D0974">
          <w:rPr>
            <w:noProof/>
            <w:webHidden/>
          </w:rPr>
          <w:fldChar w:fldCharType="begin"/>
        </w:r>
        <w:r w:rsidR="007D0974">
          <w:rPr>
            <w:noProof/>
            <w:webHidden/>
          </w:rPr>
          <w:instrText xml:space="preserve"> PAGEREF _Toc492972188 \h </w:instrText>
        </w:r>
        <w:r w:rsidR="007D0974">
          <w:rPr>
            <w:noProof/>
            <w:webHidden/>
          </w:rPr>
        </w:r>
        <w:r w:rsidR="007D0974">
          <w:rPr>
            <w:noProof/>
            <w:webHidden/>
          </w:rPr>
          <w:fldChar w:fldCharType="separate"/>
        </w:r>
        <w:r w:rsidR="00E95BEE">
          <w:rPr>
            <w:noProof/>
            <w:webHidden/>
          </w:rPr>
          <w:t>21</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89" w:history="1">
        <w:r w:rsidR="007D0974" w:rsidRPr="00C37E66">
          <w:rPr>
            <w:rStyle w:val="Lienhypertexte"/>
            <w:noProof/>
            <w:lang w:eastAsia="fr-FR"/>
          </w:rPr>
          <w:t>2.2.3.4.</w:t>
        </w:r>
        <w:r w:rsidR="007D0974">
          <w:rPr>
            <w:rFonts w:eastAsiaTheme="minorEastAsia" w:cstheme="minorBidi"/>
            <w:noProof/>
            <w:sz w:val="22"/>
            <w:szCs w:val="22"/>
            <w:lang w:eastAsia="fr-FR"/>
          </w:rPr>
          <w:tab/>
        </w:r>
        <w:r w:rsidR="007D0974" w:rsidRPr="00C37E66">
          <w:rPr>
            <w:rStyle w:val="Lienhypertexte"/>
            <w:noProof/>
            <w:lang w:eastAsia="fr-FR"/>
          </w:rPr>
          <w:t>Les rencontres internationales sur la coopération au développement</w:t>
        </w:r>
        <w:r w:rsidR="007D0974">
          <w:rPr>
            <w:noProof/>
            <w:webHidden/>
          </w:rPr>
          <w:tab/>
        </w:r>
        <w:r w:rsidR="007D0974">
          <w:rPr>
            <w:noProof/>
            <w:webHidden/>
          </w:rPr>
          <w:fldChar w:fldCharType="begin"/>
        </w:r>
        <w:r w:rsidR="007D0974">
          <w:rPr>
            <w:noProof/>
            <w:webHidden/>
          </w:rPr>
          <w:instrText xml:space="preserve"> PAGEREF _Toc492972189 \h </w:instrText>
        </w:r>
        <w:r w:rsidR="007D0974">
          <w:rPr>
            <w:noProof/>
            <w:webHidden/>
          </w:rPr>
        </w:r>
        <w:r w:rsidR="007D0974">
          <w:rPr>
            <w:noProof/>
            <w:webHidden/>
          </w:rPr>
          <w:fldChar w:fldCharType="separate"/>
        </w:r>
        <w:r w:rsidR="00E95BEE">
          <w:rPr>
            <w:noProof/>
            <w:webHidden/>
          </w:rPr>
          <w:t>22</w:t>
        </w:r>
        <w:r w:rsidR="007D0974">
          <w:rPr>
            <w:noProof/>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190" w:history="1">
        <w:r w:rsidR="007D0974" w:rsidRPr="00C37E66">
          <w:rPr>
            <w:rStyle w:val="Lienhypertexte"/>
          </w:rPr>
          <w:t>DEUXIEME PARTIE : TENDANCES DE LA COOPERATION AU DEVELOPPEMENT</w:t>
        </w:r>
        <w:r w:rsidR="007D0974">
          <w:rPr>
            <w:webHidden/>
          </w:rPr>
          <w:tab/>
        </w:r>
        <w:r w:rsidR="007D0974">
          <w:rPr>
            <w:webHidden/>
          </w:rPr>
          <w:fldChar w:fldCharType="begin"/>
        </w:r>
        <w:r w:rsidR="007D0974">
          <w:rPr>
            <w:webHidden/>
          </w:rPr>
          <w:instrText xml:space="preserve"> PAGEREF _Toc492972190 \h </w:instrText>
        </w:r>
        <w:r w:rsidR="007D0974">
          <w:rPr>
            <w:webHidden/>
          </w:rPr>
        </w:r>
        <w:r w:rsidR="007D0974">
          <w:rPr>
            <w:webHidden/>
          </w:rPr>
          <w:fldChar w:fldCharType="separate"/>
        </w:r>
        <w:r w:rsidR="00E95BEE">
          <w:rPr>
            <w:webHidden/>
          </w:rPr>
          <w:t>34</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191" w:history="1">
        <w:r w:rsidR="007D0974" w:rsidRPr="00C37E66">
          <w:rPr>
            <w:rStyle w:val="Lienhypertexte"/>
            <w:lang w:eastAsia="fr-FR"/>
          </w:rPr>
          <w:t>Chapitre 1 : EVOLUTION ET REPARTITION DE L’AIDE PAR INSTRUMENT ET PAR TYPE DE FINANCEMENT</w:t>
        </w:r>
        <w:r w:rsidR="007D0974">
          <w:rPr>
            <w:webHidden/>
          </w:rPr>
          <w:tab/>
        </w:r>
        <w:r w:rsidR="007D0974">
          <w:rPr>
            <w:webHidden/>
          </w:rPr>
          <w:fldChar w:fldCharType="begin"/>
        </w:r>
        <w:r w:rsidR="007D0974">
          <w:rPr>
            <w:webHidden/>
          </w:rPr>
          <w:instrText xml:space="preserve"> PAGEREF _Toc492972191 \h </w:instrText>
        </w:r>
        <w:r w:rsidR="007D0974">
          <w:rPr>
            <w:webHidden/>
          </w:rPr>
        </w:r>
        <w:r w:rsidR="007D0974">
          <w:rPr>
            <w:webHidden/>
          </w:rPr>
          <w:fldChar w:fldCharType="separate"/>
        </w:r>
        <w:r w:rsidR="00E95BEE">
          <w:rPr>
            <w:webHidden/>
          </w:rPr>
          <w:t>35</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192" w:history="1">
        <w:r w:rsidR="007D0974" w:rsidRPr="00C37E66">
          <w:rPr>
            <w:rStyle w:val="Lienhypertexte"/>
          </w:rPr>
          <w:t>1.1.</w:t>
        </w:r>
        <w:r w:rsidR="007D0974">
          <w:rPr>
            <w:rFonts w:asciiTheme="minorHAnsi" w:eastAsiaTheme="minorEastAsia" w:hAnsiTheme="minorHAnsi" w:cstheme="minorBidi"/>
            <w:bCs w:val="0"/>
            <w:iCs w:val="0"/>
            <w:sz w:val="22"/>
            <w:szCs w:val="22"/>
            <w:lang w:val="fr-FR"/>
          </w:rPr>
          <w:tab/>
        </w:r>
        <w:r w:rsidR="007D0974" w:rsidRPr="00C37E66">
          <w:rPr>
            <w:rStyle w:val="Lienhypertexte"/>
          </w:rPr>
          <w:t>Aperçu général</w:t>
        </w:r>
        <w:r w:rsidR="007D0974">
          <w:rPr>
            <w:webHidden/>
          </w:rPr>
          <w:tab/>
        </w:r>
        <w:r w:rsidR="007D0974">
          <w:rPr>
            <w:webHidden/>
          </w:rPr>
          <w:fldChar w:fldCharType="begin"/>
        </w:r>
        <w:r w:rsidR="007D0974">
          <w:rPr>
            <w:webHidden/>
          </w:rPr>
          <w:instrText xml:space="preserve"> PAGEREF _Toc492972192 \h </w:instrText>
        </w:r>
        <w:r w:rsidR="007D0974">
          <w:rPr>
            <w:webHidden/>
          </w:rPr>
        </w:r>
        <w:r w:rsidR="007D0974">
          <w:rPr>
            <w:webHidden/>
          </w:rPr>
          <w:fldChar w:fldCharType="separate"/>
        </w:r>
        <w:r w:rsidR="00E95BEE">
          <w:rPr>
            <w:webHidden/>
          </w:rPr>
          <w:t>35</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93" w:history="1">
        <w:r w:rsidR="007D0974" w:rsidRPr="00C37E66">
          <w:rPr>
            <w:rStyle w:val="Lienhypertexte"/>
            <w:noProof/>
            <w:lang w:eastAsia="fr-FR"/>
          </w:rPr>
          <w:t>1.1.1.</w:t>
        </w:r>
        <w:r w:rsidR="007D0974">
          <w:rPr>
            <w:rFonts w:eastAsiaTheme="minorEastAsia" w:cstheme="minorBidi"/>
            <w:noProof/>
            <w:sz w:val="22"/>
            <w:szCs w:val="22"/>
            <w:lang w:eastAsia="fr-FR"/>
          </w:rPr>
          <w:tab/>
        </w:r>
        <w:r w:rsidR="007D0974" w:rsidRPr="00C37E66">
          <w:rPr>
            <w:rStyle w:val="Lienhypertexte"/>
            <w:noProof/>
            <w:lang w:eastAsia="fr-FR"/>
          </w:rPr>
          <w:t>L’évolution générale de l’Aide Publique au Développement</w:t>
        </w:r>
        <w:r w:rsidR="007D0974">
          <w:rPr>
            <w:noProof/>
            <w:webHidden/>
          </w:rPr>
          <w:tab/>
        </w:r>
        <w:r w:rsidR="007D0974">
          <w:rPr>
            <w:noProof/>
            <w:webHidden/>
          </w:rPr>
          <w:fldChar w:fldCharType="begin"/>
        </w:r>
        <w:r w:rsidR="007D0974">
          <w:rPr>
            <w:noProof/>
            <w:webHidden/>
          </w:rPr>
          <w:instrText xml:space="preserve"> PAGEREF _Toc492972193 \h </w:instrText>
        </w:r>
        <w:r w:rsidR="007D0974">
          <w:rPr>
            <w:noProof/>
            <w:webHidden/>
          </w:rPr>
        </w:r>
        <w:r w:rsidR="007D0974">
          <w:rPr>
            <w:noProof/>
            <w:webHidden/>
          </w:rPr>
          <w:fldChar w:fldCharType="separate"/>
        </w:r>
        <w:r w:rsidR="00E95BEE">
          <w:rPr>
            <w:noProof/>
            <w:webHidden/>
          </w:rPr>
          <w:t>35</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94" w:history="1">
        <w:r w:rsidR="007D0974" w:rsidRPr="00C37E66">
          <w:rPr>
            <w:rStyle w:val="Lienhypertexte"/>
            <w:noProof/>
            <w:lang w:eastAsia="fr-FR"/>
          </w:rPr>
          <w:t>1.1.2.</w:t>
        </w:r>
        <w:r w:rsidR="007D0974">
          <w:rPr>
            <w:rFonts w:eastAsiaTheme="minorEastAsia" w:cstheme="minorBidi"/>
            <w:noProof/>
            <w:sz w:val="22"/>
            <w:szCs w:val="22"/>
            <w:lang w:eastAsia="fr-FR"/>
          </w:rPr>
          <w:tab/>
        </w:r>
        <w:r w:rsidR="007D0974" w:rsidRPr="00C37E66">
          <w:rPr>
            <w:rStyle w:val="Lienhypertexte"/>
            <w:noProof/>
            <w:lang w:eastAsia="fr-FR"/>
          </w:rPr>
          <w:t>La part de l’APD dans le Budget de l’Etat en 2016</w:t>
        </w:r>
        <w:r w:rsidR="007D0974">
          <w:rPr>
            <w:noProof/>
            <w:webHidden/>
          </w:rPr>
          <w:tab/>
        </w:r>
        <w:r w:rsidR="007D0974">
          <w:rPr>
            <w:noProof/>
            <w:webHidden/>
          </w:rPr>
          <w:fldChar w:fldCharType="begin"/>
        </w:r>
        <w:r w:rsidR="007D0974">
          <w:rPr>
            <w:noProof/>
            <w:webHidden/>
          </w:rPr>
          <w:instrText xml:space="preserve"> PAGEREF _Toc492972194 \h </w:instrText>
        </w:r>
        <w:r w:rsidR="007D0974">
          <w:rPr>
            <w:noProof/>
            <w:webHidden/>
          </w:rPr>
        </w:r>
        <w:r w:rsidR="007D0974">
          <w:rPr>
            <w:noProof/>
            <w:webHidden/>
          </w:rPr>
          <w:fldChar w:fldCharType="separate"/>
        </w:r>
        <w:r w:rsidR="00E95BEE">
          <w:rPr>
            <w:noProof/>
            <w:webHidden/>
          </w:rPr>
          <w:t>36</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95" w:history="1">
        <w:r w:rsidR="007D0974" w:rsidRPr="00C37E66">
          <w:rPr>
            <w:rStyle w:val="Lienhypertexte"/>
            <w:noProof/>
          </w:rPr>
          <w:t>1.1.2.1.</w:t>
        </w:r>
        <w:r w:rsidR="007D0974">
          <w:rPr>
            <w:rFonts w:eastAsiaTheme="minorEastAsia" w:cstheme="minorBidi"/>
            <w:noProof/>
            <w:sz w:val="22"/>
            <w:szCs w:val="22"/>
            <w:lang w:eastAsia="fr-FR"/>
          </w:rPr>
          <w:tab/>
        </w:r>
        <w:r w:rsidR="007D0974" w:rsidRPr="00C37E66">
          <w:rPr>
            <w:rStyle w:val="Lienhypertexte"/>
            <w:noProof/>
          </w:rPr>
          <w:t>Situation d’exécution du budget de l’Etat en 2016</w:t>
        </w:r>
        <w:r w:rsidR="007D0974">
          <w:rPr>
            <w:noProof/>
            <w:webHidden/>
          </w:rPr>
          <w:tab/>
        </w:r>
        <w:r w:rsidR="007D0974">
          <w:rPr>
            <w:noProof/>
            <w:webHidden/>
          </w:rPr>
          <w:fldChar w:fldCharType="begin"/>
        </w:r>
        <w:r w:rsidR="007D0974">
          <w:rPr>
            <w:noProof/>
            <w:webHidden/>
          </w:rPr>
          <w:instrText xml:space="preserve"> PAGEREF _Toc492972195 \h </w:instrText>
        </w:r>
        <w:r w:rsidR="007D0974">
          <w:rPr>
            <w:noProof/>
            <w:webHidden/>
          </w:rPr>
        </w:r>
        <w:r w:rsidR="007D0974">
          <w:rPr>
            <w:noProof/>
            <w:webHidden/>
          </w:rPr>
          <w:fldChar w:fldCharType="separate"/>
        </w:r>
        <w:r w:rsidR="00E95BEE">
          <w:rPr>
            <w:noProof/>
            <w:webHidden/>
          </w:rPr>
          <w:t>36</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96" w:history="1">
        <w:r w:rsidR="007D0974" w:rsidRPr="00C37E66">
          <w:rPr>
            <w:rStyle w:val="Lienhypertexte"/>
            <w:noProof/>
          </w:rPr>
          <w:t>1.1.2.2.</w:t>
        </w:r>
        <w:r w:rsidR="007D0974">
          <w:rPr>
            <w:rFonts w:eastAsiaTheme="minorEastAsia" w:cstheme="minorBidi"/>
            <w:noProof/>
            <w:sz w:val="22"/>
            <w:szCs w:val="22"/>
            <w:lang w:eastAsia="fr-FR"/>
          </w:rPr>
          <w:tab/>
        </w:r>
        <w:r w:rsidR="007D0974" w:rsidRPr="00C37E66">
          <w:rPr>
            <w:rStyle w:val="Lienhypertexte"/>
            <w:noProof/>
          </w:rPr>
          <w:t>Situation d’exécution des contreparties nationales en 2016</w:t>
        </w:r>
        <w:r w:rsidR="007D0974">
          <w:rPr>
            <w:noProof/>
            <w:webHidden/>
          </w:rPr>
          <w:tab/>
        </w:r>
        <w:r w:rsidR="007D0974">
          <w:rPr>
            <w:noProof/>
            <w:webHidden/>
          </w:rPr>
          <w:fldChar w:fldCharType="begin"/>
        </w:r>
        <w:r w:rsidR="007D0974">
          <w:rPr>
            <w:noProof/>
            <w:webHidden/>
          </w:rPr>
          <w:instrText xml:space="preserve"> PAGEREF _Toc492972196 \h </w:instrText>
        </w:r>
        <w:r w:rsidR="007D0974">
          <w:rPr>
            <w:noProof/>
            <w:webHidden/>
          </w:rPr>
        </w:r>
        <w:r w:rsidR="007D0974">
          <w:rPr>
            <w:noProof/>
            <w:webHidden/>
          </w:rPr>
          <w:fldChar w:fldCharType="separate"/>
        </w:r>
        <w:r w:rsidR="00E95BEE">
          <w:rPr>
            <w:noProof/>
            <w:webHidden/>
          </w:rPr>
          <w:t>37</w:t>
        </w:r>
        <w:r w:rsidR="007D0974">
          <w:rPr>
            <w:noProof/>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197" w:history="1">
        <w:r w:rsidR="007D0974" w:rsidRPr="00C37E66">
          <w:rPr>
            <w:rStyle w:val="Lienhypertexte"/>
          </w:rPr>
          <w:t>1.2.</w:t>
        </w:r>
        <w:r w:rsidR="007D0974">
          <w:rPr>
            <w:rFonts w:asciiTheme="minorHAnsi" w:eastAsiaTheme="minorEastAsia" w:hAnsiTheme="minorHAnsi" w:cstheme="minorBidi"/>
            <w:bCs w:val="0"/>
            <w:iCs w:val="0"/>
            <w:sz w:val="22"/>
            <w:szCs w:val="22"/>
            <w:lang w:val="fr-FR"/>
          </w:rPr>
          <w:tab/>
        </w:r>
        <w:r w:rsidR="007D0974" w:rsidRPr="00C37E66">
          <w:rPr>
            <w:rStyle w:val="Lienhypertexte"/>
          </w:rPr>
          <w:t>Répartition de l'aide par type d’assistance</w:t>
        </w:r>
        <w:r w:rsidR="007D0974">
          <w:rPr>
            <w:webHidden/>
          </w:rPr>
          <w:tab/>
        </w:r>
        <w:r w:rsidR="007D0974">
          <w:rPr>
            <w:webHidden/>
          </w:rPr>
          <w:fldChar w:fldCharType="begin"/>
        </w:r>
        <w:r w:rsidR="007D0974">
          <w:rPr>
            <w:webHidden/>
          </w:rPr>
          <w:instrText xml:space="preserve"> PAGEREF _Toc492972197 \h </w:instrText>
        </w:r>
        <w:r w:rsidR="007D0974">
          <w:rPr>
            <w:webHidden/>
          </w:rPr>
        </w:r>
        <w:r w:rsidR="007D0974">
          <w:rPr>
            <w:webHidden/>
          </w:rPr>
          <w:fldChar w:fldCharType="separate"/>
        </w:r>
        <w:r w:rsidR="00E95BEE">
          <w:rPr>
            <w:webHidden/>
          </w:rPr>
          <w:t>37</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198" w:history="1">
        <w:r w:rsidR="007D0974" w:rsidRPr="00C37E66">
          <w:rPr>
            <w:rStyle w:val="Lienhypertexte"/>
            <w:noProof/>
            <w:lang w:eastAsia="fr-FR"/>
          </w:rPr>
          <w:t>1.2.1.</w:t>
        </w:r>
        <w:r w:rsidR="007D0974">
          <w:rPr>
            <w:rFonts w:eastAsiaTheme="minorEastAsia" w:cstheme="minorBidi"/>
            <w:noProof/>
            <w:sz w:val="22"/>
            <w:szCs w:val="22"/>
            <w:lang w:eastAsia="fr-FR"/>
          </w:rPr>
          <w:tab/>
        </w:r>
        <w:r w:rsidR="007D0974" w:rsidRPr="00C37E66">
          <w:rPr>
            <w:rStyle w:val="Lienhypertexte"/>
            <w:noProof/>
            <w:lang w:eastAsia="fr-FR"/>
          </w:rPr>
          <w:t>L'aide projet</w:t>
        </w:r>
        <w:r w:rsidR="007D0974">
          <w:rPr>
            <w:noProof/>
            <w:webHidden/>
          </w:rPr>
          <w:tab/>
        </w:r>
        <w:r w:rsidR="007D0974">
          <w:rPr>
            <w:noProof/>
            <w:webHidden/>
          </w:rPr>
          <w:fldChar w:fldCharType="begin"/>
        </w:r>
        <w:r w:rsidR="007D0974">
          <w:rPr>
            <w:noProof/>
            <w:webHidden/>
          </w:rPr>
          <w:instrText xml:space="preserve"> PAGEREF _Toc492972198 \h </w:instrText>
        </w:r>
        <w:r w:rsidR="007D0974">
          <w:rPr>
            <w:noProof/>
            <w:webHidden/>
          </w:rPr>
        </w:r>
        <w:r w:rsidR="007D0974">
          <w:rPr>
            <w:noProof/>
            <w:webHidden/>
          </w:rPr>
          <w:fldChar w:fldCharType="separate"/>
        </w:r>
        <w:r w:rsidR="00E95BEE">
          <w:rPr>
            <w:noProof/>
            <w:webHidden/>
          </w:rPr>
          <w:t>38</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199" w:history="1">
        <w:r w:rsidR="007D0974" w:rsidRPr="00C37E66">
          <w:rPr>
            <w:rStyle w:val="Lienhypertexte"/>
            <w:noProof/>
            <w:lang w:eastAsia="fr-FR"/>
          </w:rPr>
          <w:t>1.2.1.1.</w:t>
        </w:r>
        <w:r w:rsidR="007D0974">
          <w:rPr>
            <w:rFonts w:eastAsiaTheme="minorEastAsia" w:cstheme="minorBidi"/>
            <w:noProof/>
            <w:sz w:val="22"/>
            <w:szCs w:val="22"/>
            <w:lang w:eastAsia="fr-FR"/>
          </w:rPr>
          <w:tab/>
        </w:r>
        <w:r w:rsidR="007D0974" w:rsidRPr="00C37E66">
          <w:rPr>
            <w:rStyle w:val="Lienhypertexte"/>
            <w:noProof/>
            <w:lang w:eastAsia="fr-FR"/>
          </w:rPr>
          <w:t>L’aide projet sans fonds communs</w:t>
        </w:r>
        <w:r w:rsidR="007D0974">
          <w:rPr>
            <w:noProof/>
            <w:webHidden/>
          </w:rPr>
          <w:tab/>
        </w:r>
        <w:r w:rsidR="007D0974">
          <w:rPr>
            <w:noProof/>
            <w:webHidden/>
          </w:rPr>
          <w:fldChar w:fldCharType="begin"/>
        </w:r>
        <w:r w:rsidR="007D0974">
          <w:rPr>
            <w:noProof/>
            <w:webHidden/>
          </w:rPr>
          <w:instrText xml:space="preserve"> PAGEREF _Toc492972199 \h </w:instrText>
        </w:r>
        <w:r w:rsidR="007D0974">
          <w:rPr>
            <w:noProof/>
            <w:webHidden/>
          </w:rPr>
        </w:r>
        <w:r w:rsidR="007D0974">
          <w:rPr>
            <w:noProof/>
            <w:webHidden/>
          </w:rPr>
          <w:fldChar w:fldCharType="separate"/>
        </w:r>
        <w:r w:rsidR="00E95BEE">
          <w:rPr>
            <w:noProof/>
            <w:webHidden/>
          </w:rPr>
          <w:t>38</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00" w:history="1">
        <w:r w:rsidR="007D0974" w:rsidRPr="00C37E66">
          <w:rPr>
            <w:rStyle w:val="Lienhypertexte"/>
            <w:noProof/>
            <w:lang w:eastAsia="fr-FR"/>
          </w:rPr>
          <w:t>1.2.1.2.</w:t>
        </w:r>
        <w:r w:rsidR="007D0974">
          <w:rPr>
            <w:rFonts w:eastAsiaTheme="minorEastAsia" w:cstheme="minorBidi"/>
            <w:noProof/>
            <w:sz w:val="22"/>
            <w:szCs w:val="22"/>
            <w:lang w:eastAsia="fr-FR"/>
          </w:rPr>
          <w:tab/>
        </w:r>
        <w:r w:rsidR="007D0974" w:rsidRPr="00C37E66">
          <w:rPr>
            <w:rStyle w:val="Lienhypertexte"/>
            <w:noProof/>
            <w:lang w:eastAsia="fr-FR"/>
          </w:rPr>
          <w:t>L’Aide projet avec fonds communs</w:t>
        </w:r>
        <w:r w:rsidR="007D0974">
          <w:rPr>
            <w:noProof/>
            <w:webHidden/>
          </w:rPr>
          <w:tab/>
        </w:r>
        <w:r w:rsidR="007D0974">
          <w:rPr>
            <w:noProof/>
            <w:webHidden/>
          </w:rPr>
          <w:fldChar w:fldCharType="begin"/>
        </w:r>
        <w:r w:rsidR="007D0974">
          <w:rPr>
            <w:noProof/>
            <w:webHidden/>
          </w:rPr>
          <w:instrText xml:space="preserve"> PAGEREF _Toc492972200 \h </w:instrText>
        </w:r>
        <w:r w:rsidR="007D0974">
          <w:rPr>
            <w:noProof/>
            <w:webHidden/>
          </w:rPr>
        </w:r>
        <w:r w:rsidR="007D0974">
          <w:rPr>
            <w:noProof/>
            <w:webHidden/>
          </w:rPr>
          <w:fldChar w:fldCharType="separate"/>
        </w:r>
        <w:r w:rsidR="00E95BEE">
          <w:rPr>
            <w:noProof/>
            <w:webHidden/>
          </w:rPr>
          <w:t>40</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01" w:history="1">
        <w:r w:rsidR="007D0974" w:rsidRPr="00C37E66">
          <w:rPr>
            <w:rStyle w:val="Lienhypertexte"/>
            <w:noProof/>
            <w:lang w:eastAsia="fr-FR"/>
          </w:rPr>
          <w:t>1.2.1.3.</w:t>
        </w:r>
        <w:r w:rsidR="007D0974">
          <w:rPr>
            <w:rFonts w:eastAsiaTheme="minorEastAsia" w:cstheme="minorBidi"/>
            <w:noProof/>
            <w:sz w:val="22"/>
            <w:szCs w:val="22"/>
            <w:lang w:eastAsia="fr-FR"/>
          </w:rPr>
          <w:tab/>
        </w:r>
        <w:r w:rsidR="007D0974" w:rsidRPr="00C37E66">
          <w:rPr>
            <w:rStyle w:val="Lienhypertexte"/>
            <w:noProof/>
            <w:lang w:eastAsia="fr-FR"/>
          </w:rPr>
          <w:t>L’assistance technique</w:t>
        </w:r>
        <w:r w:rsidR="007D0974">
          <w:rPr>
            <w:noProof/>
            <w:webHidden/>
          </w:rPr>
          <w:tab/>
        </w:r>
        <w:r w:rsidR="007D0974">
          <w:rPr>
            <w:noProof/>
            <w:webHidden/>
          </w:rPr>
          <w:fldChar w:fldCharType="begin"/>
        </w:r>
        <w:r w:rsidR="007D0974">
          <w:rPr>
            <w:noProof/>
            <w:webHidden/>
          </w:rPr>
          <w:instrText xml:space="preserve"> PAGEREF _Toc492972201 \h </w:instrText>
        </w:r>
        <w:r w:rsidR="007D0974">
          <w:rPr>
            <w:noProof/>
            <w:webHidden/>
          </w:rPr>
        </w:r>
        <w:r w:rsidR="007D0974">
          <w:rPr>
            <w:noProof/>
            <w:webHidden/>
          </w:rPr>
          <w:fldChar w:fldCharType="separate"/>
        </w:r>
        <w:r w:rsidR="00E95BEE">
          <w:rPr>
            <w:noProof/>
            <w:webHidden/>
          </w:rPr>
          <w:t>41</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02" w:history="1">
        <w:r w:rsidR="007D0974" w:rsidRPr="00C37E66">
          <w:rPr>
            <w:rStyle w:val="Lienhypertexte"/>
            <w:noProof/>
            <w:lang w:eastAsia="fr-FR"/>
          </w:rPr>
          <w:t>1.2.2.</w:t>
        </w:r>
        <w:r w:rsidR="007D0974">
          <w:rPr>
            <w:rFonts w:eastAsiaTheme="minorEastAsia" w:cstheme="minorBidi"/>
            <w:noProof/>
            <w:sz w:val="22"/>
            <w:szCs w:val="22"/>
            <w:lang w:eastAsia="fr-FR"/>
          </w:rPr>
          <w:tab/>
        </w:r>
        <w:r w:rsidR="007D0974" w:rsidRPr="00C37E66">
          <w:rPr>
            <w:rStyle w:val="Lienhypertexte"/>
            <w:noProof/>
            <w:lang w:eastAsia="fr-FR"/>
          </w:rPr>
          <w:t>L'appui budgétaire</w:t>
        </w:r>
        <w:r w:rsidR="007D0974">
          <w:rPr>
            <w:noProof/>
            <w:webHidden/>
          </w:rPr>
          <w:tab/>
        </w:r>
        <w:r w:rsidR="007D0974">
          <w:rPr>
            <w:noProof/>
            <w:webHidden/>
          </w:rPr>
          <w:fldChar w:fldCharType="begin"/>
        </w:r>
        <w:r w:rsidR="007D0974">
          <w:rPr>
            <w:noProof/>
            <w:webHidden/>
          </w:rPr>
          <w:instrText xml:space="preserve"> PAGEREF _Toc492972202 \h </w:instrText>
        </w:r>
        <w:r w:rsidR="007D0974">
          <w:rPr>
            <w:noProof/>
            <w:webHidden/>
          </w:rPr>
        </w:r>
        <w:r w:rsidR="007D0974">
          <w:rPr>
            <w:noProof/>
            <w:webHidden/>
          </w:rPr>
          <w:fldChar w:fldCharType="separate"/>
        </w:r>
        <w:r w:rsidR="00E95BEE">
          <w:rPr>
            <w:noProof/>
            <w:webHidden/>
          </w:rPr>
          <w:t>42</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03" w:history="1">
        <w:r w:rsidR="007D0974" w:rsidRPr="00C37E66">
          <w:rPr>
            <w:rStyle w:val="Lienhypertexte"/>
            <w:noProof/>
            <w:lang w:eastAsia="fr-FR"/>
          </w:rPr>
          <w:t>1.2.2.1.</w:t>
        </w:r>
        <w:r w:rsidR="007D0974">
          <w:rPr>
            <w:rFonts w:eastAsiaTheme="minorEastAsia" w:cstheme="minorBidi"/>
            <w:noProof/>
            <w:sz w:val="22"/>
            <w:szCs w:val="22"/>
            <w:lang w:eastAsia="fr-FR"/>
          </w:rPr>
          <w:tab/>
        </w:r>
        <w:r w:rsidR="007D0974" w:rsidRPr="00C37E66">
          <w:rPr>
            <w:rStyle w:val="Lienhypertexte"/>
            <w:noProof/>
            <w:lang w:eastAsia="fr-FR"/>
          </w:rPr>
          <w:t>L'Appui budgétaire général</w:t>
        </w:r>
        <w:r w:rsidR="007D0974">
          <w:rPr>
            <w:noProof/>
            <w:webHidden/>
          </w:rPr>
          <w:tab/>
        </w:r>
        <w:r w:rsidR="007D0974">
          <w:rPr>
            <w:noProof/>
            <w:webHidden/>
          </w:rPr>
          <w:fldChar w:fldCharType="begin"/>
        </w:r>
        <w:r w:rsidR="007D0974">
          <w:rPr>
            <w:noProof/>
            <w:webHidden/>
          </w:rPr>
          <w:instrText xml:space="preserve"> PAGEREF _Toc492972203 \h </w:instrText>
        </w:r>
        <w:r w:rsidR="007D0974">
          <w:rPr>
            <w:noProof/>
            <w:webHidden/>
          </w:rPr>
        </w:r>
        <w:r w:rsidR="007D0974">
          <w:rPr>
            <w:noProof/>
            <w:webHidden/>
          </w:rPr>
          <w:fldChar w:fldCharType="separate"/>
        </w:r>
        <w:r w:rsidR="00E95BEE">
          <w:rPr>
            <w:noProof/>
            <w:webHidden/>
          </w:rPr>
          <w:t>42</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04" w:history="1">
        <w:r w:rsidR="007D0974" w:rsidRPr="00C37E66">
          <w:rPr>
            <w:rStyle w:val="Lienhypertexte"/>
            <w:noProof/>
            <w:lang w:eastAsia="fr-FR"/>
          </w:rPr>
          <w:t>1.2.2.2.</w:t>
        </w:r>
        <w:r w:rsidR="007D0974">
          <w:rPr>
            <w:rFonts w:eastAsiaTheme="minorEastAsia" w:cstheme="minorBidi"/>
            <w:noProof/>
            <w:sz w:val="22"/>
            <w:szCs w:val="22"/>
            <w:lang w:eastAsia="fr-FR"/>
          </w:rPr>
          <w:tab/>
        </w:r>
        <w:r w:rsidR="007D0974" w:rsidRPr="00C37E66">
          <w:rPr>
            <w:rStyle w:val="Lienhypertexte"/>
            <w:noProof/>
            <w:lang w:eastAsia="fr-FR"/>
          </w:rPr>
          <w:t>L’Appui budgétaire sectoriel</w:t>
        </w:r>
        <w:r w:rsidR="007D0974">
          <w:rPr>
            <w:noProof/>
            <w:webHidden/>
          </w:rPr>
          <w:tab/>
        </w:r>
        <w:r w:rsidR="007D0974">
          <w:rPr>
            <w:noProof/>
            <w:webHidden/>
          </w:rPr>
          <w:fldChar w:fldCharType="begin"/>
        </w:r>
        <w:r w:rsidR="007D0974">
          <w:rPr>
            <w:noProof/>
            <w:webHidden/>
          </w:rPr>
          <w:instrText xml:space="preserve"> PAGEREF _Toc492972204 \h </w:instrText>
        </w:r>
        <w:r w:rsidR="007D0974">
          <w:rPr>
            <w:noProof/>
            <w:webHidden/>
          </w:rPr>
        </w:r>
        <w:r w:rsidR="007D0974">
          <w:rPr>
            <w:noProof/>
            <w:webHidden/>
          </w:rPr>
          <w:fldChar w:fldCharType="separate"/>
        </w:r>
        <w:r w:rsidR="00E95BEE">
          <w:rPr>
            <w:noProof/>
            <w:webHidden/>
          </w:rPr>
          <w:t>43</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05" w:history="1">
        <w:r w:rsidR="007D0974" w:rsidRPr="00C37E66">
          <w:rPr>
            <w:rStyle w:val="Lienhypertexte"/>
            <w:noProof/>
            <w:lang w:eastAsia="fr-FR"/>
          </w:rPr>
          <w:t>1.2.3.</w:t>
        </w:r>
        <w:r w:rsidR="007D0974">
          <w:rPr>
            <w:rFonts w:eastAsiaTheme="minorEastAsia" w:cstheme="minorBidi"/>
            <w:noProof/>
            <w:sz w:val="22"/>
            <w:szCs w:val="22"/>
            <w:lang w:eastAsia="fr-FR"/>
          </w:rPr>
          <w:tab/>
        </w:r>
        <w:r w:rsidR="007D0974" w:rsidRPr="00C37E66">
          <w:rPr>
            <w:rStyle w:val="Lienhypertexte"/>
            <w:noProof/>
            <w:lang w:eastAsia="fr-FR"/>
          </w:rPr>
          <w:t>L'aide alimentaire</w:t>
        </w:r>
        <w:r w:rsidR="007D0974">
          <w:rPr>
            <w:noProof/>
            <w:webHidden/>
          </w:rPr>
          <w:tab/>
        </w:r>
        <w:r w:rsidR="007D0974">
          <w:rPr>
            <w:noProof/>
            <w:webHidden/>
          </w:rPr>
          <w:fldChar w:fldCharType="begin"/>
        </w:r>
        <w:r w:rsidR="007D0974">
          <w:rPr>
            <w:noProof/>
            <w:webHidden/>
          </w:rPr>
          <w:instrText xml:space="preserve"> PAGEREF _Toc492972205 \h </w:instrText>
        </w:r>
        <w:r w:rsidR="007D0974">
          <w:rPr>
            <w:noProof/>
            <w:webHidden/>
          </w:rPr>
        </w:r>
        <w:r w:rsidR="007D0974">
          <w:rPr>
            <w:noProof/>
            <w:webHidden/>
          </w:rPr>
          <w:fldChar w:fldCharType="separate"/>
        </w:r>
        <w:r w:rsidR="00E95BEE">
          <w:rPr>
            <w:noProof/>
            <w:webHidden/>
          </w:rPr>
          <w:t>43</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06" w:history="1">
        <w:r w:rsidR="007D0974" w:rsidRPr="00C37E66">
          <w:rPr>
            <w:rStyle w:val="Lienhypertexte"/>
            <w:noProof/>
            <w:lang w:eastAsia="fr-FR"/>
          </w:rPr>
          <w:t>1.2.4.</w:t>
        </w:r>
        <w:r w:rsidR="007D0974">
          <w:rPr>
            <w:rFonts w:eastAsiaTheme="minorEastAsia" w:cstheme="minorBidi"/>
            <w:noProof/>
            <w:sz w:val="22"/>
            <w:szCs w:val="22"/>
            <w:lang w:eastAsia="fr-FR"/>
          </w:rPr>
          <w:tab/>
        </w:r>
        <w:r w:rsidR="007D0974" w:rsidRPr="00C37E66">
          <w:rPr>
            <w:rStyle w:val="Lienhypertexte"/>
            <w:noProof/>
            <w:lang w:eastAsia="fr-FR"/>
          </w:rPr>
          <w:t>L’assistance et les secours d’urgence</w:t>
        </w:r>
        <w:r w:rsidR="007D0974">
          <w:rPr>
            <w:noProof/>
            <w:webHidden/>
          </w:rPr>
          <w:tab/>
        </w:r>
        <w:r w:rsidR="007D0974">
          <w:rPr>
            <w:noProof/>
            <w:webHidden/>
          </w:rPr>
          <w:fldChar w:fldCharType="begin"/>
        </w:r>
        <w:r w:rsidR="007D0974">
          <w:rPr>
            <w:noProof/>
            <w:webHidden/>
          </w:rPr>
          <w:instrText xml:space="preserve"> PAGEREF _Toc492972206 \h </w:instrText>
        </w:r>
        <w:r w:rsidR="007D0974">
          <w:rPr>
            <w:noProof/>
            <w:webHidden/>
          </w:rPr>
        </w:r>
        <w:r w:rsidR="007D0974">
          <w:rPr>
            <w:noProof/>
            <w:webHidden/>
          </w:rPr>
          <w:fldChar w:fldCharType="separate"/>
        </w:r>
        <w:r w:rsidR="00E95BEE">
          <w:rPr>
            <w:noProof/>
            <w:webHidden/>
          </w:rPr>
          <w:t>44</w:t>
        </w:r>
        <w:r w:rsidR="007D0974">
          <w:rPr>
            <w:noProof/>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07" w:history="1">
        <w:r w:rsidR="007D0974" w:rsidRPr="00C37E66">
          <w:rPr>
            <w:rStyle w:val="Lienhypertexte"/>
          </w:rPr>
          <w:t>1.3.</w:t>
        </w:r>
        <w:r w:rsidR="007D0974">
          <w:rPr>
            <w:rFonts w:asciiTheme="minorHAnsi" w:eastAsiaTheme="minorEastAsia" w:hAnsiTheme="minorHAnsi" w:cstheme="minorBidi"/>
            <w:bCs w:val="0"/>
            <w:iCs w:val="0"/>
            <w:sz w:val="22"/>
            <w:szCs w:val="22"/>
            <w:lang w:val="fr-FR"/>
          </w:rPr>
          <w:tab/>
        </w:r>
        <w:r w:rsidR="007D0974" w:rsidRPr="00C37E66">
          <w:rPr>
            <w:rStyle w:val="Lienhypertexte"/>
          </w:rPr>
          <w:t>L'aide par type de financement</w:t>
        </w:r>
        <w:r w:rsidR="007D0974">
          <w:rPr>
            <w:webHidden/>
          </w:rPr>
          <w:tab/>
        </w:r>
        <w:r w:rsidR="007D0974">
          <w:rPr>
            <w:webHidden/>
          </w:rPr>
          <w:fldChar w:fldCharType="begin"/>
        </w:r>
        <w:r w:rsidR="007D0974">
          <w:rPr>
            <w:webHidden/>
          </w:rPr>
          <w:instrText xml:space="preserve"> PAGEREF _Toc492972207 \h </w:instrText>
        </w:r>
        <w:r w:rsidR="007D0974">
          <w:rPr>
            <w:webHidden/>
          </w:rPr>
        </w:r>
        <w:r w:rsidR="007D0974">
          <w:rPr>
            <w:webHidden/>
          </w:rPr>
          <w:fldChar w:fldCharType="separate"/>
        </w:r>
        <w:r w:rsidR="00E95BEE">
          <w:rPr>
            <w:webHidden/>
          </w:rPr>
          <w:t>45</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08" w:history="1">
        <w:r w:rsidR="007D0974" w:rsidRPr="00C37E66">
          <w:rPr>
            <w:rStyle w:val="Lienhypertexte"/>
            <w:noProof/>
            <w:lang w:eastAsia="fr-FR"/>
          </w:rPr>
          <w:t>1.3.1.</w:t>
        </w:r>
        <w:r w:rsidR="007D0974">
          <w:rPr>
            <w:rFonts w:eastAsiaTheme="minorEastAsia" w:cstheme="minorBidi"/>
            <w:noProof/>
            <w:sz w:val="22"/>
            <w:szCs w:val="22"/>
            <w:lang w:eastAsia="fr-FR"/>
          </w:rPr>
          <w:tab/>
        </w:r>
        <w:r w:rsidR="007D0974" w:rsidRPr="00C37E66">
          <w:rPr>
            <w:rStyle w:val="Lienhypertexte"/>
            <w:noProof/>
            <w:lang w:eastAsia="fr-FR"/>
          </w:rPr>
          <w:t>Les dons</w:t>
        </w:r>
        <w:r w:rsidR="007D0974">
          <w:rPr>
            <w:noProof/>
            <w:webHidden/>
          </w:rPr>
          <w:tab/>
        </w:r>
        <w:r w:rsidR="007D0974">
          <w:rPr>
            <w:noProof/>
            <w:webHidden/>
          </w:rPr>
          <w:fldChar w:fldCharType="begin"/>
        </w:r>
        <w:r w:rsidR="007D0974">
          <w:rPr>
            <w:noProof/>
            <w:webHidden/>
          </w:rPr>
          <w:instrText xml:space="preserve"> PAGEREF _Toc492972208 \h </w:instrText>
        </w:r>
        <w:r w:rsidR="007D0974">
          <w:rPr>
            <w:noProof/>
            <w:webHidden/>
          </w:rPr>
        </w:r>
        <w:r w:rsidR="007D0974">
          <w:rPr>
            <w:noProof/>
            <w:webHidden/>
          </w:rPr>
          <w:fldChar w:fldCharType="separate"/>
        </w:r>
        <w:r w:rsidR="00E95BEE">
          <w:rPr>
            <w:noProof/>
            <w:webHidden/>
          </w:rPr>
          <w:t>46</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09" w:history="1">
        <w:r w:rsidR="007D0974" w:rsidRPr="00C37E66">
          <w:rPr>
            <w:rStyle w:val="Lienhypertexte"/>
            <w:noProof/>
            <w:lang w:eastAsia="fr-FR"/>
          </w:rPr>
          <w:t>1.3.2.</w:t>
        </w:r>
        <w:r w:rsidR="007D0974">
          <w:rPr>
            <w:rFonts w:eastAsiaTheme="minorEastAsia" w:cstheme="minorBidi"/>
            <w:noProof/>
            <w:sz w:val="22"/>
            <w:szCs w:val="22"/>
            <w:lang w:eastAsia="fr-FR"/>
          </w:rPr>
          <w:tab/>
        </w:r>
        <w:r w:rsidR="007D0974" w:rsidRPr="00C37E66">
          <w:rPr>
            <w:rStyle w:val="Lienhypertexte"/>
            <w:noProof/>
            <w:lang w:eastAsia="fr-FR"/>
          </w:rPr>
          <w:t>Les prêts</w:t>
        </w:r>
        <w:r w:rsidR="007D0974">
          <w:rPr>
            <w:noProof/>
            <w:webHidden/>
          </w:rPr>
          <w:tab/>
        </w:r>
        <w:r w:rsidR="007D0974">
          <w:rPr>
            <w:noProof/>
            <w:webHidden/>
          </w:rPr>
          <w:fldChar w:fldCharType="begin"/>
        </w:r>
        <w:r w:rsidR="007D0974">
          <w:rPr>
            <w:noProof/>
            <w:webHidden/>
          </w:rPr>
          <w:instrText xml:space="preserve"> PAGEREF _Toc492972209 \h </w:instrText>
        </w:r>
        <w:r w:rsidR="007D0974">
          <w:rPr>
            <w:noProof/>
            <w:webHidden/>
          </w:rPr>
        </w:r>
        <w:r w:rsidR="007D0974">
          <w:rPr>
            <w:noProof/>
            <w:webHidden/>
          </w:rPr>
          <w:fldChar w:fldCharType="separate"/>
        </w:r>
        <w:r w:rsidR="00E95BEE">
          <w:rPr>
            <w:noProof/>
            <w:webHidden/>
          </w:rPr>
          <w:t>46</w:t>
        </w:r>
        <w:r w:rsidR="007D0974">
          <w:rPr>
            <w:noProof/>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10" w:history="1">
        <w:r w:rsidR="007D0974" w:rsidRPr="00C37E66">
          <w:rPr>
            <w:rStyle w:val="Lienhypertexte"/>
            <w:lang w:eastAsia="fr-FR"/>
          </w:rPr>
          <w:t>CHAPITRE 2 : TENDANCES DE L’AIDE PAR SOURCE ET AUTRES FORMES DE COOPERATION</w:t>
        </w:r>
        <w:r w:rsidR="007D0974">
          <w:rPr>
            <w:webHidden/>
          </w:rPr>
          <w:tab/>
        </w:r>
        <w:r w:rsidR="007D0974">
          <w:rPr>
            <w:webHidden/>
          </w:rPr>
          <w:fldChar w:fldCharType="begin"/>
        </w:r>
        <w:r w:rsidR="007D0974">
          <w:rPr>
            <w:webHidden/>
          </w:rPr>
          <w:instrText xml:space="preserve"> PAGEREF _Toc492972210 \h </w:instrText>
        </w:r>
        <w:r w:rsidR="007D0974">
          <w:rPr>
            <w:webHidden/>
          </w:rPr>
        </w:r>
        <w:r w:rsidR="007D0974">
          <w:rPr>
            <w:webHidden/>
          </w:rPr>
          <w:fldChar w:fldCharType="separate"/>
        </w:r>
        <w:r w:rsidR="00E95BEE">
          <w:rPr>
            <w:webHidden/>
          </w:rPr>
          <w:t>48</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11" w:history="1">
        <w:r w:rsidR="007D0974" w:rsidRPr="00C37E66">
          <w:rPr>
            <w:rStyle w:val="Lienhypertexte"/>
          </w:rPr>
          <w:t>2.1.</w:t>
        </w:r>
        <w:r w:rsidR="007D0974">
          <w:rPr>
            <w:rFonts w:asciiTheme="minorHAnsi" w:eastAsiaTheme="minorEastAsia" w:hAnsiTheme="minorHAnsi" w:cstheme="minorBidi"/>
            <w:bCs w:val="0"/>
            <w:iCs w:val="0"/>
            <w:sz w:val="22"/>
            <w:szCs w:val="22"/>
            <w:lang w:val="fr-FR"/>
          </w:rPr>
          <w:tab/>
        </w:r>
        <w:r w:rsidR="007D0974" w:rsidRPr="00C37E66">
          <w:rPr>
            <w:rStyle w:val="Lienhypertexte"/>
          </w:rPr>
          <w:t>L'aide par source de financement</w:t>
        </w:r>
        <w:r w:rsidR="007D0974">
          <w:rPr>
            <w:webHidden/>
          </w:rPr>
          <w:tab/>
        </w:r>
        <w:r w:rsidR="007D0974">
          <w:rPr>
            <w:webHidden/>
          </w:rPr>
          <w:fldChar w:fldCharType="begin"/>
        </w:r>
        <w:r w:rsidR="007D0974">
          <w:rPr>
            <w:webHidden/>
          </w:rPr>
          <w:instrText xml:space="preserve"> PAGEREF _Toc492972211 \h </w:instrText>
        </w:r>
        <w:r w:rsidR="007D0974">
          <w:rPr>
            <w:webHidden/>
          </w:rPr>
        </w:r>
        <w:r w:rsidR="007D0974">
          <w:rPr>
            <w:webHidden/>
          </w:rPr>
          <w:fldChar w:fldCharType="separate"/>
        </w:r>
        <w:r w:rsidR="00E95BEE">
          <w:rPr>
            <w:webHidden/>
          </w:rPr>
          <w:t>48</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12" w:history="1">
        <w:r w:rsidR="007D0974" w:rsidRPr="00C37E66">
          <w:rPr>
            <w:rStyle w:val="Lienhypertexte"/>
            <w:noProof/>
          </w:rPr>
          <w:t>2.1.1.</w:t>
        </w:r>
        <w:r w:rsidR="007D0974">
          <w:rPr>
            <w:rFonts w:eastAsiaTheme="minorEastAsia" w:cstheme="minorBidi"/>
            <w:noProof/>
            <w:sz w:val="22"/>
            <w:szCs w:val="22"/>
            <w:lang w:eastAsia="fr-FR"/>
          </w:rPr>
          <w:tab/>
        </w:r>
        <w:r w:rsidR="007D0974" w:rsidRPr="00C37E66">
          <w:rPr>
            <w:rStyle w:val="Lienhypertexte"/>
            <w:noProof/>
          </w:rPr>
          <w:t>L’aide multilatérale</w:t>
        </w:r>
        <w:r w:rsidR="007D0974">
          <w:rPr>
            <w:noProof/>
            <w:webHidden/>
          </w:rPr>
          <w:tab/>
        </w:r>
        <w:r w:rsidR="007D0974">
          <w:rPr>
            <w:noProof/>
            <w:webHidden/>
          </w:rPr>
          <w:fldChar w:fldCharType="begin"/>
        </w:r>
        <w:r w:rsidR="007D0974">
          <w:rPr>
            <w:noProof/>
            <w:webHidden/>
          </w:rPr>
          <w:instrText xml:space="preserve"> PAGEREF _Toc492972212 \h </w:instrText>
        </w:r>
        <w:r w:rsidR="007D0974">
          <w:rPr>
            <w:noProof/>
            <w:webHidden/>
          </w:rPr>
        </w:r>
        <w:r w:rsidR="007D0974">
          <w:rPr>
            <w:noProof/>
            <w:webHidden/>
          </w:rPr>
          <w:fldChar w:fldCharType="separate"/>
        </w:r>
        <w:r w:rsidR="00E95BEE">
          <w:rPr>
            <w:noProof/>
            <w:webHidden/>
          </w:rPr>
          <w:t>49</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13" w:history="1">
        <w:r w:rsidR="007D0974" w:rsidRPr="00C37E66">
          <w:rPr>
            <w:rStyle w:val="Lienhypertexte"/>
            <w:noProof/>
          </w:rPr>
          <w:t>2.1.2.</w:t>
        </w:r>
        <w:r w:rsidR="007D0974">
          <w:rPr>
            <w:rFonts w:eastAsiaTheme="minorEastAsia" w:cstheme="minorBidi"/>
            <w:noProof/>
            <w:sz w:val="22"/>
            <w:szCs w:val="22"/>
            <w:lang w:eastAsia="fr-FR"/>
          </w:rPr>
          <w:tab/>
        </w:r>
        <w:r w:rsidR="007D0974" w:rsidRPr="00C37E66">
          <w:rPr>
            <w:rStyle w:val="Lienhypertexte"/>
            <w:noProof/>
          </w:rPr>
          <w:t>L’aide bilatérale</w:t>
        </w:r>
        <w:r w:rsidR="007D0974">
          <w:rPr>
            <w:noProof/>
            <w:webHidden/>
          </w:rPr>
          <w:tab/>
        </w:r>
        <w:r w:rsidR="007D0974">
          <w:rPr>
            <w:noProof/>
            <w:webHidden/>
          </w:rPr>
          <w:fldChar w:fldCharType="begin"/>
        </w:r>
        <w:r w:rsidR="007D0974">
          <w:rPr>
            <w:noProof/>
            <w:webHidden/>
          </w:rPr>
          <w:instrText xml:space="preserve"> PAGEREF _Toc492972213 \h </w:instrText>
        </w:r>
        <w:r w:rsidR="007D0974">
          <w:rPr>
            <w:noProof/>
            <w:webHidden/>
          </w:rPr>
        </w:r>
        <w:r w:rsidR="007D0974">
          <w:rPr>
            <w:noProof/>
            <w:webHidden/>
          </w:rPr>
          <w:fldChar w:fldCharType="separate"/>
        </w:r>
        <w:r w:rsidR="00E95BEE">
          <w:rPr>
            <w:noProof/>
            <w:webHidden/>
          </w:rPr>
          <w:t>49</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14" w:history="1">
        <w:r w:rsidR="007D0974" w:rsidRPr="00C37E66">
          <w:rPr>
            <w:rStyle w:val="Lienhypertexte"/>
            <w:noProof/>
          </w:rPr>
          <w:t>2.1.3.</w:t>
        </w:r>
        <w:r w:rsidR="007D0974">
          <w:rPr>
            <w:rFonts w:eastAsiaTheme="minorEastAsia" w:cstheme="minorBidi"/>
            <w:noProof/>
            <w:sz w:val="22"/>
            <w:szCs w:val="22"/>
            <w:lang w:eastAsia="fr-FR"/>
          </w:rPr>
          <w:tab/>
        </w:r>
        <w:r w:rsidR="007D0974" w:rsidRPr="00C37E66">
          <w:rPr>
            <w:rStyle w:val="Lienhypertexte"/>
            <w:noProof/>
          </w:rPr>
          <w:t>La contribution des ONG</w:t>
        </w:r>
        <w:r w:rsidR="007D0974">
          <w:rPr>
            <w:noProof/>
            <w:webHidden/>
          </w:rPr>
          <w:tab/>
        </w:r>
        <w:r w:rsidR="007D0974">
          <w:rPr>
            <w:noProof/>
            <w:webHidden/>
          </w:rPr>
          <w:fldChar w:fldCharType="begin"/>
        </w:r>
        <w:r w:rsidR="007D0974">
          <w:rPr>
            <w:noProof/>
            <w:webHidden/>
          </w:rPr>
          <w:instrText xml:space="preserve"> PAGEREF _Toc492972214 \h </w:instrText>
        </w:r>
        <w:r w:rsidR="007D0974">
          <w:rPr>
            <w:noProof/>
            <w:webHidden/>
          </w:rPr>
        </w:r>
        <w:r w:rsidR="007D0974">
          <w:rPr>
            <w:noProof/>
            <w:webHidden/>
          </w:rPr>
          <w:fldChar w:fldCharType="separate"/>
        </w:r>
        <w:r w:rsidR="00E95BEE">
          <w:rPr>
            <w:noProof/>
            <w:webHidden/>
          </w:rPr>
          <w:t>52</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15" w:history="1">
        <w:r w:rsidR="007D0974" w:rsidRPr="00C37E66">
          <w:rPr>
            <w:rStyle w:val="Lienhypertexte"/>
            <w:noProof/>
          </w:rPr>
          <w:t>2.1.4.</w:t>
        </w:r>
        <w:r w:rsidR="007D0974">
          <w:rPr>
            <w:rFonts w:eastAsiaTheme="minorEastAsia" w:cstheme="minorBidi"/>
            <w:noProof/>
            <w:sz w:val="22"/>
            <w:szCs w:val="22"/>
            <w:lang w:eastAsia="fr-FR"/>
          </w:rPr>
          <w:tab/>
        </w:r>
        <w:r w:rsidR="007D0974" w:rsidRPr="00C37E66">
          <w:rPr>
            <w:rStyle w:val="Lienhypertexte"/>
            <w:noProof/>
          </w:rPr>
          <w:t>La contribution des donateurs par groupe géographique et par nature de fonds</w:t>
        </w:r>
        <w:r w:rsidR="007D0974">
          <w:rPr>
            <w:noProof/>
            <w:webHidden/>
          </w:rPr>
          <w:tab/>
        </w:r>
        <w:r w:rsidR="007D0974">
          <w:rPr>
            <w:noProof/>
            <w:webHidden/>
          </w:rPr>
          <w:fldChar w:fldCharType="begin"/>
        </w:r>
        <w:r w:rsidR="007D0974">
          <w:rPr>
            <w:noProof/>
            <w:webHidden/>
          </w:rPr>
          <w:instrText xml:space="preserve"> PAGEREF _Toc492972215 \h </w:instrText>
        </w:r>
        <w:r w:rsidR="007D0974">
          <w:rPr>
            <w:noProof/>
            <w:webHidden/>
          </w:rPr>
        </w:r>
        <w:r w:rsidR="007D0974">
          <w:rPr>
            <w:noProof/>
            <w:webHidden/>
          </w:rPr>
          <w:fldChar w:fldCharType="separate"/>
        </w:r>
        <w:r w:rsidR="00E95BEE">
          <w:rPr>
            <w:noProof/>
            <w:webHidden/>
          </w:rPr>
          <w:t>52</w:t>
        </w:r>
        <w:r w:rsidR="007D0974">
          <w:rPr>
            <w:noProof/>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16" w:history="1">
        <w:r w:rsidR="007D0974" w:rsidRPr="00C37E66">
          <w:rPr>
            <w:rStyle w:val="Lienhypertexte"/>
          </w:rPr>
          <w:t>2.2.</w:t>
        </w:r>
        <w:r w:rsidR="007D0974">
          <w:rPr>
            <w:rFonts w:asciiTheme="minorHAnsi" w:eastAsiaTheme="minorEastAsia" w:hAnsiTheme="minorHAnsi" w:cstheme="minorBidi"/>
            <w:bCs w:val="0"/>
            <w:iCs w:val="0"/>
            <w:sz w:val="22"/>
            <w:szCs w:val="22"/>
            <w:lang w:val="fr-FR"/>
          </w:rPr>
          <w:tab/>
        </w:r>
        <w:r w:rsidR="007D0974" w:rsidRPr="00C37E66">
          <w:rPr>
            <w:rStyle w:val="Lienhypertexte"/>
          </w:rPr>
          <w:t>Autres formes de coopération</w:t>
        </w:r>
        <w:r w:rsidR="007D0974">
          <w:rPr>
            <w:webHidden/>
          </w:rPr>
          <w:tab/>
        </w:r>
        <w:r w:rsidR="007D0974">
          <w:rPr>
            <w:webHidden/>
          </w:rPr>
          <w:fldChar w:fldCharType="begin"/>
        </w:r>
        <w:r w:rsidR="007D0974">
          <w:rPr>
            <w:webHidden/>
          </w:rPr>
          <w:instrText xml:space="preserve"> PAGEREF _Toc492972216 \h </w:instrText>
        </w:r>
        <w:r w:rsidR="007D0974">
          <w:rPr>
            <w:webHidden/>
          </w:rPr>
        </w:r>
        <w:r w:rsidR="007D0974">
          <w:rPr>
            <w:webHidden/>
          </w:rPr>
          <w:fldChar w:fldCharType="separate"/>
        </w:r>
        <w:r w:rsidR="00E95BEE">
          <w:rPr>
            <w:webHidden/>
          </w:rPr>
          <w:t>53</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17" w:history="1">
        <w:r w:rsidR="007D0974" w:rsidRPr="00C37E66">
          <w:rPr>
            <w:rStyle w:val="Lienhypertexte"/>
            <w:noProof/>
          </w:rPr>
          <w:t>2.2.1.</w:t>
        </w:r>
        <w:r w:rsidR="007D0974">
          <w:rPr>
            <w:rFonts w:eastAsiaTheme="minorEastAsia" w:cstheme="minorBidi"/>
            <w:noProof/>
            <w:sz w:val="22"/>
            <w:szCs w:val="22"/>
            <w:lang w:eastAsia="fr-FR"/>
          </w:rPr>
          <w:tab/>
        </w:r>
        <w:r w:rsidR="007D0974" w:rsidRPr="00C37E66">
          <w:rPr>
            <w:rStyle w:val="Lienhypertexte"/>
            <w:noProof/>
          </w:rPr>
          <w:t>La coopération décentralisée</w:t>
        </w:r>
        <w:r w:rsidR="007D0974">
          <w:rPr>
            <w:noProof/>
            <w:webHidden/>
          </w:rPr>
          <w:tab/>
        </w:r>
        <w:r w:rsidR="007D0974">
          <w:rPr>
            <w:noProof/>
            <w:webHidden/>
          </w:rPr>
          <w:fldChar w:fldCharType="begin"/>
        </w:r>
        <w:r w:rsidR="007D0974">
          <w:rPr>
            <w:noProof/>
            <w:webHidden/>
          </w:rPr>
          <w:instrText xml:space="preserve"> PAGEREF _Toc492972217 \h </w:instrText>
        </w:r>
        <w:r w:rsidR="007D0974">
          <w:rPr>
            <w:noProof/>
            <w:webHidden/>
          </w:rPr>
        </w:r>
        <w:r w:rsidR="007D0974">
          <w:rPr>
            <w:noProof/>
            <w:webHidden/>
          </w:rPr>
          <w:fldChar w:fldCharType="separate"/>
        </w:r>
        <w:r w:rsidR="00E95BEE">
          <w:rPr>
            <w:noProof/>
            <w:webHidden/>
          </w:rPr>
          <w:t>53</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18" w:history="1">
        <w:r w:rsidR="007D0974" w:rsidRPr="00C37E66">
          <w:rPr>
            <w:rStyle w:val="Lienhypertexte"/>
            <w:noProof/>
          </w:rPr>
          <w:t>2.2.2.</w:t>
        </w:r>
        <w:r w:rsidR="007D0974">
          <w:rPr>
            <w:rFonts w:eastAsiaTheme="minorEastAsia" w:cstheme="minorBidi"/>
            <w:noProof/>
            <w:sz w:val="22"/>
            <w:szCs w:val="22"/>
            <w:lang w:eastAsia="fr-FR"/>
          </w:rPr>
          <w:tab/>
        </w:r>
        <w:r w:rsidR="007D0974" w:rsidRPr="00C37E66">
          <w:rPr>
            <w:rStyle w:val="Lienhypertexte"/>
            <w:noProof/>
          </w:rPr>
          <w:t>La Coopération déléguée</w:t>
        </w:r>
        <w:r w:rsidR="007D0974">
          <w:rPr>
            <w:noProof/>
            <w:webHidden/>
          </w:rPr>
          <w:tab/>
        </w:r>
        <w:r w:rsidR="007D0974">
          <w:rPr>
            <w:noProof/>
            <w:webHidden/>
          </w:rPr>
          <w:fldChar w:fldCharType="begin"/>
        </w:r>
        <w:r w:rsidR="007D0974">
          <w:rPr>
            <w:noProof/>
            <w:webHidden/>
          </w:rPr>
          <w:instrText xml:space="preserve"> PAGEREF _Toc492972218 \h </w:instrText>
        </w:r>
        <w:r w:rsidR="007D0974">
          <w:rPr>
            <w:noProof/>
            <w:webHidden/>
          </w:rPr>
        </w:r>
        <w:r w:rsidR="007D0974">
          <w:rPr>
            <w:noProof/>
            <w:webHidden/>
          </w:rPr>
          <w:fldChar w:fldCharType="separate"/>
        </w:r>
        <w:r w:rsidR="00E95BEE">
          <w:rPr>
            <w:noProof/>
            <w:webHidden/>
          </w:rPr>
          <w:t>54</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19" w:history="1">
        <w:r w:rsidR="007D0974" w:rsidRPr="00C37E66">
          <w:rPr>
            <w:rStyle w:val="Lienhypertexte"/>
            <w:noProof/>
          </w:rPr>
          <w:t>2.2.3.</w:t>
        </w:r>
        <w:r w:rsidR="007D0974">
          <w:rPr>
            <w:rFonts w:eastAsiaTheme="minorEastAsia" w:cstheme="minorBidi"/>
            <w:noProof/>
            <w:sz w:val="22"/>
            <w:szCs w:val="22"/>
            <w:lang w:eastAsia="fr-FR"/>
          </w:rPr>
          <w:tab/>
        </w:r>
        <w:r w:rsidR="007D0974" w:rsidRPr="00C37E66">
          <w:rPr>
            <w:rStyle w:val="Lienhypertexte"/>
            <w:noProof/>
          </w:rPr>
          <w:t>L’aide aux ONG</w:t>
        </w:r>
        <w:r w:rsidR="007D0974">
          <w:rPr>
            <w:noProof/>
            <w:webHidden/>
          </w:rPr>
          <w:tab/>
        </w:r>
        <w:r w:rsidR="007D0974">
          <w:rPr>
            <w:noProof/>
            <w:webHidden/>
          </w:rPr>
          <w:fldChar w:fldCharType="begin"/>
        </w:r>
        <w:r w:rsidR="007D0974">
          <w:rPr>
            <w:noProof/>
            <w:webHidden/>
          </w:rPr>
          <w:instrText xml:space="preserve"> PAGEREF _Toc492972219 \h </w:instrText>
        </w:r>
        <w:r w:rsidR="007D0974">
          <w:rPr>
            <w:noProof/>
            <w:webHidden/>
          </w:rPr>
        </w:r>
        <w:r w:rsidR="007D0974">
          <w:rPr>
            <w:noProof/>
            <w:webHidden/>
          </w:rPr>
          <w:fldChar w:fldCharType="separate"/>
        </w:r>
        <w:r w:rsidR="00E95BEE">
          <w:rPr>
            <w:noProof/>
            <w:webHidden/>
          </w:rPr>
          <w:t>54</w:t>
        </w:r>
        <w:r w:rsidR="007D0974">
          <w:rPr>
            <w:noProof/>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20" w:history="1">
        <w:r w:rsidR="007D0974" w:rsidRPr="00C37E66">
          <w:rPr>
            <w:rStyle w:val="Lienhypertexte"/>
            <w:lang w:eastAsia="fr-FR"/>
          </w:rPr>
          <w:t>CHAPITRE 3. TENDANCES DE L'AIDE PAR SECTEUR</w:t>
        </w:r>
        <w:r w:rsidR="007D0974">
          <w:rPr>
            <w:webHidden/>
          </w:rPr>
          <w:tab/>
        </w:r>
        <w:r w:rsidR="007D0974">
          <w:rPr>
            <w:webHidden/>
          </w:rPr>
          <w:fldChar w:fldCharType="begin"/>
        </w:r>
        <w:r w:rsidR="007D0974">
          <w:rPr>
            <w:webHidden/>
          </w:rPr>
          <w:instrText xml:space="preserve"> PAGEREF _Toc492972220 \h </w:instrText>
        </w:r>
        <w:r w:rsidR="007D0974">
          <w:rPr>
            <w:webHidden/>
          </w:rPr>
        </w:r>
        <w:r w:rsidR="007D0974">
          <w:rPr>
            <w:webHidden/>
          </w:rPr>
          <w:fldChar w:fldCharType="separate"/>
        </w:r>
        <w:r w:rsidR="00E95BEE">
          <w:rPr>
            <w:webHidden/>
          </w:rPr>
          <w:t>55</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21" w:history="1">
        <w:r w:rsidR="007D0974" w:rsidRPr="00C37E66">
          <w:rPr>
            <w:rStyle w:val="Lienhypertexte"/>
          </w:rPr>
          <w:t>3.1.</w:t>
        </w:r>
        <w:r w:rsidR="007D0974">
          <w:rPr>
            <w:rFonts w:asciiTheme="minorHAnsi" w:eastAsiaTheme="minorEastAsia" w:hAnsiTheme="minorHAnsi" w:cstheme="minorBidi"/>
            <w:bCs w:val="0"/>
            <w:iCs w:val="0"/>
            <w:sz w:val="22"/>
            <w:szCs w:val="22"/>
            <w:lang w:val="fr-FR"/>
          </w:rPr>
          <w:tab/>
        </w:r>
        <w:r w:rsidR="007D0974" w:rsidRPr="00C37E66">
          <w:rPr>
            <w:rStyle w:val="Lienhypertexte"/>
          </w:rPr>
          <w:t>Aperçu des principaux secteurs bénéficiaires de l’APD</w:t>
        </w:r>
        <w:r w:rsidR="007D0974">
          <w:rPr>
            <w:webHidden/>
          </w:rPr>
          <w:tab/>
        </w:r>
        <w:r w:rsidR="007D0974">
          <w:rPr>
            <w:webHidden/>
          </w:rPr>
          <w:fldChar w:fldCharType="begin"/>
        </w:r>
        <w:r w:rsidR="007D0974">
          <w:rPr>
            <w:webHidden/>
          </w:rPr>
          <w:instrText xml:space="preserve"> PAGEREF _Toc492972221 \h </w:instrText>
        </w:r>
        <w:r w:rsidR="007D0974">
          <w:rPr>
            <w:webHidden/>
          </w:rPr>
        </w:r>
        <w:r w:rsidR="007D0974">
          <w:rPr>
            <w:webHidden/>
          </w:rPr>
          <w:fldChar w:fldCharType="separate"/>
        </w:r>
        <w:r w:rsidR="00E95BEE">
          <w:rPr>
            <w:webHidden/>
          </w:rPr>
          <w:t>55</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22" w:history="1">
        <w:r w:rsidR="007D0974" w:rsidRPr="00C37E66">
          <w:rPr>
            <w:rStyle w:val="Lienhypertexte"/>
          </w:rPr>
          <w:t>3.2.</w:t>
        </w:r>
        <w:r w:rsidR="007D0974">
          <w:rPr>
            <w:rFonts w:asciiTheme="minorHAnsi" w:eastAsiaTheme="minorEastAsia" w:hAnsiTheme="minorHAnsi" w:cstheme="minorBidi"/>
            <w:bCs w:val="0"/>
            <w:iCs w:val="0"/>
            <w:sz w:val="22"/>
            <w:szCs w:val="22"/>
            <w:lang w:val="fr-FR"/>
          </w:rPr>
          <w:tab/>
        </w:r>
        <w:r w:rsidR="007D0974" w:rsidRPr="00C37E66">
          <w:rPr>
            <w:rStyle w:val="Lienhypertexte"/>
          </w:rPr>
          <w:t>Secteur «Gouvernance économique»</w:t>
        </w:r>
        <w:r w:rsidR="007D0974">
          <w:rPr>
            <w:webHidden/>
          </w:rPr>
          <w:tab/>
        </w:r>
        <w:r w:rsidR="007D0974">
          <w:rPr>
            <w:webHidden/>
          </w:rPr>
          <w:fldChar w:fldCharType="begin"/>
        </w:r>
        <w:r w:rsidR="007D0974">
          <w:rPr>
            <w:webHidden/>
          </w:rPr>
          <w:instrText xml:space="preserve"> PAGEREF _Toc492972222 \h </w:instrText>
        </w:r>
        <w:r w:rsidR="007D0974">
          <w:rPr>
            <w:webHidden/>
          </w:rPr>
        </w:r>
        <w:r w:rsidR="007D0974">
          <w:rPr>
            <w:webHidden/>
          </w:rPr>
          <w:fldChar w:fldCharType="separate"/>
        </w:r>
        <w:r w:rsidR="00E95BEE">
          <w:rPr>
            <w:webHidden/>
          </w:rPr>
          <w:t>55</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23" w:history="1">
        <w:r w:rsidR="007D0974" w:rsidRPr="00C37E66">
          <w:rPr>
            <w:rStyle w:val="Lienhypertexte"/>
          </w:rPr>
          <w:t>3.3.</w:t>
        </w:r>
        <w:r w:rsidR="007D0974">
          <w:rPr>
            <w:rFonts w:asciiTheme="minorHAnsi" w:eastAsiaTheme="minorEastAsia" w:hAnsiTheme="minorHAnsi" w:cstheme="minorBidi"/>
            <w:bCs w:val="0"/>
            <w:iCs w:val="0"/>
            <w:sz w:val="22"/>
            <w:szCs w:val="22"/>
            <w:lang w:val="fr-FR"/>
          </w:rPr>
          <w:tab/>
        </w:r>
        <w:r w:rsidR="007D0974" w:rsidRPr="00C37E66">
          <w:rPr>
            <w:rStyle w:val="Lienhypertexte"/>
          </w:rPr>
          <w:t>Secteur «Environnement, Eau et Assainissement »</w:t>
        </w:r>
        <w:r w:rsidR="007D0974">
          <w:rPr>
            <w:webHidden/>
          </w:rPr>
          <w:tab/>
        </w:r>
        <w:r w:rsidR="007D0974">
          <w:rPr>
            <w:webHidden/>
          </w:rPr>
          <w:fldChar w:fldCharType="begin"/>
        </w:r>
        <w:r w:rsidR="007D0974">
          <w:rPr>
            <w:webHidden/>
          </w:rPr>
          <w:instrText xml:space="preserve"> PAGEREF _Toc492972223 \h </w:instrText>
        </w:r>
        <w:r w:rsidR="007D0974">
          <w:rPr>
            <w:webHidden/>
          </w:rPr>
        </w:r>
        <w:r w:rsidR="007D0974">
          <w:rPr>
            <w:webHidden/>
          </w:rPr>
          <w:fldChar w:fldCharType="separate"/>
        </w:r>
        <w:r w:rsidR="00E95BEE">
          <w:rPr>
            <w:webHidden/>
          </w:rPr>
          <w:t>57</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24" w:history="1">
        <w:r w:rsidR="007D0974" w:rsidRPr="00C37E66">
          <w:rPr>
            <w:rStyle w:val="Lienhypertexte"/>
          </w:rPr>
          <w:t>3.4.</w:t>
        </w:r>
        <w:r w:rsidR="007D0974">
          <w:rPr>
            <w:rFonts w:asciiTheme="minorHAnsi" w:eastAsiaTheme="minorEastAsia" w:hAnsiTheme="minorHAnsi" w:cstheme="minorBidi"/>
            <w:bCs w:val="0"/>
            <w:iCs w:val="0"/>
            <w:sz w:val="22"/>
            <w:szCs w:val="22"/>
            <w:lang w:val="fr-FR"/>
          </w:rPr>
          <w:tab/>
        </w:r>
        <w:r w:rsidR="007D0974" w:rsidRPr="00C37E66">
          <w:rPr>
            <w:rStyle w:val="Lienhypertexte"/>
          </w:rPr>
          <w:t>Secteur « Production agro-sylvo-pastorale »</w:t>
        </w:r>
        <w:r w:rsidR="007D0974">
          <w:rPr>
            <w:webHidden/>
          </w:rPr>
          <w:tab/>
        </w:r>
        <w:r w:rsidR="007D0974">
          <w:rPr>
            <w:webHidden/>
          </w:rPr>
          <w:fldChar w:fldCharType="begin"/>
        </w:r>
        <w:r w:rsidR="007D0974">
          <w:rPr>
            <w:webHidden/>
          </w:rPr>
          <w:instrText xml:space="preserve"> PAGEREF _Toc492972224 \h </w:instrText>
        </w:r>
        <w:r w:rsidR="007D0974">
          <w:rPr>
            <w:webHidden/>
          </w:rPr>
        </w:r>
        <w:r w:rsidR="007D0974">
          <w:rPr>
            <w:webHidden/>
          </w:rPr>
          <w:fldChar w:fldCharType="separate"/>
        </w:r>
        <w:r w:rsidR="00E95BEE">
          <w:rPr>
            <w:webHidden/>
          </w:rPr>
          <w:t>58</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25" w:history="1">
        <w:r w:rsidR="007D0974" w:rsidRPr="00C37E66">
          <w:rPr>
            <w:rStyle w:val="Lienhypertexte"/>
          </w:rPr>
          <w:t>3.5.</w:t>
        </w:r>
        <w:r w:rsidR="007D0974">
          <w:rPr>
            <w:rFonts w:asciiTheme="minorHAnsi" w:eastAsiaTheme="minorEastAsia" w:hAnsiTheme="minorHAnsi" w:cstheme="minorBidi"/>
            <w:bCs w:val="0"/>
            <w:iCs w:val="0"/>
            <w:sz w:val="22"/>
            <w:szCs w:val="22"/>
            <w:lang w:val="fr-FR"/>
          </w:rPr>
          <w:tab/>
        </w:r>
        <w:r w:rsidR="007D0974" w:rsidRPr="00C37E66">
          <w:rPr>
            <w:rStyle w:val="Lienhypertexte"/>
          </w:rPr>
          <w:t>Secteur « Education et formation»</w:t>
        </w:r>
        <w:r w:rsidR="007D0974">
          <w:rPr>
            <w:webHidden/>
          </w:rPr>
          <w:tab/>
        </w:r>
        <w:r w:rsidR="007D0974">
          <w:rPr>
            <w:webHidden/>
          </w:rPr>
          <w:fldChar w:fldCharType="begin"/>
        </w:r>
        <w:r w:rsidR="007D0974">
          <w:rPr>
            <w:webHidden/>
          </w:rPr>
          <w:instrText xml:space="preserve"> PAGEREF _Toc492972225 \h </w:instrText>
        </w:r>
        <w:r w:rsidR="007D0974">
          <w:rPr>
            <w:webHidden/>
          </w:rPr>
        </w:r>
        <w:r w:rsidR="007D0974">
          <w:rPr>
            <w:webHidden/>
          </w:rPr>
          <w:fldChar w:fldCharType="separate"/>
        </w:r>
        <w:r w:rsidR="00E95BEE">
          <w:rPr>
            <w:webHidden/>
          </w:rPr>
          <w:t>60</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26" w:history="1">
        <w:r w:rsidR="007D0974" w:rsidRPr="00C37E66">
          <w:rPr>
            <w:rStyle w:val="Lienhypertexte"/>
          </w:rPr>
          <w:t>3.6.</w:t>
        </w:r>
        <w:r w:rsidR="007D0974">
          <w:rPr>
            <w:rFonts w:asciiTheme="minorHAnsi" w:eastAsiaTheme="minorEastAsia" w:hAnsiTheme="minorHAnsi" w:cstheme="minorBidi"/>
            <w:bCs w:val="0"/>
            <w:iCs w:val="0"/>
            <w:sz w:val="22"/>
            <w:szCs w:val="22"/>
            <w:lang w:val="fr-FR"/>
          </w:rPr>
          <w:tab/>
        </w:r>
        <w:r w:rsidR="007D0974" w:rsidRPr="00C37E66">
          <w:rPr>
            <w:rStyle w:val="Lienhypertexte"/>
          </w:rPr>
          <w:t>Secteur « Transformation industrielle et artisanale »</w:t>
        </w:r>
        <w:r w:rsidR="007D0974">
          <w:rPr>
            <w:webHidden/>
          </w:rPr>
          <w:tab/>
        </w:r>
        <w:r w:rsidR="007D0974">
          <w:rPr>
            <w:webHidden/>
          </w:rPr>
          <w:fldChar w:fldCharType="begin"/>
        </w:r>
        <w:r w:rsidR="007D0974">
          <w:rPr>
            <w:webHidden/>
          </w:rPr>
          <w:instrText xml:space="preserve"> PAGEREF _Toc492972226 \h </w:instrText>
        </w:r>
        <w:r w:rsidR="007D0974">
          <w:rPr>
            <w:webHidden/>
          </w:rPr>
        </w:r>
        <w:r w:rsidR="007D0974">
          <w:rPr>
            <w:webHidden/>
          </w:rPr>
          <w:fldChar w:fldCharType="separate"/>
        </w:r>
        <w:r w:rsidR="00E95BEE">
          <w:rPr>
            <w:webHidden/>
          </w:rPr>
          <w:t>61</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227" w:history="1">
        <w:r w:rsidR="007D0974" w:rsidRPr="00C37E66">
          <w:rPr>
            <w:rStyle w:val="Lienhypertexte"/>
            <w:rFonts w:asciiTheme="majorHAnsi" w:hAnsiTheme="majorHAnsi"/>
          </w:rPr>
          <w:t>TROISIEME PARTIE : THEME : « LE FINANCEMENT DU PLAN NATIONAL DE DEVELOPPEMENT ECONOMIQUE ET SOCIAL 2016-2020: DEFIS ET PERSPECTIVES »</w:t>
        </w:r>
        <w:r w:rsidR="007D0974">
          <w:rPr>
            <w:webHidden/>
          </w:rPr>
          <w:tab/>
        </w:r>
        <w:r w:rsidR="007D0974">
          <w:rPr>
            <w:webHidden/>
          </w:rPr>
          <w:fldChar w:fldCharType="begin"/>
        </w:r>
        <w:r w:rsidR="007D0974">
          <w:rPr>
            <w:webHidden/>
          </w:rPr>
          <w:instrText xml:space="preserve"> PAGEREF _Toc492972227 \h </w:instrText>
        </w:r>
        <w:r w:rsidR="007D0974">
          <w:rPr>
            <w:webHidden/>
          </w:rPr>
        </w:r>
        <w:r w:rsidR="007D0974">
          <w:rPr>
            <w:webHidden/>
          </w:rPr>
          <w:fldChar w:fldCharType="separate"/>
        </w:r>
        <w:r w:rsidR="00E95BEE">
          <w:rPr>
            <w:webHidden/>
          </w:rPr>
          <w:t>63</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28" w:history="1">
        <w:r w:rsidR="007D0974" w:rsidRPr="00C37E66">
          <w:rPr>
            <w:rStyle w:val="Lienhypertexte"/>
            <w:lang w:eastAsia="fr-FR"/>
          </w:rPr>
          <w:t>INTRODUCTION</w:t>
        </w:r>
        <w:r w:rsidR="007D0974">
          <w:rPr>
            <w:webHidden/>
          </w:rPr>
          <w:tab/>
        </w:r>
        <w:r w:rsidR="007D0974">
          <w:rPr>
            <w:webHidden/>
          </w:rPr>
          <w:fldChar w:fldCharType="begin"/>
        </w:r>
        <w:r w:rsidR="007D0974">
          <w:rPr>
            <w:webHidden/>
          </w:rPr>
          <w:instrText xml:space="preserve"> PAGEREF _Toc492972228 \h </w:instrText>
        </w:r>
        <w:r w:rsidR="007D0974">
          <w:rPr>
            <w:webHidden/>
          </w:rPr>
        </w:r>
        <w:r w:rsidR="007D0974">
          <w:rPr>
            <w:webHidden/>
          </w:rPr>
          <w:fldChar w:fldCharType="separate"/>
        </w:r>
        <w:r w:rsidR="00E95BEE">
          <w:rPr>
            <w:webHidden/>
          </w:rPr>
          <w:t>64</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29" w:history="1">
        <w:r w:rsidR="007D0974" w:rsidRPr="00C37E66">
          <w:rPr>
            <w:rStyle w:val="Lienhypertexte"/>
            <w:lang w:eastAsia="fr-FR"/>
          </w:rPr>
          <w:t>Chapitre 1 : Grandes ambitions stratégiques du PNDES</w:t>
        </w:r>
        <w:r w:rsidR="007D0974">
          <w:rPr>
            <w:webHidden/>
          </w:rPr>
          <w:tab/>
        </w:r>
        <w:r w:rsidR="007D0974">
          <w:rPr>
            <w:webHidden/>
          </w:rPr>
          <w:fldChar w:fldCharType="begin"/>
        </w:r>
        <w:r w:rsidR="007D0974">
          <w:rPr>
            <w:webHidden/>
          </w:rPr>
          <w:instrText xml:space="preserve"> PAGEREF _Toc492972229 \h </w:instrText>
        </w:r>
        <w:r w:rsidR="007D0974">
          <w:rPr>
            <w:webHidden/>
          </w:rPr>
        </w:r>
        <w:r w:rsidR="007D0974">
          <w:rPr>
            <w:webHidden/>
          </w:rPr>
          <w:fldChar w:fldCharType="separate"/>
        </w:r>
        <w:r w:rsidR="00E95BEE">
          <w:rPr>
            <w:webHidden/>
          </w:rPr>
          <w:t>65</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30" w:history="1">
        <w:r w:rsidR="007D0974" w:rsidRPr="00C37E66">
          <w:rPr>
            <w:rStyle w:val="Lienhypertexte"/>
            <w:rFonts w:eastAsia="Times New Roman"/>
          </w:rPr>
          <w:t>1.1.</w:t>
        </w:r>
        <w:r w:rsidR="007D0974">
          <w:rPr>
            <w:rFonts w:asciiTheme="minorHAnsi" w:eastAsiaTheme="minorEastAsia" w:hAnsiTheme="minorHAnsi" w:cstheme="minorBidi"/>
            <w:bCs w:val="0"/>
            <w:iCs w:val="0"/>
            <w:sz w:val="22"/>
            <w:szCs w:val="22"/>
            <w:lang w:val="fr-FR"/>
          </w:rPr>
          <w:tab/>
        </w:r>
        <w:r w:rsidR="007D0974" w:rsidRPr="00C37E66">
          <w:rPr>
            <w:rStyle w:val="Lienhypertexte"/>
            <w:rFonts w:eastAsia="Times New Roman"/>
          </w:rPr>
          <w:t>Objectifs stratégiques et impacts attendus</w:t>
        </w:r>
        <w:r w:rsidR="007D0974">
          <w:rPr>
            <w:webHidden/>
          </w:rPr>
          <w:tab/>
        </w:r>
        <w:r w:rsidR="007D0974">
          <w:rPr>
            <w:webHidden/>
          </w:rPr>
          <w:fldChar w:fldCharType="begin"/>
        </w:r>
        <w:r w:rsidR="007D0974">
          <w:rPr>
            <w:webHidden/>
          </w:rPr>
          <w:instrText xml:space="preserve"> PAGEREF _Toc492972230 \h </w:instrText>
        </w:r>
        <w:r w:rsidR="007D0974">
          <w:rPr>
            <w:webHidden/>
          </w:rPr>
        </w:r>
        <w:r w:rsidR="007D0974">
          <w:rPr>
            <w:webHidden/>
          </w:rPr>
          <w:fldChar w:fldCharType="separate"/>
        </w:r>
        <w:r w:rsidR="00E95BEE">
          <w:rPr>
            <w:webHidden/>
          </w:rPr>
          <w:t>65</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31" w:history="1">
        <w:r w:rsidR="007D0974" w:rsidRPr="00C37E66">
          <w:rPr>
            <w:rStyle w:val="Lienhypertexte"/>
            <w:noProof/>
          </w:rPr>
          <w:t>1.1.1.</w:t>
        </w:r>
        <w:r w:rsidR="007D0974">
          <w:rPr>
            <w:rFonts w:eastAsiaTheme="minorEastAsia" w:cstheme="minorBidi"/>
            <w:noProof/>
            <w:sz w:val="22"/>
            <w:szCs w:val="22"/>
            <w:lang w:eastAsia="fr-FR"/>
          </w:rPr>
          <w:tab/>
        </w:r>
        <w:r w:rsidR="007D0974" w:rsidRPr="00C37E66">
          <w:rPr>
            <w:rStyle w:val="Lienhypertexte"/>
            <w:noProof/>
          </w:rPr>
          <w:t>Objectifs stratégiques du PNDES</w:t>
        </w:r>
        <w:r w:rsidR="007D0974">
          <w:rPr>
            <w:noProof/>
            <w:webHidden/>
          </w:rPr>
          <w:tab/>
        </w:r>
        <w:r w:rsidR="007D0974">
          <w:rPr>
            <w:noProof/>
            <w:webHidden/>
          </w:rPr>
          <w:fldChar w:fldCharType="begin"/>
        </w:r>
        <w:r w:rsidR="007D0974">
          <w:rPr>
            <w:noProof/>
            <w:webHidden/>
          </w:rPr>
          <w:instrText xml:space="preserve"> PAGEREF _Toc492972231 \h </w:instrText>
        </w:r>
        <w:r w:rsidR="007D0974">
          <w:rPr>
            <w:noProof/>
            <w:webHidden/>
          </w:rPr>
        </w:r>
        <w:r w:rsidR="007D0974">
          <w:rPr>
            <w:noProof/>
            <w:webHidden/>
          </w:rPr>
          <w:fldChar w:fldCharType="separate"/>
        </w:r>
        <w:r w:rsidR="00E95BEE">
          <w:rPr>
            <w:noProof/>
            <w:webHidden/>
          </w:rPr>
          <w:t>65</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32" w:history="1">
        <w:r w:rsidR="007D0974" w:rsidRPr="00C37E66">
          <w:rPr>
            <w:rStyle w:val="Lienhypertexte"/>
            <w:noProof/>
          </w:rPr>
          <w:t>1.1.2.</w:t>
        </w:r>
        <w:r w:rsidR="007D0974">
          <w:rPr>
            <w:rFonts w:eastAsiaTheme="minorEastAsia" w:cstheme="minorBidi"/>
            <w:noProof/>
            <w:sz w:val="22"/>
            <w:szCs w:val="22"/>
            <w:lang w:eastAsia="fr-FR"/>
          </w:rPr>
          <w:tab/>
        </w:r>
        <w:r w:rsidR="007D0974" w:rsidRPr="00C37E66">
          <w:rPr>
            <w:rStyle w:val="Lienhypertexte"/>
            <w:noProof/>
          </w:rPr>
          <w:t>Lien entre les objectifs stratégiques du PNDES et les ODD</w:t>
        </w:r>
        <w:r w:rsidR="007D0974">
          <w:rPr>
            <w:noProof/>
            <w:webHidden/>
          </w:rPr>
          <w:tab/>
        </w:r>
        <w:r w:rsidR="007D0974">
          <w:rPr>
            <w:noProof/>
            <w:webHidden/>
          </w:rPr>
          <w:fldChar w:fldCharType="begin"/>
        </w:r>
        <w:r w:rsidR="007D0974">
          <w:rPr>
            <w:noProof/>
            <w:webHidden/>
          </w:rPr>
          <w:instrText xml:space="preserve"> PAGEREF _Toc492972232 \h </w:instrText>
        </w:r>
        <w:r w:rsidR="007D0974">
          <w:rPr>
            <w:noProof/>
            <w:webHidden/>
          </w:rPr>
        </w:r>
        <w:r w:rsidR="007D0974">
          <w:rPr>
            <w:noProof/>
            <w:webHidden/>
          </w:rPr>
          <w:fldChar w:fldCharType="separate"/>
        </w:r>
        <w:r w:rsidR="00E95BEE">
          <w:rPr>
            <w:noProof/>
            <w:webHidden/>
          </w:rPr>
          <w:t>66</w:t>
        </w:r>
        <w:r w:rsidR="007D0974">
          <w:rPr>
            <w:noProof/>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33" w:history="1">
        <w:r w:rsidR="007D0974" w:rsidRPr="00C37E66">
          <w:rPr>
            <w:rStyle w:val="Lienhypertexte"/>
            <w:rFonts w:eastAsia="Times New Roman"/>
          </w:rPr>
          <w:t>1.2.</w:t>
        </w:r>
        <w:r w:rsidR="007D0974">
          <w:rPr>
            <w:rFonts w:asciiTheme="minorHAnsi" w:eastAsiaTheme="minorEastAsia" w:hAnsiTheme="minorHAnsi" w:cstheme="minorBidi"/>
            <w:bCs w:val="0"/>
            <w:iCs w:val="0"/>
            <w:sz w:val="22"/>
            <w:szCs w:val="22"/>
            <w:lang w:val="fr-FR"/>
          </w:rPr>
          <w:tab/>
        </w:r>
        <w:r w:rsidR="007D0974" w:rsidRPr="00C37E66">
          <w:rPr>
            <w:rStyle w:val="Lienhypertexte"/>
            <w:rFonts w:eastAsia="Times New Roman"/>
          </w:rPr>
          <w:t>Opérationnalisation du PNDES</w:t>
        </w:r>
        <w:r w:rsidR="007D0974">
          <w:rPr>
            <w:webHidden/>
          </w:rPr>
          <w:tab/>
        </w:r>
        <w:r w:rsidR="007D0974">
          <w:rPr>
            <w:webHidden/>
          </w:rPr>
          <w:fldChar w:fldCharType="begin"/>
        </w:r>
        <w:r w:rsidR="007D0974">
          <w:rPr>
            <w:webHidden/>
          </w:rPr>
          <w:instrText xml:space="preserve"> PAGEREF _Toc492972233 \h </w:instrText>
        </w:r>
        <w:r w:rsidR="007D0974">
          <w:rPr>
            <w:webHidden/>
          </w:rPr>
        </w:r>
        <w:r w:rsidR="007D0974">
          <w:rPr>
            <w:webHidden/>
          </w:rPr>
          <w:fldChar w:fldCharType="separate"/>
        </w:r>
        <w:r w:rsidR="00E95BEE">
          <w:rPr>
            <w:webHidden/>
          </w:rPr>
          <w:t>69</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34" w:history="1">
        <w:r w:rsidR="007D0974" w:rsidRPr="00C37E66">
          <w:rPr>
            <w:rStyle w:val="Lienhypertexte"/>
            <w:noProof/>
          </w:rPr>
          <w:t>1.2.1.</w:t>
        </w:r>
        <w:r w:rsidR="007D0974">
          <w:rPr>
            <w:rFonts w:eastAsiaTheme="minorEastAsia" w:cstheme="minorBidi"/>
            <w:noProof/>
            <w:sz w:val="22"/>
            <w:szCs w:val="22"/>
            <w:lang w:eastAsia="fr-FR"/>
          </w:rPr>
          <w:tab/>
        </w:r>
        <w:r w:rsidR="007D0974" w:rsidRPr="00C37E66">
          <w:rPr>
            <w:rStyle w:val="Lienhypertexte"/>
            <w:noProof/>
          </w:rPr>
          <w:t>Instruments de mise en œuvre</w:t>
        </w:r>
        <w:r w:rsidR="007D0974">
          <w:rPr>
            <w:noProof/>
            <w:webHidden/>
          </w:rPr>
          <w:tab/>
        </w:r>
        <w:r w:rsidR="007D0974">
          <w:rPr>
            <w:noProof/>
            <w:webHidden/>
          </w:rPr>
          <w:fldChar w:fldCharType="begin"/>
        </w:r>
        <w:r w:rsidR="007D0974">
          <w:rPr>
            <w:noProof/>
            <w:webHidden/>
          </w:rPr>
          <w:instrText xml:space="preserve"> PAGEREF _Toc492972234 \h </w:instrText>
        </w:r>
        <w:r w:rsidR="007D0974">
          <w:rPr>
            <w:noProof/>
            <w:webHidden/>
          </w:rPr>
        </w:r>
        <w:r w:rsidR="007D0974">
          <w:rPr>
            <w:noProof/>
            <w:webHidden/>
          </w:rPr>
          <w:fldChar w:fldCharType="separate"/>
        </w:r>
        <w:r w:rsidR="00E95BEE">
          <w:rPr>
            <w:noProof/>
            <w:webHidden/>
          </w:rPr>
          <w:t>69</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35" w:history="1">
        <w:r w:rsidR="007D0974" w:rsidRPr="00C37E66">
          <w:rPr>
            <w:rStyle w:val="Lienhypertexte"/>
            <w:noProof/>
          </w:rPr>
          <w:t>1.2.2.</w:t>
        </w:r>
        <w:r w:rsidR="007D0974">
          <w:rPr>
            <w:rFonts w:eastAsiaTheme="minorEastAsia" w:cstheme="minorBidi"/>
            <w:noProof/>
            <w:sz w:val="22"/>
            <w:szCs w:val="22"/>
            <w:lang w:eastAsia="fr-FR"/>
          </w:rPr>
          <w:tab/>
        </w:r>
        <w:r w:rsidR="007D0974" w:rsidRPr="00C37E66">
          <w:rPr>
            <w:rStyle w:val="Lienhypertexte"/>
            <w:noProof/>
          </w:rPr>
          <w:t>Acteurs de la mise en œuvre</w:t>
        </w:r>
        <w:r w:rsidR="007D0974">
          <w:rPr>
            <w:noProof/>
            <w:webHidden/>
          </w:rPr>
          <w:tab/>
        </w:r>
        <w:r w:rsidR="007D0974">
          <w:rPr>
            <w:noProof/>
            <w:webHidden/>
          </w:rPr>
          <w:fldChar w:fldCharType="begin"/>
        </w:r>
        <w:r w:rsidR="007D0974">
          <w:rPr>
            <w:noProof/>
            <w:webHidden/>
          </w:rPr>
          <w:instrText xml:space="preserve"> PAGEREF _Toc492972235 \h </w:instrText>
        </w:r>
        <w:r w:rsidR="007D0974">
          <w:rPr>
            <w:noProof/>
            <w:webHidden/>
          </w:rPr>
        </w:r>
        <w:r w:rsidR="007D0974">
          <w:rPr>
            <w:noProof/>
            <w:webHidden/>
          </w:rPr>
          <w:fldChar w:fldCharType="separate"/>
        </w:r>
        <w:r w:rsidR="00E95BEE">
          <w:rPr>
            <w:noProof/>
            <w:webHidden/>
          </w:rPr>
          <w:t>70</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36" w:history="1">
        <w:r w:rsidR="007D0974" w:rsidRPr="00C37E66">
          <w:rPr>
            <w:rStyle w:val="Lienhypertexte"/>
            <w:noProof/>
          </w:rPr>
          <w:t>1.2.3.</w:t>
        </w:r>
        <w:r w:rsidR="007D0974">
          <w:rPr>
            <w:rFonts w:eastAsiaTheme="minorEastAsia" w:cstheme="minorBidi"/>
            <w:noProof/>
            <w:sz w:val="22"/>
            <w:szCs w:val="22"/>
            <w:lang w:eastAsia="fr-FR"/>
          </w:rPr>
          <w:tab/>
        </w:r>
        <w:r w:rsidR="007D0974" w:rsidRPr="00C37E66">
          <w:rPr>
            <w:rStyle w:val="Lienhypertexte"/>
            <w:noProof/>
          </w:rPr>
          <w:t>Cadre organisationnel de suivi</w:t>
        </w:r>
        <w:r w:rsidR="007D0974">
          <w:rPr>
            <w:noProof/>
            <w:webHidden/>
          </w:rPr>
          <w:tab/>
        </w:r>
        <w:r w:rsidR="007D0974">
          <w:rPr>
            <w:noProof/>
            <w:webHidden/>
          </w:rPr>
          <w:fldChar w:fldCharType="begin"/>
        </w:r>
        <w:r w:rsidR="007D0974">
          <w:rPr>
            <w:noProof/>
            <w:webHidden/>
          </w:rPr>
          <w:instrText xml:space="preserve"> PAGEREF _Toc492972236 \h </w:instrText>
        </w:r>
        <w:r w:rsidR="007D0974">
          <w:rPr>
            <w:noProof/>
            <w:webHidden/>
          </w:rPr>
        </w:r>
        <w:r w:rsidR="007D0974">
          <w:rPr>
            <w:noProof/>
            <w:webHidden/>
          </w:rPr>
          <w:fldChar w:fldCharType="separate"/>
        </w:r>
        <w:r w:rsidR="00E95BEE">
          <w:rPr>
            <w:noProof/>
            <w:webHidden/>
          </w:rPr>
          <w:t>70</w:t>
        </w:r>
        <w:r w:rsidR="007D0974">
          <w:rPr>
            <w:noProof/>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37" w:history="1">
        <w:r w:rsidR="007D0974" w:rsidRPr="00C37E66">
          <w:rPr>
            <w:rStyle w:val="Lienhypertexte"/>
            <w:lang w:eastAsia="fr-FR"/>
          </w:rPr>
          <w:t>Chapitre 2 : Défis de la mobilisation des ressources pour la mise en œuvre du PNDES</w:t>
        </w:r>
        <w:r w:rsidR="007D0974">
          <w:rPr>
            <w:webHidden/>
          </w:rPr>
          <w:tab/>
        </w:r>
        <w:r w:rsidR="007D0974">
          <w:rPr>
            <w:webHidden/>
          </w:rPr>
          <w:fldChar w:fldCharType="begin"/>
        </w:r>
        <w:r w:rsidR="007D0974">
          <w:rPr>
            <w:webHidden/>
          </w:rPr>
          <w:instrText xml:space="preserve"> PAGEREF _Toc492972237 \h </w:instrText>
        </w:r>
        <w:r w:rsidR="007D0974">
          <w:rPr>
            <w:webHidden/>
          </w:rPr>
        </w:r>
        <w:r w:rsidR="007D0974">
          <w:rPr>
            <w:webHidden/>
          </w:rPr>
          <w:fldChar w:fldCharType="separate"/>
        </w:r>
        <w:r w:rsidR="00E95BEE">
          <w:rPr>
            <w:webHidden/>
          </w:rPr>
          <w:t>72</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38" w:history="1">
        <w:r w:rsidR="007D0974" w:rsidRPr="00C37E66">
          <w:rPr>
            <w:rStyle w:val="Lienhypertexte"/>
          </w:rPr>
          <w:t>2.1.</w:t>
        </w:r>
        <w:r w:rsidR="007D0974">
          <w:rPr>
            <w:rFonts w:asciiTheme="minorHAnsi" w:eastAsiaTheme="minorEastAsia" w:hAnsiTheme="minorHAnsi" w:cstheme="minorBidi"/>
            <w:bCs w:val="0"/>
            <w:iCs w:val="0"/>
            <w:sz w:val="22"/>
            <w:szCs w:val="22"/>
            <w:lang w:val="fr-FR"/>
          </w:rPr>
          <w:tab/>
        </w:r>
        <w:r w:rsidR="007D0974" w:rsidRPr="00C37E66">
          <w:rPr>
            <w:rStyle w:val="Lienhypertexte"/>
          </w:rPr>
          <w:t>Mobilisation des ressources internes</w:t>
        </w:r>
        <w:r w:rsidR="007D0974">
          <w:rPr>
            <w:webHidden/>
          </w:rPr>
          <w:tab/>
        </w:r>
        <w:r w:rsidR="007D0974">
          <w:rPr>
            <w:webHidden/>
          </w:rPr>
          <w:fldChar w:fldCharType="begin"/>
        </w:r>
        <w:r w:rsidR="007D0974">
          <w:rPr>
            <w:webHidden/>
          </w:rPr>
          <w:instrText xml:space="preserve"> PAGEREF _Toc492972238 \h </w:instrText>
        </w:r>
        <w:r w:rsidR="007D0974">
          <w:rPr>
            <w:webHidden/>
          </w:rPr>
        </w:r>
        <w:r w:rsidR="007D0974">
          <w:rPr>
            <w:webHidden/>
          </w:rPr>
          <w:fldChar w:fldCharType="separate"/>
        </w:r>
        <w:r w:rsidR="00E95BEE">
          <w:rPr>
            <w:webHidden/>
          </w:rPr>
          <w:t>72</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39" w:history="1">
        <w:r w:rsidR="007D0974" w:rsidRPr="00C37E66">
          <w:rPr>
            <w:rStyle w:val="Lienhypertexte"/>
            <w:noProof/>
          </w:rPr>
          <w:t>2.1.1.</w:t>
        </w:r>
        <w:r w:rsidR="007D0974">
          <w:rPr>
            <w:rFonts w:eastAsiaTheme="minorEastAsia" w:cstheme="minorBidi"/>
            <w:noProof/>
            <w:sz w:val="22"/>
            <w:szCs w:val="22"/>
            <w:lang w:eastAsia="fr-FR"/>
          </w:rPr>
          <w:tab/>
        </w:r>
        <w:r w:rsidR="007D0974" w:rsidRPr="00C37E66">
          <w:rPr>
            <w:rStyle w:val="Lienhypertexte"/>
            <w:noProof/>
          </w:rPr>
          <w:t>Situation des ressources propres</w:t>
        </w:r>
        <w:r w:rsidR="007D0974">
          <w:rPr>
            <w:noProof/>
            <w:webHidden/>
          </w:rPr>
          <w:tab/>
        </w:r>
        <w:r w:rsidR="007D0974">
          <w:rPr>
            <w:noProof/>
            <w:webHidden/>
          </w:rPr>
          <w:fldChar w:fldCharType="begin"/>
        </w:r>
        <w:r w:rsidR="007D0974">
          <w:rPr>
            <w:noProof/>
            <w:webHidden/>
          </w:rPr>
          <w:instrText xml:space="preserve"> PAGEREF _Toc492972239 \h </w:instrText>
        </w:r>
        <w:r w:rsidR="007D0974">
          <w:rPr>
            <w:noProof/>
            <w:webHidden/>
          </w:rPr>
        </w:r>
        <w:r w:rsidR="007D0974">
          <w:rPr>
            <w:noProof/>
            <w:webHidden/>
          </w:rPr>
          <w:fldChar w:fldCharType="separate"/>
        </w:r>
        <w:r w:rsidR="00E95BEE">
          <w:rPr>
            <w:noProof/>
            <w:webHidden/>
          </w:rPr>
          <w:t>72</w:t>
        </w:r>
        <w:r w:rsidR="007D0974">
          <w:rPr>
            <w:noProof/>
            <w:webHidden/>
          </w:rPr>
          <w:fldChar w:fldCharType="end"/>
        </w:r>
      </w:hyperlink>
    </w:p>
    <w:p w:rsidR="007D0974" w:rsidRDefault="0015344F" w:rsidP="0021108C">
      <w:pPr>
        <w:pStyle w:val="TM4"/>
        <w:tabs>
          <w:tab w:val="right" w:leader="dot" w:pos="10206"/>
        </w:tabs>
        <w:jc w:val="both"/>
        <w:rPr>
          <w:rFonts w:eastAsiaTheme="minorEastAsia" w:cstheme="minorBidi"/>
          <w:noProof/>
          <w:sz w:val="22"/>
          <w:szCs w:val="22"/>
          <w:lang w:eastAsia="fr-FR"/>
        </w:rPr>
      </w:pPr>
      <w:hyperlink w:anchor="_Toc492972240" w:history="1">
        <w:r w:rsidR="007D0974" w:rsidRPr="00C37E66">
          <w:rPr>
            <w:rStyle w:val="Lienhypertexte"/>
            <w:noProof/>
          </w:rPr>
          <w:t>2.1.2. Tendances des ressources propres sur la période 2017-2020</w:t>
        </w:r>
        <w:r w:rsidR="007D0974">
          <w:rPr>
            <w:noProof/>
            <w:webHidden/>
          </w:rPr>
          <w:tab/>
        </w:r>
        <w:r w:rsidR="007D0974">
          <w:rPr>
            <w:noProof/>
            <w:webHidden/>
          </w:rPr>
          <w:fldChar w:fldCharType="begin"/>
        </w:r>
        <w:r w:rsidR="007D0974">
          <w:rPr>
            <w:noProof/>
            <w:webHidden/>
          </w:rPr>
          <w:instrText xml:space="preserve"> PAGEREF _Toc492972240 \h </w:instrText>
        </w:r>
        <w:r w:rsidR="007D0974">
          <w:rPr>
            <w:noProof/>
            <w:webHidden/>
          </w:rPr>
        </w:r>
        <w:r w:rsidR="007D0974">
          <w:rPr>
            <w:noProof/>
            <w:webHidden/>
          </w:rPr>
          <w:fldChar w:fldCharType="separate"/>
        </w:r>
        <w:r w:rsidR="00E95BEE">
          <w:rPr>
            <w:noProof/>
            <w:webHidden/>
          </w:rPr>
          <w:t>73</w:t>
        </w:r>
        <w:r w:rsidR="007D0974">
          <w:rPr>
            <w:noProof/>
            <w:webHidden/>
          </w:rPr>
          <w:fldChar w:fldCharType="end"/>
        </w:r>
      </w:hyperlink>
    </w:p>
    <w:p w:rsidR="007D0974" w:rsidRDefault="0015344F" w:rsidP="0021108C">
      <w:pPr>
        <w:pStyle w:val="TM4"/>
        <w:tabs>
          <w:tab w:val="right" w:leader="dot" w:pos="10206"/>
        </w:tabs>
        <w:jc w:val="both"/>
        <w:rPr>
          <w:rFonts w:eastAsiaTheme="minorEastAsia" w:cstheme="minorBidi"/>
          <w:noProof/>
          <w:sz w:val="22"/>
          <w:szCs w:val="22"/>
          <w:lang w:eastAsia="fr-FR"/>
        </w:rPr>
      </w:pPr>
      <w:hyperlink w:anchor="_Toc492972241" w:history="1">
        <w:r w:rsidR="007D0974" w:rsidRPr="00C37E66">
          <w:rPr>
            <w:rStyle w:val="Lienhypertexte"/>
            <w:noProof/>
          </w:rPr>
          <w:t>2.1.3. Mobilisation d'emprunts obligataires par l’épargne régionale</w:t>
        </w:r>
        <w:r w:rsidR="007D0974">
          <w:rPr>
            <w:noProof/>
            <w:webHidden/>
          </w:rPr>
          <w:tab/>
        </w:r>
        <w:r w:rsidR="007D0974">
          <w:rPr>
            <w:noProof/>
            <w:webHidden/>
          </w:rPr>
          <w:fldChar w:fldCharType="begin"/>
        </w:r>
        <w:r w:rsidR="007D0974">
          <w:rPr>
            <w:noProof/>
            <w:webHidden/>
          </w:rPr>
          <w:instrText xml:space="preserve"> PAGEREF _Toc492972241 \h </w:instrText>
        </w:r>
        <w:r w:rsidR="007D0974">
          <w:rPr>
            <w:noProof/>
            <w:webHidden/>
          </w:rPr>
        </w:r>
        <w:r w:rsidR="007D0974">
          <w:rPr>
            <w:noProof/>
            <w:webHidden/>
          </w:rPr>
          <w:fldChar w:fldCharType="separate"/>
        </w:r>
        <w:r w:rsidR="00E95BEE">
          <w:rPr>
            <w:noProof/>
            <w:webHidden/>
          </w:rPr>
          <w:t>73</w:t>
        </w:r>
        <w:r w:rsidR="007D0974">
          <w:rPr>
            <w:noProof/>
            <w:webHidden/>
          </w:rPr>
          <w:fldChar w:fldCharType="end"/>
        </w:r>
      </w:hyperlink>
    </w:p>
    <w:p w:rsidR="007D0974" w:rsidRDefault="0015344F" w:rsidP="0021108C">
      <w:pPr>
        <w:pStyle w:val="TM4"/>
        <w:tabs>
          <w:tab w:val="right" w:leader="dot" w:pos="10206"/>
        </w:tabs>
        <w:jc w:val="both"/>
        <w:rPr>
          <w:rFonts w:eastAsiaTheme="minorEastAsia" w:cstheme="minorBidi"/>
          <w:noProof/>
          <w:sz w:val="22"/>
          <w:szCs w:val="22"/>
          <w:lang w:eastAsia="fr-FR"/>
        </w:rPr>
      </w:pPr>
      <w:hyperlink w:anchor="_Toc492972242" w:history="1">
        <w:r w:rsidR="007D0974" w:rsidRPr="00C37E66">
          <w:rPr>
            <w:rStyle w:val="Lienhypertexte"/>
            <w:noProof/>
          </w:rPr>
          <w:t>2.1.4. Défis majeurs</w:t>
        </w:r>
        <w:r w:rsidR="007D0974">
          <w:rPr>
            <w:noProof/>
            <w:webHidden/>
          </w:rPr>
          <w:tab/>
        </w:r>
        <w:r w:rsidR="007D0974">
          <w:rPr>
            <w:noProof/>
            <w:webHidden/>
          </w:rPr>
          <w:fldChar w:fldCharType="begin"/>
        </w:r>
        <w:r w:rsidR="007D0974">
          <w:rPr>
            <w:noProof/>
            <w:webHidden/>
          </w:rPr>
          <w:instrText xml:space="preserve"> PAGEREF _Toc492972242 \h </w:instrText>
        </w:r>
        <w:r w:rsidR="007D0974">
          <w:rPr>
            <w:noProof/>
            <w:webHidden/>
          </w:rPr>
        </w:r>
        <w:r w:rsidR="007D0974">
          <w:rPr>
            <w:noProof/>
            <w:webHidden/>
          </w:rPr>
          <w:fldChar w:fldCharType="separate"/>
        </w:r>
        <w:r w:rsidR="00E95BEE">
          <w:rPr>
            <w:noProof/>
            <w:webHidden/>
          </w:rPr>
          <w:t>74</w:t>
        </w:r>
        <w:r w:rsidR="007D0974">
          <w:rPr>
            <w:noProof/>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43" w:history="1">
        <w:r w:rsidR="007D0974" w:rsidRPr="00C37E66">
          <w:rPr>
            <w:rStyle w:val="Lienhypertexte"/>
          </w:rPr>
          <w:t>2.2.</w:t>
        </w:r>
        <w:r w:rsidR="007D0974">
          <w:rPr>
            <w:rFonts w:asciiTheme="minorHAnsi" w:eastAsiaTheme="minorEastAsia" w:hAnsiTheme="minorHAnsi" w:cstheme="minorBidi"/>
            <w:bCs w:val="0"/>
            <w:iCs w:val="0"/>
            <w:sz w:val="22"/>
            <w:szCs w:val="22"/>
            <w:lang w:val="fr-FR"/>
          </w:rPr>
          <w:tab/>
        </w:r>
        <w:r w:rsidR="007D0974" w:rsidRPr="00C37E66">
          <w:rPr>
            <w:rStyle w:val="Lienhypertexte"/>
          </w:rPr>
          <w:t>Mobilisation des ressources extérieures</w:t>
        </w:r>
        <w:r w:rsidR="007D0974">
          <w:rPr>
            <w:webHidden/>
          </w:rPr>
          <w:tab/>
        </w:r>
        <w:r w:rsidR="007D0974">
          <w:rPr>
            <w:webHidden/>
          </w:rPr>
          <w:fldChar w:fldCharType="begin"/>
        </w:r>
        <w:r w:rsidR="007D0974">
          <w:rPr>
            <w:webHidden/>
          </w:rPr>
          <w:instrText xml:space="preserve"> PAGEREF _Toc492972243 \h </w:instrText>
        </w:r>
        <w:r w:rsidR="007D0974">
          <w:rPr>
            <w:webHidden/>
          </w:rPr>
        </w:r>
        <w:r w:rsidR="007D0974">
          <w:rPr>
            <w:webHidden/>
          </w:rPr>
          <w:fldChar w:fldCharType="separate"/>
        </w:r>
        <w:r w:rsidR="00E95BEE">
          <w:rPr>
            <w:webHidden/>
          </w:rPr>
          <w:t>74</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44" w:history="1">
        <w:r w:rsidR="007D0974" w:rsidRPr="00C37E66">
          <w:rPr>
            <w:rStyle w:val="Lienhypertexte"/>
            <w:noProof/>
          </w:rPr>
          <w:t>2.2.1.</w:t>
        </w:r>
        <w:r w:rsidR="007D0974">
          <w:rPr>
            <w:rFonts w:eastAsiaTheme="minorEastAsia" w:cstheme="minorBidi"/>
            <w:noProof/>
            <w:sz w:val="22"/>
            <w:szCs w:val="22"/>
            <w:lang w:eastAsia="fr-FR"/>
          </w:rPr>
          <w:tab/>
        </w:r>
        <w:r w:rsidR="007D0974" w:rsidRPr="00C37E66">
          <w:rPr>
            <w:rStyle w:val="Lienhypertexte"/>
            <w:noProof/>
          </w:rPr>
          <w:t>Les résultats de la Conférence des partenaires du Burkina Faso</w:t>
        </w:r>
        <w:r w:rsidR="007D0974">
          <w:rPr>
            <w:noProof/>
            <w:webHidden/>
          </w:rPr>
          <w:tab/>
        </w:r>
        <w:r w:rsidR="007D0974">
          <w:rPr>
            <w:noProof/>
            <w:webHidden/>
          </w:rPr>
          <w:fldChar w:fldCharType="begin"/>
        </w:r>
        <w:r w:rsidR="007D0974">
          <w:rPr>
            <w:noProof/>
            <w:webHidden/>
          </w:rPr>
          <w:instrText xml:space="preserve"> PAGEREF _Toc492972244 \h </w:instrText>
        </w:r>
        <w:r w:rsidR="007D0974">
          <w:rPr>
            <w:noProof/>
            <w:webHidden/>
          </w:rPr>
        </w:r>
        <w:r w:rsidR="007D0974">
          <w:rPr>
            <w:noProof/>
            <w:webHidden/>
          </w:rPr>
          <w:fldChar w:fldCharType="separate"/>
        </w:r>
        <w:r w:rsidR="00E95BEE">
          <w:rPr>
            <w:noProof/>
            <w:webHidden/>
          </w:rPr>
          <w:t>74</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45" w:history="1">
        <w:r w:rsidR="007D0974" w:rsidRPr="00C37E66">
          <w:rPr>
            <w:rStyle w:val="Lienhypertexte"/>
            <w:noProof/>
          </w:rPr>
          <w:t>2.2.2.</w:t>
        </w:r>
        <w:r w:rsidR="007D0974">
          <w:rPr>
            <w:rFonts w:eastAsiaTheme="minorEastAsia" w:cstheme="minorBidi"/>
            <w:noProof/>
            <w:sz w:val="22"/>
            <w:szCs w:val="22"/>
            <w:lang w:eastAsia="fr-FR"/>
          </w:rPr>
          <w:tab/>
        </w:r>
        <w:r w:rsidR="007D0974" w:rsidRPr="00C37E66">
          <w:rPr>
            <w:rStyle w:val="Lienhypertexte"/>
            <w:noProof/>
          </w:rPr>
          <w:t>Concrétisation des annonces des partenaires</w:t>
        </w:r>
        <w:r w:rsidR="007D0974">
          <w:rPr>
            <w:noProof/>
            <w:webHidden/>
          </w:rPr>
          <w:tab/>
        </w:r>
        <w:r w:rsidR="007D0974">
          <w:rPr>
            <w:noProof/>
            <w:webHidden/>
          </w:rPr>
          <w:fldChar w:fldCharType="begin"/>
        </w:r>
        <w:r w:rsidR="007D0974">
          <w:rPr>
            <w:noProof/>
            <w:webHidden/>
          </w:rPr>
          <w:instrText xml:space="preserve"> PAGEREF _Toc492972245 \h </w:instrText>
        </w:r>
        <w:r w:rsidR="007D0974">
          <w:rPr>
            <w:noProof/>
            <w:webHidden/>
          </w:rPr>
        </w:r>
        <w:r w:rsidR="007D0974">
          <w:rPr>
            <w:noProof/>
            <w:webHidden/>
          </w:rPr>
          <w:fldChar w:fldCharType="separate"/>
        </w:r>
        <w:r w:rsidR="00E95BEE">
          <w:rPr>
            <w:noProof/>
            <w:webHidden/>
          </w:rPr>
          <w:t>76</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46" w:history="1">
        <w:r w:rsidR="007D0974" w:rsidRPr="00C37E66">
          <w:rPr>
            <w:rStyle w:val="Lienhypertexte"/>
            <w:noProof/>
          </w:rPr>
          <w:t>2.2.3.</w:t>
        </w:r>
        <w:r w:rsidR="007D0974">
          <w:rPr>
            <w:rFonts w:eastAsiaTheme="minorEastAsia" w:cstheme="minorBidi"/>
            <w:noProof/>
            <w:sz w:val="22"/>
            <w:szCs w:val="22"/>
            <w:lang w:eastAsia="fr-FR"/>
          </w:rPr>
          <w:tab/>
        </w:r>
        <w:r w:rsidR="007D0974" w:rsidRPr="00C37E66">
          <w:rPr>
            <w:rStyle w:val="Lienhypertexte"/>
            <w:noProof/>
          </w:rPr>
          <w:t>Signature des accords de financement</w:t>
        </w:r>
        <w:r w:rsidR="007D0974">
          <w:rPr>
            <w:noProof/>
            <w:webHidden/>
          </w:rPr>
          <w:tab/>
        </w:r>
        <w:r w:rsidR="007D0974">
          <w:rPr>
            <w:noProof/>
            <w:webHidden/>
          </w:rPr>
          <w:fldChar w:fldCharType="begin"/>
        </w:r>
        <w:r w:rsidR="007D0974">
          <w:rPr>
            <w:noProof/>
            <w:webHidden/>
          </w:rPr>
          <w:instrText xml:space="preserve"> PAGEREF _Toc492972246 \h </w:instrText>
        </w:r>
        <w:r w:rsidR="007D0974">
          <w:rPr>
            <w:noProof/>
            <w:webHidden/>
          </w:rPr>
        </w:r>
        <w:r w:rsidR="007D0974">
          <w:rPr>
            <w:noProof/>
            <w:webHidden/>
          </w:rPr>
          <w:fldChar w:fldCharType="separate"/>
        </w:r>
        <w:r w:rsidR="00E95BEE">
          <w:rPr>
            <w:noProof/>
            <w:webHidden/>
          </w:rPr>
          <w:t>78</w:t>
        </w:r>
        <w:r w:rsidR="007D0974">
          <w:rPr>
            <w:noProof/>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47" w:history="1">
        <w:r w:rsidR="007D0974" w:rsidRPr="00C37E66">
          <w:rPr>
            <w:rStyle w:val="Lienhypertexte"/>
          </w:rPr>
          <w:t>2.3.</w:t>
        </w:r>
        <w:r w:rsidR="007D0974">
          <w:rPr>
            <w:rFonts w:asciiTheme="minorHAnsi" w:eastAsiaTheme="minorEastAsia" w:hAnsiTheme="minorHAnsi" w:cstheme="minorBidi"/>
            <w:bCs w:val="0"/>
            <w:iCs w:val="0"/>
            <w:sz w:val="22"/>
            <w:szCs w:val="22"/>
            <w:lang w:val="fr-FR"/>
          </w:rPr>
          <w:tab/>
        </w:r>
        <w:r w:rsidR="007D0974" w:rsidRPr="00C37E66">
          <w:rPr>
            <w:rStyle w:val="Lienhypertexte"/>
          </w:rPr>
          <w:t>Le financement par le PPP national et international</w:t>
        </w:r>
        <w:r w:rsidR="007D0974">
          <w:rPr>
            <w:webHidden/>
          </w:rPr>
          <w:tab/>
        </w:r>
        <w:r w:rsidR="007D0974">
          <w:rPr>
            <w:webHidden/>
          </w:rPr>
          <w:fldChar w:fldCharType="begin"/>
        </w:r>
        <w:r w:rsidR="007D0974">
          <w:rPr>
            <w:webHidden/>
          </w:rPr>
          <w:instrText xml:space="preserve"> PAGEREF _Toc492972247 \h </w:instrText>
        </w:r>
        <w:r w:rsidR="007D0974">
          <w:rPr>
            <w:webHidden/>
          </w:rPr>
        </w:r>
        <w:r w:rsidR="007D0974">
          <w:rPr>
            <w:webHidden/>
          </w:rPr>
          <w:fldChar w:fldCharType="separate"/>
        </w:r>
        <w:r w:rsidR="00E95BEE">
          <w:rPr>
            <w:webHidden/>
          </w:rPr>
          <w:t>79</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48" w:history="1">
        <w:r w:rsidR="007D0974" w:rsidRPr="00C37E66">
          <w:rPr>
            <w:rStyle w:val="Lienhypertexte"/>
            <w:noProof/>
          </w:rPr>
          <w:t>2.3.1.</w:t>
        </w:r>
        <w:r w:rsidR="007D0974">
          <w:rPr>
            <w:rFonts w:eastAsiaTheme="minorEastAsia" w:cstheme="minorBidi"/>
            <w:noProof/>
            <w:sz w:val="22"/>
            <w:szCs w:val="22"/>
            <w:lang w:eastAsia="fr-FR"/>
          </w:rPr>
          <w:tab/>
        </w:r>
        <w:r w:rsidR="007D0974" w:rsidRPr="00C37E66">
          <w:rPr>
            <w:rStyle w:val="Lienhypertexte"/>
            <w:noProof/>
          </w:rPr>
          <w:t>Présentation contextuelle, outil de planification et formes de PPP</w:t>
        </w:r>
        <w:r w:rsidR="007D0974">
          <w:rPr>
            <w:noProof/>
            <w:webHidden/>
          </w:rPr>
          <w:tab/>
        </w:r>
        <w:r w:rsidR="007D0974">
          <w:rPr>
            <w:noProof/>
            <w:webHidden/>
          </w:rPr>
          <w:fldChar w:fldCharType="begin"/>
        </w:r>
        <w:r w:rsidR="007D0974">
          <w:rPr>
            <w:noProof/>
            <w:webHidden/>
          </w:rPr>
          <w:instrText xml:space="preserve"> PAGEREF _Toc492972248 \h </w:instrText>
        </w:r>
        <w:r w:rsidR="007D0974">
          <w:rPr>
            <w:noProof/>
            <w:webHidden/>
          </w:rPr>
        </w:r>
        <w:r w:rsidR="007D0974">
          <w:rPr>
            <w:noProof/>
            <w:webHidden/>
          </w:rPr>
          <w:fldChar w:fldCharType="separate"/>
        </w:r>
        <w:r w:rsidR="00E95BEE">
          <w:rPr>
            <w:noProof/>
            <w:webHidden/>
          </w:rPr>
          <w:t>80</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49" w:history="1">
        <w:r w:rsidR="007D0974" w:rsidRPr="00C37E66">
          <w:rPr>
            <w:rStyle w:val="Lienhypertexte"/>
            <w:noProof/>
          </w:rPr>
          <w:t>1.3.1.1.</w:t>
        </w:r>
        <w:r w:rsidR="007D0974">
          <w:rPr>
            <w:rFonts w:eastAsiaTheme="minorEastAsia" w:cstheme="minorBidi"/>
            <w:noProof/>
            <w:sz w:val="22"/>
            <w:szCs w:val="22"/>
            <w:lang w:eastAsia="fr-FR"/>
          </w:rPr>
          <w:tab/>
        </w:r>
        <w:r w:rsidR="007D0974" w:rsidRPr="00C37E66">
          <w:rPr>
            <w:rStyle w:val="Lienhypertexte"/>
            <w:noProof/>
          </w:rPr>
          <w:t>Présentation contextuelle</w:t>
        </w:r>
        <w:r w:rsidR="007D0974">
          <w:rPr>
            <w:noProof/>
            <w:webHidden/>
          </w:rPr>
          <w:tab/>
        </w:r>
        <w:r w:rsidR="007D0974">
          <w:rPr>
            <w:noProof/>
            <w:webHidden/>
          </w:rPr>
          <w:fldChar w:fldCharType="begin"/>
        </w:r>
        <w:r w:rsidR="007D0974">
          <w:rPr>
            <w:noProof/>
            <w:webHidden/>
          </w:rPr>
          <w:instrText xml:space="preserve"> PAGEREF _Toc492972249 \h </w:instrText>
        </w:r>
        <w:r w:rsidR="007D0974">
          <w:rPr>
            <w:noProof/>
            <w:webHidden/>
          </w:rPr>
        </w:r>
        <w:r w:rsidR="007D0974">
          <w:rPr>
            <w:noProof/>
            <w:webHidden/>
          </w:rPr>
          <w:fldChar w:fldCharType="separate"/>
        </w:r>
        <w:r w:rsidR="00E95BEE">
          <w:rPr>
            <w:noProof/>
            <w:webHidden/>
          </w:rPr>
          <w:t>80</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50" w:history="1">
        <w:r w:rsidR="007D0974" w:rsidRPr="00C37E66">
          <w:rPr>
            <w:rStyle w:val="Lienhypertexte"/>
            <w:noProof/>
          </w:rPr>
          <w:t>1.3.1.2.</w:t>
        </w:r>
        <w:r w:rsidR="007D0974">
          <w:rPr>
            <w:rFonts w:eastAsiaTheme="minorEastAsia" w:cstheme="minorBidi"/>
            <w:noProof/>
            <w:sz w:val="22"/>
            <w:szCs w:val="22"/>
            <w:lang w:eastAsia="fr-FR"/>
          </w:rPr>
          <w:tab/>
        </w:r>
        <w:r w:rsidR="007D0974" w:rsidRPr="00C37E66">
          <w:rPr>
            <w:rStyle w:val="Lienhypertexte"/>
            <w:noProof/>
          </w:rPr>
          <w:t>Outils de planification du PPP</w:t>
        </w:r>
        <w:r w:rsidR="007D0974">
          <w:rPr>
            <w:noProof/>
            <w:webHidden/>
          </w:rPr>
          <w:tab/>
        </w:r>
        <w:r w:rsidR="007D0974">
          <w:rPr>
            <w:noProof/>
            <w:webHidden/>
          </w:rPr>
          <w:fldChar w:fldCharType="begin"/>
        </w:r>
        <w:r w:rsidR="007D0974">
          <w:rPr>
            <w:noProof/>
            <w:webHidden/>
          </w:rPr>
          <w:instrText xml:space="preserve"> PAGEREF _Toc492972250 \h </w:instrText>
        </w:r>
        <w:r w:rsidR="007D0974">
          <w:rPr>
            <w:noProof/>
            <w:webHidden/>
          </w:rPr>
        </w:r>
        <w:r w:rsidR="007D0974">
          <w:rPr>
            <w:noProof/>
            <w:webHidden/>
          </w:rPr>
          <w:fldChar w:fldCharType="separate"/>
        </w:r>
        <w:r w:rsidR="00E95BEE">
          <w:rPr>
            <w:noProof/>
            <w:webHidden/>
          </w:rPr>
          <w:t>80</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51" w:history="1">
        <w:r w:rsidR="007D0974" w:rsidRPr="00C37E66">
          <w:rPr>
            <w:rStyle w:val="Lienhypertexte"/>
            <w:noProof/>
          </w:rPr>
          <w:t>1.3.1.3.</w:t>
        </w:r>
        <w:r w:rsidR="007D0974">
          <w:rPr>
            <w:rFonts w:eastAsiaTheme="minorEastAsia" w:cstheme="minorBidi"/>
            <w:noProof/>
            <w:sz w:val="22"/>
            <w:szCs w:val="22"/>
            <w:lang w:eastAsia="fr-FR"/>
          </w:rPr>
          <w:tab/>
        </w:r>
        <w:r w:rsidR="007D0974" w:rsidRPr="00C37E66">
          <w:rPr>
            <w:rStyle w:val="Lienhypertexte"/>
            <w:noProof/>
          </w:rPr>
          <w:t>Formes de PPP</w:t>
        </w:r>
        <w:r w:rsidR="007D0974">
          <w:rPr>
            <w:noProof/>
            <w:webHidden/>
          </w:rPr>
          <w:tab/>
        </w:r>
        <w:r w:rsidR="007D0974">
          <w:rPr>
            <w:noProof/>
            <w:webHidden/>
          </w:rPr>
          <w:fldChar w:fldCharType="begin"/>
        </w:r>
        <w:r w:rsidR="007D0974">
          <w:rPr>
            <w:noProof/>
            <w:webHidden/>
          </w:rPr>
          <w:instrText xml:space="preserve"> PAGEREF _Toc492972251 \h </w:instrText>
        </w:r>
        <w:r w:rsidR="007D0974">
          <w:rPr>
            <w:noProof/>
            <w:webHidden/>
          </w:rPr>
        </w:r>
        <w:r w:rsidR="007D0974">
          <w:rPr>
            <w:noProof/>
            <w:webHidden/>
          </w:rPr>
          <w:fldChar w:fldCharType="separate"/>
        </w:r>
        <w:r w:rsidR="00E95BEE">
          <w:rPr>
            <w:noProof/>
            <w:webHidden/>
          </w:rPr>
          <w:t>80</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52" w:history="1">
        <w:r w:rsidR="007D0974" w:rsidRPr="00C37E66">
          <w:rPr>
            <w:rStyle w:val="Lienhypertexte"/>
            <w:noProof/>
          </w:rPr>
          <w:t>2.3.2.</w:t>
        </w:r>
        <w:r w:rsidR="007D0974">
          <w:rPr>
            <w:rFonts w:eastAsiaTheme="minorEastAsia" w:cstheme="minorBidi"/>
            <w:noProof/>
            <w:sz w:val="22"/>
            <w:szCs w:val="22"/>
            <w:lang w:eastAsia="fr-FR"/>
          </w:rPr>
          <w:tab/>
        </w:r>
        <w:r w:rsidR="007D0974" w:rsidRPr="00C37E66">
          <w:rPr>
            <w:rStyle w:val="Lienhypertexte"/>
            <w:noProof/>
          </w:rPr>
          <w:t>Point du financement international des projets structurants par le PPP</w:t>
        </w:r>
        <w:r w:rsidR="007D0974">
          <w:rPr>
            <w:noProof/>
            <w:webHidden/>
          </w:rPr>
          <w:tab/>
        </w:r>
        <w:r w:rsidR="007D0974">
          <w:rPr>
            <w:noProof/>
            <w:webHidden/>
          </w:rPr>
          <w:fldChar w:fldCharType="begin"/>
        </w:r>
        <w:r w:rsidR="007D0974">
          <w:rPr>
            <w:noProof/>
            <w:webHidden/>
          </w:rPr>
          <w:instrText xml:space="preserve"> PAGEREF _Toc492972252 \h </w:instrText>
        </w:r>
        <w:r w:rsidR="007D0974">
          <w:rPr>
            <w:noProof/>
            <w:webHidden/>
          </w:rPr>
        </w:r>
        <w:r w:rsidR="007D0974">
          <w:rPr>
            <w:noProof/>
            <w:webHidden/>
          </w:rPr>
          <w:fldChar w:fldCharType="separate"/>
        </w:r>
        <w:r w:rsidR="00E95BEE">
          <w:rPr>
            <w:noProof/>
            <w:webHidden/>
          </w:rPr>
          <w:t>82</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53" w:history="1">
        <w:r w:rsidR="007D0974" w:rsidRPr="00C37E66">
          <w:rPr>
            <w:rStyle w:val="Lienhypertexte"/>
            <w:noProof/>
          </w:rPr>
          <w:t>2.3.3.</w:t>
        </w:r>
        <w:r w:rsidR="007D0974">
          <w:rPr>
            <w:rFonts w:eastAsiaTheme="minorEastAsia" w:cstheme="minorBidi"/>
            <w:noProof/>
            <w:sz w:val="22"/>
            <w:szCs w:val="22"/>
            <w:lang w:eastAsia="fr-FR"/>
          </w:rPr>
          <w:tab/>
        </w:r>
        <w:r w:rsidR="007D0974" w:rsidRPr="00C37E66">
          <w:rPr>
            <w:rStyle w:val="Lienhypertexte"/>
            <w:noProof/>
          </w:rPr>
          <w:t>Point sur les actions de financement du privé national</w:t>
        </w:r>
        <w:r w:rsidR="007D0974">
          <w:rPr>
            <w:noProof/>
            <w:webHidden/>
          </w:rPr>
          <w:tab/>
        </w:r>
        <w:r w:rsidR="007D0974">
          <w:rPr>
            <w:noProof/>
            <w:webHidden/>
          </w:rPr>
          <w:fldChar w:fldCharType="begin"/>
        </w:r>
        <w:r w:rsidR="007D0974">
          <w:rPr>
            <w:noProof/>
            <w:webHidden/>
          </w:rPr>
          <w:instrText xml:space="preserve"> PAGEREF _Toc492972253 \h </w:instrText>
        </w:r>
        <w:r w:rsidR="007D0974">
          <w:rPr>
            <w:noProof/>
            <w:webHidden/>
          </w:rPr>
        </w:r>
        <w:r w:rsidR="007D0974">
          <w:rPr>
            <w:noProof/>
            <w:webHidden/>
          </w:rPr>
          <w:fldChar w:fldCharType="separate"/>
        </w:r>
        <w:r w:rsidR="00E95BEE">
          <w:rPr>
            <w:noProof/>
            <w:webHidden/>
          </w:rPr>
          <w:t>82</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54" w:history="1">
        <w:r w:rsidR="007D0974" w:rsidRPr="00C37E66">
          <w:rPr>
            <w:rStyle w:val="Lienhypertexte"/>
            <w:noProof/>
          </w:rPr>
          <w:t>1.3.3.1.</w:t>
        </w:r>
        <w:r w:rsidR="007D0974">
          <w:rPr>
            <w:rFonts w:eastAsiaTheme="minorEastAsia" w:cstheme="minorBidi"/>
            <w:noProof/>
            <w:sz w:val="22"/>
            <w:szCs w:val="22"/>
            <w:lang w:eastAsia="fr-FR"/>
          </w:rPr>
          <w:tab/>
        </w:r>
        <w:r w:rsidR="007D0974" w:rsidRPr="00C37E66">
          <w:rPr>
            <w:rStyle w:val="Lienhypertexte"/>
            <w:noProof/>
          </w:rPr>
          <w:t>Organisation du secteur privé</w:t>
        </w:r>
        <w:r w:rsidR="007D0974">
          <w:rPr>
            <w:noProof/>
            <w:webHidden/>
          </w:rPr>
          <w:tab/>
        </w:r>
        <w:r w:rsidR="007D0974">
          <w:rPr>
            <w:noProof/>
            <w:webHidden/>
          </w:rPr>
          <w:fldChar w:fldCharType="begin"/>
        </w:r>
        <w:r w:rsidR="007D0974">
          <w:rPr>
            <w:noProof/>
            <w:webHidden/>
          </w:rPr>
          <w:instrText xml:space="preserve"> PAGEREF _Toc492972254 \h </w:instrText>
        </w:r>
        <w:r w:rsidR="007D0974">
          <w:rPr>
            <w:noProof/>
            <w:webHidden/>
          </w:rPr>
        </w:r>
        <w:r w:rsidR="007D0974">
          <w:rPr>
            <w:noProof/>
            <w:webHidden/>
          </w:rPr>
          <w:fldChar w:fldCharType="separate"/>
        </w:r>
        <w:r w:rsidR="00E95BEE">
          <w:rPr>
            <w:noProof/>
            <w:webHidden/>
          </w:rPr>
          <w:t>82</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55" w:history="1">
        <w:r w:rsidR="007D0974" w:rsidRPr="00C37E66">
          <w:rPr>
            <w:rStyle w:val="Lienhypertexte"/>
            <w:noProof/>
          </w:rPr>
          <w:t>1.3.3.2.</w:t>
        </w:r>
        <w:r w:rsidR="007D0974">
          <w:rPr>
            <w:rFonts w:eastAsiaTheme="minorEastAsia" w:cstheme="minorBidi"/>
            <w:noProof/>
            <w:sz w:val="22"/>
            <w:szCs w:val="22"/>
            <w:lang w:eastAsia="fr-FR"/>
          </w:rPr>
          <w:tab/>
        </w:r>
        <w:r w:rsidR="007D0974" w:rsidRPr="00C37E66">
          <w:rPr>
            <w:rStyle w:val="Lienhypertexte"/>
            <w:noProof/>
          </w:rPr>
          <w:t>Opportunités, défis et contraintes de mobilisation des ressources auprès du secteur privé</w:t>
        </w:r>
        <w:r w:rsidR="007D0974">
          <w:rPr>
            <w:noProof/>
            <w:webHidden/>
          </w:rPr>
          <w:tab/>
        </w:r>
        <w:r w:rsidR="007D0974">
          <w:rPr>
            <w:noProof/>
            <w:webHidden/>
          </w:rPr>
          <w:fldChar w:fldCharType="begin"/>
        </w:r>
        <w:r w:rsidR="007D0974">
          <w:rPr>
            <w:noProof/>
            <w:webHidden/>
          </w:rPr>
          <w:instrText xml:space="preserve"> PAGEREF _Toc492972255 \h </w:instrText>
        </w:r>
        <w:r w:rsidR="007D0974">
          <w:rPr>
            <w:noProof/>
            <w:webHidden/>
          </w:rPr>
        </w:r>
        <w:r w:rsidR="007D0974">
          <w:rPr>
            <w:noProof/>
            <w:webHidden/>
          </w:rPr>
          <w:fldChar w:fldCharType="separate"/>
        </w:r>
        <w:r w:rsidR="00E95BEE">
          <w:rPr>
            <w:noProof/>
            <w:webHidden/>
          </w:rPr>
          <w:t>82</w:t>
        </w:r>
        <w:r w:rsidR="007D0974">
          <w:rPr>
            <w:noProof/>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56" w:history="1">
        <w:r w:rsidR="007D0974" w:rsidRPr="00C37E66">
          <w:rPr>
            <w:rStyle w:val="Lienhypertexte"/>
          </w:rPr>
          <w:t>2.4.</w:t>
        </w:r>
        <w:r w:rsidR="007D0974">
          <w:rPr>
            <w:rFonts w:asciiTheme="minorHAnsi" w:eastAsiaTheme="minorEastAsia" w:hAnsiTheme="minorHAnsi" w:cstheme="minorBidi"/>
            <w:bCs w:val="0"/>
            <w:iCs w:val="0"/>
            <w:sz w:val="22"/>
            <w:szCs w:val="22"/>
            <w:lang w:val="fr-FR"/>
          </w:rPr>
          <w:tab/>
        </w:r>
        <w:r w:rsidR="007D0974" w:rsidRPr="00C37E66">
          <w:rPr>
            <w:rStyle w:val="Lienhypertexte"/>
          </w:rPr>
          <w:t>Point sur les financements innovants</w:t>
        </w:r>
        <w:r w:rsidR="007D0974">
          <w:rPr>
            <w:webHidden/>
          </w:rPr>
          <w:tab/>
        </w:r>
        <w:r w:rsidR="007D0974">
          <w:rPr>
            <w:webHidden/>
          </w:rPr>
          <w:fldChar w:fldCharType="begin"/>
        </w:r>
        <w:r w:rsidR="007D0974">
          <w:rPr>
            <w:webHidden/>
          </w:rPr>
          <w:instrText xml:space="preserve"> PAGEREF _Toc492972256 \h </w:instrText>
        </w:r>
        <w:r w:rsidR="007D0974">
          <w:rPr>
            <w:webHidden/>
          </w:rPr>
        </w:r>
        <w:r w:rsidR="007D0974">
          <w:rPr>
            <w:webHidden/>
          </w:rPr>
          <w:fldChar w:fldCharType="separate"/>
        </w:r>
        <w:r w:rsidR="00E95BEE">
          <w:rPr>
            <w:webHidden/>
          </w:rPr>
          <w:t>84</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57" w:history="1">
        <w:r w:rsidR="007D0974" w:rsidRPr="00C37E66">
          <w:rPr>
            <w:rStyle w:val="Lienhypertexte"/>
            <w:noProof/>
          </w:rPr>
          <w:t>1.4.1.</w:t>
        </w:r>
        <w:r w:rsidR="007D0974">
          <w:rPr>
            <w:rFonts w:eastAsiaTheme="minorEastAsia" w:cstheme="minorBidi"/>
            <w:noProof/>
            <w:sz w:val="22"/>
            <w:szCs w:val="22"/>
            <w:lang w:eastAsia="fr-FR"/>
          </w:rPr>
          <w:tab/>
        </w:r>
        <w:r w:rsidR="007D0974" w:rsidRPr="00C37E66">
          <w:rPr>
            <w:rStyle w:val="Lienhypertexte"/>
            <w:noProof/>
          </w:rPr>
          <w:t>La finance islamique</w:t>
        </w:r>
        <w:r w:rsidR="007D0974">
          <w:rPr>
            <w:noProof/>
            <w:webHidden/>
          </w:rPr>
          <w:tab/>
        </w:r>
        <w:r w:rsidR="007D0974">
          <w:rPr>
            <w:noProof/>
            <w:webHidden/>
          </w:rPr>
          <w:fldChar w:fldCharType="begin"/>
        </w:r>
        <w:r w:rsidR="007D0974">
          <w:rPr>
            <w:noProof/>
            <w:webHidden/>
          </w:rPr>
          <w:instrText xml:space="preserve"> PAGEREF _Toc492972257 \h </w:instrText>
        </w:r>
        <w:r w:rsidR="007D0974">
          <w:rPr>
            <w:noProof/>
            <w:webHidden/>
          </w:rPr>
        </w:r>
        <w:r w:rsidR="007D0974">
          <w:rPr>
            <w:noProof/>
            <w:webHidden/>
          </w:rPr>
          <w:fldChar w:fldCharType="separate"/>
        </w:r>
        <w:r w:rsidR="00E95BEE">
          <w:rPr>
            <w:noProof/>
            <w:webHidden/>
          </w:rPr>
          <w:t>84</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58" w:history="1">
        <w:r w:rsidR="007D0974" w:rsidRPr="00C37E66">
          <w:rPr>
            <w:rStyle w:val="Lienhypertexte"/>
            <w:noProof/>
          </w:rPr>
          <w:t>1.4.2.</w:t>
        </w:r>
        <w:r w:rsidR="007D0974">
          <w:rPr>
            <w:rFonts w:eastAsiaTheme="minorEastAsia" w:cstheme="minorBidi"/>
            <w:noProof/>
            <w:sz w:val="22"/>
            <w:szCs w:val="22"/>
            <w:lang w:eastAsia="fr-FR"/>
          </w:rPr>
          <w:tab/>
        </w:r>
        <w:r w:rsidR="007D0974" w:rsidRPr="00C37E66">
          <w:rPr>
            <w:rStyle w:val="Lienhypertexte"/>
            <w:noProof/>
          </w:rPr>
          <w:t>La finance climat</w:t>
        </w:r>
        <w:r w:rsidR="007D0974">
          <w:rPr>
            <w:noProof/>
            <w:webHidden/>
          </w:rPr>
          <w:tab/>
        </w:r>
        <w:r w:rsidR="007D0974">
          <w:rPr>
            <w:noProof/>
            <w:webHidden/>
          </w:rPr>
          <w:fldChar w:fldCharType="begin"/>
        </w:r>
        <w:r w:rsidR="007D0974">
          <w:rPr>
            <w:noProof/>
            <w:webHidden/>
          </w:rPr>
          <w:instrText xml:space="preserve"> PAGEREF _Toc492972258 \h </w:instrText>
        </w:r>
        <w:r w:rsidR="007D0974">
          <w:rPr>
            <w:noProof/>
            <w:webHidden/>
          </w:rPr>
        </w:r>
        <w:r w:rsidR="007D0974">
          <w:rPr>
            <w:noProof/>
            <w:webHidden/>
          </w:rPr>
          <w:fldChar w:fldCharType="separate"/>
        </w:r>
        <w:r w:rsidR="00E95BEE">
          <w:rPr>
            <w:noProof/>
            <w:webHidden/>
          </w:rPr>
          <w:t>86</w:t>
        </w:r>
        <w:r w:rsidR="007D0974">
          <w:rPr>
            <w:noProof/>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59" w:history="1">
        <w:r w:rsidR="007D0974" w:rsidRPr="00C37E66">
          <w:rPr>
            <w:rStyle w:val="Lienhypertexte"/>
            <w:lang w:eastAsia="fr-FR"/>
          </w:rPr>
          <w:t>Chapitre 3 : Perspectives et recommandations pour un financement efficace du PNDES</w:t>
        </w:r>
        <w:r w:rsidR="007D0974">
          <w:rPr>
            <w:webHidden/>
          </w:rPr>
          <w:tab/>
        </w:r>
        <w:r w:rsidR="007D0974">
          <w:rPr>
            <w:webHidden/>
          </w:rPr>
          <w:fldChar w:fldCharType="begin"/>
        </w:r>
        <w:r w:rsidR="007D0974">
          <w:rPr>
            <w:webHidden/>
          </w:rPr>
          <w:instrText xml:space="preserve"> PAGEREF _Toc492972259 \h </w:instrText>
        </w:r>
        <w:r w:rsidR="007D0974">
          <w:rPr>
            <w:webHidden/>
          </w:rPr>
        </w:r>
        <w:r w:rsidR="007D0974">
          <w:rPr>
            <w:webHidden/>
          </w:rPr>
          <w:fldChar w:fldCharType="separate"/>
        </w:r>
        <w:r w:rsidR="00E95BEE">
          <w:rPr>
            <w:webHidden/>
          </w:rPr>
          <w:t>89</w:t>
        </w:r>
        <w:r w:rsidR="007D0974">
          <w:rPr>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60" w:history="1">
        <w:r w:rsidR="007D0974" w:rsidRPr="00C37E66">
          <w:rPr>
            <w:rStyle w:val="Lienhypertexte"/>
          </w:rPr>
          <w:t>3.1.</w:t>
        </w:r>
        <w:r w:rsidR="007D0974">
          <w:rPr>
            <w:rFonts w:asciiTheme="minorHAnsi" w:eastAsiaTheme="minorEastAsia" w:hAnsiTheme="minorHAnsi" w:cstheme="minorBidi"/>
            <w:bCs w:val="0"/>
            <w:iCs w:val="0"/>
            <w:sz w:val="22"/>
            <w:szCs w:val="22"/>
            <w:lang w:val="fr-FR"/>
          </w:rPr>
          <w:tab/>
        </w:r>
        <w:r w:rsidR="007D0974" w:rsidRPr="00C37E66">
          <w:rPr>
            <w:rStyle w:val="Lienhypertexte"/>
          </w:rPr>
          <w:t>Perspectives pour un financement efficace du PNDES</w:t>
        </w:r>
        <w:r w:rsidR="007D0974">
          <w:rPr>
            <w:webHidden/>
          </w:rPr>
          <w:tab/>
        </w:r>
        <w:r w:rsidR="007D0974">
          <w:rPr>
            <w:webHidden/>
          </w:rPr>
          <w:fldChar w:fldCharType="begin"/>
        </w:r>
        <w:r w:rsidR="007D0974">
          <w:rPr>
            <w:webHidden/>
          </w:rPr>
          <w:instrText xml:space="preserve"> PAGEREF _Toc492972260 \h </w:instrText>
        </w:r>
        <w:r w:rsidR="007D0974">
          <w:rPr>
            <w:webHidden/>
          </w:rPr>
        </w:r>
        <w:r w:rsidR="007D0974">
          <w:rPr>
            <w:webHidden/>
          </w:rPr>
          <w:fldChar w:fldCharType="separate"/>
        </w:r>
        <w:r w:rsidR="00E95BEE">
          <w:rPr>
            <w:webHidden/>
          </w:rPr>
          <w:t>89</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61" w:history="1">
        <w:r w:rsidR="007D0974" w:rsidRPr="00C37E66">
          <w:rPr>
            <w:rStyle w:val="Lienhypertexte"/>
            <w:noProof/>
          </w:rPr>
          <w:t>3.1.1.</w:t>
        </w:r>
        <w:r w:rsidR="007D0974">
          <w:rPr>
            <w:rFonts w:eastAsiaTheme="minorEastAsia" w:cstheme="minorBidi"/>
            <w:noProof/>
            <w:sz w:val="22"/>
            <w:szCs w:val="22"/>
            <w:lang w:eastAsia="fr-FR"/>
          </w:rPr>
          <w:tab/>
        </w:r>
        <w:r w:rsidR="007D0974" w:rsidRPr="00C37E66">
          <w:rPr>
            <w:rStyle w:val="Lienhypertexte"/>
            <w:noProof/>
          </w:rPr>
          <w:t>Au niveau international</w:t>
        </w:r>
        <w:r w:rsidR="007D0974">
          <w:rPr>
            <w:noProof/>
            <w:webHidden/>
          </w:rPr>
          <w:tab/>
        </w:r>
        <w:r w:rsidR="007D0974">
          <w:rPr>
            <w:noProof/>
            <w:webHidden/>
          </w:rPr>
          <w:fldChar w:fldCharType="begin"/>
        </w:r>
        <w:r w:rsidR="007D0974">
          <w:rPr>
            <w:noProof/>
            <w:webHidden/>
          </w:rPr>
          <w:instrText xml:space="preserve"> PAGEREF _Toc492972261 \h </w:instrText>
        </w:r>
        <w:r w:rsidR="007D0974">
          <w:rPr>
            <w:noProof/>
            <w:webHidden/>
          </w:rPr>
        </w:r>
        <w:r w:rsidR="007D0974">
          <w:rPr>
            <w:noProof/>
            <w:webHidden/>
          </w:rPr>
          <w:fldChar w:fldCharType="separate"/>
        </w:r>
        <w:r w:rsidR="00E95BEE">
          <w:rPr>
            <w:noProof/>
            <w:webHidden/>
          </w:rPr>
          <w:t>89</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62" w:history="1">
        <w:r w:rsidR="007D0974" w:rsidRPr="00C37E66">
          <w:rPr>
            <w:rStyle w:val="Lienhypertexte"/>
            <w:noProof/>
          </w:rPr>
          <w:t>3.1.2.</w:t>
        </w:r>
        <w:r w:rsidR="007D0974">
          <w:rPr>
            <w:rFonts w:eastAsiaTheme="minorEastAsia" w:cstheme="minorBidi"/>
            <w:noProof/>
            <w:sz w:val="22"/>
            <w:szCs w:val="22"/>
            <w:lang w:eastAsia="fr-FR"/>
          </w:rPr>
          <w:tab/>
        </w:r>
        <w:r w:rsidR="007D0974" w:rsidRPr="00C37E66">
          <w:rPr>
            <w:rStyle w:val="Lienhypertexte"/>
            <w:noProof/>
          </w:rPr>
          <w:t>Au niveau national</w:t>
        </w:r>
        <w:r w:rsidR="007D0974">
          <w:rPr>
            <w:noProof/>
            <w:webHidden/>
          </w:rPr>
          <w:tab/>
        </w:r>
        <w:r w:rsidR="007D0974">
          <w:rPr>
            <w:noProof/>
            <w:webHidden/>
          </w:rPr>
          <w:fldChar w:fldCharType="begin"/>
        </w:r>
        <w:r w:rsidR="007D0974">
          <w:rPr>
            <w:noProof/>
            <w:webHidden/>
          </w:rPr>
          <w:instrText xml:space="preserve"> PAGEREF _Toc492972262 \h </w:instrText>
        </w:r>
        <w:r w:rsidR="007D0974">
          <w:rPr>
            <w:noProof/>
            <w:webHidden/>
          </w:rPr>
        </w:r>
        <w:r w:rsidR="007D0974">
          <w:rPr>
            <w:noProof/>
            <w:webHidden/>
          </w:rPr>
          <w:fldChar w:fldCharType="separate"/>
        </w:r>
        <w:r w:rsidR="00E95BEE">
          <w:rPr>
            <w:noProof/>
            <w:webHidden/>
          </w:rPr>
          <w:t>90</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63" w:history="1">
        <w:r w:rsidR="007D0974" w:rsidRPr="00C37E66">
          <w:rPr>
            <w:rStyle w:val="Lienhypertexte"/>
            <w:noProof/>
          </w:rPr>
          <w:t>3.1.2.1.</w:t>
        </w:r>
        <w:r w:rsidR="007D0974">
          <w:rPr>
            <w:rFonts w:eastAsiaTheme="minorEastAsia" w:cstheme="minorBidi"/>
            <w:noProof/>
            <w:sz w:val="22"/>
            <w:szCs w:val="22"/>
            <w:lang w:eastAsia="fr-FR"/>
          </w:rPr>
          <w:tab/>
        </w:r>
        <w:r w:rsidR="007D0974" w:rsidRPr="00C37E66">
          <w:rPr>
            <w:rStyle w:val="Lienhypertexte"/>
            <w:noProof/>
          </w:rPr>
          <w:t>La mise en œuvre de la politique nationale de la coopération au développement (PNCD).</w:t>
        </w:r>
        <w:r w:rsidR="007D0974">
          <w:rPr>
            <w:noProof/>
            <w:webHidden/>
          </w:rPr>
          <w:tab/>
        </w:r>
        <w:r w:rsidR="007D0974">
          <w:rPr>
            <w:noProof/>
            <w:webHidden/>
          </w:rPr>
          <w:fldChar w:fldCharType="begin"/>
        </w:r>
        <w:r w:rsidR="007D0974">
          <w:rPr>
            <w:noProof/>
            <w:webHidden/>
          </w:rPr>
          <w:instrText xml:space="preserve"> PAGEREF _Toc492972263 \h </w:instrText>
        </w:r>
        <w:r w:rsidR="007D0974">
          <w:rPr>
            <w:noProof/>
            <w:webHidden/>
          </w:rPr>
        </w:r>
        <w:r w:rsidR="007D0974">
          <w:rPr>
            <w:noProof/>
            <w:webHidden/>
          </w:rPr>
          <w:fldChar w:fldCharType="separate"/>
        </w:r>
        <w:r w:rsidR="00E95BEE">
          <w:rPr>
            <w:noProof/>
            <w:webHidden/>
          </w:rPr>
          <w:t>90</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64" w:history="1">
        <w:r w:rsidR="007D0974" w:rsidRPr="00C37E66">
          <w:rPr>
            <w:rStyle w:val="Lienhypertexte"/>
            <w:noProof/>
          </w:rPr>
          <w:t>3.1.2.2.</w:t>
        </w:r>
        <w:r w:rsidR="007D0974">
          <w:rPr>
            <w:rFonts w:eastAsiaTheme="minorEastAsia" w:cstheme="minorBidi"/>
            <w:noProof/>
            <w:sz w:val="22"/>
            <w:szCs w:val="22"/>
            <w:lang w:eastAsia="fr-FR"/>
          </w:rPr>
          <w:tab/>
        </w:r>
        <w:r w:rsidR="007D0974" w:rsidRPr="00C37E66">
          <w:rPr>
            <w:rStyle w:val="Lienhypertexte"/>
            <w:noProof/>
          </w:rPr>
          <w:t>Mise en œuvre du document référentiel sur la division du travail et la complémentarité entre les interventions des Partenaires techniques et financiers</w:t>
        </w:r>
        <w:r w:rsidR="007D0974">
          <w:rPr>
            <w:noProof/>
            <w:webHidden/>
          </w:rPr>
          <w:tab/>
        </w:r>
        <w:r w:rsidR="007D0974">
          <w:rPr>
            <w:noProof/>
            <w:webHidden/>
          </w:rPr>
          <w:fldChar w:fldCharType="begin"/>
        </w:r>
        <w:r w:rsidR="007D0974">
          <w:rPr>
            <w:noProof/>
            <w:webHidden/>
          </w:rPr>
          <w:instrText xml:space="preserve"> PAGEREF _Toc492972264 \h </w:instrText>
        </w:r>
        <w:r w:rsidR="007D0974">
          <w:rPr>
            <w:noProof/>
            <w:webHidden/>
          </w:rPr>
        </w:r>
        <w:r w:rsidR="007D0974">
          <w:rPr>
            <w:noProof/>
            <w:webHidden/>
          </w:rPr>
          <w:fldChar w:fldCharType="separate"/>
        </w:r>
        <w:r w:rsidR="00E95BEE">
          <w:rPr>
            <w:noProof/>
            <w:webHidden/>
          </w:rPr>
          <w:t>91</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65" w:history="1">
        <w:r w:rsidR="007D0974" w:rsidRPr="00C37E66">
          <w:rPr>
            <w:rStyle w:val="Lienhypertexte"/>
            <w:noProof/>
          </w:rPr>
          <w:t>3.1.2.3.</w:t>
        </w:r>
        <w:r w:rsidR="007D0974">
          <w:rPr>
            <w:rFonts w:eastAsiaTheme="minorEastAsia" w:cstheme="minorBidi"/>
            <w:noProof/>
            <w:sz w:val="22"/>
            <w:szCs w:val="22"/>
            <w:lang w:eastAsia="fr-FR"/>
          </w:rPr>
          <w:tab/>
        </w:r>
        <w:r w:rsidR="007D0974" w:rsidRPr="00C37E66">
          <w:rPr>
            <w:rStyle w:val="Lienhypertexte"/>
            <w:noProof/>
          </w:rPr>
          <w:t>La mise en œuvre de mesures tendant à une mobilisation conséquente des ressources</w:t>
        </w:r>
        <w:r w:rsidR="007D0974">
          <w:rPr>
            <w:noProof/>
            <w:webHidden/>
          </w:rPr>
          <w:tab/>
        </w:r>
        <w:r w:rsidR="007D0974">
          <w:rPr>
            <w:noProof/>
            <w:webHidden/>
          </w:rPr>
          <w:fldChar w:fldCharType="begin"/>
        </w:r>
        <w:r w:rsidR="007D0974">
          <w:rPr>
            <w:noProof/>
            <w:webHidden/>
          </w:rPr>
          <w:instrText xml:space="preserve"> PAGEREF _Toc492972265 \h </w:instrText>
        </w:r>
        <w:r w:rsidR="007D0974">
          <w:rPr>
            <w:noProof/>
            <w:webHidden/>
          </w:rPr>
        </w:r>
        <w:r w:rsidR="007D0974">
          <w:rPr>
            <w:noProof/>
            <w:webHidden/>
          </w:rPr>
          <w:fldChar w:fldCharType="separate"/>
        </w:r>
        <w:r w:rsidR="00E95BEE">
          <w:rPr>
            <w:noProof/>
            <w:webHidden/>
          </w:rPr>
          <w:t>92</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66" w:history="1">
        <w:r w:rsidR="007D0974" w:rsidRPr="00C37E66">
          <w:rPr>
            <w:rStyle w:val="Lienhypertexte"/>
            <w:noProof/>
          </w:rPr>
          <w:t>3.1.2.4.</w:t>
        </w:r>
        <w:r w:rsidR="007D0974">
          <w:rPr>
            <w:rFonts w:eastAsiaTheme="minorEastAsia" w:cstheme="minorBidi"/>
            <w:noProof/>
            <w:sz w:val="22"/>
            <w:szCs w:val="22"/>
            <w:lang w:eastAsia="fr-FR"/>
          </w:rPr>
          <w:tab/>
        </w:r>
        <w:r w:rsidR="007D0974" w:rsidRPr="00C37E66">
          <w:rPr>
            <w:rStyle w:val="Lienhypertexte"/>
            <w:noProof/>
          </w:rPr>
          <w:t>Projet d’appui à la mise en œuvre du PNDES</w:t>
        </w:r>
        <w:r w:rsidR="007D0974">
          <w:rPr>
            <w:noProof/>
            <w:webHidden/>
          </w:rPr>
          <w:tab/>
        </w:r>
        <w:r w:rsidR="007D0974">
          <w:rPr>
            <w:noProof/>
            <w:webHidden/>
          </w:rPr>
          <w:fldChar w:fldCharType="begin"/>
        </w:r>
        <w:r w:rsidR="007D0974">
          <w:rPr>
            <w:noProof/>
            <w:webHidden/>
          </w:rPr>
          <w:instrText xml:space="preserve"> PAGEREF _Toc492972266 \h </w:instrText>
        </w:r>
        <w:r w:rsidR="007D0974">
          <w:rPr>
            <w:noProof/>
            <w:webHidden/>
          </w:rPr>
        </w:r>
        <w:r w:rsidR="007D0974">
          <w:rPr>
            <w:noProof/>
            <w:webHidden/>
          </w:rPr>
          <w:fldChar w:fldCharType="separate"/>
        </w:r>
        <w:r w:rsidR="00E95BEE">
          <w:rPr>
            <w:noProof/>
            <w:webHidden/>
          </w:rPr>
          <w:t>93</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67" w:history="1">
        <w:r w:rsidR="007D0974" w:rsidRPr="00C37E66">
          <w:rPr>
            <w:rStyle w:val="Lienhypertexte"/>
            <w:noProof/>
          </w:rPr>
          <w:t>3.1.2.5.</w:t>
        </w:r>
        <w:r w:rsidR="007D0974">
          <w:rPr>
            <w:rFonts w:eastAsiaTheme="minorEastAsia" w:cstheme="minorBidi"/>
            <w:noProof/>
            <w:sz w:val="22"/>
            <w:szCs w:val="22"/>
            <w:lang w:eastAsia="fr-FR"/>
          </w:rPr>
          <w:tab/>
        </w:r>
        <w:r w:rsidR="007D0974" w:rsidRPr="00C37E66">
          <w:rPr>
            <w:rStyle w:val="Lienhypertexte"/>
            <w:noProof/>
          </w:rPr>
          <w:t>Les tables rondes sectorielles/transversales</w:t>
        </w:r>
        <w:r w:rsidR="007D0974">
          <w:rPr>
            <w:noProof/>
            <w:webHidden/>
          </w:rPr>
          <w:tab/>
        </w:r>
        <w:r w:rsidR="007D0974">
          <w:rPr>
            <w:noProof/>
            <w:webHidden/>
          </w:rPr>
          <w:fldChar w:fldCharType="begin"/>
        </w:r>
        <w:r w:rsidR="007D0974">
          <w:rPr>
            <w:noProof/>
            <w:webHidden/>
          </w:rPr>
          <w:instrText xml:space="preserve"> PAGEREF _Toc492972267 \h </w:instrText>
        </w:r>
        <w:r w:rsidR="007D0974">
          <w:rPr>
            <w:noProof/>
            <w:webHidden/>
          </w:rPr>
        </w:r>
        <w:r w:rsidR="007D0974">
          <w:rPr>
            <w:noProof/>
            <w:webHidden/>
          </w:rPr>
          <w:fldChar w:fldCharType="separate"/>
        </w:r>
        <w:r w:rsidR="00E95BEE">
          <w:rPr>
            <w:noProof/>
            <w:webHidden/>
          </w:rPr>
          <w:t>93</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68" w:history="1">
        <w:r w:rsidR="007D0974" w:rsidRPr="00C37E66">
          <w:rPr>
            <w:rStyle w:val="Lienhypertexte"/>
            <w:noProof/>
          </w:rPr>
          <w:t>3.1.2.6.</w:t>
        </w:r>
        <w:r w:rsidR="007D0974">
          <w:rPr>
            <w:rFonts w:eastAsiaTheme="minorEastAsia" w:cstheme="minorBidi"/>
            <w:noProof/>
            <w:sz w:val="22"/>
            <w:szCs w:val="22"/>
            <w:lang w:eastAsia="fr-FR"/>
          </w:rPr>
          <w:tab/>
        </w:r>
        <w:r w:rsidR="007D0974" w:rsidRPr="00C37E66">
          <w:rPr>
            <w:rStyle w:val="Lienhypertexte"/>
            <w:noProof/>
          </w:rPr>
          <w:t>Mobilisation de l'épargne des Burkinabè de l'extérieur</w:t>
        </w:r>
        <w:r w:rsidR="007D0974">
          <w:rPr>
            <w:noProof/>
            <w:webHidden/>
          </w:rPr>
          <w:tab/>
        </w:r>
        <w:r w:rsidR="007D0974">
          <w:rPr>
            <w:noProof/>
            <w:webHidden/>
          </w:rPr>
          <w:fldChar w:fldCharType="begin"/>
        </w:r>
        <w:r w:rsidR="007D0974">
          <w:rPr>
            <w:noProof/>
            <w:webHidden/>
          </w:rPr>
          <w:instrText xml:space="preserve"> PAGEREF _Toc492972268 \h </w:instrText>
        </w:r>
        <w:r w:rsidR="007D0974">
          <w:rPr>
            <w:noProof/>
            <w:webHidden/>
          </w:rPr>
        </w:r>
        <w:r w:rsidR="007D0974">
          <w:rPr>
            <w:noProof/>
            <w:webHidden/>
          </w:rPr>
          <w:fldChar w:fldCharType="separate"/>
        </w:r>
        <w:r w:rsidR="00E95BEE">
          <w:rPr>
            <w:noProof/>
            <w:webHidden/>
          </w:rPr>
          <w:t>93</w:t>
        </w:r>
        <w:r w:rsidR="007D0974">
          <w:rPr>
            <w:noProof/>
            <w:webHidden/>
          </w:rPr>
          <w:fldChar w:fldCharType="end"/>
        </w:r>
      </w:hyperlink>
    </w:p>
    <w:p w:rsidR="007D0974" w:rsidRDefault="0015344F" w:rsidP="0021108C">
      <w:pPr>
        <w:pStyle w:val="TM3"/>
        <w:jc w:val="both"/>
        <w:rPr>
          <w:rFonts w:asciiTheme="minorHAnsi" w:eastAsiaTheme="minorEastAsia" w:hAnsiTheme="minorHAnsi" w:cstheme="minorBidi"/>
          <w:bCs w:val="0"/>
          <w:iCs w:val="0"/>
          <w:sz w:val="22"/>
          <w:szCs w:val="22"/>
          <w:lang w:val="fr-FR"/>
        </w:rPr>
      </w:pPr>
      <w:hyperlink w:anchor="_Toc492972269" w:history="1">
        <w:r w:rsidR="007D0974" w:rsidRPr="00C37E66">
          <w:rPr>
            <w:rStyle w:val="Lienhypertexte"/>
          </w:rPr>
          <w:t>3.2.</w:t>
        </w:r>
        <w:r w:rsidR="007D0974">
          <w:rPr>
            <w:rFonts w:asciiTheme="minorHAnsi" w:eastAsiaTheme="minorEastAsia" w:hAnsiTheme="minorHAnsi" w:cstheme="minorBidi"/>
            <w:bCs w:val="0"/>
            <w:iCs w:val="0"/>
            <w:sz w:val="22"/>
            <w:szCs w:val="22"/>
            <w:lang w:val="fr-FR"/>
          </w:rPr>
          <w:tab/>
        </w:r>
        <w:r w:rsidR="007D0974" w:rsidRPr="00C37E66">
          <w:rPr>
            <w:rStyle w:val="Lienhypertexte"/>
          </w:rPr>
          <w:t>Recommandations</w:t>
        </w:r>
        <w:r w:rsidR="007D0974">
          <w:rPr>
            <w:webHidden/>
          </w:rPr>
          <w:tab/>
        </w:r>
        <w:r w:rsidR="007D0974">
          <w:rPr>
            <w:webHidden/>
          </w:rPr>
          <w:fldChar w:fldCharType="begin"/>
        </w:r>
        <w:r w:rsidR="007D0974">
          <w:rPr>
            <w:webHidden/>
          </w:rPr>
          <w:instrText xml:space="preserve"> PAGEREF _Toc492972269 \h </w:instrText>
        </w:r>
        <w:r w:rsidR="007D0974">
          <w:rPr>
            <w:webHidden/>
          </w:rPr>
        </w:r>
        <w:r w:rsidR="007D0974">
          <w:rPr>
            <w:webHidden/>
          </w:rPr>
          <w:fldChar w:fldCharType="separate"/>
        </w:r>
        <w:r w:rsidR="00E95BEE">
          <w:rPr>
            <w:webHidden/>
          </w:rPr>
          <w:t>94</w:t>
        </w:r>
        <w:r w:rsidR="007D0974">
          <w:rPr>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70" w:history="1">
        <w:r w:rsidR="007D0974" w:rsidRPr="00C37E66">
          <w:rPr>
            <w:rStyle w:val="Lienhypertexte"/>
            <w:noProof/>
          </w:rPr>
          <w:t>3.2.1.</w:t>
        </w:r>
        <w:r w:rsidR="007D0974">
          <w:rPr>
            <w:rFonts w:eastAsiaTheme="minorEastAsia" w:cstheme="minorBidi"/>
            <w:noProof/>
            <w:sz w:val="22"/>
            <w:szCs w:val="22"/>
            <w:lang w:eastAsia="fr-FR"/>
          </w:rPr>
          <w:tab/>
        </w:r>
        <w:r w:rsidR="007D0974" w:rsidRPr="00C37E66">
          <w:rPr>
            <w:rStyle w:val="Lienhypertexte"/>
            <w:noProof/>
          </w:rPr>
          <w:t>Au Gouvernement</w:t>
        </w:r>
        <w:r w:rsidR="007D0974">
          <w:rPr>
            <w:noProof/>
            <w:webHidden/>
          </w:rPr>
          <w:tab/>
        </w:r>
        <w:r w:rsidR="007D0974">
          <w:rPr>
            <w:noProof/>
            <w:webHidden/>
          </w:rPr>
          <w:fldChar w:fldCharType="begin"/>
        </w:r>
        <w:r w:rsidR="007D0974">
          <w:rPr>
            <w:noProof/>
            <w:webHidden/>
          </w:rPr>
          <w:instrText xml:space="preserve"> PAGEREF _Toc492972270 \h </w:instrText>
        </w:r>
        <w:r w:rsidR="007D0974">
          <w:rPr>
            <w:noProof/>
            <w:webHidden/>
          </w:rPr>
        </w:r>
        <w:r w:rsidR="007D0974">
          <w:rPr>
            <w:noProof/>
            <w:webHidden/>
          </w:rPr>
          <w:fldChar w:fldCharType="separate"/>
        </w:r>
        <w:r w:rsidR="00E95BEE">
          <w:rPr>
            <w:noProof/>
            <w:webHidden/>
          </w:rPr>
          <w:t>94</w:t>
        </w:r>
        <w:r w:rsidR="007D0974">
          <w:rPr>
            <w:noProof/>
            <w:webHidden/>
          </w:rPr>
          <w:fldChar w:fldCharType="end"/>
        </w:r>
      </w:hyperlink>
    </w:p>
    <w:p w:rsidR="007D0974" w:rsidRDefault="0015344F" w:rsidP="0021108C">
      <w:pPr>
        <w:pStyle w:val="TM4"/>
        <w:tabs>
          <w:tab w:val="left" w:pos="1400"/>
          <w:tab w:val="right" w:leader="dot" w:pos="10206"/>
        </w:tabs>
        <w:jc w:val="both"/>
        <w:rPr>
          <w:rFonts w:eastAsiaTheme="minorEastAsia" w:cstheme="minorBidi"/>
          <w:noProof/>
          <w:sz w:val="22"/>
          <w:szCs w:val="22"/>
          <w:lang w:eastAsia="fr-FR"/>
        </w:rPr>
      </w:pPr>
      <w:hyperlink w:anchor="_Toc492972271" w:history="1">
        <w:r w:rsidR="007D0974" w:rsidRPr="00C37E66">
          <w:rPr>
            <w:rStyle w:val="Lienhypertexte"/>
            <w:noProof/>
          </w:rPr>
          <w:t>3.2.2.</w:t>
        </w:r>
        <w:r w:rsidR="007D0974">
          <w:rPr>
            <w:rFonts w:eastAsiaTheme="minorEastAsia" w:cstheme="minorBidi"/>
            <w:noProof/>
            <w:sz w:val="22"/>
            <w:szCs w:val="22"/>
            <w:lang w:eastAsia="fr-FR"/>
          </w:rPr>
          <w:tab/>
        </w:r>
        <w:r w:rsidR="007D0974" w:rsidRPr="00C37E66">
          <w:rPr>
            <w:rStyle w:val="Lienhypertexte"/>
            <w:noProof/>
          </w:rPr>
          <w:t>Aux partenaires techniques et financiers et autres acteurs de développement</w:t>
        </w:r>
        <w:r w:rsidR="007D0974">
          <w:rPr>
            <w:noProof/>
            <w:webHidden/>
          </w:rPr>
          <w:tab/>
        </w:r>
        <w:r w:rsidR="007D0974">
          <w:rPr>
            <w:noProof/>
            <w:webHidden/>
          </w:rPr>
          <w:fldChar w:fldCharType="begin"/>
        </w:r>
        <w:r w:rsidR="007D0974">
          <w:rPr>
            <w:noProof/>
            <w:webHidden/>
          </w:rPr>
          <w:instrText xml:space="preserve"> PAGEREF _Toc492972271 \h </w:instrText>
        </w:r>
        <w:r w:rsidR="007D0974">
          <w:rPr>
            <w:noProof/>
            <w:webHidden/>
          </w:rPr>
        </w:r>
        <w:r w:rsidR="007D0974">
          <w:rPr>
            <w:noProof/>
            <w:webHidden/>
          </w:rPr>
          <w:fldChar w:fldCharType="separate"/>
        </w:r>
        <w:r w:rsidR="00E95BEE">
          <w:rPr>
            <w:noProof/>
            <w:webHidden/>
          </w:rPr>
          <w:t>94</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72" w:history="1">
        <w:r w:rsidR="007D0974" w:rsidRPr="00C37E66">
          <w:rPr>
            <w:rStyle w:val="Lienhypertexte"/>
            <w:noProof/>
          </w:rPr>
          <w:t>3.2.2.1.</w:t>
        </w:r>
        <w:r w:rsidR="007D0974">
          <w:rPr>
            <w:rFonts w:eastAsiaTheme="minorEastAsia" w:cstheme="minorBidi"/>
            <w:noProof/>
            <w:sz w:val="22"/>
            <w:szCs w:val="22"/>
            <w:lang w:eastAsia="fr-FR"/>
          </w:rPr>
          <w:tab/>
        </w:r>
        <w:r w:rsidR="007D0974" w:rsidRPr="00C37E66">
          <w:rPr>
            <w:rStyle w:val="Lienhypertexte"/>
            <w:noProof/>
          </w:rPr>
          <w:t>Aux partenaires techniques et financiers</w:t>
        </w:r>
        <w:r w:rsidR="007D0974">
          <w:rPr>
            <w:noProof/>
            <w:webHidden/>
          </w:rPr>
          <w:tab/>
        </w:r>
        <w:r w:rsidR="007D0974">
          <w:rPr>
            <w:noProof/>
            <w:webHidden/>
          </w:rPr>
          <w:fldChar w:fldCharType="begin"/>
        </w:r>
        <w:r w:rsidR="007D0974">
          <w:rPr>
            <w:noProof/>
            <w:webHidden/>
          </w:rPr>
          <w:instrText xml:space="preserve"> PAGEREF _Toc492972272 \h </w:instrText>
        </w:r>
        <w:r w:rsidR="007D0974">
          <w:rPr>
            <w:noProof/>
            <w:webHidden/>
          </w:rPr>
        </w:r>
        <w:r w:rsidR="007D0974">
          <w:rPr>
            <w:noProof/>
            <w:webHidden/>
          </w:rPr>
          <w:fldChar w:fldCharType="separate"/>
        </w:r>
        <w:r w:rsidR="00E95BEE">
          <w:rPr>
            <w:noProof/>
            <w:webHidden/>
          </w:rPr>
          <w:t>94</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73" w:history="1">
        <w:r w:rsidR="007D0974" w:rsidRPr="00C37E66">
          <w:rPr>
            <w:rStyle w:val="Lienhypertexte"/>
            <w:noProof/>
          </w:rPr>
          <w:t>3.2.2.2.</w:t>
        </w:r>
        <w:r w:rsidR="007D0974">
          <w:rPr>
            <w:rFonts w:eastAsiaTheme="minorEastAsia" w:cstheme="minorBidi"/>
            <w:noProof/>
            <w:sz w:val="22"/>
            <w:szCs w:val="22"/>
            <w:lang w:eastAsia="fr-FR"/>
          </w:rPr>
          <w:tab/>
        </w:r>
        <w:r w:rsidR="007D0974" w:rsidRPr="00C37E66">
          <w:rPr>
            <w:rStyle w:val="Lienhypertexte"/>
            <w:noProof/>
          </w:rPr>
          <w:t>A la société civile</w:t>
        </w:r>
        <w:r w:rsidR="007D0974">
          <w:rPr>
            <w:noProof/>
            <w:webHidden/>
          </w:rPr>
          <w:tab/>
        </w:r>
        <w:r w:rsidR="007D0974">
          <w:rPr>
            <w:noProof/>
            <w:webHidden/>
          </w:rPr>
          <w:fldChar w:fldCharType="begin"/>
        </w:r>
        <w:r w:rsidR="007D0974">
          <w:rPr>
            <w:noProof/>
            <w:webHidden/>
          </w:rPr>
          <w:instrText xml:space="preserve"> PAGEREF _Toc492972273 \h </w:instrText>
        </w:r>
        <w:r w:rsidR="007D0974">
          <w:rPr>
            <w:noProof/>
            <w:webHidden/>
          </w:rPr>
        </w:r>
        <w:r w:rsidR="007D0974">
          <w:rPr>
            <w:noProof/>
            <w:webHidden/>
          </w:rPr>
          <w:fldChar w:fldCharType="separate"/>
        </w:r>
        <w:r w:rsidR="00E95BEE">
          <w:rPr>
            <w:noProof/>
            <w:webHidden/>
          </w:rPr>
          <w:t>94</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74" w:history="1">
        <w:r w:rsidR="007D0974" w:rsidRPr="00C37E66">
          <w:rPr>
            <w:rStyle w:val="Lienhypertexte"/>
            <w:noProof/>
          </w:rPr>
          <w:t>3.2.2.3.</w:t>
        </w:r>
        <w:r w:rsidR="007D0974">
          <w:rPr>
            <w:rFonts w:eastAsiaTheme="minorEastAsia" w:cstheme="minorBidi"/>
            <w:noProof/>
            <w:sz w:val="22"/>
            <w:szCs w:val="22"/>
            <w:lang w:eastAsia="fr-FR"/>
          </w:rPr>
          <w:tab/>
        </w:r>
        <w:r w:rsidR="007D0974" w:rsidRPr="00C37E66">
          <w:rPr>
            <w:rStyle w:val="Lienhypertexte"/>
            <w:noProof/>
          </w:rPr>
          <w:t>Au secteur privé</w:t>
        </w:r>
        <w:r w:rsidR="007D0974">
          <w:rPr>
            <w:noProof/>
            <w:webHidden/>
          </w:rPr>
          <w:tab/>
        </w:r>
        <w:r w:rsidR="007D0974">
          <w:rPr>
            <w:noProof/>
            <w:webHidden/>
          </w:rPr>
          <w:fldChar w:fldCharType="begin"/>
        </w:r>
        <w:r w:rsidR="007D0974">
          <w:rPr>
            <w:noProof/>
            <w:webHidden/>
          </w:rPr>
          <w:instrText xml:space="preserve"> PAGEREF _Toc492972274 \h </w:instrText>
        </w:r>
        <w:r w:rsidR="007D0974">
          <w:rPr>
            <w:noProof/>
            <w:webHidden/>
          </w:rPr>
        </w:r>
        <w:r w:rsidR="007D0974">
          <w:rPr>
            <w:noProof/>
            <w:webHidden/>
          </w:rPr>
          <w:fldChar w:fldCharType="separate"/>
        </w:r>
        <w:r w:rsidR="00E95BEE">
          <w:rPr>
            <w:noProof/>
            <w:webHidden/>
          </w:rPr>
          <w:t>95</w:t>
        </w:r>
        <w:r w:rsidR="007D0974">
          <w:rPr>
            <w:noProof/>
            <w:webHidden/>
          </w:rPr>
          <w:fldChar w:fldCharType="end"/>
        </w:r>
      </w:hyperlink>
    </w:p>
    <w:p w:rsidR="007D0974" w:rsidRDefault="0015344F" w:rsidP="0021108C">
      <w:pPr>
        <w:pStyle w:val="TM5"/>
        <w:tabs>
          <w:tab w:val="left" w:pos="1600"/>
          <w:tab w:val="right" w:leader="dot" w:pos="10206"/>
        </w:tabs>
        <w:jc w:val="both"/>
        <w:rPr>
          <w:rFonts w:eastAsiaTheme="minorEastAsia" w:cstheme="minorBidi"/>
          <w:noProof/>
          <w:sz w:val="22"/>
          <w:szCs w:val="22"/>
          <w:lang w:eastAsia="fr-FR"/>
        </w:rPr>
      </w:pPr>
      <w:hyperlink w:anchor="_Toc492972275" w:history="1">
        <w:r w:rsidR="007D0974" w:rsidRPr="00C37E66">
          <w:rPr>
            <w:rStyle w:val="Lienhypertexte"/>
            <w:noProof/>
          </w:rPr>
          <w:t>3.2.2.4.</w:t>
        </w:r>
        <w:r w:rsidR="007D0974">
          <w:rPr>
            <w:rFonts w:eastAsiaTheme="minorEastAsia" w:cstheme="minorBidi"/>
            <w:noProof/>
            <w:sz w:val="22"/>
            <w:szCs w:val="22"/>
            <w:lang w:eastAsia="fr-FR"/>
          </w:rPr>
          <w:tab/>
        </w:r>
        <w:r w:rsidR="007D0974" w:rsidRPr="00C37E66">
          <w:rPr>
            <w:rStyle w:val="Lienhypertexte"/>
            <w:noProof/>
          </w:rPr>
          <w:t>A la Diaspora burkinabè</w:t>
        </w:r>
        <w:r w:rsidR="007D0974">
          <w:rPr>
            <w:noProof/>
            <w:webHidden/>
          </w:rPr>
          <w:tab/>
        </w:r>
        <w:r w:rsidR="007D0974">
          <w:rPr>
            <w:noProof/>
            <w:webHidden/>
          </w:rPr>
          <w:fldChar w:fldCharType="begin"/>
        </w:r>
        <w:r w:rsidR="007D0974">
          <w:rPr>
            <w:noProof/>
            <w:webHidden/>
          </w:rPr>
          <w:instrText xml:space="preserve"> PAGEREF _Toc492972275 \h </w:instrText>
        </w:r>
        <w:r w:rsidR="007D0974">
          <w:rPr>
            <w:noProof/>
            <w:webHidden/>
          </w:rPr>
        </w:r>
        <w:r w:rsidR="007D0974">
          <w:rPr>
            <w:noProof/>
            <w:webHidden/>
          </w:rPr>
          <w:fldChar w:fldCharType="separate"/>
        </w:r>
        <w:r w:rsidR="00E95BEE">
          <w:rPr>
            <w:noProof/>
            <w:webHidden/>
          </w:rPr>
          <w:t>95</w:t>
        </w:r>
        <w:r w:rsidR="007D0974">
          <w:rPr>
            <w:noProof/>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76" w:history="1">
        <w:r w:rsidR="007D0974" w:rsidRPr="00C37E66">
          <w:rPr>
            <w:rStyle w:val="Lienhypertexte"/>
            <w:lang w:eastAsia="fr-FR"/>
          </w:rPr>
          <w:t>CONCLUSION</w:t>
        </w:r>
        <w:r w:rsidR="007D0974">
          <w:rPr>
            <w:webHidden/>
          </w:rPr>
          <w:tab/>
        </w:r>
        <w:r w:rsidR="007D0974">
          <w:rPr>
            <w:webHidden/>
          </w:rPr>
          <w:fldChar w:fldCharType="begin"/>
        </w:r>
        <w:r w:rsidR="007D0974">
          <w:rPr>
            <w:webHidden/>
          </w:rPr>
          <w:instrText xml:space="preserve"> PAGEREF _Toc492972276 \h </w:instrText>
        </w:r>
        <w:r w:rsidR="007D0974">
          <w:rPr>
            <w:webHidden/>
          </w:rPr>
        </w:r>
        <w:r w:rsidR="007D0974">
          <w:rPr>
            <w:webHidden/>
          </w:rPr>
          <w:fldChar w:fldCharType="separate"/>
        </w:r>
        <w:r w:rsidR="00E95BEE">
          <w:rPr>
            <w:webHidden/>
          </w:rPr>
          <w:t>96</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277" w:history="1">
        <w:r w:rsidR="007D0974" w:rsidRPr="00C37E66">
          <w:rPr>
            <w:rStyle w:val="Lienhypertexte"/>
          </w:rPr>
          <w:t>CONCLUSION GENERALE</w:t>
        </w:r>
        <w:r w:rsidR="007D0974">
          <w:rPr>
            <w:webHidden/>
          </w:rPr>
          <w:tab/>
        </w:r>
        <w:r w:rsidR="007D0974">
          <w:rPr>
            <w:webHidden/>
          </w:rPr>
          <w:fldChar w:fldCharType="begin"/>
        </w:r>
        <w:r w:rsidR="007D0974">
          <w:rPr>
            <w:webHidden/>
          </w:rPr>
          <w:instrText xml:space="preserve"> PAGEREF _Toc492972277 \h </w:instrText>
        </w:r>
        <w:r w:rsidR="007D0974">
          <w:rPr>
            <w:webHidden/>
          </w:rPr>
        </w:r>
        <w:r w:rsidR="007D0974">
          <w:rPr>
            <w:webHidden/>
          </w:rPr>
          <w:fldChar w:fldCharType="separate"/>
        </w:r>
        <w:r w:rsidR="00E95BEE">
          <w:rPr>
            <w:webHidden/>
          </w:rPr>
          <w:t>97</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278" w:history="1">
        <w:r w:rsidR="007D0974" w:rsidRPr="00C37E66">
          <w:rPr>
            <w:rStyle w:val="Lienhypertexte"/>
          </w:rPr>
          <w:t>BIBLIOGRAPHIE</w:t>
        </w:r>
        <w:r w:rsidR="007D0974">
          <w:rPr>
            <w:webHidden/>
          </w:rPr>
          <w:tab/>
        </w:r>
        <w:r w:rsidR="007D0974">
          <w:rPr>
            <w:webHidden/>
          </w:rPr>
          <w:fldChar w:fldCharType="begin"/>
        </w:r>
        <w:r w:rsidR="007D0974">
          <w:rPr>
            <w:webHidden/>
          </w:rPr>
          <w:instrText xml:space="preserve"> PAGEREF _Toc492972278 \h </w:instrText>
        </w:r>
        <w:r w:rsidR="007D0974">
          <w:rPr>
            <w:webHidden/>
          </w:rPr>
        </w:r>
        <w:r w:rsidR="007D0974">
          <w:rPr>
            <w:webHidden/>
          </w:rPr>
          <w:fldChar w:fldCharType="separate"/>
        </w:r>
        <w:r w:rsidR="00E95BEE">
          <w:rPr>
            <w:webHidden/>
          </w:rPr>
          <w:t>98</w:t>
        </w:r>
        <w:r w:rsidR="007D0974">
          <w:rPr>
            <w:webHidden/>
          </w:rPr>
          <w:fldChar w:fldCharType="end"/>
        </w:r>
      </w:hyperlink>
    </w:p>
    <w:p w:rsidR="007D0974" w:rsidRDefault="0015344F" w:rsidP="0021108C">
      <w:pPr>
        <w:pStyle w:val="TM1"/>
        <w:tabs>
          <w:tab w:val="clear" w:pos="9771"/>
          <w:tab w:val="right" w:leader="dot" w:pos="10206"/>
        </w:tabs>
        <w:jc w:val="both"/>
        <w:rPr>
          <w:rFonts w:asciiTheme="minorHAnsi" w:eastAsiaTheme="minorEastAsia" w:hAnsiTheme="minorHAnsi" w:cstheme="minorBidi"/>
          <w:b w:val="0"/>
          <w:bCs w:val="0"/>
          <w:i w:val="0"/>
          <w:caps w:val="0"/>
          <w:sz w:val="22"/>
          <w:szCs w:val="22"/>
          <w:lang w:eastAsia="fr-FR"/>
        </w:rPr>
      </w:pPr>
      <w:hyperlink w:anchor="_Toc492972279" w:history="1">
        <w:r w:rsidR="007D0974" w:rsidRPr="00C37E66">
          <w:rPr>
            <w:rStyle w:val="Lienhypertexte"/>
          </w:rPr>
          <w:t>ANNEXES</w:t>
        </w:r>
        <w:r w:rsidR="007D0974">
          <w:rPr>
            <w:webHidden/>
          </w:rPr>
          <w:tab/>
        </w:r>
        <w:r w:rsidR="007D0974">
          <w:rPr>
            <w:webHidden/>
          </w:rPr>
          <w:fldChar w:fldCharType="begin"/>
        </w:r>
        <w:r w:rsidR="007D0974">
          <w:rPr>
            <w:webHidden/>
          </w:rPr>
          <w:instrText xml:space="preserve"> PAGEREF _Toc492972279 \h </w:instrText>
        </w:r>
        <w:r w:rsidR="007D0974">
          <w:rPr>
            <w:webHidden/>
          </w:rPr>
        </w:r>
        <w:r w:rsidR="007D0974">
          <w:rPr>
            <w:webHidden/>
          </w:rPr>
          <w:fldChar w:fldCharType="separate"/>
        </w:r>
        <w:r w:rsidR="00E95BEE">
          <w:rPr>
            <w:webHidden/>
          </w:rPr>
          <w:t>102</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0" w:history="1">
        <w:r w:rsidR="007D0974" w:rsidRPr="00C37E66">
          <w:rPr>
            <w:rStyle w:val="Lienhypertexte"/>
          </w:rPr>
          <w:t>ANNEXE 1: Récapitulatif des annonces des partenaires publics à la conférence de Paris sur le financement du PNDES</w:t>
        </w:r>
        <w:r w:rsidR="007D0974">
          <w:rPr>
            <w:webHidden/>
          </w:rPr>
          <w:tab/>
        </w:r>
        <w:r w:rsidR="007D0974">
          <w:rPr>
            <w:webHidden/>
          </w:rPr>
          <w:fldChar w:fldCharType="begin"/>
        </w:r>
        <w:r w:rsidR="007D0974">
          <w:rPr>
            <w:webHidden/>
          </w:rPr>
          <w:instrText xml:space="preserve"> PAGEREF _Toc492972280 \h </w:instrText>
        </w:r>
        <w:r w:rsidR="007D0974">
          <w:rPr>
            <w:webHidden/>
          </w:rPr>
        </w:r>
        <w:r w:rsidR="007D0974">
          <w:rPr>
            <w:webHidden/>
          </w:rPr>
          <w:fldChar w:fldCharType="separate"/>
        </w:r>
        <w:r w:rsidR="00E95BEE">
          <w:rPr>
            <w:webHidden/>
          </w:rPr>
          <w:t>103</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1" w:history="1">
        <w:r w:rsidR="007D0974" w:rsidRPr="00C37E66">
          <w:rPr>
            <w:rStyle w:val="Lienhypertexte"/>
          </w:rPr>
          <w:t>ANNEXE 2: Récapitulatif des annonces des partenaires privés à la conférence de Paris sur le financement PNDES (en milliards de FCFA)</w:t>
        </w:r>
        <w:r w:rsidR="007D0974">
          <w:rPr>
            <w:webHidden/>
          </w:rPr>
          <w:tab/>
        </w:r>
        <w:r w:rsidR="007D0974">
          <w:rPr>
            <w:webHidden/>
          </w:rPr>
          <w:fldChar w:fldCharType="begin"/>
        </w:r>
        <w:r w:rsidR="007D0974">
          <w:rPr>
            <w:webHidden/>
          </w:rPr>
          <w:instrText xml:space="preserve"> PAGEREF _Toc492972281 \h </w:instrText>
        </w:r>
        <w:r w:rsidR="007D0974">
          <w:rPr>
            <w:webHidden/>
          </w:rPr>
        </w:r>
        <w:r w:rsidR="007D0974">
          <w:rPr>
            <w:webHidden/>
          </w:rPr>
          <w:fldChar w:fldCharType="separate"/>
        </w:r>
        <w:r w:rsidR="00E95BEE">
          <w:rPr>
            <w:webHidden/>
          </w:rPr>
          <w:t>104</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2" w:history="1">
        <w:r w:rsidR="007D0974" w:rsidRPr="00C37E66">
          <w:rPr>
            <w:rStyle w:val="Lienhypertexte"/>
          </w:rPr>
          <w:t>ANNEXE 3 : CONTRATS SIGNES EN MODE PPP jusqu’en 2016</w:t>
        </w:r>
        <w:r w:rsidR="007D0974">
          <w:rPr>
            <w:webHidden/>
          </w:rPr>
          <w:tab/>
        </w:r>
        <w:r w:rsidR="007D0974">
          <w:rPr>
            <w:webHidden/>
          </w:rPr>
          <w:fldChar w:fldCharType="begin"/>
        </w:r>
        <w:r w:rsidR="007D0974">
          <w:rPr>
            <w:webHidden/>
          </w:rPr>
          <w:instrText xml:space="preserve"> PAGEREF _Toc492972282 \h </w:instrText>
        </w:r>
        <w:r w:rsidR="007D0974">
          <w:rPr>
            <w:webHidden/>
          </w:rPr>
        </w:r>
        <w:r w:rsidR="007D0974">
          <w:rPr>
            <w:webHidden/>
          </w:rPr>
          <w:fldChar w:fldCharType="separate"/>
        </w:r>
        <w:r w:rsidR="00E95BEE">
          <w:rPr>
            <w:webHidden/>
          </w:rPr>
          <w:t>105</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3" w:history="1">
        <w:r w:rsidR="007D0974" w:rsidRPr="00C37E66">
          <w:rPr>
            <w:rStyle w:val="Lienhypertexte"/>
          </w:rPr>
          <w:t>ANNEXE 4 : Résumé de l’aide extérieure par source de financement (en millions USD)</w:t>
        </w:r>
        <w:r w:rsidR="007D0974">
          <w:rPr>
            <w:webHidden/>
          </w:rPr>
          <w:tab/>
        </w:r>
        <w:r w:rsidR="007D0974">
          <w:rPr>
            <w:webHidden/>
          </w:rPr>
          <w:fldChar w:fldCharType="begin"/>
        </w:r>
        <w:r w:rsidR="007D0974">
          <w:rPr>
            <w:webHidden/>
          </w:rPr>
          <w:instrText xml:space="preserve"> PAGEREF _Toc492972283 \h </w:instrText>
        </w:r>
        <w:r w:rsidR="007D0974">
          <w:rPr>
            <w:webHidden/>
          </w:rPr>
        </w:r>
        <w:r w:rsidR="007D0974">
          <w:rPr>
            <w:webHidden/>
          </w:rPr>
          <w:fldChar w:fldCharType="separate"/>
        </w:r>
        <w:r w:rsidR="00E95BEE">
          <w:rPr>
            <w:webHidden/>
          </w:rPr>
          <w:t>106</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4" w:history="1">
        <w:r w:rsidR="007D0974" w:rsidRPr="00C37E66">
          <w:rPr>
            <w:rStyle w:val="Lienhypertexte"/>
          </w:rPr>
          <w:t>Annexe 5 : Résumé de l’aide extérieure par instrument de financement (en millions USD)</w:t>
        </w:r>
        <w:r w:rsidR="007D0974">
          <w:rPr>
            <w:webHidden/>
          </w:rPr>
          <w:tab/>
        </w:r>
        <w:r w:rsidR="007D0974">
          <w:rPr>
            <w:webHidden/>
          </w:rPr>
          <w:fldChar w:fldCharType="begin"/>
        </w:r>
        <w:r w:rsidR="007D0974">
          <w:rPr>
            <w:webHidden/>
          </w:rPr>
          <w:instrText xml:space="preserve"> PAGEREF _Toc492972284 \h </w:instrText>
        </w:r>
        <w:r w:rsidR="007D0974">
          <w:rPr>
            <w:webHidden/>
          </w:rPr>
        </w:r>
        <w:r w:rsidR="007D0974">
          <w:rPr>
            <w:webHidden/>
          </w:rPr>
          <w:fldChar w:fldCharType="separate"/>
        </w:r>
        <w:r w:rsidR="00E95BEE">
          <w:rPr>
            <w:webHidden/>
          </w:rPr>
          <w:t>110</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5" w:history="1">
        <w:r w:rsidR="007D0974" w:rsidRPr="00C37E66">
          <w:rPr>
            <w:rStyle w:val="Lienhypertexte"/>
          </w:rPr>
          <w:t>Annexe 6 : Résumé de l’aide extérieure par source et par type de financement (en millions USD)</w:t>
        </w:r>
        <w:r w:rsidR="007D0974">
          <w:rPr>
            <w:webHidden/>
          </w:rPr>
          <w:tab/>
        </w:r>
        <w:r w:rsidR="007D0974">
          <w:rPr>
            <w:webHidden/>
          </w:rPr>
          <w:fldChar w:fldCharType="begin"/>
        </w:r>
        <w:r w:rsidR="007D0974">
          <w:rPr>
            <w:webHidden/>
          </w:rPr>
          <w:instrText xml:space="preserve"> PAGEREF _Toc492972285 \h </w:instrText>
        </w:r>
        <w:r w:rsidR="007D0974">
          <w:rPr>
            <w:webHidden/>
          </w:rPr>
        </w:r>
        <w:r w:rsidR="007D0974">
          <w:rPr>
            <w:webHidden/>
          </w:rPr>
          <w:fldChar w:fldCharType="separate"/>
        </w:r>
        <w:r w:rsidR="00E95BEE">
          <w:rPr>
            <w:webHidden/>
          </w:rPr>
          <w:t>112</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6" w:history="1">
        <w:r w:rsidR="007D0974" w:rsidRPr="00C37E66">
          <w:rPr>
            <w:rStyle w:val="Lienhypertexte"/>
          </w:rPr>
          <w:t>Annexe 7: Résumé de l'aide extérieure par instrument et par type de financement (millions USD)</w:t>
        </w:r>
        <w:r w:rsidR="007D0974">
          <w:rPr>
            <w:webHidden/>
          </w:rPr>
          <w:tab/>
        </w:r>
        <w:r w:rsidR="007D0974">
          <w:rPr>
            <w:webHidden/>
          </w:rPr>
          <w:fldChar w:fldCharType="begin"/>
        </w:r>
        <w:r w:rsidR="007D0974">
          <w:rPr>
            <w:webHidden/>
          </w:rPr>
          <w:instrText xml:space="preserve"> PAGEREF _Toc492972286 \h </w:instrText>
        </w:r>
        <w:r w:rsidR="007D0974">
          <w:rPr>
            <w:webHidden/>
          </w:rPr>
        </w:r>
        <w:r w:rsidR="007D0974">
          <w:rPr>
            <w:webHidden/>
          </w:rPr>
          <w:fldChar w:fldCharType="separate"/>
        </w:r>
        <w:r w:rsidR="00E95BEE">
          <w:rPr>
            <w:webHidden/>
          </w:rPr>
          <w:t>114</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7" w:history="1">
        <w:r w:rsidR="007D0974" w:rsidRPr="00C37E66">
          <w:rPr>
            <w:rStyle w:val="Lienhypertexte"/>
          </w:rPr>
          <w:t>Annexe 8: Résumé de l'aide extérieure par secteurs du PNDES</w:t>
        </w:r>
        <w:r w:rsidR="007D0974">
          <w:rPr>
            <w:webHidden/>
          </w:rPr>
          <w:tab/>
        </w:r>
        <w:r w:rsidR="007D0974">
          <w:rPr>
            <w:webHidden/>
          </w:rPr>
          <w:fldChar w:fldCharType="begin"/>
        </w:r>
        <w:r w:rsidR="007D0974">
          <w:rPr>
            <w:webHidden/>
          </w:rPr>
          <w:instrText xml:space="preserve"> PAGEREF _Toc492972287 \h </w:instrText>
        </w:r>
        <w:r w:rsidR="007D0974">
          <w:rPr>
            <w:webHidden/>
          </w:rPr>
        </w:r>
        <w:r w:rsidR="007D0974">
          <w:rPr>
            <w:webHidden/>
          </w:rPr>
          <w:fldChar w:fldCharType="separate"/>
        </w:r>
        <w:r w:rsidR="00E95BEE">
          <w:rPr>
            <w:webHidden/>
          </w:rPr>
          <w:t>115</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8" w:history="1">
        <w:r w:rsidR="007D0974" w:rsidRPr="00C37E66">
          <w:rPr>
            <w:rStyle w:val="Lienhypertexte"/>
          </w:rPr>
          <w:t>Annexe 9: Inventaire des projets en cours d'exécution par secteur (en millions USD)</w:t>
        </w:r>
        <w:r w:rsidR="007D0974">
          <w:rPr>
            <w:webHidden/>
          </w:rPr>
          <w:tab/>
        </w:r>
        <w:r w:rsidR="007D0974">
          <w:rPr>
            <w:webHidden/>
          </w:rPr>
          <w:fldChar w:fldCharType="begin"/>
        </w:r>
        <w:r w:rsidR="007D0974">
          <w:rPr>
            <w:webHidden/>
          </w:rPr>
          <w:instrText xml:space="preserve"> PAGEREF _Toc492972288 \h </w:instrText>
        </w:r>
        <w:r w:rsidR="007D0974">
          <w:rPr>
            <w:webHidden/>
          </w:rPr>
        </w:r>
        <w:r w:rsidR="007D0974">
          <w:rPr>
            <w:webHidden/>
          </w:rPr>
          <w:fldChar w:fldCharType="separate"/>
        </w:r>
        <w:r w:rsidR="00E95BEE">
          <w:rPr>
            <w:webHidden/>
          </w:rPr>
          <w:t>116</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89" w:history="1">
        <w:r w:rsidR="007D0974" w:rsidRPr="00C37E66">
          <w:rPr>
            <w:rStyle w:val="Lienhypertexte"/>
          </w:rPr>
          <w:t>Annexe 10: Situation des conventions de financement signées en 2016</w:t>
        </w:r>
        <w:r w:rsidR="007D0974">
          <w:rPr>
            <w:webHidden/>
          </w:rPr>
          <w:tab/>
        </w:r>
        <w:r w:rsidR="007D0974">
          <w:rPr>
            <w:webHidden/>
          </w:rPr>
          <w:fldChar w:fldCharType="begin"/>
        </w:r>
        <w:r w:rsidR="007D0974">
          <w:rPr>
            <w:webHidden/>
          </w:rPr>
          <w:instrText xml:space="preserve"> PAGEREF _Toc492972289 \h </w:instrText>
        </w:r>
        <w:r w:rsidR="007D0974">
          <w:rPr>
            <w:webHidden/>
          </w:rPr>
        </w:r>
        <w:r w:rsidR="007D0974">
          <w:rPr>
            <w:webHidden/>
          </w:rPr>
          <w:fldChar w:fldCharType="separate"/>
        </w:r>
        <w:r w:rsidR="00E95BEE">
          <w:rPr>
            <w:webHidden/>
          </w:rPr>
          <w:t>143</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90" w:history="1">
        <w:r w:rsidR="007D0974" w:rsidRPr="00C37E66">
          <w:rPr>
            <w:rStyle w:val="Lienhypertexte"/>
          </w:rPr>
          <w:t>Annexe 11 : SITUATION DES CONVENTIONS SIGNEES AVEC LES ONG/AD DEPUIS JANVIER 2016</w:t>
        </w:r>
        <w:r w:rsidR="007D0974">
          <w:rPr>
            <w:webHidden/>
          </w:rPr>
          <w:tab/>
        </w:r>
        <w:r w:rsidR="007D0974">
          <w:rPr>
            <w:webHidden/>
          </w:rPr>
          <w:fldChar w:fldCharType="begin"/>
        </w:r>
        <w:r w:rsidR="007D0974">
          <w:rPr>
            <w:webHidden/>
          </w:rPr>
          <w:instrText xml:space="preserve"> PAGEREF _Toc492972290 \h </w:instrText>
        </w:r>
        <w:r w:rsidR="007D0974">
          <w:rPr>
            <w:webHidden/>
          </w:rPr>
        </w:r>
        <w:r w:rsidR="007D0974">
          <w:rPr>
            <w:webHidden/>
          </w:rPr>
          <w:fldChar w:fldCharType="separate"/>
        </w:r>
        <w:r w:rsidR="00E95BEE">
          <w:rPr>
            <w:webHidden/>
          </w:rPr>
          <w:t>145</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91" w:history="1">
        <w:r w:rsidR="007D0974" w:rsidRPr="00C37E66">
          <w:rPr>
            <w:rStyle w:val="Lienhypertexte"/>
          </w:rPr>
          <w:t>Annexe 11: Nombre d’ONG/AD par origine/Nombre de régions couvertes et domaines d’intervention</w:t>
        </w:r>
        <w:r w:rsidR="007D0974">
          <w:rPr>
            <w:webHidden/>
          </w:rPr>
          <w:tab/>
        </w:r>
        <w:r w:rsidR="007D0974">
          <w:rPr>
            <w:webHidden/>
          </w:rPr>
          <w:fldChar w:fldCharType="begin"/>
        </w:r>
        <w:r w:rsidR="007D0974">
          <w:rPr>
            <w:webHidden/>
          </w:rPr>
          <w:instrText xml:space="preserve"> PAGEREF _Toc492972291 \h </w:instrText>
        </w:r>
        <w:r w:rsidR="007D0974">
          <w:rPr>
            <w:webHidden/>
          </w:rPr>
        </w:r>
        <w:r w:rsidR="007D0974">
          <w:rPr>
            <w:webHidden/>
          </w:rPr>
          <w:fldChar w:fldCharType="separate"/>
        </w:r>
        <w:r w:rsidR="00E95BEE">
          <w:rPr>
            <w:webHidden/>
          </w:rPr>
          <w:t>151</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92" w:history="1">
        <w:r w:rsidR="007D0974" w:rsidRPr="00C37E66">
          <w:rPr>
            <w:rStyle w:val="Lienhypertexte"/>
          </w:rPr>
          <w:t>Annexe 12: Définition des termes</w:t>
        </w:r>
        <w:r w:rsidR="007D0974">
          <w:rPr>
            <w:webHidden/>
          </w:rPr>
          <w:tab/>
        </w:r>
        <w:r w:rsidR="007D0974">
          <w:rPr>
            <w:webHidden/>
          </w:rPr>
          <w:fldChar w:fldCharType="begin"/>
        </w:r>
        <w:r w:rsidR="007D0974">
          <w:rPr>
            <w:webHidden/>
          </w:rPr>
          <w:instrText xml:space="preserve"> PAGEREF _Toc492972292 \h </w:instrText>
        </w:r>
        <w:r w:rsidR="007D0974">
          <w:rPr>
            <w:webHidden/>
          </w:rPr>
        </w:r>
        <w:r w:rsidR="007D0974">
          <w:rPr>
            <w:webHidden/>
          </w:rPr>
          <w:fldChar w:fldCharType="separate"/>
        </w:r>
        <w:r w:rsidR="00E95BEE">
          <w:rPr>
            <w:webHidden/>
          </w:rPr>
          <w:t>153</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93" w:history="1">
        <w:r w:rsidR="007D0974" w:rsidRPr="00C37E66">
          <w:rPr>
            <w:rStyle w:val="Lienhypertexte"/>
          </w:rPr>
          <w:t>Annexe 13 : Les secteurs de planification au Burkina Faso</w:t>
        </w:r>
        <w:r w:rsidR="007D0974">
          <w:rPr>
            <w:webHidden/>
          </w:rPr>
          <w:tab/>
        </w:r>
        <w:r w:rsidR="007D0974">
          <w:rPr>
            <w:webHidden/>
          </w:rPr>
          <w:fldChar w:fldCharType="begin"/>
        </w:r>
        <w:r w:rsidR="007D0974">
          <w:rPr>
            <w:webHidden/>
          </w:rPr>
          <w:instrText xml:space="preserve"> PAGEREF _Toc492972293 \h </w:instrText>
        </w:r>
        <w:r w:rsidR="007D0974">
          <w:rPr>
            <w:webHidden/>
          </w:rPr>
        </w:r>
        <w:r w:rsidR="007D0974">
          <w:rPr>
            <w:webHidden/>
          </w:rPr>
          <w:fldChar w:fldCharType="separate"/>
        </w:r>
        <w:r w:rsidR="00E95BEE">
          <w:rPr>
            <w:webHidden/>
          </w:rPr>
          <w:t>159</w:t>
        </w:r>
        <w:r w:rsidR="007D0974">
          <w:rPr>
            <w:webHidden/>
          </w:rPr>
          <w:fldChar w:fldCharType="end"/>
        </w:r>
      </w:hyperlink>
    </w:p>
    <w:p w:rsidR="007D0974" w:rsidRDefault="0015344F" w:rsidP="0021108C">
      <w:pPr>
        <w:pStyle w:val="TM2"/>
        <w:tabs>
          <w:tab w:val="clear" w:pos="9771"/>
          <w:tab w:val="right" w:leader="dot" w:pos="10206"/>
        </w:tabs>
        <w:jc w:val="both"/>
        <w:rPr>
          <w:rFonts w:asciiTheme="minorHAnsi" w:eastAsiaTheme="minorEastAsia" w:hAnsiTheme="minorHAnsi" w:cstheme="minorBidi"/>
          <w:b w:val="0"/>
          <w:smallCaps w:val="0"/>
          <w:sz w:val="22"/>
          <w:szCs w:val="22"/>
          <w:lang w:eastAsia="fr-FR"/>
        </w:rPr>
      </w:pPr>
      <w:hyperlink w:anchor="_Toc492972295" w:history="1">
        <w:r w:rsidR="007D0974" w:rsidRPr="00C37E66">
          <w:rPr>
            <w:rStyle w:val="Lienhypertexte"/>
          </w:rPr>
          <w:t>Annexe 1</w:t>
        </w:r>
        <w:r w:rsidR="00E95BEE">
          <w:rPr>
            <w:rStyle w:val="Lienhypertexte"/>
          </w:rPr>
          <w:t>4</w:t>
        </w:r>
        <w:r w:rsidR="007D0974" w:rsidRPr="00C37E66">
          <w:rPr>
            <w:rStyle w:val="Lienhypertexte"/>
          </w:rPr>
          <w:t> : Correspondance entre secteurs de planification nationale et secteurs de l’OCDE</w:t>
        </w:r>
        <w:r w:rsidR="007D0974">
          <w:rPr>
            <w:webHidden/>
          </w:rPr>
          <w:tab/>
        </w:r>
        <w:r w:rsidR="007D0974">
          <w:rPr>
            <w:webHidden/>
          </w:rPr>
          <w:fldChar w:fldCharType="begin"/>
        </w:r>
        <w:r w:rsidR="007D0974">
          <w:rPr>
            <w:webHidden/>
          </w:rPr>
          <w:instrText xml:space="preserve"> PAGEREF _Toc492972295 \h </w:instrText>
        </w:r>
        <w:r w:rsidR="007D0974">
          <w:rPr>
            <w:webHidden/>
          </w:rPr>
        </w:r>
        <w:r w:rsidR="007D0974">
          <w:rPr>
            <w:webHidden/>
          </w:rPr>
          <w:fldChar w:fldCharType="separate"/>
        </w:r>
        <w:r w:rsidR="00E95BEE">
          <w:rPr>
            <w:webHidden/>
          </w:rPr>
          <w:t>164</w:t>
        </w:r>
        <w:r w:rsidR="007D0974">
          <w:rPr>
            <w:webHidden/>
          </w:rPr>
          <w:fldChar w:fldCharType="end"/>
        </w:r>
      </w:hyperlink>
    </w:p>
    <w:p w:rsidR="00CA0DB9" w:rsidRPr="001F6324" w:rsidRDefault="007D0974" w:rsidP="00D20A77">
      <w:pPr>
        <w:tabs>
          <w:tab w:val="right" w:leader="dot" w:pos="10206"/>
        </w:tabs>
        <w:spacing w:after="0" w:line="240" w:lineRule="auto"/>
      </w:pPr>
      <w:r>
        <w:rPr>
          <w:rFonts w:ascii="Arial" w:eastAsia="Times New Roman" w:hAnsi="Arial" w:cs="Arial"/>
          <w:bCs/>
          <w:i/>
          <w:caps/>
          <w:smallCaps/>
          <w:noProof/>
          <w:sz w:val="20"/>
          <w:szCs w:val="20"/>
        </w:rPr>
        <w:fldChar w:fldCharType="end"/>
      </w:r>
    </w:p>
    <w:p w:rsidR="00F801C6" w:rsidRDefault="00F801C6" w:rsidP="00D20A77">
      <w:pPr>
        <w:spacing w:after="0" w:line="240" w:lineRule="auto"/>
      </w:pPr>
      <w:r>
        <w:br w:type="page"/>
      </w:r>
    </w:p>
    <w:p w:rsidR="00CA0DB9" w:rsidRPr="00F801C6" w:rsidRDefault="00EB2D04" w:rsidP="00F801C6">
      <w:pPr>
        <w:pStyle w:val="Titre"/>
        <w:rPr>
          <w:rFonts w:asciiTheme="majorHAnsi" w:hAnsiTheme="majorHAnsi"/>
          <w:sz w:val="26"/>
          <w:szCs w:val="26"/>
        </w:rPr>
      </w:pPr>
      <w:bookmarkStart w:id="15" w:name="_Toc492972148"/>
      <w:r>
        <w:rPr>
          <w:rFonts w:asciiTheme="majorHAnsi" w:hAnsiTheme="majorHAnsi"/>
          <w:sz w:val="26"/>
          <w:szCs w:val="26"/>
        </w:rPr>
        <w:lastRenderedPageBreak/>
        <w:t>LISTE</w:t>
      </w:r>
      <w:r w:rsidR="00F801C6" w:rsidRPr="00F801C6">
        <w:rPr>
          <w:rFonts w:asciiTheme="majorHAnsi" w:hAnsiTheme="majorHAnsi"/>
          <w:sz w:val="26"/>
          <w:szCs w:val="26"/>
        </w:rPr>
        <w:t xml:space="preserve"> DES TABLEAUX</w:t>
      </w:r>
      <w:bookmarkEnd w:id="15"/>
    </w:p>
    <w:p w:rsidR="00F801C6" w:rsidRDefault="00F801C6">
      <w:pPr>
        <w:spacing w:after="0" w:line="240" w:lineRule="auto"/>
      </w:pPr>
    </w:p>
    <w:p w:rsidR="00EB2D04" w:rsidRDefault="00F801C6" w:rsidP="00645FD9">
      <w:pPr>
        <w:pStyle w:val="Tabledesillustrations"/>
        <w:tabs>
          <w:tab w:val="right" w:leader="dot" w:pos="10196"/>
        </w:tabs>
        <w:spacing w:before="120"/>
        <w:rPr>
          <w:rFonts w:eastAsiaTheme="minorEastAsia" w:cstheme="minorBidi"/>
          <w:caps w:val="0"/>
          <w:noProof/>
          <w:sz w:val="22"/>
          <w:szCs w:val="22"/>
          <w:lang w:eastAsia="fr-FR"/>
        </w:rPr>
      </w:pPr>
      <w:r>
        <w:fldChar w:fldCharType="begin"/>
      </w:r>
      <w:r>
        <w:instrText xml:space="preserve"> TOC \h \z \c "Tableau" </w:instrText>
      </w:r>
      <w:r>
        <w:fldChar w:fldCharType="separate"/>
      </w:r>
      <w:hyperlink w:anchor="_Toc492895469" w:history="1">
        <w:r w:rsidR="00EB2D04" w:rsidRPr="00621CA2">
          <w:rPr>
            <w:rStyle w:val="Lienhypertexte"/>
            <w:noProof/>
          </w:rPr>
          <w:t>Tableau 1 : Evolution des parts contributives des secteurs au PIB (2012-2016)</w:t>
        </w:r>
        <w:r w:rsidR="00EB2D04">
          <w:rPr>
            <w:noProof/>
            <w:webHidden/>
          </w:rPr>
          <w:tab/>
        </w:r>
        <w:r w:rsidR="00EB2D04">
          <w:rPr>
            <w:noProof/>
            <w:webHidden/>
          </w:rPr>
          <w:fldChar w:fldCharType="begin"/>
        </w:r>
        <w:r w:rsidR="00EB2D04">
          <w:rPr>
            <w:noProof/>
            <w:webHidden/>
          </w:rPr>
          <w:instrText xml:space="preserve"> PAGEREF _Toc492895469 \h </w:instrText>
        </w:r>
        <w:r w:rsidR="00EB2D04">
          <w:rPr>
            <w:noProof/>
            <w:webHidden/>
          </w:rPr>
        </w:r>
        <w:r w:rsidR="00EB2D04">
          <w:rPr>
            <w:noProof/>
            <w:webHidden/>
          </w:rPr>
          <w:fldChar w:fldCharType="separate"/>
        </w:r>
        <w:r w:rsidR="00D56DD5">
          <w:rPr>
            <w:noProof/>
            <w:webHidden/>
          </w:rPr>
          <w:t>4</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0" w:history="1">
        <w:r w:rsidR="00EB2D04" w:rsidRPr="00621CA2">
          <w:rPr>
            <w:rStyle w:val="Lienhypertexte"/>
            <w:noProof/>
          </w:rPr>
          <w:t>Tableau 2 : Evolution des critères de convergence</w:t>
        </w:r>
        <w:r w:rsidR="00EB2D04">
          <w:rPr>
            <w:noProof/>
            <w:webHidden/>
          </w:rPr>
          <w:tab/>
        </w:r>
        <w:r w:rsidR="00EB2D04">
          <w:rPr>
            <w:noProof/>
            <w:webHidden/>
          </w:rPr>
          <w:fldChar w:fldCharType="begin"/>
        </w:r>
        <w:r w:rsidR="00EB2D04">
          <w:rPr>
            <w:noProof/>
            <w:webHidden/>
          </w:rPr>
          <w:instrText xml:space="preserve"> PAGEREF _Toc492895470 \h </w:instrText>
        </w:r>
        <w:r w:rsidR="00EB2D04">
          <w:rPr>
            <w:noProof/>
            <w:webHidden/>
          </w:rPr>
        </w:r>
        <w:r w:rsidR="00EB2D04">
          <w:rPr>
            <w:noProof/>
            <w:webHidden/>
          </w:rPr>
          <w:fldChar w:fldCharType="separate"/>
        </w:r>
        <w:r w:rsidR="00D56DD5">
          <w:rPr>
            <w:noProof/>
            <w:webHidden/>
          </w:rPr>
          <w:t>7</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1" w:history="1">
        <w:r w:rsidR="00EB2D04" w:rsidRPr="00621CA2">
          <w:rPr>
            <w:rStyle w:val="Lienhypertexte"/>
            <w:noProof/>
          </w:rPr>
          <w:t>Tableau 3 : Evolution des principaux indicateurs de l’enseignement supérieur</w:t>
        </w:r>
        <w:r w:rsidR="00EB2D04">
          <w:rPr>
            <w:noProof/>
            <w:webHidden/>
          </w:rPr>
          <w:tab/>
        </w:r>
        <w:r w:rsidR="00EB2D04">
          <w:rPr>
            <w:noProof/>
            <w:webHidden/>
          </w:rPr>
          <w:fldChar w:fldCharType="begin"/>
        </w:r>
        <w:r w:rsidR="00EB2D04">
          <w:rPr>
            <w:noProof/>
            <w:webHidden/>
          </w:rPr>
          <w:instrText xml:space="preserve"> PAGEREF _Toc492895471 \h </w:instrText>
        </w:r>
        <w:r w:rsidR="00EB2D04">
          <w:rPr>
            <w:noProof/>
            <w:webHidden/>
          </w:rPr>
        </w:r>
        <w:r w:rsidR="00EB2D04">
          <w:rPr>
            <w:noProof/>
            <w:webHidden/>
          </w:rPr>
          <w:fldChar w:fldCharType="separate"/>
        </w:r>
        <w:r w:rsidR="00D56DD5">
          <w:rPr>
            <w:noProof/>
            <w:webHidden/>
          </w:rPr>
          <w:t>9</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2" w:history="1">
        <w:r w:rsidR="00EB2D04" w:rsidRPr="00621CA2">
          <w:rPr>
            <w:rStyle w:val="Lienhypertexte"/>
            <w:noProof/>
          </w:rPr>
          <w:t>Tableau 4 : Principales données statistiques du secteur de la santé en 2015 et 2016</w:t>
        </w:r>
        <w:r w:rsidR="00EB2D04">
          <w:rPr>
            <w:noProof/>
            <w:webHidden/>
          </w:rPr>
          <w:tab/>
        </w:r>
        <w:r w:rsidR="00EB2D04">
          <w:rPr>
            <w:noProof/>
            <w:webHidden/>
          </w:rPr>
          <w:fldChar w:fldCharType="begin"/>
        </w:r>
        <w:r w:rsidR="00EB2D04">
          <w:rPr>
            <w:noProof/>
            <w:webHidden/>
          </w:rPr>
          <w:instrText xml:space="preserve"> PAGEREF _Toc492895472 \h </w:instrText>
        </w:r>
        <w:r w:rsidR="00EB2D04">
          <w:rPr>
            <w:noProof/>
            <w:webHidden/>
          </w:rPr>
        </w:r>
        <w:r w:rsidR="00EB2D04">
          <w:rPr>
            <w:noProof/>
            <w:webHidden/>
          </w:rPr>
          <w:fldChar w:fldCharType="separate"/>
        </w:r>
        <w:r w:rsidR="00D56DD5">
          <w:rPr>
            <w:noProof/>
            <w:webHidden/>
          </w:rPr>
          <w:t>10</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3" w:history="1">
        <w:r w:rsidR="00EB2D04" w:rsidRPr="00621CA2">
          <w:rPr>
            <w:rStyle w:val="Lienhypertexte"/>
            <w:noProof/>
          </w:rPr>
          <w:t>Tableau 5 : Situation des Fonds nationaux pour l’emploi en 2016</w:t>
        </w:r>
        <w:r w:rsidR="00EB2D04">
          <w:rPr>
            <w:noProof/>
            <w:webHidden/>
          </w:rPr>
          <w:tab/>
        </w:r>
        <w:r w:rsidR="00EB2D04">
          <w:rPr>
            <w:noProof/>
            <w:webHidden/>
          </w:rPr>
          <w:fldChar w:fldCharType="begin"/>
        </w:r>
        <w:r w:rsidR="00EB2D04">
          <w:rPr>
            <w:noProof/>
            <w:webHidden/>
          </w:rPr>
          <w:instrText xml:space="preserve"> PAGEREF _Toc492895473 \h </w:instrText>
        </w:r>
        <w:r w:rsidR="00EB2D04">
          <w:rPr>
            <w:noProof/>
            <w:webHidden/>
          </w:rPr>
        </w:r>
        <w:r w:rsidR="00EB2D04">
          <w:rPr>
            <w:noProof/>
            <w:webHidden/>
          </w:rPr>
          <w:fldChar w:fldCharType="separate"/>
        </w:r>
        <w:r w:rsidR="00D56DD5">
          <w:rPr>
            <w:noProof/>
            <w:webHidden/>
          </w:rPr>
          <w:t>11</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4" w:history="1">
        <w:r w:rsidR="00EB2D04" w:rsidRPr="00621CA2">
          <w:rPr>
            <w:rStyle w:val="Lienhypertexte"/>
            <w:noProof/>
          </w:rPr>
          <w:t>Tableau 6 :</w:t>
        </w:r>
        <w:r w:rsidR="00EB2D04" w:rsidRPr="00621CA2">
          <w:rPr>
            <w:rStyle w:val="Lienhypertexte"/>
            <w:rFonts w:ascii="Maiandra GD" w:hAnsi="Maiandra GD"/>
            <w:noProof/>
          </w:rPr>
          <w:t xml:space="preserve"> CADRE BUDGETAIRE A MOYEN TERME 2017-2019</w:t>
        </w:r>
        <w:r w:rsidR="00EB2D04">
          <w:rPr>
            <w:noProof/>
            <w:webHidden/>
          </w:rPr>
          <w:tab/>
        </w:r>
        <w:r w:rsidR="00EB2D04">
          <w:rPr>
            <w:noProof/>
            <w:webHidden/>
          </w:rPr>
          <w:fldChar w:fldCharType="begin"/>
        </w:r>
        <w:r w:rsidR="00EB2D04">
          <w:rPr>
            <w:noProof/>
            <w:webHidden/>
          </w:rPr>
          <w:instrText xml:space="preserve"> PAGEREF _Toc492895474 \h </w:instrText>
        </w:r>
        <w:r w:rsidR="00EB2D04">
          <w:rPr>
            <w:noProof/>
            <w:webHidden/>
          </w:rPr>
        </w:r>
        <w:r w:rsidR="00EB2D04">
          <w:rPr>
            <w:noProof/>
            <w:webHidden/>
          </w:rPr>
          <w:fldChar w:fldCharType="separate"/>
        </w:r>
        <w:r w:rsidR="00D56DD5">
          <w:rPr>
            <w:noProof/>
            <w:webHidden/>
          </w:rPr>
          <w:t>15</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5" w:history="1">
        <w:r w:rsidR="00EB2D04" w:rsidRPr="00621CA2">
          <w:rPr>
            <w:rStyle w:val="Lienhypertexte"/>
            <w:noProof/>
          </w:rPr>
          <w:t>Tableau 7 : PIP 2016 révisé par type et mode de financement</w:t>
        </w:r>
        <w:r w:rsidR="00EB2D04">
          <w:rPr>
            <w:noProof/>
            <w:webHidden/>
          </w:rPr>
          <w:tab/>
        </w:r>
        <w:r w:rsidR="00EB2D04">
          <w:rPr>
            <w:noProof/>
            <w:webHidden/>
          </w:rPr>
          <w:fldChar w:fldCharType="begin"/>
        </w:r>
        <w:r w:rsidR="00EB2D04">
          <w:rPr>
            <w:noProof/>
            <w:webHidden/>
          </w:rPr>
          <w:instrText xml:space="preserve"> PAGEREF _Toc492895475 \h </w:instrText>
        </w:r>
        <w:r w:rsidR="00EB2D04">
          <w:rPr>
            <w:noProof/>
            <w:webHidden/>
          </w:rPr>
        </w:r>
        <w:r w:rsidR="00EB2D04">
          <w:rPr>
            <w:noProof/>
            <w:webHidden/>
          </w:rPr>
          <w:fldChar w:fldCharType="separate"/>
        </w:r>
        <w:r w:rsidR="00D56DD5">
          <w:rPr>
            <w:noProof/>
            <w:webHidden/>
          </w:rPr>
          <w:t>16</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6" w:history="1">
        <w:r w:rsidR="00EB2D04" w:rsidRPr="00621CA2">
          <w:rPr>
            <w:rStyle w:val="Lienhypertexte"/>
            <w:noProof/>
          </w:rPr>
          <w:t>Tableau 8 : Récapitulatif des conventions de financement signées en 2016 (en milliards de FCFA)</w:t>
        </w:r>
        <w:r w:rsidR="00EB2D04">
          <w:rPr>
            <w:noProof/>
            <w:webHidden/>
          </w:rPr>
          <w:tab/>
        </w:r>
        <w:r w:rsidR="00EB2D04">
          <w:rPr>
            <w:noProof/>
            <w:webHidden/>
          </w:rPr>
          <w:fldChar w:fldCharType="begin"/>
        </w:r>
        <w:r w:rsidR="00EB2D04">
          <w:rPr>
            <w:noProof/>
            <w:webHidden/>
          </w:rPr>
          <w:instrText xml:space="preserve"> PAGEREF _Toc492895476 \h </w:instrText>
        </w:r>
        <w:r w:rsidR="00EB2D04">
          <w:rPr>
            <w:noProof/>
            <w:webHidden/>
          </w:rPr>
        </w:r>
        <w:r w:rsidR="00EB2D04">
          <w:rPr>
            <w:noProof/>
            <w:webHidden/>
          </w:rPr>
          <w:fldChar w:fldCharType="separate"/>
        </w:r>
        <w:r w:rsidR="00D56DD5">
          <w:rPr>
            <w:noProof/>
            <w:webHidden/>
          </w:rPr>
          <w:t>32</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7" w:history="1">
        <w:r w:rsidR="00EB2D04" w:rsidRPr="00621CA2">
          <w:rPr>
            <w:rStyle w:val="Lienhypertexte"/>
            <w:noProof/>
          </w:rPr>
          <w:t>Tableau 9 : Evolution de l’APD par rapport au PIB et au nombre d’habitants de 2012 à 2016</w:t>
        </w:r>
        <w:r w:rsidR="00EB2D04">
          <w:rPr>
            <w:noProof/>
            <w:webHidden/>
          </w:rPr>
          <w:tab/>
        </w:r>
        <w:r w:rsidR="00EB2D04">
          <w:rPr>
            <w:noProof/>
            <w:webHidden/>
          </w:rPr>
          <w:fldChar w:fldCharType="begin"/>
        </w:r>
        <w:r w:rsidR="00EB2D04">
          <w:rPr>
            <w:noProof/>
            <w:webHidden/>
          </w:rPr>
          <w:instrText xml:space="preserve"> PAGEREF _Toc492895477 \h </w:instrText>
        </w:r>
        <w:r w:rsidR="00EB2D04">
          <w:rPr>
            <w:noProof/>
            <w:webHidden/>
          </w:rPr>
        </w:r>
        <w:r w:rsidR="00EB2D04">
          <w:rPr>
            <w:noProof/>
            <w:webHidden/>
          </w:rPr>
          <w:fldChar w:fldCharType="separate"/>
        </w:r>
        <w:r w:rsidR="00D56DD5">
          <w:rPr>
            <w:noProof/>
            <w:webHidden/>
          </w:rPr>
          <w:t>37</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8" w:history="1">
        <w:r w:rsidR="00EB2D04" w:rsidRPr="00621CA2">
          <w:rPr>
            <w:rStyle w:val="Lienhypertexte"/>
            <w:noProof/>
          </w:rPr>
          <w:t>Tableau 10 : Situation de prévision et d’exécution du budget de l’Etat, gestion 2016 (en milliards de FCFA)</w:t>
        </w:r>
        <w:r w:rsidR="00EB2D04">
          <w:rPr>
            <w:noProof/>
            <w:webHidden/>
          </w:rPr>
          <w:tab/>
        </w:r>
        <w:r w:rsidR="00EB2D04">
          <w:rPr>
            <w:noProof/>
            <w:webHidden/>
          </w:rPr>
          <w:fldChar w:fldCharType="begin"/>
        </w:r>
        <w:r w:rsidR="00EB2D04">
          <w:rPr>
            <w:noProof/>
            <w:webHidden/>
          </w:rPr>
          <w:instrText xml:space="preserve"> PAGEREF _Toc492895478 \h </w:instrText>
        </w:r>
        <w:r w:rsidR="00EB2D04">
          <w:rPr>
            <w:noProof/>
            <w:webHidden/>
          </w:rPr>
        </w:r>
        <w:r w:rsidR="00EB2D04">
          <w:rPr>
            <w:noProof/>
            <w:webHidden/>
          </w:rPr>
          <w:fldChar w:fldCharType="separate"/>
        </w:r>
        <w:r w:rsidR="00D56DD5">
          <w:rPr>
            <w:noProof/>
            <w:webHidden/>
          </w:rPr>
          <w:t>38</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79" w:history="1">
        <w:r w:rsidR="00EB2D04" w:rsidRPr="00621CA2">
          <w:rPr>
            <w:rStyle w:val="Lienhypertexte"/>
            <w:noProof/>
          </w:rPr>
          <w:t>Tableau 11 : Structure de l’APD par type d’assistance en 2015 et 2016</w:t>
        </w:r>
        <w:r w:rsidR="00EB2D04">
          <w:rPr>
            <w:noProof/>
            <w:webHidden/>
          </w:rPr>
          <w:tab/>
        </w:r>
        <w:r w:rsidR="00EB2D04">
          <w:rPr>
            <w:noProof/>
            <w:webHidden/>
          </w:rPr>
          <w:fldChar w:fldCharType="begin"/>
        </w:r>
        <w:r w:rsidR="00EB2D04">
          <w:rPr>
            <w:noProof/>
            <w:webHidden/>
          </w:rPr>
          <w:instrText xml:space="preserve"> PAGEREF _Toc492895479 \h </w:instrText>
        </w:r>
        <w:r w:rsidR="00EB2D04">
          <w:rPr>
            <w:noProof/>
            <w:webHidden/>
          </w:rPr>
        </w:r>
        <w:r w:rsidR="00EB2D04">
          <w:rPr>
            <w:noProof/>
            <w:webHidden/>
          </w:rPr>
          <w:fldChar w:fldCharType="separate"/>
        </w:r>
        <w:r w:rsidR="00D56DD5">
          <w:rPr>
            <w:noProof/>
            <w:webHidden/>
          </w:rPr>
          <w:t>39</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0" w:history="1">
        <w:r w:rsidR="00EB2D04" w:rsidRPr="00621CA2">
          <w:rPr>
            <w:rStyle w:val="Lienhypertexte"/>
            <w:noProof/>
          </w:rPr>
          <w:t>Tableau 12 : Principales caractéristiques de l’aide projet sans fonds communs en 2016</w:t>
        </w:r>
        <w:r w:rsidR="00EB2D04">
          <w:rPr>
            <w:noProof/>
            <w:webHidden/>
          </w:rPr>
          <w:tab/>
        </w:r>
        <w:r w:rsidR="00EB2D04">
          <w:rPr>
            <w:noProof/>
            <w:webHidden/>
          </w:rPr>
          <w:fldChar w:fldCharType="begin"/>
        </w:r>
        <w:r w:rsidR="00EB2D04">
          <w:rPr>
            <w:noProof/>
            <w:webHidden/>
          </w:rPr>
          <w:instrText xml:space="preserve"> PAGEREF _Toc492895480 \h </w:instrText>
        </w:r>
        <w:r w:rsidR="00EB2D04">
          <w:rPr>
            <w:noProof/>
            <w:webHidden/>
          </w:rPr>
        </w:r>
        <w:r w:rsidR="00EB2D04">
          <w:rPr>
            <w:noProof/>
            <w:webHidden/>
          </w:rPr>
          <w:fldChar w:fldCharType="separate"/>
        </w:r>
        <w:r w:rsidR="00D56DD5">
          <w:rPr>
            <w:noProof/>
            <w:webHidden/>
          </w:rPr>
          <w:t>39</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1" w:history="1">
        <w:r w:rsidR="00EB2D04" w:rsidRPr="00621CA2">
          <w:rPr>
            <w:rStyle w:val="Lienhypertexte"/>
            <w:noProof/>
          </w:rPr>
          <w:t>Tableau 13 : Principales caractéristiques de l’aide projet avec fonds communs en 2016</w:t>
        </w:r>
        <w:r w:rsidR="00EB2D04">
          <w:rPr>
            <w:noProof/>
            <w:webHidden/>
          </w:rPr>
          <w:tab/>
        </w:r>
        <w:r w:rsidR="00EB2D04">
          <w:rPr>
            <w:noProof/>
            <w:webHidden/>
          </w:rPr>
          <w:fldChar w:fldCharType="begin"/>
        </w:r>
        <w:r w:rsidR="00EB2D04">
          <w:rPr>
            <w:noProof/>
            <w:webHidden/>
          </w:rPr>
          <w:instrText xml:space="preserve"> PAGEREF _Toc492895481 \h </w:instrText>
        </w:r>
        <w:r w:rsidR="00EB2D04">
          <w:rPr>
            <w:noProof/>
            <w:webHidden/>
          </w:rPr>
        </w:r>
        <w:r w:rsidR="00EB2D04">
          <w:rPr>
            <w:noProof/>
            <w:webHidden/>
          </w:rPr>
          <w:fldChar w:fldCharType="separate"/>
        </w:r>
        <w:r w:rsidR="00D56DD5">
          <w:rPr>
            <w:noProof/>
            <w:webHidden/>
          </w:rPr>
          <w:t>41</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2" w:history="1">
        <w:r w:rsidR="00EB2D04" w:rsidRPr="00621CA2">
          <w:rPr>
            <w:rStyle w:val="Lienhypertexte"/>
            <w:noProof/>
          </w:rPr>
          <w:t>Tableau 14 : Situation synthétique par bailleur de la coopération technique en 2016 (en millions dollars US)</w:t>
        </w:r>
        <w:r w:rsidR="00EB2D04">
          <w:rPr>
            <w:noProof/>
            <w:webHidden/>
          </w:rPr>
          <w:tab/>
        </w:r>
        <w:r w:rsidR="00EB2D04">
          <w:rPr>
            <w:noProof/>
            <w:webHidden/>
          </w:rPr>
          <w:fldChar w:fldCharType="begin"/>
        </w:r>
        <w:r w:rsidR="00EB2D04">
          <w:rPr>
            <w:noProof/>
            <w:webHidden/>
          </w:rPr>
          <w:instrText xml:space="preserve"> PAGEREF _Toc492895482 \h </w:instrText>
        </w:r>
        <w:r w:rsidR="00EB2D04">
          <w:rPr>
            <w:noProof/>
            <w:webHidden/>
          </w:rPr>
        </w:r>
        <w:r w:rsidR="00EB2D04">
          <w:rPr>
            <w:noProof/>
            <w:webHidden/>
          </w:rPr>
          <w:fldChar w:fldCharType="separate"/>
        </w:r>
        <w:r w:rsidR="00D56DD5">
          <w:rPr>
            <w:noProof/>
            <w:webHidden/>
          </w:rPr>
          <w:t>42</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3" w:history="1">
        <w:r w:rsidR="00EB2D04" w:rsidRPr="00621CA2">
          <w:rPr>
            <w:rStyle w:val="Lienhypertexte"/>
            <w:noProof/>
          </w:rPr>
          <w:t>Tableau 15 : Principales caractéristiques de l’Appui Budgétaire Général en 2016</w:t>
        </w:r>
        <w:r w:rsidR="00EB2D04">
          <w:rPr>
            <w:noProof/>
            <w:webHidden/>
          </w:rPr>
          <w:tab/>
        </w:r>
        <w:r w:rsidR="00EB2D04">
          <w:rPr>
            <w:noProof/>
            <w:webHidden/>
          </w:rPr>
          <w:fldChar w:fldCharType="begin"/>
        </w:r>
        <w:r w:rsidR="00EB2D04">
          <w:rPr>
            <w:noProof/>
            <w:webHidden/>
          </w:rPr>
          <w:instrText xml:space="preserve"> PAGEREF _Toc492895483 \h </w:instrText>
        </w:r>
        <w:r w:rsidR="00EB2D04">
          <w:rPr>
            <w:noProof/>
            <w:webHidden/>
          </w:rPr>
        </w:r>
        <w:r w:rsidR="00EB2D04">
          <w:rPr>
            <w:noProof/>
            <w:webHidden/>
          </w:rPr>
          <w:fldChar w:fldCharType="separate"/>
        </w:r>
        <w:r w:rsidR="00D56DD5">
          <w:rPr>
            <w:noProof/>
            <w:webHidden/>
          </w:rPr>
          <w:t>43</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4" w:history="1">
        <w:r w:rsidR="00EB2D04" w:rsidRPr="00621CA2">
          <w:rPr>
            <w:rStyle w:val="Lienhypertexte"/>
            <w:noProof/>
          </w:rPr>
          <w:t>Tableau 16 : Caractéristiques de l'Appui Budgétaire Sectoriel en 2016</w:t>
        </w:r>
        <w:r w:rsidR="00EB2D04">
          <w:rPr>
            <w:noProof/>
            <w:webHidden/>
          </w:rPr>
          <w:tab/>
        </w:r>
        <w:r w:rsidR="00EB2D04">
          <w:rPr>
            <w:noProof/>
            <w:webHidden/>
          </w:rPr>
          <w:fldChar w:fldCharType="begin"/>
        </w:r>
        <w:r w:rsidR="00EB2D04">
          <w:rPr>
            <w:noProof/>
            <w:webHidden/>
          </w:rPr>
          <w:instrText xml:space="preserve"> PAGEREF _Toc492895484 \h </w:instrText>
        </w:r>
        <w:r w:rsidR="00EB2D04">
          <w:rPr>
            <w:noProof/>
            <w:webHidden/>
          </w:rPr>
        </w:r>
        <w:r w:rsidR="00EB2D04">
          <w:rPr>
            <w:noProof/>
            <w:webHidden/>
          </w:rPr>
          <w:fldChar w:fldCharType="separate"/>
        </w:r>
        <w:r w:rsidR="00D56DD5">
          <w:rPr>
            <w:noProof/>
            <w:webHidden/>
          </w:rPr>
          <w:t>44</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5" w:history="1">
        <w:r w:rsidR="00EB2D04" w:rsidRPr="00621CA2">
          <w:rPr>
            <w:rStyle w:val="Lienhypertexte"/>
            <w:noProof/>
          </w:rPr>
          <w:t>Tableau 17 : Principales caractéristiques de l'assistance et secours d'urgence en 2016</w:t>
        </w:r>
        <w:r w:rsidR="00EB2D04">
          <w:rPr>
            <w:noProof/>
            <w:webHidden/>
          </w:rPr>
          <w:tab/>
        </w:r>
        <w:r w:rsidR="00EB2D04">
          <w:rPr>
            <w:noProof/>
            <w:webHidden/>
          </w:rPr>
          <w:fldChar w:fldCharType="begin"/>
        </w:r>
        <w:r w:rsidR="00EB2D04">
          <w:rPr>
            <w:noProof/>
            <w:webHidden/>
          </w:rPr>
          <w:instrText xml:space="preserve"> PAGEREF _Toc492895485 \h </w:instrText>
        </w:r>
        <w:r w:rsidR="00EB2D04">
          <w:rPr>
            <w:noProof/>
            <w:webHidden/>
          </w:rPr>
        </w:r>
        <w:r w:rsidR="00EB2D04">
          <w:rPr>
            <w:noProof/>
            <w:webHidden/>
          </w:rPr>
          <w:fldChar w:fldCharType="separate"/>
        </w:r>
        <w:r w:rsidR="00D56DD5">
          <w:rPr>
            <w:noProof/>
            <w:webHidden/>
          </w:rPr>
          <w:t>45</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6" w:history="1">
        <w:r w:rsidR="00EB2D04" w:rsidRPr="00621CA2">
          <w:rPr>
            <w:rStyle w:val="Lienhypertexte"/>
            <w:noProof/>
          </w:rPr>
          <w:t>Tableau 18 : Part des ONG dans l’APD de 2012 à 2016</w:t>
        </w:r>
        <w:r w:rsidR="00EB2D04">
          <w:rPr>
            <w:noProof/>
            <w:webHidden/>
          </w:rPr>
          <w:tab/>
        </w:r>
        <w:r w:rsidR="00EB2D04">
          <w:rPr>
            <w:noProof/>
            <w:webHidden/>
          </w:rPr>
          <w:fldChar w:fldCharType="begin"/>
        </w:r>
        <w:r w:rsidR="00EB2D04">
          <w:rPr>
            <w:noProof/>
            <w:webHidden/>
          </w:rPr>
          <w:instrText xml:space="preserve"> PAGEREF _Toc492895486 \h </w:instrText>
        </w:r>
        <w:r w:rsidR="00EB2D04">
          <w:rPr>
            <w:noProof/>
            <w:webHidden/>
          </w:rPr>
        </w:r>
        <w:r w:rsidR="00EB2D04">
          <w:rPr>
            <w:noProof/>
            <w:webHidden/>
          </w:rPr>
          <w:fldChar w:fldCharType="separate"/>
        </w:r>
        <w:r w:rsidR="00D56DD5">
          <w:rPr>
            <w:noProof/>
            <w:webHidden/>
          </w:rPr>
          <w:t>53</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7" w:history="1">
        <w:r w:rsidR="00EB2D04" w:rsidRPr="00621CA2">
          <w:rPr>
            <w:rStyle w:val="Lienhypertexte"/>
            <w:noProof/>
          </w:rPr>
          <w:t>Tableau 19 : Part de la contribution par groupe de bailleurs en 2016</w:t>
        </w:r>
        <w:r w:rsidR="00EB2D04">
          <w:rPr>
            <w:noProof/>
            <w:webHidden/>
          </w:rPr>
          <w:tab/>
        </w:r>
        <w:r w:rsidR="00EB2D04">
          <w:rPr>
            <w:noProof/>
            <w:webHidden/>
          </w:rPr>
          <w:fldChar w:fldCharType="begin"/>
        </w:r>
        <w:r w:rsidR="00EB2D04">
          <w:rPr>
            <w:noProof/>
            <w:webHidden/>
          </w:rPr>
          <w:instrText xml:space="preserve"> PAGEREF _Toc492895487 \h </w:instrText>
        </w:r>
        <w:r w:rsidR="00EB2D04">
          <w:rPr>
            <w:noProof/>
            <w:webHidden/>
          </w:rPr>
        </w:r>
        <w:r w:rsidR="00EB2D04">
          <w:rPr>
            <w:noProof/>
            <w:webHidden/>
          </w:rPr>
          <w:fldChar w:fldCharType="separate"/>
        </w:r>
        <w:r w:rsidR="00D56DD5">
          <w:rPr>
            <w:noProof/>
            <w:webHidden/>
          </w:rPr>
          <w:t>53</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8" w:history="1">
        <w:r w:rsidR="00EB2D04" w:rsidRPr="00621CA2">
          <w:rPr>
            <w:rStyle w:val="Lienhypertexte"/>
            <w:noProof/>
          </w:rPr>
          <w:t>Tableau 20 : Situation synthétique par bailleur ayant fourni de l’aide sous forme de coopération déléguée (CD) en 2016 (en millions de dollars US)</w:t>
        </w:r>
        <w:r w:rsidR="00EB2D04">
          <w:rPr>
            <w:noProof/>
            <w:webHidden/>
          </w:rPr>
          <w:tab/>
        </w:r>
        <w:r w:rsidR="00EB2D04">
          <w:rPr>
            <w:noProof/>
            <w:webHidden/>
          </w:rPr>
          <w:fldChar w:fldCharType="begin"/>
        </w:r>
        <w:r w:rsidR="00EB2D04">
          <w:rPr>
            <w:noProof/>
            <w:webHidden/>
          </w:rPr>
          <w:instrText xml:space="preserve"> PAGEREF _Toc492895488 \h </w:instrText>
        </w:r>
        <w:r w:rsidR="00EB2D04">
          <w:rPr>
            <w:noProof/>
            <w:webHidden/>
          </w:rPr>
        </w:r>
        <w:r w:rsidR="00EB2D04">
          <w:rPr>
            <w:noProof/>
            <w:webHidden/>
          </w:rPr>
          <w:fldChar w:fldCharType="separate"/>
        </w:r>
        <w:r w:rsidR="00D56DD5">
          <w:rPr>
            <w:noProof/>
            <w:webHidden/>
          </w:rPr>
          <w:t>55</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89" w:history="1">
        <w:r w:rsidR="00EB2D04" w:rsidRPr="00621CA2">
          <w:rPr>
            <w:rStyle w:val="Lienhypertexte"/>
            <w:noProof/>
          </w:rPr>
          <w:t>Tableau 21 : Situation des partenaires ayant fourni un appui aux ONG en 2016 en millions dollars US</w:t>
        </w:r>
        <w:r w:rsidR="00EB2D04">
          <w:rPr>
            <w:noProof/>
            <w:webHidden/>
          </w:rPr>
          <w:tab/>
        </w:r>
        <w:r w:rsidR="00EB2D04">
          <w:rPr>
            <w:noProof/>
            <w:webHidden/>
          </w:rPr>
          <w:fldChar w:fldCharType="begin"/>
        </w:r>
        <w:r w:rsidR="00EB2D04">
          <w:rPr>
            <w:noProof/>
            <w:webHidden/>
          </w:rPr>
          <w:instrText xml:space="preserve"> PAGEREF _Toc492895489 \h </w:instrText>
        </w:r>
        <w:r w:rsidR="00EB2D04">
          <w:rPr>
            <w:noProof/>
            <w:webHidden/>
          </w:rPr>
        </w:r>
        <w:r w:rsidR="00EB2D04">
          <w:rPr>
            <w:noProof/>
            <w:webHidden/>
          </w:rPr>
          <w:fldChar w:fldCharType="separate"/>
        </w:r>
        <w:r w:rsidR="00D56DD5">
          <w:rPr>
            <w:noProof/>
            <w:webHidden/>
          </w:rPr>
          <w:t>55</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90" w:history="1">
        <w:r w:rsidR="00EB2D04" w:rsidRPr="00621CA2">
          <w:rPr>
            <w:rStyle w:val="Lienhypertexte"/>
            <w:noProof/>
          </w:rPr>
          <w:t>Tableau 22 : Les principaux secteurs bénéficiaires de l’APD en 2016</w:t>
        </w:r>
        <w:r w:rsidR="00EB2D04">
          <w:rPr>
            <w:noProof/>
            <w:webHidden/>
          </w:rPr>
          <w:tab/>
        </w:r>
        <w:r w:rsidR="00EB2D04">
          <w:rPr>
            <w:noProof/>
            <w:webHidden/>
          </w:rPr>
          <w:fldChar w:fldCharType="begin"/>
        </w:r>
        <w:r w:rsidR="00EB2D04">
          <w:rPr>
            <w:noProof/>
            <w:webHidden/>
          </w:rPr>
          <w:instrText xml:space="preserve"> PAGEREF _Toc492895490 \h </w:instrText>
        </w:r>
        <w:r w:rsidR="00EB2D04">
          <w:rPr>
            <w:noProof/>
            <w:webHidden/>
          </w:rPr>
        </w:r>
        <w:r w:rsidR="00EB2D04">
          <w:rPr>
            <w:noProof/>
            <w:webHidden/>
          </w:rPr>
          <w:fldChar w:fldCharType="separate"/>
        </w:r>
        <w:r w:rsidR="00D56DD5">
          <w:rPr>
            <w:noProof/>
            <w:webHidden/>
          </w:rPr>
          <w:t>56</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91" w:history="1">
        <w:r w:rsidR="00EB2D04" w:rsidRPr="00621CA2">
          <w:rPr>
            <w:rStyle w:val="Lienhypertexte"/>
            <w:noProof/>
          </w:rPr>
          <w:t>Tableau 23 : Principales caractéristiques du secteur « Gouvernance économique» en 2016</w:t>
        </w:r>
        <w:r w:rsidR="00EB2D04">
          <w:rPr>
            <w:noProof/>
            <w:webHidden/>
          </w:rPr>
          <w:tab/>
        </w:r>
        <w:r w:rsidR="00EB2D04">
          <w:rPr>
            <w:noProof/>
            <w:webHidden/>
          </w:rPr>
          <w:fldChar w:fldCharType="begin"/>
        </w:r>
        <w:r w:rsidR="00EB2D04">
          <w:rPr>
            <w:noProof/>
            <w:webHidden/>
          </w:rPr>
          <w:instrText xml:space="preserve"> PAGEREF _Toc492895491 \h </w:instrText>
        </w:r>
        <w:r w:rsidR="00EB2D04">
          <w:rPr>
            <w:noProof/>
            <w:webHidden/>
          </w:rPr>
        </w:r>
        <w:r w:rsidR="00EB2D04">
          <w:rPr>
            <w:noProof/>
            <w:webHidden/>
          </w:rPr>
          <w:fldChar w:fldCharType="separate"/>
        </w:r>
        <w:r w:rsidR="00D56DD5">
          <w:rPr>
            <w:noProof/>
            <w:webHidden/>
          </w:rPr>
          <w:t>57</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92" w:history="1">
        <w:r w:rsidR="00EB2D04" w:rsidRPr="00621CA2">
          <w:rPr>
            <w:rStyle w:val="Lienhypertexte"/>
            <w:noProof/>
          </w:rPr>
          <w:t>Tableau 24 : Principales caractéristiques du secteur « Environnement, Eau et Assainissement » en 2016</w:t>
        </w:r>
        <w:r w:rsidR="00EB2D04">
          <w:rPr>
            <w:noProof/>
            <w:webHidden/>
          </w:rPr>
          <w:tab/>
        </w:r>
        <w:r w:rsidR="00EB2D04">
          <w:rPr>
            <w:noProof/>
            <w:webHidden/>
          </w:rPr>
          <w:fldChar w:fldCharType="begin"/>
        </w:r>
        <w:r w:rsidR="00EB2D04">
          <w:rPr>
            <w:noProof/>
            <w:webHidden/>
          </w:rPr>
          <w:instrText xml:space="preserve"> PAGEREF _Toc492895492 \h </w:instrText>
        </w:r>
        <w:r w:rsidR="00EB2D04">
          <w:rPr>
            <w:noProof/>
            <w:webHidden/>
          </w:rPr>
        </w:r>
        <w:r w:rsidR="00EB2D04">
          <w:rPr>
            <w:noProof/>
            <w:webHidden/>
          </w:rPr>
          <w:fldChar w:fldCharType="separate"/>
        </w:r>
        <w:r w:rsidR="00D56DD5">
          <w:rPr>
            <w:noProof/>
            <w:webHidden/>
          </w:rPr>
          <w:t>58</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93" w:history="1">
        <w:r w:rsidR="00EB2D04" w:rsidRPr="00621CA2">
          <w:rPr>
            <w:rStyle w:val="Lienhypertexte"/>
            <w:noProof/>
          </w:rPr>
          <w:t>Tableau 25 : Principales caractéristiques du secteur « Production agro-sylvo-pastorale» en 2016</w:t>
        </w:r>
        <w:r w:rsidR="00EB2D04">
          <w:rPr>
            <w:noProof/>
            <w:webHidden/>
          </w:rPr>
          <w:tab/>
        </w:r>
        <w:r w:rsidR="00EB2D04">
          <w:rPr>
            <w:noProof/>
            <w:webHidden/>
          </w:rPr>
          <w:fldChar w:fldCharType="begin"/>
        </w:r>
        <w:r w:rsidR="00EB2D04">
          <w:rPr>
            <w:noProof/>
            <w:webHidden/>
          </w:rPr>
          <w:instrText xml:space="preserve"> PAGEREF _Toc492895493 \h </w:instrText>
        </w:r>
        <w:r w:rsidR="00EB2D04">
          <w:rPr>
            <w:noProof/>
            <w:webHidden/>
          </w:rPr>
        </w:r>
        <w:r w:rsidR="00EB2D04">
          <w:rPr>
            <w:noProof/>
            <w:webHidden/>
          </w:rPr>
          <w:fldChar w:fldCharType="separate"/>
        </w:r>
        <w:r w:rsidR="00D56DD5">
          <w:rPr>
            <w:noProof/>
            <w:webHidden/>
          </w:rPr>
          <w:t>60</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94" w:history="1">
        <w:r w:rsidR="00EB2D04" w:rsidRPr="00621CA2">
          <w:rPr>
            <w:rStyle w:val="Lienhypertexte"/>
            <w:noProof/>
          </w:rPr>
          <w:t>Tableau 26 : Principales caractéristiques du secteur « Education et formation » en 2016</w:t>
        </w:r>
        <w:r w:rsidR="00EB2D04">
          <w:rPr>
            <w:noProof/>
            <w:webHidden/>
          </w:rPr>
          <w:tab/>
        </w:r>
        <w:r w:rsidR="00EB2D04">
          <w:rPr>
            <w:noProof/>
            <w:webHidden/>
          </w:rPr>
          <w:fldChar w:fldCharType="begin"/>
        </w:r>
        <w:r w:rsidR="00EB2D04">
          <w:rPr>
            <w:noProof/>
            <w:webHidden/>
          </w:rPr>
          <w:instrText xml:space="preserve"> PAGEREF _Toc492895494 \h </w:instrText>
        </w:r>
        <w:r w:rsidR="00EB2D04">
          <w:rPr>
            <w:noProof/>
            <w:webHidden/>
          </w:rPr>
        </w:r>
        <w:r w:rsidR="00EB2D04">
          <w:rPr>
            <w:noProof/>
            <w:webHidden/>
          </w:rPr>
          <w:fldChar w:fldCharType="separate"/>
        </w:r>
        <w:r w:rsidR="00D56DD5">
          <w:rPr>
            <w:noProof/>
            <w:webHidden/>
          </w:rPr>
          <w:t>61</w:t>
        </w:r>
        <w:r w:rsidR="00EB2D04">
          <w:rPr>
            <w:noProof/>
            <w:webHidden/>
          </w:rPr>
          <w:fldChar w:fldCharType="end"/>
        </w:r>
      </w:hyperlink>
    </w:p>
    <w:p w:rsidR="00EB2D04" w:rsidRDefault="0015344F" w:rsidP="00645FD9">
      <w:pPr>
        <w:pStyle w:val="Tabledesillustrations"/>
        <w:tabs>
          <w:tab w:val="right" w:leader="dot" w:pos="10196"/>
        </w:tabs>
        <w:spacing w:before="120"/>
        <w:rPr>
          <w:rFonts w:eastAsiaTheme="minorEastAsia" w:cstheme="minorBidi"/>
          <w:caps w:val="0"/>
          <w:noProof/>
          <w:sz w:val="22"/>
          <w:szCs w:val="22"/>
          <w:lang w:eastAsia="fr-FR"/>
        </w:rPr>
      </w:pPr>
      <w:hyperlink w:anchor="_Toc492895495" w:history="1">
        <w:r w:rsidR="00EB2D04" w:rsidRPr="00621CA2">
          <w:rPr>
            <w:rStyle w:val="Lienhypertexte"/>
            <w:noProof/>
          </w:rPr>
          <w:t>Tableau 27 : Répartition des annonces de financement du PNDES à la Conférence de Paris par type de partenaires</w:t>
        </w:r>
        <w:r w:rsidR="00EB2D04">
          <w:rPr>
            <w:noProof/>
            <w:webHidden/>
          </w:rPr>
          <w:tab/>
        </w:r>
        <w:r w:rsidR="00EB2D04">
          <w:rPr>
            <w:noProof/>
            <w:webHidden/>
          </w:rPr>
          <w:fldChar w:fldCharType="begin"/>
        </w:r>
        <w:r w:rsidR="00EB2D04">
          <w:rPr>
            <w:noProof/>
            <w:webHidden/>
          </w:rPr>
          <w:instrText xml:space="preserve"> PAGEREF _Toc492895495 \h </w:instrText>
        </w:r>
        <w:r w:rsidR="00EB2D04">
          <w:rPr>
            <w:noProof/>
            <w:webHidden/>
          </w:rPr>
        </w:r>
        <w:r w:rsidR="00EB2D04">
          <w:rPr>
            <w:noProof/>
            <w:webHidden/>
          </w:rPr>
          <w:fldChar w:fldCharType="separate"/>
        </w:r>
        <w:r w:rsidR="00D56DD5">
          <w:rPr>
            <w:noProof/>
            <w:webHidden/>
          </w:rPr>
          <w:t>75</w:t>
        </w:r>
        <w:r w:rsidR="00EB2D04">
          <w:rPr>
            <w:noProof/>
            <w:webHidden/>
          </w:rPr>
          <w:fldChar w:fldCharType="end"/>
        </w:r>
      </w:hyperlink>
    </w:p>
    <w:p w:rsidR="00F801C6" w:rsidRDefault="00F801C6" w:rsidP="00645FD9">
      <w:pPr>
        <w:spacing w:before="120" w:after="0" w:line="240" w:lineRule="auto"/>
      </w:pPr>
      <w:r>
        <w:fldChar w:fldCharType="end"/>
      </w:r>
    </w:p>
    <w:p w:rsidR="00F801C6" w:rsidRDefault="00F801C6">
      <w:pPr>
        <w:spacing w:after="0" w:line="240" w:lineRule="auto"/>
      </w:pPr>
    </w:p>
    <w:p w:rsidR="00F801C6" w:rsidRDefault="00F801C6">
      <w:pPr>
        <w:spacing w:after="0" w:line="240" w:lineRule="auto"/>
      </w:pPr>
    </w:p>
    <w:p w:rsidR="00F801C6" w:rsidRDefault="00F801C6">
      <w:pPr>
        <w:spacing w:after="0" w:line="240" w:lineRule="auto"/>
      </w:pPr>
      <w:r>
        <w:br w:type="page"/>
      </w:r>
    </w:p>
    <w:p w:rsidR="00F801C6" w:rsidRPr="00F801C6" w:rsidRDefault="00F801C6" w:rsidP="00F801C6">
      <w:pPr>
        <w:pStyle w:val="Titre"/>
        <w:rPr>
          <w:rFonts w:asciiTheme="majorHAnsi" w:hAnsiTheme="majorHAnsi"/>
          <w:sz w:val="26"/>
          <w:szCs w:val="26"/>
        </w:rPr>
      </w:pPr>
      <w:bookmarkStart w:id="16" w:name="_Toc492972149"/>
      <w:r w:rsidRPr="00F801C6">
        <w:rPr>
          <w:rFonts w:asciiTheme="majorHAnsi" w:hAnsiTheme="majorHAnsi"/>
          <w:sz w:val="26"/>
          <w:szCs w:val="26"/>
        </w:rPr>
        <w:lastRenderedPageBreak/>
        <w:t>TABLE DES GRAPHIQUES</w:t>
      </w:r>
      <w:bookmarkEnd w:id="16"/>
    </w:p>
    <w:p w:rsidR="008213AB" w:rsidRDefault="008213AB" w:rsidP="00645FD9">
      <w:pPr>
        <w:pStyle w:val="Tabledesillustrations"/>
        <w:tabs>
          <w:tab w:val="right" w:leader="dot" w:pos="10196"/>
        </w:tabs>
        <w:spacing w:after="120"/>
        <w:rPr>
          <w:rFonts w:eastAsiaTheme="minorEastAsia" w:cstheme="minorBidi"/>
          <w:caps w:val="0"/>
          <w:noProof/>
          <w:sz w:val="22"/>
          <w:szCs w:val="22"/>
          <w:lang w:eastAsia="fr-FR"/>
        </w:rPr>
      </w:pPr>
      <w:r>
        <w:fldChar w:fldCharType="begin"/>
      </w:r>
      <w:r>
        <w:instrText xml:space="preserve"> TOC \h \z \c "Graphique" </w:instrText>
      </w:r>
      <w:r>
        <w:fldChar w:fldCharType="separate"/>
      </w:r>
      <w:hyperlink w:anchor="_Toc492895734" w:history="1">
        <w:r w:rsidRPr="00DF43F4">
          <w:rPr>
            <w:rStyle w:val="Lienhypertexte"/>
            <w:noProof/>
          </w:rPr>
          <w:t>Graphique 1 : Evolution de l’APD de 2007 à 2016 (en millions dollars US)</w:t>
        </w:r>
        <w:r>
          <w:rPr>
            <w:noProof/>
            <w:webHidden/>
          </w:rPr>
          <w:tab/>
        </w:r>
        <w:r>
          <w:rPr>
            <w:noProof/>
            <w:webHidden/>
          </w:rPr>
          <w:fldChar w:fldCharType="begin"/>
        </w:r>
        <w:r>
          <w:rPr>
            <w:noProof/>
            <w:webHidden/>
          </w:rPr>
          <w:instrText xml:space="preserve"> PAGEREF _Toc492895734 \h </w:instrText>
        </w:r>
        <w:r>
          <w:rPr>
            <w:noProof/>
            <w:webHidden/>
          </w:rPr>
        </w:r>
        <w:r>
          <w:rPr>
            <w:noProof/>
            <w:webHidden/>
          </w:rPr>
          <w:fldChar w:fldCharType="separate"/>
        </w:r>
        <w:r w:rsidR="00D56DD5">
          <w:rPr>
            <w:noProof/>
            <w:webHidden/>
          </w:rPr>
          <w:t>36</w:t>
        </w:r>
        <w:r>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35" w:history="1">
        <w:r w:rsidR="008213AB" w:rsidRPr="00DF43F4">
          <w:rPr>
            <w:rStyle w:val="Lienhypertexte"/>
            <w:noProof/>
          </w:rPr>
          <w:t>Graphique 2 : Répartition de l’APD par type d’assistance en 2016</w:t>
        </w:r>
        <w:r w:rsidR="008213AB">
          <w:rPr>
            <w:noProof/>
            <w:webHidden/>
          </w:rPr>
          <w:tab/>
        </w:r>
        <w:r w:rsidR="008213AB">
          <w:rPr>
            <w:noProof/>
            <w:webHidden/>
          </w:rPr>
          <w:fldChar w:fldCharType="begin"/>
        </w:r>
        <w:r w:rsidR="008213AB">
          <w:rPr>
            <w:noProof/>
            <w:webHidden/>
          </w:rPr>
          <w:instrText xml:space="preserve"> PAGEREF _Toc492895735 \h </w:instrText>
        </w:r>
        <w:r w:rsidR="008213AB">
          <w:rPr>
            <w:noProof/>
            <w:webHidden/>
          </w:rPr>
        </w:r>
        <w:r w:rsidR="008213AB">
          <w:rPr>
            <w:noProof/>
            <w:webHidden/>
          </w:rPr>
          <w:fldChar w:fldCharType="separate"/>
        </w:r>
        <w:r w:rsidR="00D56DD5">
          <w:rPr>
            <w:noProof/>
            <w:webHidden/>
          </w:rPr>
          <w:t>39</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36" w:history="1">
        <w:r w:rsidR="008213AB" w:rsidRPr="00DF43F4">
          <w:rPr>
            <w:rStyle w:val="Lienhypertexte"/>
            <w:noProof/>
          </w:rPr>
          <w:t>Graphique 3 : Contribution des 10 principaux bailleurs faisant de l’Aide projet sans fonds communs en 2016 (en millions dollars US)</w:t>
        </w:r>
        <w:r w:rsidR="008213AB">
          <w:rPr>
            <w:noProof/>
            <w:webHidden/>
          </w:rPr>
          <w:tab/>
        </w:r>
        <w:r w:rsidR="008213AB">
          <w:rPr>
            <w:noProof/>
            <w:webHidden/>
          </w:rPr>
          <w:fldChar w:fldCharType="begin"/>
        </w:r>
        <w:r w:rsidR="008213AB">
          <w:rPr>
            <w:noProof/>
            <w:webHidden/>
          </w:rPr>
          <w:instrText xml:space="preserve"> PAGEREF _Toc492895736 \h </w:instrText>
        </w:r>
        <w:r w:rsidR="008213AB">
          <w:rPr>
            <w:noProof/>
            <w:webHidden/>
          </w:rPr>
        </w:r>
        <w:r w:rsidR="008213AB">
          <w:rPr>
            <w:noProof/>
            <w:webHidden/>
          </w:rPr>
          <w:fldChar w:fldCharType="separate"/>
        </w:r>
        <w:r w:rsidR="00D56DD5">
          <w:rPr>
            <w:noProof/>
            <w:webHidden/>
          </w:rPr>
          <w:t>40</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37" w:history="1">
        <w:r w:rsidR="008213AB" w:rsidRPr="00DF43F4">
          <w:rPr>
            <w:rStyle w:val="Lienhypertexte"/>
            <w:noProof/>
          </w:rPr>
          <w:t>Graphique 4 : Contribution des 10 principaux bailleurs faisant de l’Aide projet avec fonds communs en 2016 (en millions dollars US)</w:t>
        </w:r>
        <w:r w:rsidR="008213AB">
          <w:rPr>
            <w:noProof/>
            <w:webHidden/>
          </w:rPr>
          <w:tab/>
        </w:r>
        <w:r w:rsidR="008213AB">
          <w:rPr>
            <w:noProof/>
            <w:webHidden/>
          </w:rPr>
          <w:fldChar w:fldCharType="begin"/>
        </w:r>
        <w:r w:rsidR="008213AB">
          <w:rPr>
            <w:noProof/>
            <w:webHidden/>
          </w:rPr>
          <w:instrText xml:space="preserve"> PAGEREF _Toc492895737 \h </w:instrText>
        </w:r>
        <w:r w:rsidR="008213AB">
          <w:rPr>
            <w:noProof/>
            <w:webHidden/>
          </w:rPr>
        </w:r>
        <w:r w:rsidR="008213AB">
          <w:rPr>
            <w:noProof/>
            <w:webHidden/>
          </w:rPr>
          <w:fldChar w:fldCharType="separate"/>
        </w:r>
        <w:r w:rsidR="00D56DD5">
          <w:rPr>
            <w:noProof/>
            <w:webHidden/>
          </w:rPr>
          <w:t>41</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38" w:history="1">
        <w:r w:rsidR="008213AB" w:rsidRPr="00DF43F4">
          <w:rPr>
            <w:rStyle w:val="Lienhypertexte"/>
            <w:noProof/>
          </w:rPr>
          <w:t>Graphique 5</w:t>
        </w:r>
        <w:r w:rsidR="008213AB" w:rsidRPr="00DF43F4">
          <w:rPr>
            <w:rStyle w:val="Lienhypertexte"/>
            <w:iCs/>
            <w:noProof/>
            <w:lang w:eastAsia="fr-FR"/>
          </w:rPr>
          <w:t> : Contribution des principaux donateurs de l’ABG</w:t>
        </w:r>
        <w:r w:rsidR="008213AB">
          <w:rPr>
            <w:noProof/>
            <w:webHidden/>
          </w:rPr>
          <w:tab/>
        </w:r>
        <w:r w:rsidR="008213AB">
          <w:rPr>
            <w:noProof/>
            <w:webHidden/>
          </w:rPr>
          <w:fldChar w:fldCharType="begin"/>
        </w:r>
        <w:r w:rsidR="008213AB">
          <w:rPr>
            <w:noProof/>
            <w:webHidden/>
          </w:rPr>
          <w:instrText xml:space="preserve"> PAGEREF _Toc492895738 \h </w:instrText>
        </w:r>
        <w:r w:rsidR="008213AB">
          <w:rPr>
            <w:noProof/>
            <w:webHidden/>
          </w:rPr>
        </w:r>
        <w:r w:rsidR="008213AB">
          <w:rPr>
            <w:noProof/>
            <w:webHidden/>
          </w:rPr>
          <w:fldChar w:fldCharType="separate"/>
        </w:r>
        <w:r w:rsidR="00D56DD5">
          <w:rPr>
            <w:noProof/>
            <w:webHidden/>
          </w:rPr>
          <w:t>43</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39" w:history="1">
        <w:r w:rsidR="008213AB" w:rsidRPr="00DF43F4">
          <w:rPr>
            <w:rStyle w:val="Lienhypertexte"/>
            <w:noProof/>
          </w:rPr>
          <w:t>Graphique 6 : Evolution de la répartition des prêts et des dons de 2012 à 2016</w:t>
        </w:r>
        <w:r w:rsidR="008213AB">
          <w:rPr>
            <w:noProof/>
            <w:webHidden/>
          </w:rPr>
          <w:tab/>
        </w:r>
        <w:r w:rsidR="008213AB">
          <w:rPr>
            <w:noProof/>
            <w:webHidden/>
          </w:rPr>
          <w:fldChar w:fldCharType="begin"/>
        </w:r>
        <w:r w:rsidR="008213AB">
          <w:rPr>
            <w:noProof/>
            <w:webHidden/>
          </w:rPr>
          <w:instrText xml:space="preserve"> PAGEREF _Toc492895739 \h </w:instrText>
        </w:r>
        <w:r w:rsidR="008213AB">
          <w:rPr>
            <w:noProof/>
            <w:webHidden/>
          </w:rPr>
        </w:r>
        <w:r w:rsidR="008213AB">
          <w:rPr>
            <w:noProof/>
            <w:webHidden/>
          </w:rPr>
          <w:fldChar w:fldCharType="separate"/>
        </w:r>
        <w:r w:rsidR="00D56DD5">
          <w:rPr>
            <w:noProof/>
            <w:webHidden/>
          </w:rPr>
          <w:t>46</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0" w:history="1">
        <w:r w:rsidR="008213AB" w:rsidRPr="00DF43F4">
          <w:rPr>
            <w:rStyle w:val="Lienhypertexte"/>
            <w:noProof/>
          </w:rPr>
          <w:t>Graphique 7 : Les dix principaux pourvoyeurs de dons en 2016 (en millions dollar US)</w:t>
        </w:r>
        <w:r w:rsidR="008213AB">
          <w:rPr>
            <w:noProof/>
            <w:webHidden/>
          </w:rPr>
          <w:tab/>
        </w:r>
        <w:r w:rsidR="008213AB">
          <w:rPr>
            <w:noProof/>
            <w:webHidden/>
          </w:rPr>
          <w:fldChar w:fldCharType="begin"/>
        </w:r>
        <w:r w:rsidR="008213AB">
          <w:rPr>
            <w:noProof/>
            <w:webHidden/>
          </w:rPr>
          <w:instrText xml:space="preserve"> PAGEREF _Toc492895740 \h </w:instrText>
        </w:r>
        <w:r w:rsidR="008213AB">
          <w:rPr>
            <w:noProof/>
            <w:webHidden/>
          </w:rPr>
        </w:r>
        <w:r w:rsidR="008213AB">
          <w:rPr>
            <w:noProof/>
            <w:webHidden/>
          </w:rPr>
          <w:fldChar w:fldCharType="separate"/>
        </w:r>
        <w:r w:rsidR="00D56DD5">
          <w:rPr>
            <w:noProof/>
            <w:webHidden/>
          </w:rPr>
          <w:t>47</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1" w:history="1">
        <w:r w:rsidR="008213AB" w:rsidRPr="00DF43F4">
          <w:rPr>
            <w:rStyle w:val="Lienhypertexte"/>
            <w:noProof/>
          </w:rPr>
          <w:t>Graphique 8 : Les dix principaux bailleurs de fonds en termes de prêts en 2016</w:t>
        </w:r>
        <w:r w:rsidR="008213AB">
          <w:rPr>
            <w:noProof/>
            <w:webHidden/>
          </w:rPr>
          <w:tab/>
        </w:r>
        <w:r w:rsidR="008213AB">
          <w:rPr>
            <w:noProof/>
            <w:webHidden/>
          </w:rPr>
          <w:fldChar w:fldCharType="begin"/>
        </w:r>
        <w:r w:rsidR="008213AB">
          <w:rPr>
            <w:noProof/>
            <w:webHidden/>
          </w:rPr>
          <w:instrText xml:space="preserve"> PAGEREF _Toc492895741 \h </w:instrText>
        </w:r>
        <w:r w:rsidR="008213AB">
          <w:rPr>
            <w:noProof/>
            <w:webHidden/>
          </w:rPr>
        </w:r>
        <w:r w:rsidR="008213AB">
          <w:rPr>
            <w:noProof/>
            <w:webHidden/>
          </w:rPr>
          <w:fldChar w:fldCharType="separate"/>
        </w:r>
        <w:r w:rsidR="00D56DD5">
          <w:rPr>
            <w:noProof/>
            <w:webHidden/>
          </w:rPr>
          <w:t>48</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2" w:history="1">
        <w:r w:rsidR="008213AB" w:rsidRPr="00DF43F4">
          <w:rPr>
            <w:rStyle w:val="Lienhypertexte"/>
            <w:noProof/>
          </w:rPr>
          <w:t>Graphique 9 : Répartition de l'aide par source de financement de 2012-2016 (en millions dollars US)</w:t>
        </w:r>
        <w:r w:rsidR="008213AB">
          <w:rPr>
            <w:noProof/>
            <w:webHidden/>
          </w:rPr>
          <w:tab/>
        </w:r>
        <w:r w:rsidR="008213AB">
          <w:rPr>
            <w:noProof/>
            <w:webHidden/>
          </w:rPr>
          <w:fldChar w:fldCharType="begin"/>
        </w:r>
        <w:r w:rsidR="008213AB">
          <w:rPr>
            <w:noProof/>
            <w:webHidden/>
          </w:rPr>
          <w:instrText xml:space="preserve"> PAGEREF _Toc492895742 \h </w:instrText>
        </w:r>
        <w:r w:rsidR="008213AB">
          <w:rPr>
            <w:noProof/>
            <w:webHidden/>
          </w:rPr>
        </w:r>
        <w:r w:rsidR="008213AB">
          <w:rPr>
            <w:noProof/>
            <w:webHidden/>
          </w:rPr>
          <w:fldChar w:fldCharType="separate"/>
        </w:r>
        <w:r w:rsidR="00D56DD5">
          <w:rPr>
            <w:noProof/>
            <w:webHidden/>
          </w:rPr>
          <w:t>49</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3" w:history="1">
        <w:r w:rsidR="008213AB" w:rsidRPr="00DF43F4">
          <w:rPr>
            <w:rStyle w:val="Lienhypertexte"/>
            <w:noProof/>
          </w:rPr>
          <w:t>Graphique 10 : Les dix premiers bailleurs de fonds en 2016 (en millions dollars US)</w:t>
        </w:r>
        <w:r w:rsidR="008213AB">
          <w:rPr>
            <w:noProof/>
            <w:webHidden/>
          </w:rPr>
          <w:tab/>
        </w:r>
        <w:r w:rsidR="008213AB">
          <w:rPr>
            <w:noProof/>
            <w:webHidden/>
          </w:rPr>
          <w:fldChar w:fldCharType="begin"/>
        </w:r>
        <w:r w:rsidR="008213AB">
          <w:rPr>
            <w:noProof/>
            <w:webHidden/>
          </w:rPr>
          <w:instrText xml:space="preserve"> PAGEREF _Toc492895743 \h </w:instrText>
        </w:r>
        <w:r w:rsidR="008213AB">
          <w:rPr>
            <w:noProof/>
            <w:webHidden/>
          </w:rPr>
        </w:r>
        <w:r w:rsidR="008213AB">
          <w:rPr>
            <w:noProof/>
            <w:webHidden/>
          </w:rPr>
          <w:fldChar w:fldCharType="separate"/>
        </w:r>
        <w:r w:rsidR="00D56DD5">
          <w:rPr>
            <w:noProof/>
            <w:webHidden/>
          </w:rPr>
          <w:t>49</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4" w:history="1">
        <w:r w:rsidR="008213AB" w:rsidRPr="00DF43F4">
          <w:rPr>
            <w:rStyle w:val="Lienhypertexte"/>
            <w:noProof/>
          </w:rPr>
          <w:t>Graphique 11 : Principaux bailleurs de fonds multilatéraux en 2016 (en millions dollars US)</w:t>
        </w:r>
        <w:r w:rsidR="008213AB">
          <w:rPr>
            <w:noProof/>
            <w:webHidden/>
          </w:rPr>
          <w:tab/>
        </w:r>
        <w:r w:rsidR="008213AB">
          <w:rPr>
            <w:noProof/>
            <w:webHidden/>
          </w:rPr>
          <w:fldChar w:fldCharType="begin"/>
        </w:r>
        <w:r w:rsidR="008213AB">
          <w:rPr>
            <w:noProof/>
            <w:webHidden/>
          </w:rPr>
          <w:instrText xml:space="preserve"> PAGEREF _Toc492895744 \h </w:instrText>
        </w:r>
        <w:r w:rsidR="008213AB">
          <w:rPr>
            <w:noProof/>
            <w:webHidden/>
          </w:rPr>
        </w:r>
        <w:r w:rsidR="008213AB">
          <w:rPr>
            <w:noProof/>
            <w:webHidden/>
          </w:rPr>
          <w:fldChar w:fldCharType="separate"/>
        </w:r>
        <w:r w:rsidR="00D56DD5">
          <w:rPr>
            <w:noProof/>
            <w:webHidden/>
          </w:rPr>
          <w:t>50</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5" w:history="1">
        <w:r w:rsidR="008213AB" w:rsidRPr="00DF43F4">
          <w:rPr>
            <w:rStyle w:val="Lienhypertexte"/>
            <w:noProof/>
          </w:rPr>
          <w:t>Graphique 12 : Principaux bailleurs bilatéraux en 2016 (millions dollars US)</w:t>
        </w:r>
        <w:r w:rsidR="008213AB">
          <w:rPr>
            <w:noProof/>
            <w:webHidden/>
          </w:rPr>
          <w:tab/>
        </w:r>
        <w:r w:rsidR="008213AB">
          <w:rPr>
            <w:noProof/>
            <w:webHidden/>
          </w:rPr>
          <w:fldChar w:fldCharType="begin"/>
        </w:r>
        <w:r w:rsidR="008213AB">
          <w:rPr>
            <w:noProof/>
            <w:webHidden/>
          </w:rPr>
          <w:instrText xml:space="preserve"> PAGEREF _Toc492895745 \h </w:instrText>
        </w:r>
        <w:r w:rsidR="008213AB">
          <w:rPr>
            <w:noProof/>
            <w:webHidden/>
          </w:rPr>
        </w:r>
        <w:r w:rsidR="008213AB">
          <w:rPr>
            <w:noProof/>
            <w:webHidden/>
          </w:rPr>
          <w:fldChar w:fldCharType="separate"/>
        </w:r>
        <w:r w:rsidR="00D56DD5">
          <w:rPr>
            <w:noProof/>
            <w:webHidden/>
          </w:rPr>
          <w:t>51</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6" w:history="1">
        <w:r w:rsidR="008213AB" w:rsidRPr="00DF43F4">
          <w:rPr>
            <w:rStyle w:val="Lienhypertexte"/>
            <w:noProof/>
          </w:rPr>
          <w:t>Graphique 13 : Contribution des dix ONG en 2016 (millions dollars US)</w:t>
        </w:r>
        <w:r w:rsidR="008213AB">
          <w:rPr>
            <w:noProof/>
            <w:webHidden/>
          </w:rPr>
          <w:tab/>
        </w:r>
        <w:r w:rsidR="008213AB">
          <w:rPr>
            <w:noProof/>
            <w:webHidden/>
          </w:rPr>
          <w:fldChar w:fldCharType="begin"/>
        </w:r>
        <w:r w:rsidR="008213AB">
          <w:rPr>
            <w:noProof/>
            <w:webHidden/>
          </w:rPr>
          <w:instrText xml:space="preserve"> PAGEREF _Toc492895746 \h </w:instrText>
        </w:r>
        <w:r w:rsidR="008213AB">
          <w:rPr>
            <w:noProof/>
            <w:webHidden/>
          </w:rPr>
        </w:r>
        <w:r w:rsidR="008213AB">
          <w:rPr>
            <w:noProof/>
            <w:webHidden/>
          </w:rPr>
          <w:fldChar w:fldCharType="separate"/>
        </w:r>
        <w:r w:rsidR="00D56DD5">
          <w:rPr>
            <w:noProof/>
            <w:webHidden/>
          </w:rPr>
          <w:t>53</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7" w:history="1">
        <w:r w:rsidR="008213AB" w:rsidRPr="00DF43F4">
          <w:rPr>
            <w:rStyle w:val="Lienhypertexte"/>
            <w:noProof/>
          </w:rPr>
          <w:t>Graphique 14 : Les cinq principaux bailleurs du secteur « Gouvernance économique » en 2016 (en millions dollars US)</w:t>
        </w:r>
        <w:r w:rsidR="008213AB">
          <w:rPr>
            <w:noProof/>
            <w:webHidden/>
          </w:rPr>
          <w:tab/>
        </w:r>
        <w:r w:rsidR="008213AB">
          <w:rPr>
            <w:noProof/>
            <w:webHidden/>
          </w:rPr>
          <w:fldChar w:fldCharType="begin"/>
        </w:r>
        <w:r w:rsidR="008213AB">
          <w:rPr>
            <w:noProof/>
            <w:webHidden/>
          </w:rPr>
          <w:instrText xml:space="preserve"> PAGEREF _Toc492895747 \h </w:instrText>
        </w:r>
        <w:r w:rsidR="008213AB">
          <w:rPr>
            <w:noProof/>
            <w:webHidden/>
          </w:rPr>
        </w:r>
        <w:r w:rsidR="008213AB">
          <w:rPr>
            <w:noProof/>
            <w:webHidden/>
          </w:rPr>
          <w:fldChar w:fldCharType="separate"/>
        </w:r>
        <w:r w:rsidR="00D56DD5">
          <w:rPr>
            <w:noProof/>
            <w:webHidden/>
          </w:rPr>
          <w:t>57</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8" w:history="1">
        <w:r w:rsidR="008213AB" w:rsidRPr="00DF43F4">
          <w:rPr>
            <w:rStyle w:val="Lienhypertexte"/>
            <w:noProof/>
          </w:rPr>
          <w:t>Graphique 15 : Les cinq premiers bailleurs de fonds du secteur« Environnement, Eau et Assainissement » en 2016 en millions dollars US</w:t>
        </w:r>
        <w:r w:rsidR="008213AB">
          <w:rPr>
            <w:noProof/>
            <w:webHidden/>
          </w:rPr>
          <w:tab/>
        </w:r>
        <w:r w:rsidR="008213AB">
          <w:rPr>
            <w:noProof/>
            <w:webHidden/>
          </w:rPr>
          <w:fldChar w:fldCharType="begin"/>
        </w:r>
        <w:r w:rsidR="008213AB">
          <w:rPr>
            <w:noProof/>
            <w:webHidden/>
          </w:rPr>
          <w:instrText xml:space="preserve"> PAGEREF _Toc492895748 \h </w:instrText>
        </w:r>
        <w:r w:rsidR="008213AB">
          <w:rPr>
            <w:noProof/>
            <w:webHidden/>
          </w:rPr>
        </w:r>
        <w:r w:rsidR="008213AB">
          <w:rPr>
            <w:noProof/>
            <w:webHidden/>
          </w:rPr>
          <w:fldChar w:fldCharType="separate"/>
        </w:r>
        <w:r w:rsidR="00D56DD5">
          <w:rPr>
            <w:noProof/>
            <w:webHidden/>
          </w:rPr>
          <w:t>59</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49" w:history="1">
        <w:r w:rsidR="008213AB" w:rsidRPr="00DF43F4">
          <w:rPr>
            <w:rStyle w:val="Lienhypertexte"/>
            <w:noProof/>
          </w:rPr>
          <w:t>Graphique 16 : Les cinq premiers bailleurs de fonds du secteur « Production agro-sylvo-pastorale » en 2016 (en millions dollars US)</w:t>
        </w:r>
        <w:r w:rsidR="008213AB">
          <w:rPr>
            <w:noProof/>
            <w:webHidden/>
          </w:rPr>
          <w:tab/>
        </w:r>
        <w:r w:rsidR="008213AB">
          <w:rPr>
            <w:noProof/>
            <w:webHidden/>
          </w:rPr>
          <w:fldChar w:fldCharType="begin"/>
        </w:r>
        <w:r w:rsidR="008213AB">
          <w:rPr>
            <w:noProof/>
            <w:webHidden/>
          </w:rPr>
          <w:instrText xml:space="preserve"> PAGEREF _Toc492895749 \h </w:instrText>
        </w:r>
        <w:r w:rsidR="008213AB">
          <w:rPr>
            <w:noProof/>
            <w:webHidden/>
          </w:rPr>
        </w:r>
        <w:r w:rsidR="008213AB">
          <w:rPr>
            <w:noProof/>
            <w:webHidden/>
          </w:rPr>
          <w:fldChar w:fldCharType="separate"/>
        </w:r>
        <w:r w:rsidR="00D56DD5">
          <w:rPr>
            <w:noProof/>
            <w:webHidden/>
          </w:rPr>
          <w:t>60</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50" w:history="1">
        <w:r w:rsidR="008213AB" w:rsidRPr="00DF43F4">
          <w:rPr>
            <w:rStyle w:val="Lienhypertexte"/>
            <w:noProof/>
          </w:rPr>
          <w:t>Graphique 17 : Les cinq principaux bailleurs du secteur « Education et formation » en 2016</w:t>
        </w:r>
        <w:r w:rsidR="008213AB">
          <w:rPr>
            <w:noProof/>
            <w:webHidden/>
          </w:rPr>
          <w:tab/>
        </w:r>
        <w:r w:rsidR="008213AB">
          <w:rPr>
            <w:noProof/>
            <w:webHidden/>
          </w:rPr>
          <w:fldChar w:fldCharType="begin"/>
        </w:r>
        <w:r w:rsidR="008213AB">
          <w:rPr>
            <w:noProof/>
            <w:webHidden/>
          </w:rPr>
          <w:instrText xml:space="preserve"> PAGEREF _Toc492895750 \h </w:instrText>
        </w:r>
        <w:r w:rsidR="008213AB">
          <w:rPr>
            <w:noProof/>
            <w:webHidden/>
          </w:rPr>
        </w:r>
        <w:r w:rsidR="008213AB">
          <w:rPr>
            <w:noProof/>
            <w:webHidden/>
          </w:rPr>
          <w:fldChar w:fldCharType="separate"/>
        </w:r>
        <w:r w:rsidR="00D56DD5">
          <w:rPr>
            <w:noProof/>
            <w:webHidden/>
          </w:rPr>
          <w:t>62</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51" w:history="1">
        <w:r w:rsidR="008213AB" w:rsidRPr="00DF43F4">
          <w:rPr>
            <w:rStyle w:val="Lienhypertexte"/>
            <w:noProof/>
          </w:rPr>
          <w:t>Graphique 18 : Principaux bailleurs du secteur « Transformation industrielle et artisanale » en 2016 en millions dollar US</w:t>
        </w:r>
        <w:r w:rsidR="008213AB">
          <w:rPr>
            <w:noProof/>
            <w:webHidden/>
          </w:rPr>
          <w:tab/>
        </w:r>
        <w:r w:rsidR="008213AB">
          <w:rPr>
            <w:noProof/>
            <w:webHidden/>
          </w:rPr>
          <w:fldChar w:fldCharType="begin"/>
        </w:r>
        <w:r w:rsidR="008213AB">
          <w:rPr>
            <w:noProof/>
            <w:webHidden/>
          </w:rPr>
          <w:instrText xml:space="preserve"> PAGEREF _Toc492895751 \h </w:instrText>
        </w:r>
        <w:r w:rsidR="008213AB">
          <w:rPr>
            <w:noProof/>
            <w:webHidden/>
          </w:rPr>
        </w:r>
        <w:r w:rsidR="008213AB">
          <w:rPr>
            <w:noProof/>
            <w:webHidden/>
          </w:rPr>
          <w:fldChar w:fldCharType="separate"/>
        </w:r>
        <w:r w:rsidR="00D56DD5">
          <w:rPr>
            <w:noProof/>
            <w:webHidden/>
          </w:rPr>
          <w:t>63</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52" w:history="1">
        <w:r w:rsidR="008213AB" w:rsidRPr="00DF43F4">
          <w:rPr>
            <w:rStyle w:val="Lienhypertexte"/>
            <w:noProof/>
          </w:rPr>
          <w:t>Graphique 19 : Principaux partenaires multilatéraux ayant fait des annonces à la Conférence de Paris</w:t>
        </w:r>
        <w:r w:rsidR="008213AB">
          <w:rPr>
            <w:noProof/>
            <w:webHidden/>
          </w:rPr>
          <w:tab/>
        </w:r>
        <w:r w:rsidR="008213AB">
          <w:rPr>
            <w:noProof/>
            <w:webHidden/>
          </w:rPr>
          <w:fldChar w:fldCharType="begin"/>
        </w:r>
        <w:r w:rsidR="008213AB">
          <w:rPr>
            <w:noProof/>
            <w:webHidden/>
          </w:rPr>
          <w:instrText xml:space="preserve"> PAGEREF _Toc492895752 \h </w:instrText>
        </w:r>
        <w:r w:rsidR="008213AB">
          <w:rPr>
            <w:noProof/>
            <w:webHidden/>
          </w:rPr>
        </w:r>
        <w:r w:rsidR="008213AB">
          <w:rPr>
            <w:noProof/>
            <w:webHidden/>
          </w:rPr>
          <w:fldChar w:fldCharType="separate"/>
        </w:r>
        <w:r w:rsidR="00D56DD5">
          <w:rPr>
            <w:noProof/>
            <w:webHidden/>
          </w:rPr>
          <w:t>76</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53" w:history="1">
        <w:r w:rsidR="008213AB" w:rsidRPr="00DF43F4">
          <w:rPr>
            <w:rStyle w:val="Lienhypertexte"/>
            <w:noProof/>
          </w:rPr>
          <w:t>Graphique 20 : Principaux partenaires bilatéraux ayant fait des annonces à la Conférence de Paris</w:t>
        </w:r>
        <w:r w:rsidR="008213AB">
          <w:rPr>
            <w:noProof/>
            <w:webHidden/>
          </w:rPr>
          <w:tab/>
        </w:r>
        <w:r w:rsidR="008213AB">
          <w:rPr>
            <w:noProof/>
            <w:webHidden/>
          </w:rPr>
          <w:fldChar w:fldCharType="begin"/>
        </w:r>
        <w:r w:rsidR="008213AB">
          <w:rPr>
            <w:noProof/>
            <w:webHidden/>
          </w:rPr>
          <w:instrText xml:space="preserve"> PAGEREF _Toc492895753 \h </w:instrText>
        </w:r>
        <w:r w:rsidR="008213AB">
          <w:rPr>
            <w:noProof/>
            <w:webHidden/>
          </w:rPr>
        </w:r>
        <w:r w:rsidR="008213AB">
          <w:rPr>
            <w:noProof/>
            <w:webHidden/>
          </w:rPr>
          <w:fldChar w:fldCharType="separate"/>
        </w:r>
        <w:r w:rsidR="00D56DD5">
          <w:rPr>
            <w:noProof/>
            <w:webHidden/>
          </w:rPr>
          <w:t>76</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54" w:history="1">
        <w:r w:rsidR="008213AB" w:rsidRPr="00DF43F4">
          <w:rPr>
            <w:rStyle w:val="Lienhypertexte"/>
            <w:noProof/>
          </w:rPr>
          <w:t>Graphique 21 : Répartition des partenaires privés</w:t>
        </w:r>
        <w:r w:rsidR="008213AB">
          <w:rPr>
            <w:noProof/>
            <w:webHidden/>
          </w:rPr>
          <w:tab/>
        </w:r>
        <w:r w:rsidR="008213AB">
          <w:rPr>
            <w:noProof/>
            <w:webHidden/>
          </w:rPr>
          <w:fldChar w:fldCharType="begin"/>
        </w:r>
        <w:r w:rsidR="008213AB">
          <w:rPr>
            <w:noProof/>
            <w:webHidden/>
          </w:rPr>
          <w:instrText xml:space="preserve"> PAGEREF _Toc492895754 \h </w:instrText>
        </w:r>
        <w:r w:rsidR="008213AB">
          <w:rPr>
            <w:noProof/>
            <w:webHidden/>
          </w:rPr>
        </w:r>
        <w:r w:rsidR="008213AB">
          <w:rPr>
            <w:noProof/>
            <w:webHidden/>
          </w:rPr>
          <w:fldChar w:fldCharType="separate"/>
        </w:r>
        <w:r w:rsidR="00D56DD5">
          <w:rPr>
            <w:noProof/>
            <w:webHidden/>
          </w:rPr>
          <w:t>77</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55" w:history="1">
        <w:r w:rsidR="008213AB" w:rsidRPr="00DF43F4">
          <w:rPr>
            <w:rStyle w:val="Lienhypertexte"/>
            <w:noProof/>
          </w:rPr>
          <w:t>Graphique 22 : Répartition des conventions de financement par type de partenaire</w:t>
        </w:r>
        <w:r w:rsidR="008213AB">
          <w:rPr>
            <w:noProof/>
            <w:webHidden/>
          </w:rPr>
          <w:tab/>
        </w:r>
        <w:r w:rsidR="008213AB">
          <w:rPr>
            <w:noProof/>
            <w:webHidden/>
          </w:rPr>
          <w:fldChar w:fldCharType="begin"/>
        </w:r>
        <w:r w:rsidR="008213AB">
          <w:rPr>
            <w:noProof/>
            <w:webHidden/>
          </w:rPr>
          <w:instrText xml:space="preserve"> PAGEREF _Toc492895755 \h </w:instrText>
        </w:r>
        <w:r w:rsidR="008213AB">
          <w:rPr>
            <w:noProof/>
            <w:webHidden/>
          </w:rPr>
        </w:r>
        <w:r w:rsidR="008213AB">
          <w:rPr>
            <w:noProof/>
            <w:webHidden/>
          </w:rPr>
          <w:fldChar w:fldCharType="separate"/>
        </w:r>
        <w:r w:rsidR="00D56DD5">
          <w:rPr>
            <w:noProof/>
            <w:webHidden/>
          </w:rPr>
          <w:t>79</w:t>
        </w:r>
        <w:r w:rsidR="008213AB">
          <w:rPr>
            <w:noProof/>
            <w:webHidden/>
          </w:rPr>
          <w:fldChar w:fldCharType="end"/>
        </w:r>
      </w:hyperlink>
    </w:p>
    <w:p w:rsidR="008213AB" w:rsidRDefault="0015344F" w:rsidP="00645FD9">
      <w:pPr>
        <w:pStyle w:val="Tabledesillustrations"/>
        <w:tabs>
          <w:tab w:val="right" w:leader="dot" w:pos="10196"/>
        </w:tabs>
        <w:spacing w:after="120"/>
        <w:rPr>
          <w:rFonts w:eastAsiaTheme="minorEastAsia" w:cstheme="minorBidi"/>
          <w:caps w:val="0"/>
          <w:noProof/>
          <w:sz w:val="22"/>
          <w:szCs w:val="22"/>
          <w:lang w:eastAsia="fr-FR"/>
        </w:rPr>
      </w:pPr>
      <w:hyperlink w:anchor="_Toc492895756" w:history="1">
        <w:r w:rsidR="008213AB" w:rsidRPr="00DF43F4">
          <w:rPr>
            <w:rStyle w:val="Lienhypertexte"/>
            <w:noProof/>
          </w:rPr>
          <w:t>Graphique 23 : Situation des conventions signées selon la modalité de financement</w:t>
        </w:r>
        <w:r w:rsidR="008213AB">
          <w:rPr>
            <w:noProof/>
            <w:webHidden/>
          </w:rPr>
          <w:tab/>
        </w:r>
        <w:r w:rsidR="008213AB">
          <w:rPr>
            <w:noProof/>
            <w:webHidden/>
          </w:rPr>
          <w:fldChar w:fldCharType="begin"/>
        </w:r>
        <w:r w:rsidR="008213AB">
          <w:rPr>
            <w:noProof/>
            <w:webHidden/>
          </w:rPr>
          <w:instrText xml:space="preserve"> PAGEREF _Toc492895756 \h </w:instrText>
        </w:r>
        <w:r w:rsidR="008213AB">
          <w:rPr>
            <w:noProof/>
            <w:webHidden/>
          </w:rPr>
        </w:r>
        <w:r w:rsidR="008213AB">
          <w:rPr>
            <w:noProof/>
            <w:webHidden/>
          </w:rPr>
          <w:fldChar w:fldCharType="separate"/>
        </w:r>
        <w:r w:rsidR="00D56DD5">
          <w:rPr>
            <w:noProof/>
            <w:webHidden/>
          </w:rPr>
          <w:t>80</w:t>
        </w:r>
        <w:r w:rsidR="008213AB">
          <w:rPr>
            <w:noProof/>
            <w:webHidden/>
          </w:rPr>
          <w:fldChar w:fldCharType="end"/>
        </w:r>
      </w:hyperlink>
    </w:p>
    <w:p w:rsidR="00CA0DB9" w:rsidRPr="001F6324" w:rsidRDefault="008213AB" w:rsidP="00645FD9">
      <w:pPr>
        <w:spacing w:after="120" w:line="240" w:lineRule="auto"/>
      </w:pPr>
      <w:r>
        <w:fldChar w:fldCharType="end"/>
      </w:r>
    </w:p>
    <w:p w:rsidR="00CA0DB9" w:rsidRPr="001F6324" w:rsidRDefault="00CA0DB9">
      <w:pPr>
        <w:spacing w:after="0" w:line="240" w:lineRule="auto"/>
      </w:pPr>
    </w:p>
    <w:p w:rsidR="00CA0DB9" w:rsidRDefault="00CA0DB9">
      <w:pPr>
        <w:spacing w:after="0" w:line="240" w:lineRule="auto"/>
        <w:rPr>
          <w:rFonts w:ascii="Arial" w:hAnsi="Arial" w:cs="Arial"/>
          <w:b/>
          <w:color w:val="FF0000"/>
          <w:sz w:val="20"/>
          <w:szCs w:val="20"/>
        </w:rPr>
      </w:pPr>
      <w:r>
        <w:rPr>
          <w:color w:val="FF0000"/>
        </w:rPr>
        <w:br w:type="page"/>
      </w:r>
    </w:p>
    <w:p w:rsidR="00486546" w:rsidRPr="002B51BA" w:rsidRDefault="00486546" w:rsidP="00510E4A">
      <w:pPr>
        <w:pStyle w:val="Titre"/>
        <w:rPr>
          <w:rFonts w:asciiTheme="majorHAnsi" w:hAnsiTheme="majorHAnsi"/>
          <w:sz w:val="26"/>
          <w:szCs w:val="26"/>
        </w:rPr>
      </w:pPr>
      <w:bookmarkStart w:id="17" w:name="_Toc492972150"/>
      <w:r w:rsidRPr="002B51BA">
        <w:rPr>
          <w:rFonts w:asciiTheme="majorHAnsi" w:hAnsiTheme="majorHAnsi"/>
          <w:sz w:val="26"/>
          <w:szCs w:val="26"/>
        </w:rPr>
        <w:lastRenderedPageBreak/>
        <w:t>AVANT PROPOS</w:t>
      </w:r>
      <w:bookmarkEnd w:id="9"/>
      <w:bookmarkEnd w:id="10"/>
      <w:bookmarkEnd w:id="11"/>
      <w:bookmarkEnd w:id="12"/>
      <w:bookmarkEnd w:id="17"/>
      <w:r w:rsidR="00297A25" w:rsidRPr="002B51BA">
        <w:rPr>
          <w:rFonts w:asciiTheme="majorHAnsi" w:hAnsiTheme="majorHAnsi"/>
          <w:sz w:val="26"/>
          <w:szCs w:val="26"/>
        </w:rPr>
        <w:t xml:space="preserve"> </w:t>
      </w:r>
    </w:p>
    <w:p w:rsidR="007B1307" w:rsidRDefault="0032736F" w:rsidP="007B1307">
      <w:pPr>
        <w:autoSpaceDE w:val="0"/>
        <w:autoSpaceDN w:val="0"/>
        <w:adjustRightInd w:val="0"/>
        <w:spacing w:after="120"/>
        <w:jc w:val="both"/>
        <w:rPr>
          <w:rFonts w:ascii="Arial" w:eastAsia="Arial Unicode MS" w:hAnsi="Arial" w:cs="Arial"/>
          <w:lang w:eastAsia="fr-FR"/>
        </w:rPr>
      </w:pPr>
      <w:r w:rsidRPr="0032736F">
        <w:rPr>
          <w:rFonts w:ascii="Arial" w:eastAsia="Arial Unicode MS" w:hAnsi="Arial" w:cs="Arial"/>
          <w:lang w:eastAsia="fr-FR"/>
        </w:rPr>
        <w:t>« Rendre la bonne information accessible à l’ensemble des acteurs et au moment opportun, contribue à améliorer la gestion de l’aide grâce à une plus grande transparence ».</w:t>
      </w:r>
      <w:r w:rsidR="00CC240F">
        <w:rPr>
          <w:rFonts w:ascii="Arial" w:eastAsia="Arial Unicode MS" w:hAnsi="Arial" w:cs="Arial"/>
          <w:lang w:eastAsia="fr-FR"/>
        </w:rPr>
        <w:t xml:space="preserve"> </w:t>
      </w:r>
      <w:r w:rsidR="007B1307" w:rsidRPr="0032736F">
        <w:rPr>
          <w:rFonts w:ascii="Arial" w:eastAsia="Arial Unicode MS" w:hAnsi="Arial" w:cs="Arial"/>
          <w:lang w:eastAsia="fr-FR"/>
        </w:rPr>
        <w:t>Le Rapport sur la Coopération pour le Développement (RCD), outil d’analyse et d’informations sur les flux d’aide, pou</w:t>
      </w:r>
      <w:r w:rsidR="00E46101">
        <w:rPr>
          <w:rFonts w:ascii="Arial" w:eastAsia="Arial Unicode MS" w:hAnsi="Arial" w:cs="Arial"/>
          <w:lang w:eastAsia="fr-FR"/>
        </w:rPr>
        <w:t>rsuit parfaitement cet objectif</w:t>
      </w:r>
      <w:r w:rsidR="004A76BB">
        <w:rPr>
          <w:rFonts w:ascii="Arial" w:eastAsia="Arial Unicode MS" w:hAnsi="Arial" w:cs="Arial"/>
          <w:lang w:eastAsia="fr-FR"/>
        </w:rPr>
        <w:t xml:space="preserve"> de la déclaration de Paris sur l’efficacité de l’aide.</w:t>
      </w:r>
    </w:p>
    <w:p w:rsidR="0032736F" w:rsidRPr="0032736F" w:rsidRDefault="004A76BB" w:rsidP="0032736F">
      <w:pPr>
        <w:autoSpaceDE w:val="0"/>
        <w:autoSpaceDN w:val="0"/>
        <w:adjustRightInd w:val="0"/>
        <w:spacing w:after="120"/>
        <w:jc w:val="both"/>
        <w:rPr>
          <w:rFonts w:ascii="Arial" w:hAnsi="Arial" w:cs="Arial"/>
        </w:rPr>
      </w:pPr>
      <w:r>
        <w:rPr>
          <w:rFonts w:ascii="Arial" w:eastAsia="Arial Unicode MS" w:hAnsi="Arial" w:cs="Arial"/>
          <w:lang w:eastAsia="fr-FR"/>
        </w:rPr>
        <w:t>Ce</w:t>
      </w:r>
      <w:r w:rsidR="0032736F" w:rsidRPr="0032736F">
        <w:rPr>
          <w:rFonts w:ascii="Arial" w:eastAsia="Arial Unicode MS" w:hAnsi="Arial" w:cs="Arial"/>
          <w:lang w:eastAsia="fr-FR"/>
        </w:rPr>
        <w:t xml:space="preserve"> rapport élaboré depuis 1999 sous </w:t>
      </w:r>
      <w:r>
        <w:rPr>
          <w:rFonts w:ascii="Arial" w:eastAsia="Arial Unicode MS" w:hAnsi="Arial" w:cs="Arial"/>
          <w:lang w:eastAsia="fr-FR"/>
        </w:rPr>
        <w:t xml:space="preserve">le leadership du Gouvernement par </w:t>
      </w:r>
      <w:r w:rsidR="0032736F" w:rsidRPr="0032736F">
        <w:rPr>
          <w:rFonts w:ascii="Arial" w:eastAsia="Arial Unicode MS" w:hAnsi="Arial" w:cs="Arial"/>
          <w:lang w:eastAsia="fr-FR"/>
        </w:rPr>
        <w:t xml:space="preserve">le Ministère en charge de l’Economie et des Finances, </w:t>
      </w:r>
      <w:r w:rsidR="0032736F" w:rsidRPr="0032736F">
        <w:rPr>
          <w:rFonts w:ascii="Arial" w:hAnsi="Arial" w:cs="Arial"/>
        </w:rPr>
        <w:t>synthét</w:t>
      </w:r>
      <w:r>
        <w:rPr>
          <w:rFonts w:ascii="Arial" w:hAnsi="Arial" w:cs="Arial"/>
        </w:rPr>
        <w:t>ise et analyse l’ensemble de l’Aide Publique au D</w:t>
      </w:r>
      <w:r w:rsidR="0032736F" w:rsidRPr="0032736F">
        <w:rPr>
          <w:rFonts w:ascii="Arial" w:hAnsi="Arial" w:cs="Arial"/>
        </w:rPr>
        <w:t xml:space="preserve">éveloppement </w:t>
      </w:r>
      <w:r>
        <w:rPr>
          <w:rFonts w:ascii="Arial" w:hAnsi="Arial" w:cs="Arial"/>
        </w:rPr>
        <w:t xml:space="preserve">(APD) </w:t>
      </w:r>
      <w:r w:rsidR="0032736F" w:rsidRPr="0032736F">
        <w:rPr>
          <w:rFonts w:ascii="Arial" w:hAnsi="Arial" w:cs="Arial"/>
        </w:rPr>
        <w:t>reçue par le pays au cours d’une année calendaire. Il constitue un outil de reddition de compte et d’aide à la décision mis à la disposition</w:t>
      </w:r>
      <w:r w:rsidR="005C05F0">
        <w:rPr>
          <w:rFonts w:ascii="Arial" w:hAnsi="Arial" w:cs="Arial"/>
        </w:rPr>
        <w:t xml:space="preserve"> des autorités nationales, des P</w:t>
      </w:r>
      <w:r w:rsidR="0032736F" w:rsidRPr="0032736F">
        <w:rPr>
          <w:rFonts w:ascii="Arial" w:hAnsi="Arial" w:cs="Arial"/>
        </w:rPr>
        <w:t>arten</w:t>
      </w:r>
      <w:r w:rsidR="005C05F0">
        <w:rPr>
          <w:rFonts w:ascii="Arial" w:hAnsi="Arial" w:cs="Arial"/>
        </w:rPr>
        <w:t>aires Techniques et F</w:t>
      </w:r>
      <w:r w:rsidR="0032736F" w:rsidRPr="0032736F">
        <w:rPr>
          <w:rFonts w:ascii="Arial" w:hAnsi="Arial" w:cs="Arial"/>
        </w:rPr>
        <w:t xml:space="preserve">inanciers </w:t>
      </w:r>
      <w:r w:rsidR="005C05F0">
        <w:rPr>
          <w:rFonts w:ascii="Arial" w:hAnsi="Arial" w:cs="Arial"/>
        </w:rPr>
        <w:t xml:space="preserve">(PTF) </w:t>
      </w:r>
      <w:r w:rsidR="0032736F" w:rsidRPr="0032736F">
        <w:rPr>
          <w:rFonts w:ascii="Arial" w:hAnsi="Arial" w:cs="Arial"/>
        </w:rPr>
        <w:t xml:space="preserve">et </w:t>
      </w:r>
      <w:r w:rsidR="002375AF">
        <w:rPr>
          <w:rFonts w:ascii="Arial" w:hAnsi="Arial" w:cs="Arial"/>
        </w:rPr>
        <w:t>de l’ensemble des acteurs</w:t>
      </w:r>
      <w:r w:rsidR="0068332B">
        <w:rPr>
          <w:rFonts w:ascii="Arial" w:hAnsi="Arial" w:cs="Arial"/>
        </w:rPr>
        <w:t xml:space="preserve"> au développement</w:t>
      </w:r>
      <w:r w:rsidR="002375AF">
        <w:rPr>
          <w:rFonts w:ascii="Arial" w:hAnsi="Arial" w:cs="Arial"/>
        </w:rPr>
        <w:t xml:space="preserve">. Il </w:t>
      </w:r>
      <w:r w:rsidR="0032736F" w:rsidRPr="0032736F">
        <w:rPr>
          <w:rFonts w:ascii="Arial" w:hAnsi="Arial" w:cs="Arial"/>
        </w:rPr>
        <w:t xml:space="preserve">permet d’éclairer </w:t>
      </w:r>
      <w:r w:rsidR="00266FAE">
        <w:rPr>
          <w:rFonts w:ascii="Arial" w:hAnsi="Arial" w:cs="Arial"/>
        </w:rPr>
        <w:t>le</w:t>
      </w:r>
      <w:r w:rsidR="0068332B">
        <w:rPr>
          <w:rFonts w:ascii="Arial" w:hAnsi="Arial" w:cs="Arial"/>
        </w:rPr>
        <w:t xml:space="preserve"> lecteur sur </w:t>
      </w:r>
      <w:r w:rsidR="00266FAE">
        <w:rPr>
          <w:rFonts w:ascii="Arial" w:hAnsi="Arial" w:cs="Arial"/>
        </w:rPr>
        <w:t xml:space="preserve">les </w:t>
      </w:r>
      <w:r w:rsidR="0032736F" w:rsidRPr="0032736F">
        <w:rPr>
          <w:rFonts w:ascii="Arial" w:hAnsi="Arial" w:cs="Arial"/>
        </w:rPr>
        <w:t xml:space="preserve">options de coopération au développement du Burkina Faso. </w:t>
      </w:r>
    </w:p>
    <w:p w:rsidR="0032736F" w:rsidRPr="0032736F" w:rsidRDefault="0032736F" w:rsidP="0032736F">
      <w:pPr>
        <w:autoSpaceDE w:val="0"/>
        <w:autoSpaceDN w:val="0"/>
        <w:adjustRightInd w:val="0"/>
        <w:spacing w:after="120"/>
        <w:jc w:val="both"/>
        <w:rPr>
          <w:rFonts w:ascii="Arial" w:hAnsi="Arial" w:cs="Arial"/>
        </w:rPr>
      </w:pPr>
      <w:r w:rsidRPr="0032736F">
        <w:rPr>
          <w:rFonts w:ascii="Arial" w:eastAsia="Arial Unicode MS" w:hAnsi="Arial" w:cs="Arial"/>
          <w:lang w:eastAsia="fr-FR"/>
        </w:rPr>
        <w:t xml:space="preserve">Le présent rapport 2016 a été élaboré dans un contexte marqué </w:t>
      </w:r>
      <w:r w:rsidR="00176180">
        <w:rPr>
          <w:rFonts w:ascii="Arial" w:eastAsia="Arial Unicode MS" w:hAnsi="Arial" w:cs="Arial"/>
          <w:lang w:eastAsia="fr-FR"/>
        </w:rPr>
        <w:t xml:space="preserve">principalement </w:t>
      </w:r>
      <w:r w:rsidRPr="0032736F">
        <w:rPr>
          <w:rFonts w:ascii="Arial" w:eastAsia="Arial Unicode MS" w:hAnsi="Arial" w:cs="Arial"/>
          <w:lang w:eastAsia="fr-FR"/>
        </w:rPr>
        <w:t xml:space="preserve">par </w:t>
      </w:r>
      <w:r w:rsidRPr="0032736F">
        <w:rPr>
          <w:rFonts w:ascii="Arial" w:hAnsi="Arial" w:cs="Arial"/>
        </w:rPr>
        <w:t>l’adoption, par le Gouvernement, du Plan National de Développement Economique et Social (PNDES) couvrant la période 2016-2020</w:t>
      </w:r>
      <w:r w:rsidR="00A00022">
        <w:rPr>
          <w:rFonts w:ascii="Arial" w:hAnsi="Arial" w:cs="Arial"/>
        </w:rPr>
        <w:t xml:space="preserve"> qui ambitionne de transformer structurellement l’économie du Burkina Faso, pour réaliser une croissance forte et inclusive, au moyen de modes de consommation et de production durables</w:t>
      </w:r>
      <w:r w:rsidRPr="0032736F">
        <w:rPr>
          <w:rFonts w:ascii="Arial" w:hAnsi="Arial" w:cs="Arial"/>
        </w:rPr>
        <w:t xml:space="preserve">. </w:t>
      </w:r>
    </w:p>
    <w:p w:rsidR="0032736F" w:rsidRDefault="0032736F" w:rsidP="0032736F">
      <w:pPr>
        <w:spacing w:after="120"/>
        <w:jc w:val="both"/>
        <w:rPr>
          <w:rFonts w:ascii="Arial" w:hAnsi="Arial" w:cs="Arial"/>
        </w:rPr>
      </w:pPr>
      <w:r w:rsidRPr="0032736F">
        <w:rPr>
          <w:rFonts w:ascii="Arial" w:hAnsi="Arial" w:cs="Arial"/>
        </w:rPr>
        <w:t>La stratégie de financement reten</w:t>
      </w:r>
      <w:r w:rsidR="005A13A8">
        <w:rPr>
          <w:rFonts w:ascii="Arial" w:hAnsi="Arial" w:cs="Arial"/>
        </w:rPr>
        <w:t xml:space="preserve">ue qui </w:t>
      </w:r>
      <w:r w:rsidRPr="0032736F">
        <w:rPr>
          <w:rFonts w:ascii="Arial" w:hAnsi="Arial" w:cs="Arial"/>
        </w:rPr>
        <w:t>repose sur une approche multi-partenariale</w:t>
      </w:r>
      <w:r w:rsidR="005A13A8">
        <w:rPr>
          <w:rFonts w:ascii="Arial" w:hAnsi="Arial" w:cs="Arial"/>
        </w:rPr>
        <w:t>,</w:t>
      </w:r>
      <w:r w:rsidRPr="0032736F">
        <w:rPr>
          <w:rFonts w:ascii="Arial" w:hAnsi="Arial" w:cs="Arial"/>
        </w:rPr>
        <w:t xml:space="preserve"> associe tous les acteurs tant publics que privés. Financé par l'État à hauteur de 63,8%, le </w:t>
      </w:r>
      <w:r w:rsidR="008E1F33">
        <w:rPr>
          <w:rFonts w:ascii="Arial" w:hAnsi="Arial" w:cs="Arial"/>
        </w:rPr>
        <w:t>besoin de financement</w:t>
      </w:r>
      <w:r w:rsidRPr="0032736F">
        <w:rPr>
          <w:rFonts w:ascii="Arial" w:hAnsi="Arial" w:cs="Arial"/>
        </w:rPr>
        <w:t xml:space="preserve"> </w:t>
      </w:r>
      <w:r w:rsidR="008E1F33">
        <w:rPr>
          <w:rFonts w:ascii="Arial" w:hAnsi="Arial" w:cs="Arial"/>
        </w:rPr>
        <w:t xml:space="preserve">de </w:t>
      </w:r>
      <w:r w:rsidRPr="0032736F">
        <w:rPr>
          <w:rFonts w:ascii="Arial" w:hAnsi="Arial" w:cs="Arial"/>
        </w:rPr>
        <w:t xml:space="preserve"> 36,2% sera </w:t>
      </w:r>
      <w:r w:rsidR="00A872EA">
        <w:rPr>
          <w:rFonts w:ascii="Arial" w:hAnsi="Arial" w:cs="Arial"/>
        </w:rPr>
        <w:t>recherché auprès d’</w:t>
      </w:r>
      <w:r w:rsidR="004431ED">
        <w:rPr>
          <w:rFonts w:ascii="Arial" w:hAnsi="Arial" w:cs="Arial"/>
        </w:rPr>
        <w:t>autres partenaires.</w:t>
      </w:r>
      <w:r w:rsidRPr="0032736F">
        <w:rPr>
          <w:rFonts w:ascii="Arial" w:hAnsi="Arial" w:cs="Arial"/>
        </w:rPr>
        <w:t xml:space="preserve"> </w:t>
      </w:r>
    </w:p>
    <w:p w:rsidR="001E6F40" w:rsidRPr="0032736F" w:rsidRDefault="007C3E5F" w:rsidP="0032736F">
      <w:pPr>
        <w:spacing w:after="120"/>
        <w:jc w:val="both"/>
        <w:rPr>
          <w:rFonts w:ascii="Arial" w:hAnsi="Arial" w:cs="Arial"/>
        </w:rPr>
      </w:pPr>
      <w:r>
        <w:rPr>
          <w:rFonts w:ascii="Arial" w:hAnsi="Arial" w:cs="Arial"/>
        </w:rPr>
        <w:t>Il convient</w:t>
      </w:r>
      <w:r w:rsidR="001E6F40" w:rsidRPr="0032736F">
        <w:rPr>
          <w:rFonts w:ascii="Arial" w:hAnsi="Arial" w:cs="Arial"/>
        </w:rPr>
        <w:t xml:space="preserve"> aussi </w:t>
      </w:r>
      <w:r>
        <w:rPr>
          <w:rFonts w:ascii="Arial" w:hAnsi="Arial" w:cs="Arial"/>
        </w:rPr>
        <w:t xml:space="preserve">de </w:t>
      </w:r>
      <w:r w:rsidR="001E6F40" w:rsidRPr="0032736F">
        <w:rPr>
          <w:rFonts w:ascii="Arial" w:hAnsi="Arial" w:cs="Arial"/>
        </w:rPr>
        <w:t xml:space="preserve">rappeler que dans le cadre de la recherche du financement complémentaire pour la mise en œuvre du PNDES, le Gouvernement a organisé, avec l’appui de ses </w:t>
      </w:r>
      <w:r w:rsidR="00C778FB">
        <w:rPr>
          <w:rFonts w:ascii="Arial" w:hAnsi="Arial" w:cs="Arial"/>
        </w:rPr>
        <w:t>PTF</w:t>
      </w:r>
      <w:r w:rsidR="001E6F40" w:rsidRPr="0032736F">
        <w:rPr>
          <w:rFonts w:ascii="Arial" w:hAnsi="Arial" w:cs="Arial"/>
        </w:rPr>
        <w:t xml:space="preserve"> une Conférence de table ronde (CTR) à Paris les 07 et 08 décembre 2016</w:t>
      </w:r>
      <w:r w:rsidR="001E6F40">
        <w:rPr>
          <w:rFonts w:ascii="Arial" w:hAnsi="Arial" w:cs="Arial"/>
        </w:rPr>
        <w:t>. Cette initiative</w:t>
      </w:r>
      <w:r w:rsidR="001E6F40" w:rsidRPr="0032736F">
        <w:rPr>
          <w:rFonts w:ascii="Arial" w:hAnsi="Arial" w:cs="Arial"/>
        </w:rPr>
        <w:t xml:space="preserve"> a permis de </w:t>
      </w:r>
      <w:r w:rsidR="002347CE">
        <w:rPr>
          <w:rFonts w:ascii="Arial" w:hAnsi="Arial" w:cs="Arial"/>
        </w:rPr>
        <w:t>recueill</w:t>
      </w:r>
      <w:r w:rsidR="00DD53DC">
        <w:rPr>
          <w:rFonts w:ascii="Arial" w:hAnsi="Arial" w:cs="Arial"/>
        </w:rPr>
        <w:t>ir d</w:t>
      </w:r>
      <w:r w:rsidR="002347CE">
        <w:rPr>
          <w:rFonts w:ascii="Arial" w:hAnsi="Arial" w:cs="Arial"/>
        </w:rPr>
        <w:t>es intentions de financements</w:t>
      </w:r>
      <w:r w:rsidR="001E6F40" w:rsidRPr="0032736F">
        <w:rPr>
          <w:rFonts w:ascii="Arial" w:hAnsi="Arial" w:cs="Arial"/>
        </w:rPr>
        <w:t xml:space="preserve"> </w:t>
      </w:r>
      <w:r w:rsidR="00DD53DC">
        <w:rPr>
          <w:rFonts w:ascii="Arial" w:hAnsi="Arial" w:cs="Arial"/>
        </w:rPr>
        <w:t xml:space="preserve">à hauteur </w:t>
      </w:r>
      <w:r w:rsidR="001E6F40" w:rsidRPr="0032736F">
        <w:rPr>
          <w:rFonts w:ascii="Arial" w:hAnsi="Arial" w:cs="Arial"/>
        </w:rPr>
        <w:t xml:space="preserve">de 18 </w:t>
      </w:r>
      <w:r w:rsidR="00CD408A">
        <w:rPr>
          <w:rFonts w:ascii="Arial" w:hAnsi="Arial" w:cs="Arial"/>
        </w:rPr>
        <w:t>000</w:t>
      </w:r>
      <w:r w:rsidR="00724FBE">
        <w:rPr>
          <w:rFonts w:ascii="Arial" w:hAnsi="Arial" w:cs="Arial"/>
        </w:rPr>
        <w:t xml:space="preserve"> </w:t>
      </w:r>
      <w:r w:rsidR="001E6F40" w:rsidRPr="0032736F">
        <w:rPr>
          <w:rFonts w:ascii="Arial" w:hAnsi="Arial" w:cs="Arial"/>
        </w:rPr>
        <w:t>milliards de FCFA pour sa mise en œuvre</w:t>
      </w:r>
      <w:r w:rsidR="001E6F40">
        <w:rPr>
          <w:rFonts w:ascii="Arial" w:hAnsi="Arial" w:cs="Arial"/>
        </w:rPr>
        <w:t>.</w:t>
      </w:r>
    </w:p>
    <w:p w:rsidR="0032736F" w:rsidRPr="0032736F" w:rsidRDefault="0032736F" w:rsidP="0032736F">
      <w:pPr>
        <w:spacing w:after="120"/>
        <w:jc w:val="both"/>
        <w:rPr>
          <w:rFonts w:ascii="Arial" w:hAnsi="Arial" w:cs="Arial"/>
        </w:rPr>
      </w:pPr>
      <w:r w:rsidRPr="0032736F">
        <w:rPr>
          <w:rFonts w:ascii="Arial" w:hAnsi="Arial" w:cs="Arial"/>
        </w:rPr>
        <w:t xml:space="preserve">Nous nous réjouissons de constater que les partenaires au développement du Burkina Faso ont renouvelé leur engagement à accompagner le développement du pays, </w:t>
      </w:r>
      <w:r w:rsidR="00F87BDC">
        <w:rPr>
          <w:rFonts w:ascii="Arial" w:hAnsi="Arial" w:cs="Arial"/>
        </w:rPr>
        <w:t>en dépit de la détérioration de la situation sécuritaire et du climat social difficile de ces dernières années</w:t>
      </w:r>
      <w:r w:rsidRPr="0032736F">
        <w:rPr>
          <w:rFonts w:ascii="Arial" w:hAnsi="Arial" w:cs="Arial"/>
        </w:rPr>
        <w:t xml:space="preserve">. En effet, l’appui au financement du développement du pays en 2016 s’est élevé à </w:t>
      </w:r>
      <w:r w:rsidR="00123E4E">
        <w:rPr>
          <w:rFonts w:ascii="Arial" w:hAnsi="Arial" w:cs="Arial"/>
        </w:rPr>
        <w:t>1140,23</w:t>
      </w:r>
      <w:r w:rsidR="00123E4E" w:rsidRPr="0032736F">
        <w:rPr>
          <w:rFonts w:ascii="Arial" w:hAnsi="Arial" w:cs="Arial"/>
        </w:rPr>
        <w:t xml:space="preserve"> </w:t>
      </w:r>
      <w:r w:rsidRPr="0032736F">
        <w:rPr>
          <w:rFonts w:ascii="Arial" w:hAnsi="Arial" w:cs="Arial"/>
        </w:rPr>
        <w:t>millions dollars US</w:t>
      </w:r>
      <w:r w:rsidR="00123E4E">
        <w:rPr>
          <w:rFonts w:ascii="Arial" w:hAnsi="Arial" w:cs="Arial"/>
        </w:rPr>
        <w:t>, soit</w:t>
      </w:r>
      <w:r w:rsidR="0028414B">
        <w:rPr>
          <w:rFonts w:ascii="Arial" w:hAnsi="Arial" w:cs="Arial"/>
        </w:rPr>
        <w:t xml:space="preserve"> </w:t>
      </w:r>
      <w:r w:rsidR="002E13B8" w:rsidRPr="000B347D">
        <w:rPr>
          <w:rFonts w:ascii="Arial" w:hAnsi="Arial" w:cs="Arial"/>
          <w:bCs/>
          <w:lang w:eastAsia="fr-FR"/>
        </w:rPr>
        <w:t>676,27</w:t>
      </w:r>
      <w:r w:rsidR="002E13B8">
        <w:rPr>
          <w:rFonts w:ascii="Arial" w:hAnsi="Arial" w:cs="Arial"/>
          <w:bCs/>
          <w:lang w:eastAsia="fr-FR"/>
        </w:rPr>
        <w:t xml:space="preserve"> </w:t>
      </w:r>
      <w:r w:rsidR="0028414B">
        <w:rPr>
          <w:rFonts w:ascii="Arial" w:hAnsi="Arial" w:cs="Arial"/>
        </w:rPr>
        <w:t>milliards de FCFA</w:t>
      </w:r>
      <w:r w:rsidRPr="0032736F">
        <w:rPr>
          <w:rFonts w:ascii="Arial" w:hAnsi="Arial" w:cs="Arial"/>
        </w:rPr>
        <w:t xml:space="preserve">. Cette assistance a représenté </w:t>
      </w:r>
      <w:r w:rsidR="003D6F3F">
        <w:rPr>
          <w:rFonts w:ascii="Arial" w:hAnsi="Arial" w:cs="Arial"/>
        </w:rPr>
        <w:t>9,41</w:t>
      </w:r>
      <w:r w:rsidRPr="0032736F">
        <w:rPr>
          <w:rFonts w:ascii="Arial" w:hAnsi="Arial" w:cs="Arial"/>
        </w:rPr>
        <w:t xml:space="preserve">% du PIB et </w:t>
      </w:r>
      <w:r w:rsidR="003D6F3F" w:rsidRPr="0079785F">
        <w:rPr>
          <w:rFonts w:ascii="Arial" w:hAnsi="Arial" w:cs="Arial"/>
          <w:bCs/>
          <w:lang w:eastAsia="fr-FR"/>
        </w:rPr>
        <w:t>59,85</w:t>
      </w:r>
      <w:r w:rsidRPr="0032736F">
        <w:rPr>
          <w:rFonts w:ascii="Arial" w:hAnsi="Arial" w:cs="Arial"/>
        </w:rPr>
        <w:t xml:space="preserve"> dollars US par habitant. </w:t>
      </w:r>
    </w:p>
    <w:p w:rsidR="00CE6B5C" w:rsidRDefault="00CD408A" w:rsidP="0032736F">
      <w:pPr>
        <w:autoSpaceDE w:val="0"/>
        <w:autoSpaceDN w:val="0"/>
        <w:adjustRightInd w:val="0"/>
        <w:spacing w:after="120"/>
        <w:jc w:val="both"/>
        <w:rPr>
          <w:rFonts w:ascii="Arial" w:hAnsi="Arial" w:cs="Arial"/>
        </w:rPr>
      </w:pPr>
      <w:r>
        <w:rPr>
          <w:rFonts w:ascii="Arial" w:hAnsi="Arial" w:cs="Arial"/>
        </w:rPr>
        <w:t>Ce</w:t>
      </w:r>
      <w:r w:rsidR="0032736F" w:rsidRPr="0032736F">
        <w:rPr>
          <w:rFonts w:ascii="Arial" w:hAnsi="Arial" w:cs="Arial"/>
        </w:rPr>
        <w:t xml:space="preserve"> rapport est le premier </w:t>
      </w:r>
      <w:r>
        <w:rPr>
          <w:rFonts w:ascii="Arial" w:hAnsi="Arial" w:cs="Arial"/>
        </w:rPr>
        <w:t xml:space="preserve">qui </w:t>
      </w:r>
      <w:r w:rsidR="0032736F" w:rsidRPr="0032736F">
        <w:rPr>
          <w:rFonts w:ascii="Arial" w:hAnsi="Arial" w:cs="Arial"/>
        </w:rPr>
        <w:t>évalu</w:t>
      </w:r>
      <w:r>
        <w:rPr>
          <w:rFonts w:ascii="Arial" w:hAnsi="Arial" w:cs="Arial"/>
        </w:rPr>
        <w:t>e</w:t>
      </w:r>
      <w:r w:rsidR="0032736F" w:rsidRPr="0032736F">
        <w:rPr>
          <w:rFonts w:ascii="Arial" w:hAnsi="Arial" w:cs="Arial"/>
        </w:rPr>
        <w:t xml:space="preserve"> </w:t>
      </w:r>
      <w:r w:rsidR="00AF5B42">
        <w:rPr>
          <w:rFonts w:ascii="Arial" w:hAnsi="Arial" w:cs="Arial"/>
        </w:rPr>
        <w:t xml:space="preserve">pour 2016, </w:t>
      </w:r>
      <w:r>
        <w:rPr>
          <w:rFonts w:ascii="Arial" w:hAnsi="Arial" w:cs="Arial"/>
        </w:rPr>
        <w:t>l</w:t>
      </w:r>
      <w:r w:rsidR="0032736F" w:rsidRPr="0032736F">
        <w:rPr>
          <w:rFonts w:ascii="Arial" w:hAnsi="Arial" w:cs="Arial"/>
        </w:rPr>
        <w:t>es engagements pris à Paris</w:t>
      </w:r>
      <w:r w:rsidR="004913C7">
        <w:rPr>
          <w:rFonts w:ascii="Arial" w:hAnsi="Arial" w:cs="Arial"/>
        </w:rPr>
        <w:t>. Il permettra de formuler</w:t>
      </w:r>
      <w:r w:rsidR="00F52C65">
        <w:rPr>
          <w:rFonts w:ascii="Arial" w:hAnsi="Arial" w:cs="Arial"/>
        </w:rPr>
        <w:t xml:space="preserve"> d</w:t>
      </w:r>
      <w:r w:rsidR="0032736F" w:rsidRPr="0032736F">
        <w:rPr>
          <w:rFonts w:ascii="Arial" w:hAnsi="Arial" w:cs="Arial"/>
        </w:rPr>
        <w:t xml:space="preserve">es </w:t>
      </w:r>
      <w:r w:rsidR="00F52C65">
        <w:rPr>
          <w:rFonts w:ascii="Arial" w:hAnsi="Arial" w:cs="Arial"/>
        </w:rPr>
        <w:t>recommandations en vue d’</w:t>
      </w:r>
      <w:r w:rsidR="0032736F" w:rsidRPr="0032736F">
        <w:rPr>
          <w:rFonts w:ascii="Arial" w:hAnsi="Arial" w:cs="Arial"/>
        </w:rPr>
        <w:t>une mobilis</w:t>
      </w:r>
      <w:r w:rsidR="00F52C65">
        <w:rPr>
          <w:rFonts w:ascii="Arial" w:hAnsi="Arial" w:cs="Arial"/>
        </w:rPr>
        <w:t>ation conséquente des annonces de financements</w:t>
      </w:r>
      <w:r w:rsidR="0032736F" w:rsidRPr="0032736F">
        <w:rPr>
          <w:rFonts w:ascii="Arial" w:hAnsi="Arial" w:cs="Arial"/>
        </w:rPr>
        <w:t xml:space="preserve">. </w:t>
      </w:r>
      <w:r w:rsidR="00F52C65">
        <w:rPr>
          <w:rFonts w:ascii="Arial" w:hAnsi="Arial" w:cs="Arial"/>
        </w:rPr>
        <w:t>Cela</w:t>
      </w:r>
      <w:r w:rsidR="0032736F" w:rsidRPr="0032736F">
        <w:rPr>
          <w:rFonts w:ascii="Arial" w:hAnsi="Arial" w:cs="Arial"/>
        </w:rPr>
        <w:t xml:space="preserve"> a milité au </w:t>
      </w:r>
      <w:r w:rsidR="00FD269F">
        <w:rPr>
          <w:rFonts w:ascii="Arial" w:hAnsi="Arial" w:cs="Arial"/>
        </w:rPr>
        <w:t>choix</w:t>
      </w:r>
      <w:r w:rsidR="0032736F" w:rsidRPr="0032736F">
        <w:rPr>
          <w:rFonts w:ascii="Arial" w:hAnsi="Arial" w:cs="Arial"/>
        </w:rPr>
        <w:t xml:space="preserve"> du thème </w:t>
      </w:r>
      <w:r w:rsidR="0032736F" w:rsidRPr="00FD269F">
        <w:rPr>
          <w:rFonts w:ascii="Arial" w:hAnsi="Arial" w:cs="Arial"/>
          <w:b/>
        </w:rPr>
        <w:t>« Fi</w:t>
      </w:r>
      <w:r w:rsidR="00FD269F">
        <w:rPr>
          <w:rFonts w:ascii="Arial" w:hAnsi="Arial" w:cs="Arial"/>
          <w:b/>
        </w:rPr>
        <w:t xml:space="preserve">nancement du </w:t>
      </w:r>
      <w:r w:rsidR="00D56F22">
        <w:rPr>
          <w:rFonts w:ascii="Arial" w:hAnsi="Arial" w:cs="Arial"/>
          <w:b/>
        </w:rPr>
        <w:t>Plan National de Développement Economique et Social 2016-2020</w:t>
      </w:r>
      <w:r w:rsidR="00FD269F">
        <w:rPr>
          <w:rFonts w:ascii="Arial" w:hAnsi="Arial" w:cs="Arial"/>
          <w:b/>
        </w:rPr>
        <w:t>: d</w:t>
      </w:r>
      <w:r w:rsidR="0032736F" w:rsidRPr="00FD269F">
        <w:rPr>
          <w:rFonts w:ascii="Arial" w:hAnsi="Arial" w:cs="Arial"/>
          <w:b/>
        </w:rPr>
        <w:t>éfis et perspectives</w:t>
      </w:r>
      <w:r w:rsidR="00FD269F" w:rsidRPr="00FD269F">
        <w:rPr>
          <w:rFonts w:ascii="Arial" w:hAnsi="Arial" w:cs="Arial"/>
          <w:b/>
        </w:rPr>
        <w:t> »</w:t>
      </w:r>
      <w:r w:rsidR="0032736F" w:rsidRPr="0032736F">
        <w:rPr>
          <w:rFonts w:ascii="Arial" w:hAnsi="Arial" w:cs="Arial"/>
        </w:rPr>
        <w:t xml:space="preserve"> dans </w:t>
      </w:r>
      <w:r w:rsidR="00CE6B5C">
        <w:rPr>
          <w:rFonts w:ascii="Arial" w:hAnsi="Arial" w:cs="Arial"/>
        </w:rPr>
        <w:t>le</w:t>
      </w:r>
      <w:r w:rsidR="0032736F" w:rsidRPr="0032736F">
        <w:rPr>
          <w:rFonts w:ascii="Arial" w:hAnsi="Arial" w:cs="Arial"/>
        </w:rPr>
        <w:t xml:space="preserve"> présent rapport. </w:t>
      </w:r>
    </w:p>
    <w:p w:rsidR="00510E4A" w:rsidRDefault="005867C3" w:rsidP="00486546">
      <w:pPr>
        <w:autoSpaceDE w:val="0"/>
        <w:autoSpaceDN w:val="0"/>
        <w:adjustRightInd w:val="0"/>
        <w:spacing w:after="120"/>
        <w:jc w:val="both"/>
        <w:rPr>
          <w:rFonts w:ascii="Arial" w:eastAsia="Arial Unicode MS" w:hAnsi="Arial" w:cs="Arial"/>
          <w:lang w:eastAsia="fr-FR"/>
        </w:rPr>
      </w:pPr>
      <w:r w:rsidRPr="0032736F">
        <w:rPr>
          <w:rFonts w:ascii="Arial" w:eastAsia="Arial Unicode MS" w:hAnsi="Arial" w:cs="Arial"/>
          <w:lang w:eastAsia="fr-FR"/>
        </w:rPr>
        <w:t xml:space="preserve">Je saisis cette occasion pour </w:t>
      </w:r>
      <w:r>
        <w:rPr>
          <w:rFonts w:ascii="Arial" w:eastAsia="Arial Unicode MS" w:hAnsi="Arial" w:cs="Arial"/>
          <w:lang w:eastAsia="fr-FR"/>
        </w:rPr>
        <w:t>expri</w:t>
      </w:r>
      <w:r w:rsidR="002570DC">
        <w:rPr>
          <w:rFonts w:ascii="Arial" w:eastAsia="Arial Unicode MS" w:hAnsi="Arial" w:cs="Arial"/>
          <w:lang w:eastAsia="fr-FR"/>
        </w:rPr>
        <w:t>mer toute la reconnaissance du G</w:t>
      </w:r>
      <w:r>
        <w:rPr>
          <w:rFonts w:ascii="Arial" w:eastAsia="Arial Unicode MS" w:hAnsi="Arial" w:cs="Arial"/>
          <w:lang w:eastAsia="fr-FR"/>
        </w:rPr>
        <w:t>ouvernement à l’ensemble des PTF</w:t>
      </w:r>
      <w:r w:rsidRPr="0032736F">
        <w:rPr>
          <w:rFonts w:ascii="Arial" w:eastAsia="Arial Unicode MS" w:hAnsi="Arial" w:cs="Arial"/>
          <w:lang w:eastAsia="fr-FR"/>
        </w:rPr>
        <w:t xml:space="preserve">, </w:t>
      </w:r>
      <w:r>
        <w:rPr>
          <w:rFonts w:ascii="Arial" w:hAnsi="Arial" w:cs="Arial"/>
        </w:rPr>
        <w:t>d</w:t>
      </w:r>
      <w:r w:rsidRPr="0032736F">
        <w:rPr>
          <w:rFonts w:ascii="Arial" w:hAnsi="Arial" w:cs="Arial"/>
        </w:rPr>
        <w:t>es Organisations non gouvernementales</w:t>
      </w:r>
      <w:r w:rsidRPr="0032736F">
        <w:rPr>
          <w:rFonts w:ascii="Arial" w:eastAsia="Arial Unicode MS" w:hAnsi="Arial" w:cs="Arial"/>
          <w:lang w:eastAsia="fr-FR"/>
        </w:rPr>
        <w:t xml:space="preserve"> </w:t>
      </w:r>
      <w:r w:rsidR="0078164E">
        <w:rPr>
          <w:rFonts w:ascii="Arial" w:eastAsia="Arial Unicode MS" w:hAnsi="Arial" w:cs="Arial"/>
          <w:lang w:eastAsia="fr-FR"/>
        </w:rPr>
        <w:t>pour la qualité de leurs contributions à l’éla</w:t>
      </w:r>
      <w:r w:rsidR="0032736F" w:rsidRPr="0032736F">
        <w:rPr>
          <w:rFonts w:ascii="Arial" w:eastAsia="Arial Unicode MS" w:hAnsi="Arial" w:cs="Arial"/>
          <w:lang w:eastAsia="fr-FR"/>
        </w:rPr>
        <w:t xml:space="preserve">boration du présent rapport </w:t>
      </w:r>
      <w:r w:rsidR="0078164E">
        <w:rPr>
          <w:rFonts w:ascii="Arial" w:eastAsia="Arial Unicode MS" w:hAnsi="Arial" w:cs="Arial"/>
          <w:lang w:eastAsia="fr-FR"/>
        </w:rPr>
        <w:t xml:space="preserve">et pour leur engagement à accompagner le développement socio-économique au Burkina Faso.   </w:t>
      </w:r>
    </w:p>
    <w:p w:rsidR="002570DC" w:rsidRDefault="002570DC" w:rsidP="00486546">
      <w:pPr>
        <w:autoSpaceDE w:val="0"/>
        <w:autoSpaceDN w:val="0"/>
        <w:adjustRightInd w:val="0"/>
        <w:spacing w:after="120"/>
        <w:jc w:val="both"/>
        <w:rPr>
          <w:rFonts w:ascii="Arial" w:eastAsia="Arial Unicode MS" w:hAnsi="Arial" w:cs="Arial"/>
          <w:lang w:eastAsia="fr-FR"/>
        </w:rPr>
      </w:pPr>
    </w:p>
    <w:p w:rsidR="002570DC" w:rsidRPr="0032736F" w:rsidRDefault="002570DC" w:rsidP="00486546">
      <w:pPr>
        <w:autoSpaceDE w:val="0"/>
        <w:autoSpaceDN w:val="0"/>
        <w:adjustRightInd w:val="0"/>
        <w:spacing w:after="120"/>
        <w:jc w:val="both"/>
        <w:rPr>
          <w:rFonts w:ascii="Arial" w:hAnsi="Arial" w:cs="Arial"/>
        </w:rPr>
      </w:pPr>
    </w:p>
    <w:p w:rsidR="00510E4A" w:rsidRPr="0032736F" w:rsidRDefault="00510E4A" w:rsidP="00510E4A">
      <w:pPr>
        <w:autoSpaceDE w:val="0"/>
        <w:autoSpaceDN w:val="0"/>
        <w:adjustRightInd w:val="0"/>
        <w:spacing w:after="0" w:line="240" w:lineRule="auto"/>
        <w:jc w:val="center"/>
        <w:rPr>
          <w:rFonts w:ascii="Arial" w:hAnsi="Arial" w:cs="Arial"/>
          <w:b/>
          <w:bCs/>
          <w:iCs/>
          <w:szCs w:val="24"/>
        </w:rPr>
      </w:pPr>
      <w:r w:rsidRPr="0032736F">
        <w:rPr>
          <w:rFonts w:ascii="Arial" w:hAnsi="Arial" w:cs="Arial"/>
          <w:b/>
          <w:bCs/>
          <w:iCs/>
          <w:szCs w:val="24"/>
        </w:rPr>
        <w:t>Le Ministre de l’Economie, des Finances et du Développement</w:t>
      </w:r>
    </w:p>
    <w:p w:rsidR="00510E4A" w:rsidRPr="0032736F" w:rsidRDefault="00510E4A" w:rsidP="00510E4A">
      <w:pPr>
        <w:autoSpaceDE w:val="0"/>
        <w:autoSpaceDN w:val="0"/>
        <w:adjustRightInd w:val="0"/>
        <w:spacing w:after="0" w:line="240" w:lineRule="auto"/>
        <w:jc w:val="center"/>
        <w:rPr>
          <w:rFonts w:ascii="Arial" w:hAnsi="Arial" w:cs="Arial"/>
          <w:b/>
          <w:bCs/>
          <w:iCs/>
          <w:szCs w:val="24"/>
        </w:rPr>
      </w:pPr>
    </w:p>
    <w:p w:rsidR="00510E4A" w:rsidRPr="0032736F" w:rsidRDefault="00510E4A" w:rsidP="00510E4A">
      <w:pPr>
        <w:autoSpaceDE w:val="0"/>
        <w:autoSpaceDN w:val="0"/>
        <w:adjustRightInd w:val="0"/>
        <w:spacing w:after="0" w:line="240" w:lineRule="auto"/>
        <w:jc w:val="center"/>
        <w:rPr>
          <w:rFonts w:ascii="Arial" w:hAnsi="Arial" w:cs="Arial"/>
          <w:b/>
          <w:bCs/>
          <w:iCs/>
          <w:szCs w:val="24"/>
        </w:rPr>
      </w:pPr>
    </w:p>
    <w:p w:rsidR="00510E4A" w:rsidRPr="0032736F" w:rsidRDefault="00510E4A" w:rsidP="00510E4A">
      <w:pPr>
        <w:autoSpaceDE w:val="0"/>
        <w:autoSpaceDN w:val="0"/>
        <w:adjustRightInd w:val="0"/>
        <w:spacing w:after="0" w:line="240" w:lineRule="auto"/>
        <w:jc w:val="center"/>
        <w:rPr>
          <w:rFonts w:ascii="Arial" w:hAnsi="Arial" w:cs="Arial"/>
          <w:b/>
          <w:bCs/>
          <w:iCs/>
          <w:szCs w:val="24"/>
        </w:rPr>
      </w:pPr>
    </w:p>
    <w:p w:rsidR="00510E4A" w:rsidRPr="0032736F" w:rsidRDefault="00510E4A" w:rsidP="00510E4A">
      <w:pPr>
        <w:autoSpaceDE w:val="0"/>
        <w:autoSpaceDN w:val="0"/>
        <w:adjustRightInd w:val="0"/>
        <w:spacing w:after="0" w:line="240" w:lineRule="auto"/>
        <w:jc w:val="center"/>
        <w:rPr>
          <w:rFonts w:ascii="Arial" w:hAnsi="Arial" w:cs="Arial"/>
          <w:b/>
          <w:bCs/>
          <w:iCs/>
          <w:szCs w:val="24"/>
        </w:rPr>
      </w:pPr>
    </w:p>
    <w:p w:rsidR="00510E4A" w:rsidRPr="0032736F" w:rsidRDefault="00510E4A" w:rsidP="00510E4A">
      <w:pPr>
        <w:autoSpaceDE w:val="0"/>
        <w:autoSpaceDN w:val="0"/>
        <w:adjustRightInd w:val="0"/>
        <w:spacing w:after="0" w:line="240" w:lineRule="auto"/>
        <w:jc w:val="center"/>
        <w:rPr>
          <w:rFonts w:ascii="Arial" w:hAnsi="Arial" w:cs="Arial"/>
          <w:b/>
          <w:bCs/>
          <w:iCs/>
          <w:szCs w:val="24"/>
          <w:u w:val="single"/>
        </w:rPr>
      </w:pPr>
      <w:r w:rsidRPr="0032736F">
        <w:rPr>
          <w:rFonts w:ascii="Arial" w:hAnsi="Arial" w:cs="Arial"/>
          <w:b/>
          <w:bCs/>
          <w:iCs/>
          <w:szCs w:val="24"/>
          <w:u w:val="single"/>
        </w:rPr>
        <w:t>Hadizatou Rosine COULIBALY/SORI</w:t>
      </w:r>
    </w:p>
    <w:p w:rsidR="00510E4A" w:rsidRDefault="00416495" w:rsidP="0032736F">
      <w:pPr>
        <w:autoSpaceDE w:val="0"/>
        <w:autoSpaceDN w:val="0"/>
        <w:adjustRightInd w:val="0"/>
        <w:spacing w:after="0" w:line="240" w:lineRule="auto"/>
        <w:jc w:val="center"/>
      </w:pPr>
      <w:r>
        <w:rPr>
          <w:rFonts w:ascii="Arial" w:hAnsi="Arial" w:cs="Arial"/>
          <w:bCs/>
          <w:i/>
          <w:iCs/>
          <w:szCs w:val="24"/>
        </w:rPr>
        <w:t>Officier</w:t>
      </w:r>
      <w:r w:rsidR="00510E4A" w:rsidRPr="0032736F">
        <w:rPr>
          <w:rFonts w:ascii="Arial" w:hAnsi="Arial" w:cs="Arial"/>
          <w:bCs/>
          <w:i/>
          <w:iCs/>
          <w:szCs w:val="24"/>
        </w:rPr>
        <w:t xml:space="preserve"> de l’Ordre National</w:t>
      </w:r>
      <w:r w:rsidR="00510E4A">
        <w:br w:type="page"/>
      </w:r>
    </w:p>
    <w:p w:rsidR="00231A0E" w:rsidRPr="002B51BA" w:rsidRDefault="00231A0E" w:rsidP="002B51BA">
      <w:pPr>
        <w:pStyle w:val="Titre"/>
        <w:rPr>
          <w:rFonts w:asciiTheme="majorHAnsi" w:hAnsiTheme="majorHAnsi"/>
          <w:sz w:val="26"/>
          <w:szCs w:val="26"/>
        </w:rPr>
      </w:pPr>
      <w:bookmarkStart w:id="18" w:name="_Toc492972151"/>
      <w:bookmarkStart w:id="19" w:name="_Toc459122774"/>
      <w:r w:rsidRPr="002B51BA">
        <w:rPr>
          <w:rFonts w:asciiTheme="majorHAnsi" w:hAnsiTheme="majorHAnsi"/>
          <w:sz w:val="26"/>
          <w:szCs w:val="26"/>
        </w:rPr>
        <w:lastRenderedPageBreak/>
        <w:t>SIGLES ET ABREVIATIONS</w:t>
      </w:r>
      <w:bookmarkEnd w:id="18"/>
    </w:p>
    <w:tbl>
      <w:tblPr>
        <w:tblStyle w:val="TableauGrille2-Accentuation11"/>
        <w:tblW w:w="0" w:type="auto"/>
        <w:tblInd w:w="608"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1550"/>
        <w:gridCol w:w="7873"/>
      </w:tblGrid>
      <w:tr w:rsidR="00231A0E" w:rsidRPr="000F34E0" w:rsidTr="00BA455D">
        <w:trPr>
          <w:cnfStyle w:val="100000000000" w:firstRow="1" w:lastRow="0" w:firstColumn="0" w:lastColumn="0" w:oddVBand="0" w:evenVBand="0" w:oddHBand="0"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1550" w:type="dxa"/>
            <w:tcBorders>
              <w:top w:val="none" w:sz="0" w:space="0" w:color="auto"/>
              <w:bottom w:val="none" w:sz="0" w:space="0" w:color="auto"/>
              <w:right w:val="none" w:sz="0" w:space="0" w:color="auto"/>
            </w:tcBorders>
          </w:tcPr>
          <w:p w:rsidR="00231A0E" w:rsidRPr="000F34E0" w:rsidRDefault="00BA455D" w:rsidP="00DB1DD6">
            <w:pPr>
              <w:spacing w:after="0"/>
              <w:rPr>
                <w:rFonts w:ascii="Arial" w:eastAsia="Times New Roman" w:hAnsi="Arial" w:cs="Arial"/>
              </w:rPr>
            </w:pPr>
            <w:r>
              <w:rPr>
                <w:rFonts w:ascii="Arial" w:eastAsia="Times New Roman" w:hAnsi="Arial" w:cs="Arial"/>
              </w:rPr>
              <w:t>SIGLE</w:t>
            </w:r>
          </w:p>
        </w:tc>
        <w:tc>
          <w:tcPr>
            <w:tcW w:w="7873" w:type="dxa"/>
            <w:tcBorders>
              <w:top w:val="none" w:sz="0" w:space="0" w:color="auto"/>
              <w:left w:val="none" w:sz="0" w:space="0" w:color="auto"/>
              <w:bottom w:val="none" w:sz="0" w:space="0" w:color="auto"/>
            </w:tcBorders>
          </w:tcPr>
          <w:p w:rsidR="00231A0E" w:rsidRPr="000F34E0" w:rsidRDefault="00231A0E" w:rsidP="00161A3D">
            <w:pPr>
              <w:spacing w:after="0"/>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DENOMINATION</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AB</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Appui Budgétaire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ABG</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Appui Budgétaire Général</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ABS</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Appui Budgétaire Sectoriel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AEPA</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Approvisionnement en Eau Potable et Assainissement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AEPS</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Adduction d’Eau Potable Simplifiée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AFD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Agence Française de Développement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AGNU</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Assemblée Générale des Nations Unies</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AID</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Association Internationale de Développement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AN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Assemblée Nationale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ANPE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Agence Nationale Pour l’Emploi</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APBEF</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Association Professionnelles des Banques et Etablissement Financiers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APD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Aide Publique au Développement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API-BF</w:t>
            </w:r>
          </w:p>
        </w:tc>
        <w:tc>
          <w:tcPr>
            <w:tcW w:w="7873" w:type="dxa"/>
          </w:tcPr>
          <w:p w:rsidR="00231A0E" w:rsidRPr="000F34E0" w:rsidRDefault="00231A0E" w:rsidP="00231A0E">
            <w:pPr>
              <w:spacing w:before="100" w:beforeAutospacing="1" w:after="100" w:afterAutospacing="1" w:line="240" w:lineRule="auto"/>
              <w:ind w:right="34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Agence de Promotion des Investissements du Burkina Faso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ARV</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Antirétroviral</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line="240" w:lineRule="auto"/>
              <w:jc w:val="both"/>
              <w:rPr>
                <w:rFonts w:ascii="Arial" w:eastAsia="Times New Roman" w:hAnsi="Arial" w:cs="Arial"/>
              </w:rPr>
            </w:pPr>
            <w:r w:rsidRPr="000F34E0">
              <w:rPr>
                <w:rFonts w:ascii="Arial" w:eastAsia="Times New Roman" w:hAnsi="Arial" w:cs="Arial"/>
              </w:rPr>
              <w:t>ASCE-LC</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L’Autorité Supérieure de Contrôle d’Etat et de Lutte contre la Corruption</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BAD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Banque Africaine de Développement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iCs/>
                <w:color w:val="000000"/>
              </w:rPr>
              <w:t>BADEA</w:t>
            </w:r>
          </w:p>
        </w:tc>
        <w:tc>
          <w:tcPr>
            <w:tcW w:w="7873" w:type="dxa"/>
          </w:tcPr>
          <w:p w:rsidR="00231A0E" w:rsidRPr="000F34E0" w:rsidRDefault="00E63221"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Banque Arabe pour le Développement Economique en Afrique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iCs/>
                <w:color w:val="000000"/>
              </w:rPr>
            </w:pPr>
            <w:r w:rsidRPr="000F34E0">
              <w:rPr>
                <w:rFonts w:ascii="Arial" w:eastAsia="Times New Roman" w:hAnsi="Arial" w:cs="Arial"/>
                <w:iCs/>
                <w:lang w:val="en-US"/>
              </w:rPr>
              <w:t>BBO</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lang w:val="en-US"/>
              </w:rPr>
              <w:t>Buy, Built and Operate</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BID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Banque Islamique de Développement</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BM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Banque Mondiale</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BOAD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Banque Ouest Africaine de Développement</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iCs/>
              </w:rPr>
              <w:t>BOT</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Built - Operate-Transfer</w:t>
            </w:r>
            <w:r w:rsidRPr="000F34E0">
              <w:rPr>
                <w:rFonts w:ascii="Arial" w:eastAsia="Times New Roman" w:hAnsi="Arial" w:cs="Arial"/>
                <w:iCs/>
              </w:rPr>
              <w:t xml:space="preserve">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iCs/>
              </w:rPr>
            </w:pPr>
            <w:r w:rsidRPr="000F34E0">
              <w:rPr>
                <w:rFonts w:ascii="Arial" w:eastAsia="Times New Roman" w:hAnsi="Arial" w:cs="Arial"/>
                <w:iCs/>
              </w:rPr>
              <w:t>BTO</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lang w:val="en-US"/>
              </w:rPr>
              <w:t>Built-Transfer-and Operate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iCs/>
              </w:rPr>
              <w:t>CAD</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Comité d’Aide au Développent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CARFO</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Caisse Autonome de Retraite des Fonctionnaires</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lang w:eastAsia="fr-FR"/>
              </w:rPr>
              <w:t>CAST</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Compte d'Affectation Spéciale du Trésor</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CBMT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Cadre Budgétaire à Moyen Terme</w:t>
            </w:r>
          </w:p>
        </w:tc>
      </w:tr>
      <w:tr w:rsidR="005C25A3"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5C25A3" w:rsidRPr="000F34E0" w:rsidRDefault="005C25A3" w:rsidP="00231A0E">
            <w:pPr>
              <w:spacing w:after="0"/>
              <w:rPr>
                <w:rFonts w:ascii="Arial" w:eastAsia="Times New Roman" w:hAnsi="Arial" w:cs="Arial"/>
              </w:rPr>
            </w:pPr>
            <w:r w:rsidRPr="000F34E0">
              <w:rPr>
                <w:rFonts w:ascii="Arial" w:eastAsia="Times New Roman" w:hAnsi="Arial" w:cs="Arial"/>
              </w:rPr>
              <w:t>CC</w:t>
            </w:r>
          </w:p>
        </w:tc>
        <w:tc>
          <w:tcPr>
            <w:tcW w:w="7873" w:type="dxa"/>
          </w:tcPr>
          <w:p w:rsidR="005C25A3" w:rsidRPr="000F34E0" w:rsidRDefault="005C25A3"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hAnsi="Arial" w:cs="Arial"/>
                <w:color w:val="000000"/>
              </w:rPr>
              <w:t>Changements Climatiques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CCC</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Crédit d’appui à la Croissance et à la Compétitivité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color w:val="000000"/>
              </w:rPr>
              <w:t>CCNUCC</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color w:val="000000"/>
              </w:rPr>
              <w:t xml:space="preserve">Convention cadre des Nations Unies sur les changements climatiques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CDMT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Cadre des Dépenses à Moyen Terme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CEDEAO</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Communauté Economique des Etats de l’Afrique de l’Ouest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CEG</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Collège d’Enseignement Général</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CHR</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Centre Hospitalier Régional</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CIFE</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Circuit Intégré des Financements Extérieurs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iCs/>
                <w:lang w:eastAsia="fr-FR"/>
              </w:rPr>
            </w:pPr>
            <w:r w:rsidRPr="000F34E0">
              <w:rPr>
                <w:rFonts w:ascii="Arial" w:eastAsia="Times New Roman" w:hAnsi="Arial" w:cs="Arial"/>
                <w:iCs/>
                <w:lang w:eastAsia="fr-FR"/>
              </w:rPr>
              <w:t>CIVICUS</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Cs/>
                <w:lang w:eastAsia="fr-FR"/>
              </w:rPr>
            </w:pPr>
            <w:r w:rsidRPr="000F34E0">
              <w:rPr>
                <w:rFonts w:ascii="Arial" w:eastAsia="Times New Roman" w:hAnsi="Arial" w:cs="Arial"/>
                <w:bCs/>
                <w:iCs/>
                <w:lang w:eastAsia="fr-FR"/>
              </w:rPr>
              <w:t>Alliance Mondiale pour la Participation Citoyenne</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CM</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Centre Médical</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CMB</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Chambre de Mines du Burkina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CMC</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Commission Mixte de Coopération</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CNP/SCADD</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bCs/>
                <w:iCs/>
                <w:lang w:eastAsia="fr-FR"/>
              </w:rPr>
              <w:t>Comité National de Pilotage de la SCADD</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CNPE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Comité National de Politique Economique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CNR</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Cadres Nationaux de Résultats</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iCs/>
                <w:lang w:eastAsia="fr-FR"/>
              </w:rPr>
              <w:t>CNS</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iCs/>
                <w:lang w:eastAsia="fr-FR"/>
              </w:rPr>
            </w:pPr>
            <w:r w:rsidRPr="000F34E0">
              <w:rPr>
                <w:rFonts w:ascii="Arial" w:eastAsia="Times New Roman" w:hAnsi="Arial" w:cs="Arial"/>
                <w:bCs/>
                <w:iCs/>
                <w:lang w:eastAsia="fr-FR"/>
              </w:rPr>
              <w:t xml:space="preserve">Conseil National de la Statistique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iCs/>
                <w:lang w:eastAsia="fr-FR"/>
              </w:rPr>
            </w:pPr>
            <w:r w:rsidRPr="000F34E0">
              <w:rPr>
                <w:rFonts w:ascii="Arial" w:eastAsia="Times New Roman" w:hAnsi="Arial" w:cs="Arial"/>
                <w:iCs/>
                <w:lang w:eastAsia="fr-FR"/>
              </w:rPr>
              <w:t>CNSS</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iCs/>
                <w:lang w:eastAsia="fr-FR"/>
              </w:rPr>
            </w:pPr>
            <w:r w:rsidRPr="000F34E0">
              <w:rPr>
                <w:rFonts w:ascii="Arial" w:eastAsia="Times New Roman" w:hAnsi="Arial" w:cs="Arial"/>
                <w:iCs/>
                <w:lang w:eastAsia="fr-FR"/>
              </w:rPr>
              <w:t>Caisse Nationale de Sécurité Sociale</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CNT</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Conseil National de la Transition</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lastRenderedPageBreak/>
              <w:t>CONACOD</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Commission Nationale de la Coopération Décentralisée</w:t>
            </w:r>
          </w:p>
        </w:tc>
      </w:tr>
      <w:tr w:rsidR="00F4705F"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F4705F" w:rsidRPr="000F34E0" w:rsidRDefault="00F4705F" w:rsidP="00231A0E">
            <w:pPr>
              <w:spacing w:after="0"/>
              <w:rPr>
                <w:rFonts w:ascii="Arial" w:eastAsia="Times New Roman" w:hAnsi="Arial" w:cs="Arial"/>
              </w:rPr>
            </w:pPr>
            <w:r w:rsidRPr="000F34E0">
              <w:rPr>
                <w:rFonts w:ascii="Arial" w:eastAsia="Times New Roman" w:hAnsi="Arial" w:cs="Arial"/>
              </w:rPr>
              <w:t>COP</w:t>
            </w:r>
          </w:p>
        </w:tc>
        <w:tc>
          <w:tcPr>
            <w:tcW w:w="7873" w:type="dxa"/>
          </w:tcPr>
          <w:p w:rsidR="00F4705F" w:rsidRPr="000F34E0" w:rsidRDefault="00F4705F"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hAnsi="Arial" w:cs="Arial"/>
              </w:rPr>
              <w:t>Conférence des Parties</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CPI</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Conseil Présidentiel pour l’Investissement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CRD</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noProof/>
              </w:rPr>
              <w:t>Cadre Régional de Dialogue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CRS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Catholic Relief Services</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CSD</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Cadre Sectoriel de Dialogue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CSLP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Cadre Stratégique de Lutte contre la Pauvreté</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CSPS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Centre de Santé et de Promotion Sociale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CTPD</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Cs/>
                <w:lang w:eastAsia="fr-FR"/>
              </w:rPr>
            </w:pPr>
            <w:r w:rsidRPr="000F34E0">
              <w:rPr>
                <w:rFonts w:ascii="Arial" w:eastAsia="Times New Roman" w:hAnsi="Arial" w:cs="Arial"/>
                <w:bCs/>
                <w:iCs/>
                <w:lang w:eastAsia="fr-FR"/>
              </w:rPr>
              <w:t>Coopération Technique entre Pays en Développement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iCs/>
                <w:lang w:val="en-US"/>
              </w:rPr>
              <w:t>DBFM</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bCs/>
                <w:iCs/>
                <w:lang w:val="en-US" w:eastAsia="fr-FR"/>
              </w:rPr>
            </w:pPr>
            <w:r w:rsidRPr="000F34E0">
              <w:rPr>
                <w:rFonts w:ascii="Arial" w:eastAsia="Times New Roman" w:hAnsi="Arial" w:cs="Arial"/>
              </w:rPr>
              <w:t>Design-Built-Finance-Maintain</w:t>
            </w:r>
            <w:r w:rsidRPr="000F34E0">
              <w:rPr>
                <w:rFonts w:ascii="Arial" w:eastAsia="Times New Roman" w:hAnsi="Arial" w:cs="Arial"/>
                <w:b/>
                <w:iCs/>
                <w:lang w:val="en-US"/>
              </w:rPr>
              <w:t xml:space="preserve">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iCs/>
                <w:lang w:val="en-US"/>
              </w:rPr>
            </w:pPr>
            <w:r w:rsidRPr="000F34E0">
              <w:rPr>
                <w:rFonts w:ascii="Arial" w:eastAsia="Times New Roman" w:hAnsi="Arial" w:cs="Arial"/>
                <w:lang w:val="en-US"/>
              </w:rPr>
              <w:t>DBFO</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lang w:val="en-US"/>
              </w:rPr>
            </w:pPr>
            <w:r w:rsidRPr="000F34E0">
              <w:rPr>
                <w:rFonts w:ascii="Arial" w:eastAsia="Times New Roman" w:hAnsi="Arial" w:cs="Arial"/>
              </w:rPr>
              <w:t>Design-Built-Finance-Operate</w:t>
            </w:r>
            <w:r w:rsidRPr="000F34E0">
              <w:rPr>
                <w:rFonts w:ascii="Arial" w:eastAsia="Times New Roman" w:hAnsi="Arial" w:cs="Arial"/>
                <w:b/>
                <w:lang w:val="en-US"/>
              </w:rPr>
              <w:t xml:space="preserve">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DCB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de la Coopération Bilatérale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DCE-APD</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de la Coordination et de l’Efficacité de l’Aide Publique au Développement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DCM</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de la Coopération Multilatérale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DDP</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de la Dette Publique</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DEP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des Etudes et de la Planification</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DGB</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Générale du Budget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DGCOOP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Générale de la Coopération</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DGEP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Générale de l’Economie et de la Planification</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DGESS</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Générale des Etudes et des Statistiques Sectorielles</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DGI</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Générale des Impôts</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DGTCP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Générale du Trésor et de la Comptabilité Publique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DOB</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Cs/>
                <w:lang w:eastAsia="fr-FR"/>
              </w:rPr>
            </w:pPr>
            <w:r w:rsidRPr="000F34E0">
              <w:rPr>
                <w:rFonts w:ascii="Arial" w:eastAsia="Times New Roman" w:hAnsi="Arial" w:cs="Arial"/>
              </w:rPr>
              <w:t xml:space="preserve">Débat d’Orientation Budgétaire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DP</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Déclaration de Paris sur l’efficacité de l’aide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DPAM </w:t>
            </w:r>
          </w:p>
        </w:tc>
        <w:tc>
          <w:tcPr>
            <w:tcW w:w="7873" w:type="dxa"/>
          </w:tcPr>
          <w:p w:rsidR="00231A0E" w:rsidRPr="000F34E0" w:rsidRDefault="00231A0E" w:rsidP="00645BFA">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de la P</w:t>
            </w:r>
            <w:r w:rsidR="00645BFA" w:rsidRPr="000F34E0">
              <w:rPr>
                <w:rFonts w:ascii="Arial" w:eastAsia="Times New Roman" w:hAnsi="Arial" w:cs="Arial"/>
              </w:rPr>
              <w:t>révision et des Analyses Macroé</w:t>
            </w:r>
            <w:r w:rsidRPr="000F34E0">
              <w:rPr>
                <w:rFonts w:ascii="Arial" w:eastAsia="Times New Roman" w:hAnsi="Arial" w:cs="Arial"/>
              </w:rPr>
              <w:t>conomiques</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DPB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de la Programmation Budgétaire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DPBEP</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Document de Programmation Budgétaire Economique Pluriannuel</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DPPP</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du Partenariat Public-Privé</w:t>
            </w:r>
          </w:p>
        </w:tc>
      </w:tr>
      <w:tr w:rsidR="003C03F1"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3C03F1" w:rsidRPr="000F34E0" w:rsidRDefault="003C03F1" w:rsidP="00231A0E">
            <w:pPr>
              <w:spacing w:after="0"/>
              <w:rPr>
                <w:rFonts w:ascii="Arial" w:eastAsia="Times New Roman" w:hAnsi="Arial" w:cs="Arial"/>
              </w:rPr>
            </w:pPr>
            <w:r w:rsidRPr="000F34E0">
              <w:rPr>
                <w:rFonts w:ascii="Arial" w:eastAsia="Times New Roman" w:hAnsi="Arial" w:cs="Arial"/>
              </w:rPr>
              <w:t>DP/ONG</w:t>
            </w:r>
          </w:p>
        </w:tc>
        <w:tc>
          <w:tcPr>
            <w:tcW w:w="7873" w:type="dxa"/>
          </w:tcPr>
          <w:p w:rsidR="003C03F1" w:rsidRPr="000F34E0" w:rsidRDefault="003C03F1"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du partenariat avec les ONG</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DSP</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Document de stratégie Pays</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DSPF</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Direction du Suivi des Programmes Financiers</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DTS</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Droits de Tirages Spéciaux</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EU-DEVCO</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Direction générale de la coopération internationale et du développement EuropeAid de la Commission européenne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FA</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Fonds pour l’Adaptation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FAD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Africain de Développement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FAFPA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d’Appui à la Formation Professionnelle et à l’Apprentissage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FAIJ</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d’Appui aux Initiatives des Jeunes</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FAO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Organisation des Nations Unies pour l’Alimentation et l’Agriculture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FAPE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d’Appui à la Promotion de l’Emploi</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FASI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d’Appui au Secteur Informel</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FCD</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Forum de la Coopération au Développement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FCFA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Franc de la Communauté Financière d’Afrique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FEC</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Facilité Elargie de Crédit</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FED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Européen de Développement</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FEM</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Fonds pour l’Environnement Mondial </w:t>
            </w:r>
          </w:p>
        </w:tc>
      </w:tr>
      <w:tr w:rsidR="006753B1"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6753B1" w:rsidRPr="000F34E0" w:rsidRDefault="006753B1" w:rsidP="00231A0E">
            <w:pPr>
              <w:spacing w:after="0"/>
              <w:rPr>
                <w:rFonts w:ascii="Arial" w:eastAsia="Times New Roman" w:hAnsi="Arial" w:cs="Arial"/>
              </w:rPr>
            </w:pPr>
            <w:r w:rsidRPr="000F34E0">
              <w:rPr>
                <w:rFonts w:ascii="Arial" w:eastAsia="Times New Roman" w:hAnsi="Arial" w:cs="Arial"/>
              </w:rPr>
              <w:t>FIC</w:t>
            </w:r>
          </w:p>
        </w:tc>
        <w:tc>
          <w:tcPr>
            <w:tcW w:w="7873" w:type="dxa"/>
          </w:tcPr>
          <w:p w:rsidR="006753B1" w:rsidRPr="000F34E0" w:rsidRDefault="006753B1"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hAnsi="Arial" w:cs="Arial"/>
                <w:color w:val="000000"/>
                <w:lang w:eastAsia="fr-FR"/>
              </w:rPr>
              <w:t>Fonds d’investissements climatiques</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lastRenderedPageBreak/>
              <w:t xml:space="preserve">FIDA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International de Développement Agricole</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FIEP</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Incitatif de l’Entretien Périodique des routes</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FMI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Monétaire International</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FONAENF</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pour l’alphabétisation et l’éducation non formelle</w:t>
            </w:r>
          </w:p>
        </w:tc>
      </w:tr>
      <w:tr w:rsidR="001B1AC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1B1ACE" w:rsidRPr="000F34E0" w:rsidRDefault="001B1ACE" w:rsidP="00231A0E">
            <w:pPr>
              <w:spacing w:after="0"/>
              <w:rPr>
                <w:rFonts w:ascii="Arial" w:eastAsia="Times New Roman" w:hAnsi="Arial" w:cs="Arial"/>
              </w:rPr>
            </w:pPr>
            <w:r w:rsidRPr="000F34E0">
              <w:rPr>
                <w:rFonts w:ascii="Arial" w:eastAsia="Times New Roman" w:hAnsi="Arial" w:cs="Arial"/>
              </w:rPr>
              <w:t>FPMA</w:t>
            </w:r>
          </w:p>
        </w:tc>
        <w:tc>
          <w:tcPr>
            <w:tcW w:w="7873" w:type="dxa"/>
          </w:tcPr>
          <w:p w:rsidR="001B1ACE" w:rsidRPr="000F34E0" w:rsidRDefault="001B1AC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hAnsi="Arial" w:cs="Arial"/>
                <w:color w:val="000000"/>
                <w:lang w:eastAsia="fr-FR"/>
              </w:rPr>
              <w:t>Fonds pour les pays les moins avancés</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FRDC</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Régional de Développement de la CEDEAO</w:t>
            </w:r>
          </w:p>
        </w:tc>
      </w:tr>
      <w:tr w:rsidR="001B1AC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1B1ACE" w:rsidRPr="000F34E0" w:rsidRDefault="001B1ACE" w:rsidP="00231A0E">
            <w:pPr>
              <w:spacing w:after="0"/>
              <w:rPr>
                <w:rFonts w:ascii="Arial" w:eastAsia="Times New Roman" w:hAnsi="Arial" w:cs="Arial"/>
              </w:rPr>
            </w:pPr>
            <w:r w:rsidRPr="000F34E0">
              <w:rPr>
                <w:rFonts w:ascii="Arial" w:eastAsia="Times New Roman" w:hAnsi="Arial" w:cs="Arial"/>
              </w:rPr>
              <w:t>FSA</w:t>
            </w:r>
          </w:p>
        </w:tc>
        <w:tc>
          <w:tcPr>
            <w:tcW w:w="7873" w:type="dxa"/>
          </w:tcPr>
          <w:p w:rsidR="001B1ACE" w:rsidRPr="000F34E0" w:rsidRDefault="00201074"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hAnsi="Arial" w:cs="Arial"/>
                <w:color w:val="000000"/>
                <w:lang w:eastAsia="fr-FR"/>
              </w:rPr>
              <w:t>Fonds S</w:t>
            </w:r>
            <w:r w:rsidR="001B1ACE" w:rsidRPr="000F34E0">
              <w:rPr>
                <w:rFonts w:ascii="Arial" w:hAnsi="Arial" w:cs="Arial"/>
                <w:color w:val="000000"/>
                <w:lang w:eastAsia="fr-FR"/>
              </w:rPr>
              <w:t xml:space="preserve">pécial de </w:t>
            </w:r>
            <w:r w:rsidRPr="000F34E0">
              <w:rPr>
                <w:rFonts w:ascii="Arial" w:hAnsi="Arial" w:cs="Arial"/>
                <w:color w:val="000000"/>
                <w:lang w:eastAsia="fr-FR"/>
              </w:rPr>
              <w:t>priorité stratégique pour le l’A</w:t>
            </w:r>
            <w:r w:rsidR="001B1ACE" w:rsidRPr="000F34E0">
              <w:rPr>
                <w:rFonts w:ascii="Arial" w:hAnsi="Arial" w:cs="Arial"/>
                <w:color w:val="000000"/>
                <w:lang w:eastAsia="fr-FR"/>
              </w:rPr>
              <w:t>daptation</w:t>
            </w:r>
          </w:p>
        </w:tc>
      </w:tr>
      <w:tr w:rsidR="006753B1"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6753B1" w:rsidRPr="000F34E0" w:rsidRDefault="006753B1" w:rsidP="00231A0E">
            <w:pPr>
              <w:spacing w:after="0"/>
              <w:rPr>
                <w:rFonts w:ascii="Arial" w:eastAsia="Times New Roman" w:hAnsi="Arial" w:cs="Arial"/>
              </w:rPr>
            </w:pPr>
            <w:r w:rsidRPr="000F34E0">
              <w:rPr>
                <w:rFonts w:ascii="Arial" w:eastAsia="Times New Roman" w:hAnsi="Arial" w:cs="Arial"/>
              </w:rPr>
              <w:t>FSC</w:t>
            </w:r>
          </w:p>
        </w:tc>
        <w:tc>
          <w:tcPr>
            <w:tcW w:w="7873" w:type="dxa"/>
          </w:tcPr>
          <w:p w:rsidR="006753B1" w:rsidRPr="000F34E0" w:rsidRDefault="006753B1" w:rsidP="00231A0E">
            <w:pPr>
              <w:spacing w:after="0"/>
              <w:cnfStyle w:val="000000100000" w:firstRow="0" w:lastRow="0" w:firstColumn="0" w:lastColumn="0" w:oddVBand="0" w:evenVBand="0" w:oddHBand="1" w:evenHBand="0" w:firstRowFirstColumn="0" w:firstRowLastColumn="0" w:lastRowFirstColumn="0" w:lastRowLastColumn="0"/>
              <w:rPr>
                <w:rFonts w:ascii="Arial" w:hAnsi="Arial" w:cs="Arial"/>
                <w:color w:val="000000"/>
                <w:lang w:eastAsia="fr-FR"/>
              </w:rPr>
            </w:pPr>
            <w:r w:rsidRPr="000F34E0">
              <w:rPr>
                <w:rFonts w:ascii="Arial" w:hAnsi="Arial" w:cs="Arial"/>
                <w:color w:val="000000"/>
              </w:rPr>
              <w:t>Fonds Stratégique pour le Climat</w:t>
            </w:r>
          </w:p>
        </w:tc>
      </w:tr>
      <w:tr w:rsidR="001B1AC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1B1ACE" w:rsidRPr="000F34E0" w:rsidRDefault="001B1ACE" w:rsidP="00231A0E">
            <w:pPr>
              <w:spacing w:after="0"/>
              <w:rPr>
                <w:rFonts w:ascii="Arial" w:eastAsia="Times New Roman" w:hAnsi="Arial" w:cs="Arial"/>
              </w:rPr>
            </w:pPr>
            <w:r w:rsidRPr="000F34E0">
              <w:rPr>
                <w:rFonts w:ascii="Arial" w:eastAsia="Times New Roman" w:hAnsi="Arial" w:cs="Arial"/>
              </w:rPr>
              <w:t>FSCC</w:t>
            </w:r>
          </w:p>
        </w:tc>
        <w:tc>
          <w:tcPr>
            <w:tcW w:w="7873" w:type="dxa"/>
          </w:tcPr>
          <w:p w:rsidR="001B1ACE" w:rsidRPr="000F34E0" w:rsidRDefault="001B1AC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hAnsi="Arial" w:cs="Arial"/>
                <w:color w:val="000000"/>
                <w:lang w:eastAsia="fr-FR"/>
              </w:rPr>
              <w:t>Fonds spécial pour les changements climatiques</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FRPC</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Facilité pour la Réduction de la Pauvreté et pour la Croissance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color w:val="000000"/>
              </w:rPr>
              <w:t>FVC</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color w:val="000000"/>
              </w:rPr>
              <w:t xml:space="preserve">Fonds vert pour le climat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GAR</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Gestion Axée sur les Résultats</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GIZ</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Coopération Technique Allemande</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GPEDC</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Partenariat mondial pour l’efficacité de la coopération au développement</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GT-EFF</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Groupe de travail sur l’efficacité de l’aide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HIMO</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Haute Intensité de Main d’Œuvre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IAP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Instrument Automatisé de Prévision</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IDH</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Indice de Développement Humain</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IHPC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Indice Harmonisé des Prix à la Consommation</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IITA</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Initiative Internationale pour la Transparence de l’Aide </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INSD </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Institut National de la Statistique et de la Démographie</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ISEPC</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Institut Supérieur d’Etudes de Protection Civile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ITFC</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Société Internationale Islamique de Financement du Commerce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 xml:space="preserve">JNC </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Journée Nationale de Concertation</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iCs/>
                <w:lang w:val="en-US"/>
              </w:rPr>
              <w:t>LIO</w:t>
            </w:r>
          </w:p>
        </w:tc>
        <w:tc>
          <w:tcPr>
            <w:tcW w:w="7873" w:type="dxa"/>
          </w:tcPr>
          <w:p w:rsidR="00231A0E" w:rsidRPr="000F34E0" w:rsidRDefault="00231A0E" w:rsidP="00231A0E">
            <w:pPr>
              <w:keepNext/>
              <w:keepLines/>
              <w:spacing w:before="100" w:beforeAutospacing="1" w:after="100" w:afterAutospacing="1"/>
              <w:ind w:right="340"/>
              <w:contextualSpacing/>
              <w:jc w:val="both"/>
              <w:outlineLvl w:val="5"/>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val="en-US"/>
              </w:rPr>
            </w:pPr>
            <w:r w:rsidRPr="000F34E0">
              <w:rPr>
                <w:rFonts w:ascii="Arial" w:eastAsia="Times New Roman" w:hAnsi="Arial" w:cs="Arial"/>
                <w:lang w:val="en-US"/>
              </w:rPr>
              <w:t>Lease, Improved and Operate</w:t>
            </w:r>
            <w:r w:rsidRPr="000F34E0">
              <w:rPr>
                <w:rFonts w:ascii="Arial" w:eastAsia="Times New Roman" w:hAnsi="Arial" w:cs="Arial"/>
                <w:b/>
                <w:iCs/>
                <w:lang w:val="en-US"/>
              </w:rPr>
              <w:t xml:space="preserve"> </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LOLF</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Loi Organique portant Loi de Finances</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LFR</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Loi de Finances Rectificative</w:t>
            </w:r>
          </w:p>
        </w:tc>
      </w:tr>
      <w:tr w:rsidR="00231A0E"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MA-ECR</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Ministère des Affaires Etrangères et de la Coopération Régionale</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rPr>
            </w:pPr>
            <w:r w:rsidRPr="000F34E0">
              <w:rPr>
                <w:rFonts w:ascii="Arial" w:eastAsia="Times New Roman" w:hAnsi="Arial" w:cs="Arial"/>
              </w:rPr>
              <w:t>MATDS</w:t>
            </w:r>
          </w:p>
        </w:tc>
        <w:tc>
          <w:tcPr>
            <w:tcW w:w="7873" w:type="dxa"/>
          </w:tcPr>
          <w:p w:rsidR="00231A0E" w:rsidRPr="000F34E0" w:rsidRDefault="00231A0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Ministère de l’Administration Territoriale, de la Décentralisation et de la Sécurité </w:t>
            </w:r>
          </w:p>
        </w:tc>
      </w:tr>
      <w:tr w:rsidR="00231A0E" w:rsidRPr="005C7A72"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231A0E" w:rsidP="00231A0E">
            <w:pPr>
              <w:spacing w:after="0"/>
              <w:rPr>
                <w:rFonts w:ascii="Arial" w:eastAsia="Times New Roman" w:hAnsi="Arial" w:cs="Arial"/>
                <w:lang w:val="en-US"/>
              </w:rPr>
            </w:pPr>
            <w:r w:rsidRPr="000F34E0">
              <w:rPr>
                <w:rFonts w:ascii="Arial" w:eastAsia="Times New Roman" w:hAnsi="Arial" w:cs="Arial"/>
                <w:lang w:val="en-US"/>
              </w:rPr>
              <w:t>MCA-BF</w:t>
            </w:r>
          </w:p>
        </w:tc>
        <w:tc>
          <w:tcPr>
            <w:tcW w:w="7873" w:type="dxa"/>
          </w:tcPr>
          <w:p w:rsidR="00231A0E" w:rsidRPr="000F34E0" w:rsidRDefault="00231A0E"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en-US"/>
              </w:rPr>
            </w:pPr>
            <w:r w:rsidRPr="000F34E0">
              <w:rPr>
                <w:rFonts w:ascii="Arial" w:eastAsia="Times New Roman" w:hAnsi="Arial" w:cs="Arial"/>
                <w:lang w:val="en-US"/>
              </w:rPr>
              <w:t>Millennium Challenge Account-Burkina Faso</w:t>
            </w:r>
          </w:p>
        </w:tc>
      </w:tr>
      <w:tr w:rsidR="00231A0E"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31A0E" w:rsidRPr="000F34E0" w:rsidRDefault="008C545B" w:rsidP="00231A0E">
            <w:pPr>
              <w:spacing w:after="0"/>
              <w:rPr>
                <w:rFonts w:ascii="Arial" w:eastAsia="Times New Roman" w:hAnsi="Arial" w:cs="Arial"/>
              </w:rPr>
            </w:pPr>
            <w:r w:rsidRPr="000F34E0">
              <w:rPr>
                <w:rFonts w:ascii="Arial" w:eastAsia="Times New Roman" w:hAnsi="Arial" w:cs="Arial"/>
              </w:rPr>
              <w:t>MDP</w:t>
            </w:r>
          </w:p>
        </w:tc>
        <w:tc>
          <w:tcPr>
            <w:tcW w:w="7873" w:type="dxa"/>
          </w:tcPr>
          <w:p w:rsidR="00231A0E"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hAnsi="Arial" w:cs="Arial"/>
                <w:color w:val="000000"/>
              </w:rPr>
              <w:t>Mécanismes de Développement Propre</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4B2654">
            <w:pPr>
              <w:spacing w:after="0"/>
              <w:rPr>
                <w:rFonts w:ascii="Arial" w:eastAsia="Times New Roman" w:hAnsi="Arial" w:cs="Arial"/>
              </w:rPr>
            </w:pPr>
            <w:r w:rsidRPr="000F34E0">
              <w:rPr>
                <w:rFonts w:ascii="Arial" w:eastAsia="Times New Roman" w:hAnsi="Arial" w:cs="Arial"/>
              </w:rPr>
              <w:t xml:space="preserve">MEF </w:t>
            </w:r>
          </w:p>
        </w:tc>
        <w:tc>
          <w:tcPr>
            <w:tcW w:w="7873" w:type="dxa"/>
          </w:tcPr>
          <w:p w:rsidR="008C545B" w:rsidRPr="000F34E0" w:rsidRDefault="008C545B" w:rsidP="004B2654">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Ministère de l’Economie et des Finances</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MENA </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Ministère de l’Education Nationale et de l’Alphabétisation</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MIDT</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Ministère des Infrastructures, du Désenclavement et des Transports</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MJFPE</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Ministère de la Jeunesse, de la Formation Professionnelle et de l’Emploi</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MS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Ministère de la Santé</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OCDE</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Organisation de Coopération et de Développement Economiques</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ODD</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Objectifs du Développement Durable</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OFID</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de l’OPEP pour le Développement International</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OMD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Objectifs du Millénaire pour le Développement</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ONEA</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Office National de l’Eau et de l’Assainissement</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ONG/AD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Organisation Non Gouvernementale/ Association de Développement</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ONU </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Organisation des Nations Unies</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OSC</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Organisations de la Société Civile</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PAA</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Programme d’Actions d’Accra </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kern w:val="24"/>
                <w:lang w:eastAsia="fr-FR"/>
              </w:rPr>
              <w:t>PAAA</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kern w:val="24"/>
                <w:lang w:eastAsia="fr-FR"/>
              </w:rPr>
              <w:t>Programme d’Actions d’Addis Abeba</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PACT</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Projet d'Appui aux Collectivités Territoriales </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lastRenderedPageBreak/>
              <w:t xml:space="preserve">PADS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Programme d’Appui au Développement Sanitaire</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PAGIRE</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Plan d'Action pour la Gestion Intégrée des Ressources en Eau </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PAM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Programme Alimentaire Mondial</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PANA</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Programme d’Action National d’Adaptation aux changements climatiques </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PANEA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Plan d’Actions National de l’Efficacité de l’Aide</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PANED</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Plan d’Actions National pour l’Efficacité de la Coopération au Développement</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PAP</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Projets Annuels de Performance</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lang w:eastAsia="fr-FR"/>
              </w:rPr>
              <w:t>PAPS-AEPA</w:t>
            </w:r>
          </w:p>
        </w:tc>
        <w:tc>
          <w:tcPr>
            <w:tcW w:w="7873" w:type="dxa"/>
          </w:tcPr>
          <w:p w:rsidR="008C545B" w:rsidRPr="000F34E0" w:rsidRDefault="00C56E3E"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lang w:eastAsia="fr-FR"/>
              </w:rPr>
              <w:t>Programme d'Appui à la Politique S</w:t>
            </w:r>
            <w:r w:rsidR="008C545B" w:rsidRPr="000F34E0">
              <w:rPr>
                <w:rFonts w:ascii="Arial" w:eastAsia="Times New Roman" w:hAnsi="Arial" w:cs="Arial"/>
                <w:lang w:eastAsia="fr-FR"/>
              </w:rPr>
              <w:t xml:space="preserve">ectorielle- Approvisionnement </w:t>
            </w:r>
            <w:r w:rsidRPr="000F34E0">
              <w:rPr>
                <w:rFonts w:ascii="Arial" w:eastAsia="Times New Roman" w:hAnsi="Arial" w:cs="Arial"/>
                <w:lang w:eastAsia="fr-FR"/>
              </w:rPr>
              <w:t>en Eau Potable et A</w:t>
            </w:r>
            <w:r w:rsidR="008C545B" w:rsidRPr="000F34E0">
              <w:rPr>
                <w:rFonts w:ascii="Arial" w:eastAsia="Times New Roman" w:hAnsi="Arial" w:cs="Arial"/>
                <w:lang w:eastAsia="fr-FR"/>
              </w:rPr>
              <w:t xml:space="preserve">ssainissement </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lang w:eastAsia="fr-FR"/>
              </w:rPr>
            </w:pPr>
            <w:r w:rsidRPr="000F34E0">
              <w:rPr>
                <w:rFonts w:ascii="Arial" w:eastAsia="Times New Roman" w:hAnsi="Arial" w:cs="Arial"/>
              </w:rPr>
              <w:t>PCD</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eastAsia="fr-FR"/>
              </w:rPr>
            </w:pPr>
            <w:r w:rsidRPr="000F34E0">
              <w:rPr>
                <w:rFonts w:ascii="Arial" w:eastAsia="Times New Roman" w:hAnsi="Arial" w:cs="Arial"/>
              </w:rPr>
              <w:t xml:space="preserve">Plans Communaux de Développement </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lang w:eastAsia="fr-FR"/>
              </w:rPr>
            </w:pPr>
            <w:r w:rsidRPr="000F34E0">
              <w:rPr>
                <w:rFonts w:ascii="Arial" w:eastAsia="Times New Roman" w:hAnsi="Arial" w:cs="Arial"/>
                <w:lang w:eastAsia="fr-FR"/>
              </w:rPr>
              <w:t>PDA</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lang w:eastAsia="fr-FR"/>
              </w:rPr>
            </w:pPr>
            <w:r w:rsidRPr="000F34E0">
              <w:rPr>
                <w:rFonts w:ascii="Arial" w:eastAsia="Times New Roman" w:hAnsi="Arial" w:cs="Arial"/>
              </w:rPr>
              <w:t>Programme de Développement de l'Agriculture</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PDSEB</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Programme de Développement du Secteur de l’Education de Base</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PGA </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Plateforme de Gestion de l’Aide</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PIB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Produit Intérieur Brut</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PIC</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Programme Indicatif de Coopération</w:t>
            </w:r>
          </w:p>
        </w:tc>
      </w:tr>
      <w:tr w:rsidR="00201074"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201074" w:rsidRPr="000F34E0" w:rsidRDefault="00201074" w:rsidP="00231A0E">
            <w:pPr>
              <w:spacing w:after="0"/>
              <w:rPr>
                <w:rFonts w:ascii="Arial" w:eastAsia="Times New Roman" w:hAnsi="Arial" w:cs="Arial"/>
              </w:rPr>
            </w:pPr>
            <w:r w:rsidRPr="000F34E0">
              <w:rPr>
                <w:rFonts w:ascii="Arial" w:eastAsia="Times New Roman" w:hAnsi="Arial" w:cs="Arial"/>
              </w:rPr>
              <w:t>PIF</w:t>
            </w:r>
          </w:p>
        </w:tc>
        <w:tc>
          <w:tcPr>
            <w:tcW w:w="7873" w:type="dxa"/>
          </w:tcPr>
          <w:p w:rsidR="00201074" w:rsidRPr="000F34E0" w:rsidRDefault="00201074"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hAnsi="Arial" w:cs="Arial"/>
                <w:color w:val="000000"/>
              </w:rPr>
              <w:t>Programme d’Investissement Forestier</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PIP </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Programme d’Investissements Publics</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PLD</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Plans Locaux de Développement </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PMA</w:t>
            </w:r>
          </w:p>
        </w:tc>
        <w:tc>
          <w:tcPr>
            <w:tcW w:w="7873" w:type="dxa"/>
          </w:tcPr>
          <w:p w:rsidR="008C545B" w:rsidRPr="000F34E0" w:rsidRDefault="008C545B" w:rsidP="00D3523B">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hAnsi="Arial" w:cs="Arial"/>
                <w:color w:val="000000"/>
                <w:lang w:eastAsia="fr-FR"/>
              </w:rPr>
              <w:t>Pays les Moins Avancés</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PME</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Partenariat mondial pour l’éducation</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PNA</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hAnsi="Arial" w:cs="Arial"/>
              </w:rPr>
              <w:t>Plan National d’Adaptation aux Changements Climatiques</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PN-AEPA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Programme National d’Approvisionnement en Eau Potable et d’Assainissement</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PNCD</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Politique Nationale de la Coopération au Développement </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PNDES</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Plan National de Développement Economique et Social</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iCs/>
                <w:lang w:eastAsia="fr-FR"/>
              </w:rPr>
              <w:t>PNRC</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Cs/>
                <w:lang w:eastAsia="fr-FR"/>
              </w:rPr>
            </w:pPr>
            <w:r w:rsidRPr="000F34E0">
              <w:rPr>
                <w:rFonts w:ascii="Arial" w:eastAsia="Times New Roman" w:hAnsi="Arial" w:cs="Arial"/>
                <w:bCs/>
                <w:iCs/>
                <w:lang w:eastAsia="fr-FR"/>
              </w:rPr>
              <w:t xml:space="preserve">Politique Nationale de Renforcement des Capacités </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PNUD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Programme des Nations Unies pour le Développement</w:t>
            </w:r>
          </w:p>
        </w:tc>
      </w:tr>
      <w:tr w:rsidR="00201074"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201074" w:rsidRPr="000F34E0" w:rsidRDefault="00201074" w:rsidP="00231A0E">
            <w:pPr>
              <w:spacing w:after="0"/>
              <w:rPr>
                <w:rFonts w:ascii="Arial" w:eastAsia="Times New Roman" w:hAnsi="Arial" w:cs="Arial"/>
              </w:rPr>
            </w:pPr>
            <w:r w:rsidRPr="000F34E0">
              <w:rPr>
                <w:rFonts w:ascii="Arial" w:eastAsia="Times New Roman" w:hAnsi="Arial" w:cs="Arial"/>
              </w:rPr>
              <w:t>PPCR</w:t>
            </w:r>
          </w:p>
        </w:tc>
        <w:tc>
          <w:tcPr>
            <w:tcW w:w="7873" w:type="dxa"/>
          </w:tcPr>
          <w:p w:rsidR="00201074" w:rsidRPr="000F34E0" w:rsidRDefault="00201074"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Programme Pilote pour Résister aux Changements climatiques</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PPD</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Projets et Programmes de Développement</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PPP</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Partenariat Public-Privé</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PRD</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Plans Régionaux de Développement</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PRG</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Programme de Renforcement de la Gouvernance</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PTA</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Plans de Travail Annuels </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PTF </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Partenaire Technique et Financier</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RCD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Rapport sur la Coopération au Développement</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RGPH</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Recensement Général de la Population et de l’Habitation</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RNB</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Revenu National Brut</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SCADD </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Stratégie de Croissance Accélérée et de Développement Durable</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lang w:val="fr-CH"/>
              </w:rPr>
              <w:t>SND</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Service National pour le Développement</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SNU</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Système des Nations Unies</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SOFITEX</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Société Burkinabé des Fibres Textiles</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SONABEL</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Société Nationale d’Electricité du Burkina</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SONABHY</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Société Nationale Burkinabé d’Hydrocarbures</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SONU</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Soins Obstétricaux et Néonataux d’Urgence</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SP/CNLS-IST</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Secrétariat permanent du comité national de lutte contre le SIDA et les infections sexuellement transmissibles</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STN/SCADD</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Secrétariat Technique National de la SCADD</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SYDONIA</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Système Douanier Automatisé</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lastRenderedPageBreak/>
              <w:t>SYLVIE</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Système de Liaison Virtuelle pour les opérations d’Importation et d’Exportation </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TAC</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Traité d’Amitié et de Coopération</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TIC</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Technologies de l’Information et de la Communication</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TVA</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Taxe sur la Valeur Ajoutée</w:t>
            </w:r>
            <w:r w:rsidRPr="000F34E0">
              <w:rPr>
                <w:rFonts w:ascii="Arial" w:eastAsia="Times New Roman" w:hAnsi="Arial" w:cs="Arial"/>
                <w:lang w:eastAsia="fr-FR"/>
              </w:rPr>
              <w:t> </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UE</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Union Européenne</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UEMOA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Union Economique et Monétaire Ouest-Africaine</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UNDAF</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 xml:space="preserve">Plan cadre des Nations-Unies pour l’aide au développement </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UNPCB</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Union Nationale des Producteurs de Coton du Burkina</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UNICEF </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Fonds des Nations Unies pour l’Enfance</w:t>
            </w:r>
          </w:p>
        </w:tc>
      </w:tr>
      <w:tr w:rsidR="008C545B" w:rsidRPr="000F34E0" w:rsidTr="00BA45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USD </w:t>
            </w:r>
          </w:p>
        </w:tc>
        <w:tc>
          <w:tcPr>
            <w:tcW w:w="7873" w:type="dxa"/>
          </w:tcPr>
          <w:p w:rsidR="008C545B" w:rsidRPr="000F34E0" w:rsidRDefault="008C545B" w:rsidP="00231A0E">
            <w:pPr>
              <w:spacing w:after="0"/>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0F34E0">
              <w:rPr>
                <w:rFonts w:ascii="Arial" w:eastAsia="Times New Roman" w:hAnsi="Arial" w:cs="Arial"/>
              </w:rPr>
              <w:t>Dollar des Etats Unis</w:t>
            </w:r>
          </w:p>
        </w:tc>
      </w:tr>
      <w:tr w:rsidR="008C545B" w:rsidRPr="000F34E0" w:rsidTr="00BA455D">
        <w:tc>
          <w:tcPr>
            <w:cnfStyle w:val="001000000000" w:firstRow="0" w:lastRow="0" w:firstColumn="1" w:lastColumn="0" w:oddVBand="0" w:evenVBand="0" w:oddHBand="0" w:evenHBand="0" w:firstRowFirstColumn="0" w:firstRowLastColumn="0" w:lastRowFirstColumn="0" w:lastRowLastColumn="0"/>
            <w:tcW w:w="1550" w:type="dxa"/>
          </w:tcPr>
          <w:p w:rsidR="008C545B" w:rsidRPr="000F34E0" w:rsidRDefault="008C545B" w:rsidP="00231A0E">
            <w:pPr>
              <w:spacing w:after="0"/>
              <w:rPr>
                <w:rFonts w:ascii="Arial" w:eastAsia="Times New Roman" w:hAnsi="Arial" w:cs="Arial"/>
              </w:rPr>
            </w:pPr>
            <w:r w:rsidRPr="000F34E0">
              <w:rPr>
                <w:rFonts w:ascii="Arial" w:eastAsia="Times New Roman" w:hAnsi="Arial" w:cs="Arial"/>
              </w:rPr>
              <w:t xml:space="preserve">VIH/SIDA </w:t>
            </w:r>
          </w:p>
        </w:tc>
        <w:tc>
          <w:tcPr>
            <w:tcW w:w="7873" w:type="dxa"/>
          </w:tcPr>
          <w:p w:rsidR="008C545B" w:rsidRPr="000F34E0" w:rsidRDefault="008C545B" w:rsidP="00231A0E">
            <w:pPr>
              <w:spacing w:after="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sidRPr="000F34E0">
              <w:rPr>
                <w:rFonts w:ascii="Arial" w:eastAsia="Times New Roman" w:hAnsi="Arial" w:cs="Arial"/>
              </w:rPr>
              <w:t>Virus de l’Immunodéficience Humaine/Syndrome d’Immunodéficience Acquise</w:t>
            </w:r>
          </w:p>
        </w:tc>
      </w:tr>
    </w:tbl>
    <w:p w:rsidR="001244F1" w:rsidRDefault="001244F1" w:rsidP="001244F1"/>
    <w:p w:rsidR="001D1974" w:rsidRPr="00A60D96" w:rsidRDefault="00231A0E" w:rsidP="00A60D96">
      <w:pPr>
        <w:pStyle w:val="Titre"/>
        <w:rPr>
          <w:rFonts w:asciiTheme="majorHAnsi" w:hAnsiTheme="majorHAnsi"/>
          <w:sz w:val="26"/>
          <w:szCs w:val="26"/>
        </w:rPr>
      </w:pPr>
      <w:r>
        <w:br w:type="page"/>
      </w:r>
      <w:bookmarkStart w:id="20" w:name="_Toc492972152"/>
      <w:r w:rsidR="00486546" w:rsidRPr="00A37544">
        <w:rPr>
          <w:rFonts w:asciiTheme="majorHAnsi" w:hAnsiTheme="majorHAnsi"/>
          <w:sz w:val="26"/>
          <w:szCs w:val="26"/>
        </w:rPr>
        <w:lastRenderedPageBreak/>
        <w:t>INDICATEURS DE BASE</w:t>
      </w:r>
      <w:bookmarkEnd w:id="19"/>
      <w:bookmarkEnd w:id="20"/>
      <w:r w:rsidR="00297A25" w:rsidRPr="00A37544">
        <w:rPr>
          <w:rFonts w:asciiTheme="majorHAnsi" w:hAnsiTheme="majorHAnsi"/>
          <w:sz w:val="26"/>
          <w:szCs w:val="26"/>
        </w:rPr>
        <w:t xml:space="preserve"> </w:t>
      </w:r>
    </w:p>
    <w:tbl>
      <w:tblPr>
        <w:tblW w:w="4933" w:type="pct"/>
        <w:tblCellMar>
          <w:left w:w="70" w:type="dxa"/>
          <w:right w:w="70" w:type="dxa"/>
        </w:tblCellMar>
        <w:tblLook w:val="04A0" w:firstRow="1" w:lastRow="0" w:firstColumn="1" w:lastColumn="0" w:noHBand="0" w:noVBand="1"/>
      </w:tblPr>
      <w:tblGrid>
        <w:gridCol w:w="5189"/>
        <w:gridCol w:w="5018"/>
      </w:tblGrid>
      <w:tr w:rsidR="003549B2" w:rsidRPr="001B4E2D" w:rsidTr="000F34E0">
        <w:trPr>
          <w:trHeight w:val="41"/>
          <w:tblHeader/>
        </w:trPr>
        <w:tc>
          <w:tcPr>
            <w:tcW w:w="2542" w:type="pct"/>
            <w:tcBorders>
              <w:top w:val="single" w:sz="4" w:space="0" w:color="auto"/>
              <w:left w:val="single" w:sz="4" w:space="0" w:color="auto"/>
              <w:bottom w:val="single" w:sz="4" w:space="0" w:color="auto"/>
              <w:right w:val="single" w:sz="4" w:space="0" w:color="auto"/>
            </w:tcBorders>
            <w:shd w:val="clear" w:color="000000" w:fill="C4BD97"/>
            <w:vAlign w:val="bottom"/>
            <w:hideMark/>
          </w:tcPr>
          <w:p w:rsidR="003549B2" w:rsidRPr="001B4E2D" w:rsidRDefault="003549B2" w:rsidP="00496903">
            <w:pPr>
              <w:spacing w:after="0" w:line="240" w:lineRule="auto"/>
              <w:jc w:val="center"/>
              <w:rPr>
                <w:rFonts w:asciiTheme="minorHAnsi" w:eastAsia="Times New Roman" w:hAnsiTheme="minorHAnsi" w:cstheme="minorHAnsi"/>
                <w:b/>
                <w:bCs/>
                <w:color w:val="000000"/>
                <w:lang w:eastAsia="fr-CA"/>
              </w:rPr>
            </w:pPr>
            <w:bookmarkStart w:id="21" w:name="_Toc395864346"/>
            <w:bookmarkEnd w:id="21"/>
            <w:r w:rsidRPr="001B4E2D">
              <w:rPr>
                <w:rFonts w:asciiTheme="minorHAnsi" w:eastAsia="Times New Roman" w:hAnsiTheme="minorHAnsi" w:cstheme="minorHAnsi"/>
                <w:b/>
                <w:bCs/>
                <w:color w:val="000000"/>
                <w:lang w:eastAsia="fr-CA"/>
              </w:rPr>
              <w:t xml:space="preserve">RUBRIQUES </w:t>
            </w:r>
          </w:p>
        </w:tc>
        <w:tc>
          <w:tcPr>
            <w:tcW w:w="2458" w:type="pct"/>
            <w:tcBorders>
              <w:top w:val="single" w:sz="4" w:space="0" w:color="auto"/>
              <w:left w:val="nil"/>
              <w:bottom w:val="single" w:sz="4" w:space="0" w:color="auto"/>
              <w:right w:val="single" w:sz="4" w:space="0" w:color="auto"/>
            </w:tcBorders>
            <w:shd w:val="clear" w:color="000000" w:fill="C4BD97"/>
            <w:vAlign w:val="bottom"/>
            <w:hideMark/>
          </w:tcPr>
          <w:p w:rsidR="003549B2" w:rsidRPr="001B4E2D" w:rsidRDefault="003549B2"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t>CHIFFRES</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SUPERFICIE</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274 200 km2</w:t>
            </w:r>
          </w:p>
        </w:tc>
      </w:tr>
      <w:tr w:rsidR="003549B2" w:rsidRPr="001B4E2D" w:rsidTr="000F34E0">
        <w:trPr>
          <w:trHeight w:val="35"/>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bottom"/>
            <w:hideMark/>
          </w:tcPr>
          <w:p w:rsidR="003549B2" w:rsidRPr="001B4E2D" w:rsidRDefault="003549B2"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t>DEMOGRAPHIE</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Population (RGPH 2006) </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14 017 262 habitants</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de croissance démographique 2006</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3,1%</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0B24E4" w:rsidRDefault="003549B2" w:rsidP="000B24E4">
            <w:pPr>
              <w:spacing w:after="0" w:line="240" w:lineRule="auto"/>
              <w:rPr>
                <w:rFonts w:asciiTheme="minorHAnsi" w:eastAsia="Times New Roman" w:hAnsiTheme="minorHAnsi" w:cstheme="minorHAnsi"/>
                <w:lang w:eastAsia="fr-CA"/>
              </w:rPr>
            </w:pPr>
            <w:r w:rsidRPr="000B24E4">
              <w:rPr>
                <w:rFonts w:asciiTheme="minorHAnsi" w:eastAsia="Times New Roman" w:hAnsiTheme="minorHAnsi" w:cstheme="minorHAnsi"/>
                <w:lang w:eastAsia="fr-CA"/>
              </w:rPr>
              <w:t>Population estimée (201</w:t>
            </w:r>
            <w:r w:rsidR="000B24E4" w:rsidRPr="000B24E4">
              <w:rPr>
                <w:rFonts w:asciiTheme="minorHAnsi" w:eastAsia="Times New Roman" w:hAnsiTheme="minorHAnsi" w:cstheme="minorHAnsi"/>
                <w:lang w:eastAsia="fr-CA"/>
              </w:rPr>
              <w:t>5</w:t>
            </w:r>
            <w:r w:rsidRPr="000B24E4">
              <w:rPr>
                <w:rFonts w:asciiTheme="minorHAnsi" w:eastAsia="Times New Roman" w:hAnsiTheme="minorHAnsi" w:cstheme="minorHAnsi"/>
                <w:lang w:eastAsia="fr-CA"/>
              </w:rPr>
              <w:t>)</w:t>
            </w:r>
          </w:p>
        </w:tc>
        <w:tc>
          <w:tcPr>
            <w:tcW w:w="2458" w:type="pct"/>
            <w:tcBorders>
              <w:top w:val="nil"/>
              <w:left w:val="nil"/>
              <w:bottom w:val="single" w:sz="4" w:space="0" w:color="auto"/>
              <w:right w:val="single" w:sz="4" w:space="0" w:color="auto"/>
            </w:tcBorders>
            <w:shd w:val="clear" w:color="auto" w:fill="auto"/>
            <w:noWrap/>
            <w:vAlign w:val="bottom"/>
            <w:hideMark/>
          </w:tcPr>
          <w:p w:rsidR="003549B2" w:rsidRPr="000B24E4" w:rsidRDefault="003549B2" w:rsidP="00496903">
            <w:pPr>
              <w:spacing w:after="0" w:line="240" w:lineRule="auto"/>
              <w:rPr>
                <w:rFonts w:asciiTheme="minorHAnsi" w:eastAsia="Times New Roman" w:hAnsiTheme="minorHAnsi" w:cstheme="minorHAnsi"/>
                <w:lang w:eastAsia="fr-CA"/>
              </w:rPr>
            </w:pPr>
            <w:r w:rsidRPr="00A60D96">
              <w:rPr>
                <w:rFonts w:asciiTheme="minorHAnsi" w:eastAsia="Times New Roman" w:hAnsiTheme="minorHAnsi" w:cstheme="minorHAnsi"/>
                <w:lang w:eastAsia="fr-CA"/>
              </w:rPr>
              <w:t>18 450 494 habitants</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Femmes</w:t>
            </w:r>
          </w:p>
        </w:tc>
        <w:tc>
          <w:tcPr>
            <w:tcW w:w="2458" w:type="pct"/>
            <w:tcBorders>
              <w:top w:val="nil"/>
              <w:left w:val="nil"/>
              <w:bottom w:val="single" w:sz="4" w:space="0" w:color="auto"/>
              <w:right w:val="single" w:sz="4" w:space="0" w:color="auto"/>
            </w:tcBorders>
            <w:shd w:val="clear" w:color="auto" w:fill="auto"/>
            <w:noWrap/>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9 546 238 habitants</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Hommes</w:t>
            </w:r>
          </w:p>
        </w:tc>
        <w:tc>
          <w:tcPr>
            <w:tcW w:w="2458" w:type="pct"/>
            <w:tcBorders>
              <w:top w:val="nil"/>
              <w:left w:val="nil"/>
              <w:bottom w:val="single" w:sz="4" w:space="0" w:color="auto"/>
              <w:right w:val="single" w:sz="4" w:space="0" w:color="auto"/>
            </w:tcBorders>
            <w:shd w:val="clear" w:color="auto" w:fill="auto"/>
            <w:noWrap/>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8 904 256 habitants</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Densité de population estimée (2016)</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67,3 habitants/km2</w:t>
            </w:r>
          </w:p>
        </w:tc>
      </w:tr>
      <w:tr w:rsidR="003549B2" w:rsidRPr="001B4E2D" w:rsidTr="000F34E0">
        <w:trPr>
          <w:trHeight w:val="69"/>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9B2" w:rsidRPr="001B4E2D" w:rsidRDefault="003549B2" w:rsidP="00496903">
            <w:pPr>
              <w:spacing w:after="0" w:line="240" w:lineRule="auto"/>
              <w:jc w:val="center"/>
              <w:rPr>
                <w:rFonts w:asciiTheme="minorHAnsi" w:eastAsia="Times New Roman" w:hAnsiTheme="minorHAnsi" w:cstheme="minorHAnsi"/>
                <w:b/>
                <w:bCs/>
                <w:i/>
                <w:iCs/>
                <w:color w:val="000000"/>
                <w:lang w:eastAsia="fr-CA"/>
              </w:rPr>
            </w:pPr>
            <w:r w:rsidRPr="001B4E2D">
              <w:rPr>
                <w:rFonts w:asciiTheme="minorHAnsi" w:eastAsia="Times New Roman" w:hAnsiTheme="minorHAnsi" w:cstheme="minorHAnsi"/>
                <w:b/>
                <w:bCs/>
                <w:i/>
                <w:iCs/>
                <w:color w:val="000000"/>
                <w:lang w:eastAsia="fr-CA"/>
              </w:rPr>
              <w:t>Répartition de la population estimée (2011)</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Urbaine</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24,7%</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Rurale</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75,3%</w:t>
            </w:r>
          </w:p>
        </w:tc>
      </w:tr>
      <w:tr w:rsidR="003549B2" w:rsidRPr="001B4E2D" w:rsidTr="000F34E0">
        <w:trPr>
          <w:trHeight w:val="35"/>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bottom"/>
            <w:hideMark/>
          </w:tcPr>
          <w:p w:rsidR="003549B2" w:rsidRPr="001B4E2D" w:rsidRDefault="003549B2"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t xml:space="preserve">AGRICULTURE </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Utilisation des sols (2006)</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Cultures</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4 105 069 ha </w:t>
            </w:r>
          </w:p>
        </w:tc>
      </w:tr>
      <w:tr w:rsidR="003549B2"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Cultures irriguées</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21 262 ha </w:t>
            </w:r>
          </w:p>
        </w:tc>
      </w:tr>
      <w:tr w:rsidR="003549B2" w:rsidRPr="001B4E2D" w:rsidTr="000F34E0">
        <w:trPr>
          <w:trHeight w:val="42"/>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de couverture céréalière apparent (2015)</w:t>
            </w:r>
          </w:p>
        </w:tc>
        <w:tc>
          <w:tcPr>
            <w:tcW w:w="2458" w:type="pct"/>
            <w:tcBorders>
              <w:top w:val="nil"/>
              <w:left w:val="nil"/>
              <w:bottom w:val="single" w:sz="4" w:space="0" w:color="auto"/>
              <w:right w:val="single" w:sz="4" w:space="0" w:color="auto"/>
            </w:tcBorders>
            <w:shd w:val="clear" w:color="auto" w:fill="auto"/>
            <w:vAlign w:val="bottom"/>
            <w:hideMark/>
          </w:tcPr>
          <w:p w:rsidR="003549B2" w:rsidRPr="001B4E2D" w:rsidRDefault="003549B2"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107%</w:t>
            </w:r>
          </w:p>
        </w:tc>
      </w:tr>
      <w:tr w:rsidR="003549B2" w:rsidRPr="001B4E2D" w:rsidTr="000F34E0">
        <w:trPr>
          <w:trHeight w:val="66"/>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center"/>
            <w:hideMark/>
          </w:tcPr>
          <w:p w:rsidR="003549B2" w:rsidRPr="001B4E2D" w:rsidRDefault="003549B2"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t xml:space="preserve">ACCES A L'EAU POTABLE </w:t>
            </w:r>
            <w:r w:rsidR="003A4BA8">
              <w:rPr>
                <w:rFonts w:asciiTheme="minorHAnsi" w:eastAsia="Times New Roman" w:hAnsiTheme="minorHAnsi" w:cstheme="minorHAnsi"/>
                <w:b/>
                <w:bCs/>
                <w:color w:val="000000"/>
                <w:lang w:eastAsia="fr-CA"/>
              </w:rPr>
              <w:t xml:space="preserve"> ET A L’ASSAINISSEMENT </w:t>
            </w:r>
            <w:r w:rsidRPr="001B4E2D">
              <w:rPr>
                <w:rFonts w:asciiTheme="minorHAnsi" w:eastAsia="Times New Roman" w:hAnsiTheme="minorHAnsi" w:cstheme="minorHAnsi"/>
                <w:b/>
                <w:bCs/>
                <w:color w:val="000000"/>
                <w:lang w:eastAsia="fr-CA"/>
              </w:rPr>
              <w:t>(2016)</w:t>
            </w:r>
          </w:p>
        </w:tc>
      </w:tr>
      <w:tr w:rsidR="00B64BB4" w:rsidRPr="001B4E2D" w:rsidTr="00B64BB4">
        <w:trPr>
          <w:trHeight w:val="35"/>
        </w:trPr>
        <w:tc>
          <w:tcPr>
            <w:tcW w:w="5000" w:type="pct"/>
            <w:gridSpan w:val="2"/>
            <w:tcBorders>
              <w:top w:val="nil"/>
              <w:left w:val="single" w:sz="4" w:space="0" w:color="auto"/>
              <w:bottom w:val="single" w:sz="4" w:space="0" w:color="auto"/>
              <w:right w:val="single" w:sz="4" w:space="0" w:color="auto"/>
            </w:tcBorders>
            <w:shd w:val="clear" w:color="auto" w:fill="auto"/>
            <w:vAlign w:val="bottom"/>
          </w:tcPr>
          <w:p w:rsidR="00B64BB4" w:rsidRPr="001B4E2D" w:rsidRDefault="00B64BB4" w:rsidP="00B64BB4">
            <w:pPr>
              <w:spacing w:after="0" w:line="240" w:lineRule="auto"/>
              <w:jc w:val="center"/>
              <w:rPr>
                <w:rFonts w:asciiTheme="minorHAnsi" w:eastAsia="Times New Roman" w:hAnsiTheme="minorHAnsi" w:cstheme="minorHAnsi"/>
                <w:color w:val="000000"/>
                <w:lang w:eastAsia="fr-CA"/>
              </w:rPr>
            </w:pPr>
            <w:r w:rsidRPr="001B4E2D">
              <w:rPr>
                <w:rFonts w:asciiTheme="minorHAnsi" w:eastAsia="Times New Roman" w:hAnsiTheme="minorHAnsi" w:cstheme="minorHAnsi"/>
                <w:b/>
                <w:bCs/>
                <w:i/>
                <w:iCs/>
                <w:color w:val="000000"/>
                <w:lang w:eastAsia="fr-CA"/>
              </w:rPr>
              <w:t>Taux d’accès à</w:t>
            </w:r>
            <w:r>
              <w:rPr>
                <w:rFonts w:asciiTheme="minorHAnsi" w:eastAsia="Times New Roman" w:hAnsiTheme="minorHAnsi" w:cstheme="minorHAnsi"/>
                <w:b/>
                <w:bCs/>
                <w:i/>
                <w:iCs/>
                <w:color w:val="000000"/>
                <w:lang w:eastAsia="fr-CA"/>
              </w:rPr>
              <w:t xml:space="preserve"> l’eau potable</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tcPr>
          <w:p w:rsidR="00B64BB4" w:rsidRPr="001B4E2D" w:rsidRDefault="00B64BB4" w:rsidP="004B2654">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Zones urbaines</w:t>
            </w:r>
          </w:p>
        </w:tc>
        <w:tc>
          <w:tcPr>
            <w:tcW w:w="2458" w:type="pct"/>
            <w:tcBorders>
              <w:top w:val="nil"/>
              <w:left w:val="nil"/>
              <w:bottom w:val="single" w:sz="4" w:space="0" w:color="auto"/>
              <w:right w:val="single" w:sz="4" w:space="0" w:color="auto"/>
            </w:tcBorders>
            <w:shd w:val="clear" w:color="auto" w:fill="auto"/>
            <w:vAlign w:val="bottom"/>
          </w:tcPr>
          <w:p w:rsidR="00B64BB4" w:rsidRPr="001B4E2D" w:rsidRDefault="00B64BB4" w:rsidP="004B2654">
            <w:pPr>
              <w:spacing w:after="0" w:line="240" w:lineRule="auto"/>
              <w:rPr>
                <w:rFonts w:asciiTheme="minorHAnsi" w:eastAsia="Times New Roman" w:hAnsiTheme="minorHAnsi" w:cstheme="minorHAnsi"/>
                <w:color w:val="000000"/>
                <w:lang w:eastAsia="fr-CA"/>
              </w:rPr>
            </w:pPr>
            <w:r>
              <w:rPr>
                <w:rFonts w:asciiTheme="minorHAnsi" w:eastAsia="Times New Roman" w:hAnsiTheme="minorHAnsi" w:cstheme="minorHAnsi"/>
                <w:color w:val="000000"/>
                <w:lang w:eastAsia="fr-CA"/>
              </w:rPr>
              <w:t>91%</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 Zones rurales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Pr>
                <w:rFonts w:asciiTheme="minorHAnsi" w:eastAsia="Times New Roman" w:hAnsiTheme="minorHAnsi" w:cstheme="minorHAnsi"/>
                <w:color w:val="000000"/>
                <w:lang w:eastAsia="fr-CA"/>
              </w:rPr>
              <w:t>65,3%</w:t>
            </w:r>
          </w:p>
        </w:tc>
      </w:tr>
      <w:tr w:rsidR="00B64BB4" w:rsidRPr="001B4E2D" w:rsidTr="000F34E0">
        <w:trPr>
          <w:trHeight w:val="66"/>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64BB4" w:rsidRPr="001B4E2D" w:rsidRDefault="00B64BB4" w:rsidP="00496903">
            <w:pPr>
              <w:spacing w:after="0" w:line="240" w:lineRule="auto"/>
              <w:jc w:val="center"/>
              <w:rPr>
                <w:rFonts w:asciiTheme="minorHAnsi" w:eastAsia="Times New Roman" w:hAnsiTheme="minorHAnsi" w:cstheme="minorHAnsi"/>
                <w:b/>
                <w:bCs/>
                <w:i/>
                <w:iCs/>
                <w:color w:val="000000"/>
                <w:lang w:eastAsia="fr-CA"/>
              </w:rPr>
            </w:pPr>
            <w:r w:rsidRPr="001B4E2D">
              <w:rPr>
                <w:rFonts w:asciiTheme="minorHAnsi" w:eastAsia="Times New Roman" w:hAnsiTheme="minorHAnsi" w:cstheme="minorHAnsi"/>
                <w:b/>
                <w:bCs/>
                <w:i/>
                <w:iCs/>
                <w:color w:val="000000"/>
                <w:lang w:eastAsia="fr-CA"/>
              </w:rPr>
              <w:t xml:space="preserve">Taux d’accès à l’assainissement </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 Zones urbaines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36,8%</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 Zones rurales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13,4%</w:t>
            </w:r>
          </w:p>
        </w:tc>
      </w:tr>
      <w:tr w:rsidR="00B64BB4" w:rsidRPr="001B4E2D" w:rsidTr="000F34E0">
        <w:trPr>
          <w:trHeight w:val="35"/>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bottom"/>
            <w:hideMark/>
          </w:tcPr>
          <w:p w:rsidR="00B64BB4" w:rsidRPr="001B4E2D" w:rsidRDefault="00B64BB4"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t xml:space="preserve">SANTE </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brut de natalité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45,8 pour 1000</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brut de mortalité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11,8 pour 1000</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mortalité infantile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65 pour 1000</w:t>
            </w:r>
          </w:p>
        </w:tc>
      </w:tr>
      <w:tr w:rsidR="00B64BB4" w:rsidRPr="001B4E2D" w:rsidTr="000F34E0">
        <w:trPr>
          <w:trHeight w:val="4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de mortalité maternelle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341 pour 100 000 naissances vivantes</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Indice synthétique de fécondité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6,2 par femme</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Espérance de vie à la naissance (2014)</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56,7</w:t>
            </w:r>
          </w:p>
        </w:tc>
      </w:tr>
      <w:tr w:rsidR="00B64BB4" w:rsidRPr="001B4E2D" w:rsidTr="000F34E0">
        <w:trPr>
          <w:trHeight w:val="44"/>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de séroprévalence du VIH/SIDA (2016)</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0,1%</w:t>
            </w:r>
          </w:p>
        </w:tc>
      </w:tr>
      <w:tr w:rsidR="00B64BB4" w:rsidRPr="001B4E2D" w:rsidTr="000F34E0">
        <w:trPr>
          <w:trHeight w:val="66"/>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Proportion des personnes séropositives justifiables du traitement ARV et qui sont sous ARV (2016)</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0,978</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Rayon moyen d’action théorique (2016)</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6,8</w:t>
            </w:r>
            <w:r w:rsidR="00266ED3">
              <w:rPr>
                <w:rFonts w:asciiTheme="minorHAnsi" w:eastAsia="Times New Roman" w:hAnsiTheme="minorHAnsi" w:cstheme="minorHAnsi"/>
                <w:color w:val="000000"/>
                <w:lang w:eastAsia="fr-CA"/>
              </w:rPr>
              <w:t xml:space="preserve"> Km</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Ratio habitants par CSPS (2016)</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9856</w:t>
            </w:r>
            <w:r w:rsidR="00266ED3">
              <w:rPr>
                <w:rFonts w:asciiTheme="minorHAnsi" w:eastAsia="Times New Roman" w:hAnsiTheme="minorHAnsi" w:cstheme="minorHAnsi"/>
                <w:color w:val="000000"/>
                <w:lang w:eastAsia="fr-CA"/>
              </w:rPr>
              <w:t xml:space="preserve"> </w:t>
            </w:r>
          </w:p>
        </w:tc>
      </w:tr>
      <w:tr w:rsidR="00B64BB4" w:rsidRPr="001B4E2D" w:rsidTr="000F34E0">
        <w:trPr>
          <w:trHeight w:val="35"/>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bottom"/>
            <w:hideMark/>
          </w:tcPr>
          <w:p w:rsidR="00B64BB4" w:rsidRPr="001B4E2D" w:rsidRDefault="00B64BB4"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t>EDUCATION (2016)</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brut de préscolarisation</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2,9%</w:t>
            </w:r>
          </w:p>
        </w:tc>
      </w:tr>
      <w:tr w:rsidR="00B64BB4" w:rsidRPr="001B4E2D" w:rsidTr="000F34E0">
        <w:trPr>
          <w:trHeight w:val="46"/>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brut de scolarisation au Primaire (Filles et garçons)</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86,1% (tranche d’âge 6-11 ans)</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brut de scolarisation pour les  Filles</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86,4%</w:t>
            </w:r>
          </w:p>
        </w:tc>
      </w:tr>
      <w:tr w:rsidR="00B64BB4" w:rsidRPr="001B4E2D" w:rsidTr="000F34E0">
        <w:trPr>
          <w:trHeight w:val="39"/>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brut de scolarisation au post primaire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46,6%</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brut de scolarisation au Secondaire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15,0%</w:t>
            </w:r>
          </w:p>
        </w:tc>
      </w:tr>
      <w:tr w:rsidR="00B64BB4" w:rsidRPr="001B4E2D" w:rsidTr="000F34E0">
        <w:trPr>
          <w:trHeight w:val="27"/>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Ratio élèves/maître dans le primaire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48,70</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d’achèvement au primaire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58,2%</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d’achèvement au post primaire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29,2%</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d’achèvement au secondaire</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9,8%</w:t>
            </w:r>
          </w:p>
        </w:tc>
      </w:tr>
      <w:tr w:rsidR="00B64BB4" w:rsidRPr="001B4E2D" w:rsidTr="000F34E0">
        <w:trPr>
          <w:trHeight w:val="29"/>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Nombre d’étudiants pour 100 000 habitants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513,00</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d'alphabétisation  </w:t>
            </w:r>
            <w:r w:rsidR="00266ED3">
              <w:rPr>
                <w:rFonts w:asciiTheme="minorHAnsi" w:eastAsia="Times New Roman" w:hAnsiTheme="minorHAnsi" w:cstheme="minorHAnsi"/>
                <w:color w:val="000000"/>
                <w:lang w:eastAsia="fr-CA"/>
              </w:rPr>
              <w:t xml:space="preserve"> (2015)</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34,50</w:t>
            </w:r>
            <w:r w:rsidR="00266ED3">
              <w:rPr>
                <w:rFonts w:asciiTheme="minorHAnsi" w:eastAsia="Times New Roman" w:hAnsiTheme="minorHAnsi" w:cstheme="minorHAnsi"/>
                <w:color w:val="000000"/>
                <w:lang w:eastAsia="fr-CA"/>
              </w:rPr>
              <w:t>%</w:t>
            </w:r>
          </w:p>
        </w:tc>
      </w:tr>
      <w:tr w:rsidR="00B64BB4" w:rsidRPr="001B4E2D" w:rsidTr="000F34E0">
        <w:trPr>
          <w:trHeight w:val="35"/>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bottom"/>
            <w:hideMark/>
          </w:tcPr>
          <w:p w:rsidR="00B64BB4" w:rsidRPr="001B4E2D" w:rsidRDefault="00B64BB4"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lastRenderedPageBreak/>
              <w:t>ECONOMIE (2016)</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PIB par habitant (courant)</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635,9 $ US</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Indice de Développement Humain </w:t>
            </w:r>
            <w:r w:rsidR="00DE45D1">
              <w:rPr>
                <w:rFonts w:asciiTheme="minorHAnsi" w:eastAsia="Times New Roman" w:hAnsiTheme="minorHAnsi" w:cstheme="minorHAnsi"/>
                <w:color w:val="000000"/>
                <w:lang w:eastAsia="fr-CA"/>
              </w:rPr>
              <w:t>(2015)</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0,402 (183e/188) </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PIB courant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7185,5  milliards de FCFA</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PIB réel</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4628,2  milliards de FCFA</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de croissance du PIB réel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5,9%</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Taux d’inflation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-0,2%</w:t>
            </w:r>
          </w:p>
        </w:tc>
      </w:tr>
      <w:tr w:rsidR="00B64BB4" w:rsidRPr="001B4E2D" w:rsidTr="000F34E0">
        <w:trPr>
          <w:trHeight w:val="66"/>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64BB4" w:rsidRPr="001B4E2D" w:rsidRDefault="00B64BB4" w:rsidP="00496903">
            <w:pPr>
              <w:spacing w:after="0" w:line="240" w:lineRule="auto"/>
              <w:jc w:val="center"/>
              <w:rPr>
                <w:rFonts w:asciiTheme="minorHAnsi" w:eastAsia="Times New Roman" w:hAnsiTheme="minorHAnsi" w:cstheme="minorHAnsi"/>
                <w:i/>
                <w:iCs/>
                <w:color w:val="000000"/>
                <w:lang w:eastAsia="fr-CA"/>
              </w:rPr>
            </w:pPr>
            <w:r w:rsidRPr="001B4E2D">
              <w:rPr>
                <w:rFonts w:asciiTheme="minorHAnsi" w:eastAsia="Times New Roman" w:hAnsiTheme="minorHAnsi" w:cstheme="minorHAnsi"/>
                <w:i/>
                <w:iCs/>
                <w:color w:val="000000"/>
                <w:lang w:eastAsia="fr-CA"/>
              </w:rPr>
              <w:t>Part des secteurs d’activité dans le PIB réel</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 Primaire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Pr>
                <w:rFonts w:asciiTheme="minorHAnsi" w:eastAsia="Times New Roman" w:hAnsiTheme="minorHAnsi" w:cstheme="minorHAnsi"/>
                <w:color w:val="000000"/>
                <w:lang w:eastAsia="fr-CA"/>
              </w:rPr>
              <w:t>29,4%</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Secondaire</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Pr>
                <w:rFonts w:asciiTheme="minorHAnsi" w:eastAsia="Times New Roman" w:hAnsiTheme="minorHAnsi" w:cstheme="minorHAnsi"/>
                <w:color w:val="000000"/>
                <w:lang w:eastAsia="fr-CA"/>
              </w:rPr>
              <w:t>20%</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Tertiaire+ droits et taxes +SIFIM</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Pr>
                <w:rFonts w:asciiTheme="minorHAnsi" w:eastAsia="Times New Roman" w:hAnsiTheme="minorHAnsi" w:cstheme="minorHAnsi"/>
                <w:color w:val="000000"/>
                <w:lang w:eastAsia="fr-CA"/>
              </w:rPr>
              <w:t>50,6%</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Encours de la dette Publique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11469C">
            <w:pPr>
              <w:spacing w:after="0" w:line="240" w:lineRule="auto"/>
              <w:rPr>
                <w:rFonts w:asciiTheme="minorHAnsi" w:eastAsia="Times New Roman" w:hAnsiTheme="minorHAnsi" w:cstheme="minorHAnsi"/>
                <w:color w:val="000000"/>
                <w:lang w:eastAsia="fr-CA"/>
              </w:rPr>
            </w:pPr>
            <w:r w:rsidRPr="0011469C">
              <w:rPr>
                <w:rFonts w:asciiTheme="minorHAnsi" w:eastAsia="Times New Roman" w:hAnsiTheme="minorHAnsi" w:cstheme="minorHAnsi"/>
                <w:lang w:eastAsia="fr-CA"/>
              </w:rPr>
              <w:t xml:space="preserve">2 </w:t>
            </w:r>
            <w:r w:rsidR="0011469C" w:rsidRPr="0011469C">
              <w:rPr>
                <w:rFonts w:asciiTheme="minorHAnsi" w:eastAsia="Times New Roman" w:hAnsiTheme="minorHAnsi" w:cstheme="minorHAnsi"/>
                <w:lang w:eastAsia="fr-CA"/>
              </w:rPr>
              <w:t>497,03</w:t>
            </w:r>
            <w:r w:rsidRPr="0011469C">
              <w:rPr>
                <w:rFonts w:asciiTheme="minorHAnsi" w:eastAsia="Times New Roman" w:hAnsiTheme="minorHAnsi" w:cstheme="minorHAnsi"/>
                <w:lang w:eastAsia="fr-CA"/>
              </w:rPr>
              <w:t xml:space="preserve"> milliards FCFA</w:t>
            </w:r>
          </w:p>
        </w:tc>
      </w:tr>
      <w:tr w:rsidR="00B64BB4" w:rsidRPr="001B4E2D" w:rsidTr="000F34E0">
        <w:trPr>
          <w:trHeight w:val="28"/>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1469C" w:rsidRDefault="00B64BB4" w:rsidP="00496903">
            <w:pPr>
              <w:spacing w:after="0" w:line="240" w:lineRule="auto"/>
              <w:rPr>
                <w:rFonts w:asciiTheme="minorHAnsi" w:eastAsia="Times New Roman" w:hAnsiTheme="minorHAnsi" w:cstheme="minorHAnsi"/>
                <w:lang w:eastAsia="fr-CA"/>
              </w:rPr>
            </w:pPr>
            <w:r w:rsidRPr="0011469C">
              <w:rPr>
                <w:rFonts w:asciiTheme="minorHAnsi" w:eastAsia="Times New Roman" w:hAnsiTheme="minorHAnsi" w:cstheme="minorHAnsi"/>
                <w:lang w:eastAsia="fr-CA"/>
              </w:rPr>
              <w:t xml:space="preserve">Encours de la dette publique rapporté au PIB </w:t>
            </w:r>
          </w:p>
        </w:tc>
        <w:tc>
          <w:tcPr>
            <w:tcW w:w="2458" w:type="pct"/>
            <w:tcBorders>
              <w:top w:val="nil"/>
              <w:left w:val="nil"/>
              <w:bottom w:val="single" w:sz="4" w:space="0" w:color="auto"/>
              <w:right w:val="single" w:sz="4" w:space="0" w:color="auto"/>
            </w:tcBorders>
            <w:shd w:val="clear" w:color="auto" w:fill="auto"/>
            <w:vAlign w:val="bottom"/>
            <w:hideMark/>
          </w:tcPr>
          <w:p w:rsidR="00B64BB4" w:rsidRPr="0011469C" w:rsidRDefault="00B64BB4" w:rsidP="00496903">
            <w:pPr>
              <w:spacing w:after="0" w:line="240" w:lineRule="auto"/>
              <w:rPr>
                <w:rFonts w:asciiTheme="minorHAnsi" w:eastAsia="Times New Roman" w:hAnsiTheme="minorHAnsi" w:cstheme="minorHAnsi"/>
                <w:lang w:eastAsia="fr-CA"/>
              </w:rPr>
            </w:pPr>
            <w:r w:rsidRPr="0011469C">
              <w:rPr>
                <w:rFonts w:asciiTheme="minorHAnsi" w:eastAsia="Times New Roman" w:hAnsiTheme="minorHAnsi" w:cstheme="minorHAnsi"/>
                <w:lang w:eastAsia="fr-CA"/>
              </w:rPr>
              <w:t>34,8%</w:t>
            </w:r>
          </w:p>
        </w:tc>
      </w:tr>
      <w:tr w:rsidR="00B64BB4" w:rsidRPr="001B4E2D" w:rsidTr="000F34E0">
        <w:trPr>
          <w:trHeight w:val="59"/>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Principales exportations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Or, Coton, karité et oléagineux, fruits et légumes, animaux vivants, cuirs et peaux</w:t>
            </w:r>
          </w:p>
        </w:tc>
      </w:tr>
      <w:tr w:rsidR="00B64BB4" w:rsidRPr="001B4E2D" w:rsidTr="000F34E0">
        <w:trPr>
          <w:trHeight w:val="98"/>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Principales importations</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Produits pétroliers, produits alimentaires, machines et appareils, matériels de transport, produits chimiques, fer, ciments.</w:t>
            </w:r>
          </w:p>
        </w:tc>
      </w:tr>
      <w:tr w:rsidR="00B64BB4" w:rsidRPr="001B4E2D" w:rsidTr="000F34E0">
        <w:trPr>
          <w:trHeight w:val="113"/>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Principaux marchés d’exportation</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Union Européenne, Afrique de l’Ouest, Singapour, Japon, Etats Unis d’Amérique, République de Chine, Inde et Canada, </w:t>
            </w:r>
          </w:p>
        </w:tc>
      </w:tr>
      <w:tr w:rsidR="00B64BB4" w:rsidRPr="001B4E2D" w:rsidTr="000F34E0">
        <w:trPr>
          <w:trHeight w:val="66"/>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center"/>
            <w:hideMark/>
          </w:tcPr>
          <w:p w:rsidR="00B64BB4" w:rsidRPr="001B4E2D" w:rsidRDefault="00B64BB4"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t>DEMOCRATIE ET GOUVERNANCE (2016)</w:t>
            </w:r>
          </w:p>
        </w:tc>
      </w:tr>
      <w:tr w:rsidR="00B64BB4" w:rsidRPr="001B4E2D" w:rsidTr="000F34E0">
        <w:trPr>
          <w:trHeight w:val="31"/>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Nombre de tribunaux de grande instance (TGI)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24</w:t>
            </w:r>
          </w:p>
        </w:tc>
      </w:tr>
      <w:tr w:rsidR="00B64BB4" w:rsidRPr="001B4E2D" w:rsidTr="000F34E0">
        <w:trPr>
          <w:trHeight w:val="30"/>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Nombre de magistrats pour 100 000 habitants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2,4</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Nombre de femmes au Parlement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12/127 (9,45%)</w:t>
            </w:r>
          </w:p>
        </w:tc>
      </w:tr>
      <w:tr w:rsidR="00B64BB4" w:rsidRPr="001B4E2D" w:rsidTr="000F34E0">
        <w:trPr>
          <w:trHeight w:val="26"/>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Part du budget transférée aux collectivités territoriales (2016)</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7E7D65">
              <w:rPr>
                <w:rFonts w:asciiTheme="minorHAnsi" w:eastAsia="Times New Roman" w:hAnsiTheme="minorHAnsi" w:cstheme="minorHAnsi"/>
                <w:lang w:eastAsia="fr-CA"/>
              </w:rPr>
              <w:t>3,14%</w:t>
            </w:r>
          </w:p>
        </w:tc>
      </w:tr>
      <w:tr w:rsidR="00B64BB4" w:rsidRPr="001B4E2D" w:rsidTr="000F34E0">
        <w:trPr>
          <w:trHeight w:val="29"/>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Nombre de stations radios fonctionnelles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150</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Nombre de télévisions fonctionnelles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22</w:t>
            </w:r>
          </w:p>
        </w:tc>
      </w:tr>
      <w:tr w:rsidR="00B64BB4" w:rsidRPr="001B4E2D" w:rsidTr="000F34E0">
        <w:trPr>
          <w:trHeight w:val="66"/>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center"/>
            <w:hideMark/>
          </w:tcPr>
          <w:p w:rsidR="00B64BB4" w:rsidRPr="001B4E2D" w:rsidRDefault="00B64BB4"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t>DONNEES SUR LA PAUVRETE (EMC 2014)</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Seuil de pauvreté national</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154 061 FCFA</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Incidence de la pauvreté globale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40,1</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Incidence de la pauvreté urbaine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13,6</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Incidence de la pauvreté rurale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47,5</w:t>
            </w:r>
          </w:p>
        </w:tc>
      </w:tr>
      <w:tr w:rsidR="00B64BB4" w:rsidRPr="001B4E2D" w:rsidTr="000F34E0">
        <w:trPr>
          <w:trHeight w:val="66"/>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center"/>
            <w:hideMark/>
          </w:tcPr>
          <w:p w:rsidR="00B64BB4" w:rsidRPr="00EC23D6" w:rsidRDefault="00B64BB4" w:rsidP="00496903">
            <w:pPr>
              <w:spacing w:after="0" w:line="240" w:lineRule="auto"/>
              <w:jc w:val="center"/>
              <w:rPr>
                <w:rFonts w:asciiTheme="minorHAnsi" w:eastAsia="Times New Roman" w:hAnsiTheme="minorHAnsi" w:cstheme="minorHAnsi"/>
                <w:b/>
                <w:bCs/>
                <w:lang w:eastAsia="fr-CA"/>
              </w:rPr>
            </w:pPr>
            <w:r w:rsidRPr="00EC23D6">
              <w:rPr>
                <w:rFonts w:asciiTheme="minorHAnsi" w:eastAsia="Times New Roman" w:hAnsiTheme="minorHAnsi" w:cstheme="minorHAnsi"/>
                <w:b/>
                <w:bCs/>
                <w:lang w:eastAsia="fr-CA"/>
              </w:rPr>
              <w:t>INFRASTRUCTURES ROUTIERES (</w:t>
            </w:r>
            <w:r w:rsidRPr="00A60D96">
              <w:rPr>
                <w:rFonts w:asciiTheme="minorHAnsi" w:eastAsia="Times New Roman" w:hAnsiTheme="minorHAnsi" w:cstheme="minorHAnsi"/>
                <w:b/>
                <w:bCs/>
                <w:lang w:eastAsia="fr-CA"/>
              </w:rPr>
              <w:t>2015)</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A60D96" w:rsidRDefault="00B64BB4" w:rsidP="00496903">
            <w:pPr>
              <w:spacing w:after="0" w:line="240" w:lineRule="auto"/>
              <w:rPr>
                <w:rFonts w:asciiTheme="minorHAnsi" w:eastAsia="Times New Roman" w:hAnsiTheme="minorHAnsi" w:cstheme="minorHAnsi"/>
                <w:lang w:eastAsia="fr-CA"/>
              </w:rPr>
            </w:pPr>
            <w:r w:rsidRPr="00A60D96">
              <w:rPr>
                <w:rFonts w:asciiTheme="minorHAnsi" w:eastAsia="Times New Roman" w:hAnsiTheme="minorHAnsi" w:cstheme="minorHAnsi"/>
                <w:lang w:eastAsia="fr-CA"/>
              </w:rPr>
              <w:t>Routes nationales</w:t>
            </w:r>
          </w:p>
        </w:tc>
        <w:tc>
          <w:tcPr>
            <w:tcW w:w="2458" w:type="pct"/>
            <w:tcBorders>
              <w:top w:val="nil"/>
              <w:left w:val="nil"/>
              <w:bottom w:val="single" w:sz="4" w:space="0" w:color="auto"/>
              <w:right w:val="single" w:sz="4" w:space="0" w:color="auto"/>
            </w:tcBorders>
            <w:shd w:val="clear" w:color="auto" w:fill="auto"/>
            <w:vAlign w:val="bottom"/>
            <w:hideMark/>
          </w:tcPr>
          <w:p w:rsidR="00B64BB4" w:rsidRPr="00EC23D6" w:rsidRDefault="00B64BB4" w:rsidP="00496903">
            <w:pPr>
              <w:spacing w:after="0" w:line="240" w:lineRule="auto"/>
              <w:rPr>
                <w:rFonts w:asciiTheme="minorHAnsi" w:eastAsia="Times New Roman" w:hAnsiTheme="minorHAnsi" w:cstheme="minorHAnsi"/>
                <w:lang w:eastAsia="fr-CA"/>
              </w:rPr>
            </w:pPr>
            <w:r w:rsidRPr="00EC23D6">
              <w:rPr>
                <w:rFonts w:asciiTheme="minorHAnsi" w:eastAsia="Times New Roman" w:hAnsiTheme="minorHAnsi" w:cstheme="minorHAnsi"/>
                <w:lang w:eastAsia="fr-CA"/>
              </w:rPr>
              <w:t>6 728 km</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A60D96" w:rsidRDefault="00B64BB4" w:rsidP="00496903">
            <w:pPr>
              <w:spacing w:after="0" w:line="240" w:lineRule="auto"/>
              <w:rPr>
                <w:rFonts w:asciiTheme="minorHAnsi" w:eastAsia="Times New Roman" w:hAnsiTheme="minorHAnsi" w:cstheme="minorHAnsi"/>
                <w:lang w:eastAsia="fr-CA"/>
              </w:rPr>
            </w:pPr>
            <w:r w:rsidRPr="00A60D96">
              <w:rPr>
                <w:rFonts w:asciiTheme="minorHAnsi" w:eastAsia="Times New Roman" w:hAnsiTheme="minorHAnsi" w:cstheme="minorHAnsi"/>
                <w:lang w:eastAsia="fr-CA"/>
              </w:rPr>
              <w:t>Routes bitumées</w:t>
            </w:r>
          </w:p>
        </w:tc>
        <w:tc>
          <w:tcPr>
            <w:tcW w:w="2458" w:type="pct"/>
            <w:tcBorders>
              <w:top w:val="nil"/>
              <w:left w:val="nil"/>
              <w:bottom w:val="single" w:sz="4" w:space="0" w:color="auto"/>
              <w:right w:val="single" w:sz="4" w:space="0" w:color="auto"/>
            </w:tcBorders>
            <w:shd w:val="clear" w:color="auto" w:fill="auto"/>
            <w:vAlign w:val="bottom"/>
            <w:hideMark/>
          </w:tcPr>
          <w:p w:rsidR="00B64BB4" w:rsidRPr="00EC23D6" w:rsidRDefault="00B64BB4" w:rsidP="00496903">
            <w:pPr>
              <w:spacing w:after="0" w:line="240" w:lineRule="auto"/>
              <w:rPr>
                <w:rFonts w:asciiTheme="minorHAnsi" w:eastAsia="Times New Roman" w:hAnsiTheme="minorHAnsi" w:cstheme="minorHAnsi"/>
                <w:lang w:eastAsia="fr-CA"/>
              </w:rPr>
            </w:pPr>
            <w:r w:rsidRPr="00EC23D6">
              <w:rPr>
                <w:rFonts w:asciiTheme="minorHAnsi" w:eastAsia="Times New Roman" w:hAnsiTheme="minorHAnsi" w:cstheme="minorHAnsi"/>
                <w:lang w:eastAsia="fr-CA"/>
              </w:rPr>
              <w:t>3 642 km</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A60D96" w:rsidRDefault="00B64BB4" w:rsidP="00496903">
            <w:pPr>
              <w:spacing w:after="0" w:line="240" w:lineRule="auto"/>
              <w:rPr>
                <w:rFonts w:asciiTheme="minorHAnsi" w:eastAsia="Times New Roman" w:hAnsiTheme="minorHAnsi" w:cstheme="minorHAnsi"/>
                <w:lang w:eastAsia="fr-CA"/>
              </w:rPr>
            </w:pPr>
            <w:r w:rsidRPr="00A60D96">
              <w:rPr>
                <w:rFonts w:asciiTheme="minorHAnsi" w:eastAsia="Times New Roman" w:hAnsiTheme="minorHAnsi" w:cstheme="minorHAnsi"/>
                <w:lang w:eastAsia="fr-CA"/>
              </w:rPr>
              <w:t>Routes en terre</w:t>
            </w:r>
          </w:p>
        </w:tc>
        <w:tc>
          <w:tcPr>
            <w:tcW w:w="2458" w:type="pct"/>
            <w:tcBorders>
              <w:top w:val="nil"/>
              <w:left w:val="nil"/>
              <w:bottom w:val="single" w:sz="4" w:space="0" w:color="auto"/>
              <w:right w:val="single" w:sz="4" w:space="0" w:color="auto"/>
            </w:tcBorders>
            <w:shd w:val="clear" w:color="auto" w:fill="auto"/>
            <w:vAlign w:val="bottom"/>
            <w:hideMark/>
          </w:tcPr>
          <w:p w:rsidR="00B64BB4" w:rsidRPr="00EC23D6" w:rsidRDefault="00B64BB4" w:rsidP="00496903">
            <w:pPr>
              <w:spacing w:after="0" w:line="240" w:lineRule="auto"/>
              <w:rPr>
                <w:rFonts w:asciiTheme="minorHAnsi" w:eastAsia="Times New Roman" w:hAnsiTheme="minorHAnsi" w:cstheme="minorHAnsi"/>
                <w:lang w:eastAsia="fr-CA"/>
              </w:rPr>
            </w:pPr>
            <w:r w:rsidRPr="00EC23D6">
              <w:rPr>
                <w:rFonts w:asciiTheme="minorHAnsi" w:eastAsia="Times New Roman" w:hAnsiTheme="minorHAnsi" w:cstheme="minorHAnsi"/>
                <w:lang w:eastAsia="fr-CA"/>
              </w:rPr>
              <w:t>11 662 km</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A60D96" w:rsidRDefault="00B64BB4" w:rsidP="00496903">
            <w:pPr>
              <w:spacing w:after="0" w:line="240" w:lineRule="auto"/>
              <w:rPr>
                <w:rFonts w:asciiTheme="minorHAnsi" w:eastAsia="Times New Roman" w:hAnsiTheme="minorHAnsi" w:cstheme="minorHAnsi"/>
                <w:lang w:eastAsia="fr-CA"/>
              </w:rPr>
            </w:pPr>
            <w:r w:rsidRPr="00A60D96">
              <w:rPr>
                <w:rFonts w:asciiTheme="minorHAnsi" w:eastAsia="Times New Roman" w:hAnsiTheme="minorHAnsi" w:cstheme="minorHAnsi"/>
                <w:lang w:eastAsia="fr-CA"/>
              </w:rPr>
              <w:t>Total routes</w:t>
            </w:r>
          </w:p>
        </w:tc>
        <w:tc>
          <w:tcPr>
            <w:tcW w:w="2458" w:type="pct"/>
            <w:tcBorders>
              <w:top w:val="nil"/>
              <w:left w:val="nil"/>
              <w:bottom w:val="single" w:sz="4" w:space="0" w:color="auto"/>
              <w:right w:val="single" w:sz="4" w:space="0" w:color="auto"/>
            </w:tcBorders>
            <w:shd w:val="clear" w:color="auto" w:fill="auto"/>
            <w:vAlign w:val="bottom"/>
            <w:hideMark/>
          </w:tcPr>
          <w:p w:rsidR="00B64BB4" w:rsidRPr="00EC23D6" w:rsidRDefault="00B64BB4" w:rsidP="00496903">
            <w:pPr>
              <w:spacing w:after="0" w:line="240" w:lineRule="auto"/>
              <w:rPr>
                <w:rFonts w:asciiTheme="minorHAnsi" w:eastAsia="Times New Roman" w:hAnsiTheme="minorHAnsi" w:cstheme="minorHAnsi"/>
                <w:lang w:eastAsia="fr-CA"/>
              </w:rPr>
            </w:pPr>
            <w:r w:rsidRPr="00EC23D6">
              <w:rPr>
                <w:rFonts w:asciiTheme="minorHAnsi" w:eastAsia="Times New Roman" w:hAnsiTheme="minorHAnsi" w:cstheme="minorHAnsi"/>
                <w:lang w:eastAsia="fr-CA"/>
              </w:rPr>
              <w:t>22 032 km</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A60D96" w:rsidRDefault="00B64BB4" w:rsidP="00496903">
            <w:pPr>
              <w:spacing w:after="0" w:line="240" w:lineRule="auto"/>
              <w:rPr>
                <w:rFonts w:asciiTheme="minorHAnsi" w:eastAsia="Times New Roman" w:hAnsiTheme="minorHAnsi" w:cstheme="minorHAnsi"/>
                <w:lang w:eastAsia="fr-CA"/>
              </w:rPr>
            </w:pPr>
            <w:r w:rsidRPr="00A60D96">
              <w:rPr>
                <w:rFonts w:asciiTheme="minorHAnsi" w:eastAsia="Times New Roman" w:hAnsiTheme="minorHAnsi" w:cstheme="minorHAnsi"/>
                <w:lang w:eastAsia="fr-CA"/>
              </w:rPr>
              <w:t>Voies ferrées</w:t>
            </w:r>
          </w:p>
        </w:tc>
        <w:tc>
          <w:tcPr>
            <w:tcW w:w="2458" w:type="pct"/>
            <w:tcBorders>
              <w:top w:val="nil"/>
              <w:left w:val="nil"/>
              <w:bottom w:val="single" w:sz="4" w:space="0" w:color="auto"/>
              <w:right w:val="single" w:sz="4" w:space="0" w:color="auto"/>
            </w:tcBorders>
            <w:shd w:val="clear" w:color="auto" w:fill="auto"/>
            <w:vAlign w:val="bottom"/>
            <w:hideMark/>
          </w:tcPr>
          <w:p w:rsidR="00B64BB4" w:rsidRPr="00EC23D6" w:rsidRDefault="00B64BB4" w:rsidP="00496903">
            <w:pPr>
              <w:spacing w:after="0" w:line="240" w:lineRule="auto"/>
              <w:rPr>
                <w:rFonts w:asciiTheme="minorHAnsi" w:eastAsia="Times New Roman" w:hAnsiTheme="minorHAnsi" w:cstheme="minorHAnsi"/>
                <w:lang w:eastAsia="fr-CA"/>
              </w:rPr>
            </w:pPr>
            <w:r w:rsidRPr="00EC23D6">
              <w:rPr>
                <w:rFonts w:asciiTheme="minorHAnsi" w:eastAsia="Times New Roman" w:hAnsiTheme="minorHAnsi" w:cstheme="minorHAnsi"/>
                <w:lang w:eastAsia="fr-CA"/>
              </w:rPr>
              <w:t>625 km</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A60D96" w:rsidRDefault="00B64BB4" w:rsidP="00496903">
            <w:pPr>
              <w:spacing w:after="0" w:line="240" w:lineRule="auto"/>
              <w:rPr>
                <w:rFonts w:asciiTheme="minorHAnsi" w:eastAsia="Times New Roman" w:hAnsiTheme="minorHAnsi" w:cstheme="minorHAnsi"/>
                <w:lang w:eastAsia="fr-CA"/>
              </w:rPr>
            </w:pPr>
            <w:r w:rsidRPr="00A60D96">
              <w:rPr>
                <w:rFonts w:asciiTheme="minorHAnsi" w:eastAsia="Times New Roman" w:hAnsiTheme="minorHAnsi" w:cstheme="minorHAnsi"/>
                <w:lang w:eastAsia="fr-CA"/>
              </w:rPr>
              <w:t>Routes entretenues</w:t>
            </w:r>
          </w:p>
        </w:tc>
        <w:tc>
          <w:tcPr>
            <w:tcW w:w="2458" w:type="pct"/>
            <w:tcBorders>
              <w:top w:val="nil"/>
              <w:left w:val="nil"/>
              <w:bottom w:val="single" w:sz="4" w:space="0" w:color="auto"/>
              <w:right w:val="single" w:sz="4" w:space="0" w:color="auto"/>
            </w:tcBorders>
            <w:shd w:val="clear" w:color="auto" w:fill="auto"/>
            <w:vAlign w:val="bottom"/>
            <w:hideMark/>
          </w:tcPr>
          <w:p w:rsidR="00B64BB4" w:rsidRPr="00EC23D6" w:rsidRDefault="00B64BB4" w:rsidP="00496903">
            <w:pPr>
              <w:spacing w:after="0" w:line="240" w:lineRule="auto"/>
              <w:rPr>
                <w:rFonts w:asciiTheme="minorHAnsi" w:eastAsia="Times New Roman" w:hAnsiTheme="minorHAnsi" w:cstheme="minorHAnsi"/>
                <w:lang w:eastAsia="fr-CA"/>
              </w:rPr>
            </w:pPr>
            <w:r w:rsidRPr="00EC23D6">
              <w:rPr>
                <w:rFonts w:asciiTheme="minorHAnsi" w:eastAsia="Times New Roman" w:hAnsiTheme="minorHAnsi" w:cstheme="minorHAnsi"/>
                <w:lang w:eastAsia="fr-CA"/>
              </w:rPr>
              <w:t>15 272 km</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A60D96" w:rsidRDefault="00B64BB4" w:rsidP="00496903">
            <w:pPr>
              <w:spacing w:after="0" w:line="240" w:lineRule="auto"/>
              <w:rPr>
                <w:rFonts w:asciiTheme="minorHAnsi" w:eastAsia="Times New Roman" w:hAnsiTheme="minorHAnsi" w:cstheme="minorHAnsi"/>
                <w:lang w:eastAsia="fr-CA"/>
              </w:rPr>
            </w:pPr>
            <w:r w:rsidRPr="00A60D96">
              <w:rPr>
                <w:rFonts w:asciiTheme="minorHAnsi" w:eastAsia="Times New Roman" w:hAnsiTheme="minorHAnsi" w:cstheme="minorHAnsi"/>
                <w:lang w:eastAsia="fr-CA"/>
              </w:rPr>
              <w:t>Pistes rurales aménagées</w:t>
            </w:r>
          </w:p>
        </w:tc>
        <w:tc>
          <w:tcPr>
            <w:tcW w:w="2458" w:type="pct"/>
            <w:tcBorders>
              <w:top w:val="nil"/>
              <w:left w:val="nil"/>
              <w:bottom w:val="single" w:sz="4" w:space="0" w:color="auto"/>
              <w:right w:val="single" w:sz="4" w:space="0" w:color="auto"/>
            </w:tcBorders>
            <w:shd w:val="clear" w:color="auto" w:fill="auto"/>
            <w:vAlign w:val="bottom"/>
            <w:hideMark/>
          </w:tcPr>
          <w:p w:rsidR="00B64BB4" w:rsidRPr="00EC23D6" w:rsidRDefault="00B64BB4" w:rsidP="00496903">
            <w:pPr>
              <w:spacing w:after="0" w:line="240" w:lineRule="auto"/>
              <w:rPr>
                <w:rFonts w:asciiTheme="minorHAnsi" w:eastAsia="Times New Roman" w:hAnsiTheme="minorHAnsi" w:cstheme="minorHAnsi"/>
                <w:lang w:eastAsia="fr-CA"/>
              </w:rPr>
            </w:pPr>
            <w:r w:rsidRPr="00EC23D6">
              <w:rPr>
                <w:rFonts w:asciiTheme="minorHAnsi" w:eastAsia="Times New Roman" w:hAnsiTheme="minorHAnsi" w:cstheme="minorHAnsi"/>
                <w:lang w:eastAsia="fr-CA"/>
              </w:rPr>
              <w:t>91,6 km</w:t>
            </w:r>
          </w:p>
        </w:tc>
      </w:tr>
      <w:tr w:rsidR="00B64BB4" w:rsidRPr="001B4E2D" w:rsidTr="000F34E0">
        <w:trPr>
          <w:trHeight w:val="35"/>
        </w:trPr>
        <w:tc>
          <w:tcPr>
            <w:tcW w:w="5000" w:type="pct"/>
            <w:gridSpan w:val="2"/>
            <w:tcBorders>
              <w:top w:val="single" w:sz="4" w:space="0" w:color="auto"/>
              <w:left w:val="single" w:sz="4" w:space="0" w:color="auto"/>
              <w:bottom w:val="single" w:sz="4" w:space="0" w:color="auto"/>
              <w:right w:val="single" w:sz="4" w:space="0" w:color="auto"/>
            </w:tcBorders>
            <w:shd w:val="clear" w:color="000000" w:fill="DDD9C4"/>
            <w:vAlign w:val="bottom"/>
            <w:hideMark/>
          </w:tcPr>
          <w:p w:rsidR="00B64BB4" w:rsidRPr="00EC23D6" w:rsidRDefault="00B64BB4" w:rsidP="00496903">
            <w:pPr>
              <w:spacing w:after="0" w:line="240" w:lineRule="auto"/>
              <w:jc w:val="center"/>
              <w:rPr>
                <w:rFonts w:asciiTheme="minorHAnsi" w:eastAsia="Times New Roman" w:hAnsiTheme="minorHAnsi" w:cstheme="minorHAnsi"/>
                <w:b/>
                <w:bCs/>
                <w:lang w:eastAsia="fr-CA"/>
              </w:rPr>
            </w:pPr>
            <w:r w:rsidRPr="00EC23D6">
              <w:rPr>
                <w:rFonts w:asciiTheme="minorHAnsi" w:eastAsia="Times New Roman" w:hAnsiTheme="minorHAnsi" w:cstheme="minorHAnsi"/>
                <w:b/>
                <w:bCs/>
                <w:lang w:eastAsia="fr-CA"/>
              </w:rPr>
              <w:t>ELECTRICITE</w:t>
            </w:r>
            <w:r w:rsidRPr="00A60D96">
              <w:rPr>
                <w:rFonts w:asciiTheme="minorHAnsi" w:eastAsia="Times New Roman" w:hAnsiTheme="minorHAnsi" w:cstheme="minorHAnsi"/>
                <w:b/>
                <w:bCs/>
                <w:lang w:eastAsia="fr-CA"/>
              </w:rPr>
              <w:t xml:space="preserve"> (2015)</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Production </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1000,06 GWh</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d’électrification nationale</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18,83%</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d’électrification urbaine</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59,88%</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d’électrification rurale</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3,06%</w:t>
            </w:r>
          </w:p>
        </w:tc>
      </w:tr>
      <w:tr w:rsidR="00B64BB4" w:rsidRPr="001B4E2D" w:rsidTr="00A60D96">
        <w:trPr>
          <w:trHeight w:val="4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de couverture</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33,32%</w:t>
            </w:r>
          </w:p>
        </w:tc>
      </w:tr>
      <w:tr w:rsidR="00B64BB4" w:rsidRPr="001B4E2D" w:rsidTr="000F34E0">
        <w:trPr>
          <w:trHeight w:val="35"/>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bottom"/>
            <w:hideMark/>
          </w:tcPr>
          <w:p w:rsidR="00B64BB4" w:rsidRPr="001B4E2D" w:rsidRDefault="00B64BB4" w:rsidP="00496903">
            <w:pPr>
              <w:spacing w:after="0" w:line="240" w:lineRule="auto"/>
              <w:jc w:val="center"/>
              <w:rPr>
                <w:rFonts w:asciiTheme="minorHAnsi" w:eastAsia="Times New Roman" w:hAnsiTheme="minorHAnsi" w:cstheme="minorHAnsi"/>
                <w:b/>
                <w:bCs/>
                <w:color w:val="000000"/>
                <w:lang w:eastAsia="fr-CA"/>
              </w:rPr>
            </w:pPr>
            <w:r w:rsidRPr="00EC23D6">
              <w:rPr>
                <w:rFonts w:asciiTheme="minorHAnsi" w:eastAsia="Times New Roman" w:hAnsiTheme="minorHAnsi" w:cstheme="minorHAnsi"/>
                <w:b/>
                <w:bCs/>
                <w:lang w:eastAsia="fr-CA"/>
              </w:rPr>
              <w:t xml:space="preserve">TOURISME </w:t>
            </w:r>
            <w:r w:rsidRPr="00A60D96">
              <w:rPr>
                <w:rFonts w:asciiTheme="minorHAnsi" w:eastAsia="Times New Roman" w:hAnsiTheme="minorHAnsi" w:cstheme="minorHAnsi"/>
                <w:b/>
                <w:bCs/>
                <w:lang w:eastAsia="fr-CA"/>
              </w:rPr>
              <w:t>(2015)</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Nombre de touristes enregistrés par an</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501</w:t>
            </w:r>
            <w:r w:rsidR="00895283">
              <w:rPr>
                <w:rFonts w:asciiTheme="minorHAnsi" w:eastAsia="Times New Roman" w:hAnsiTheme="minorHAnsi" w:cstheme="minorHAnsi"/>
                <w:color w:val="000000"/>
                <w:lang w:eastAsia="fr-CA"/>
              </w:rPr>
              <w:t xml:space="preserve"> 000</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lastRenderedPageBreak/>
              <w:t>Nombre de touristes internes</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 296 145  </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Nombre de touristes récepteurs</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 xml:space="preserve"> 171 418  </w:t>
            </w:r>
          </w:p>
        </w:tc>
      </w:tr>
      <w:tr w:rsidR="00B64BB4" w:rsidRPr="001B4E2D" w:rsidTr="000F34E0">
        <w:trPr>
          <w:trHeight w:val="35"/>
        </w:trPr>
        <w:tc>
          <w:tcPr>
            <w:tcW w:w="5000" w:type="pct"/>
            <w:gridSpan w:val="2"/>
            <w:tcBorders>
              <w:top w:val="single" w:sz="4" w:space="0" w:color="auto"/>
              <w:left w:val="single" w:sz="4" w:space="0" w:color="auto"/>
              <w:bottom w:val="single" w:sz="4" w:space="0" w:color="auto"/>
              <w:right w:val="single" w:sz="4" w:space="0" w:color="auto"/>
            </w:tcBorders>
            <w:shd w:val="clear" w:color="000000" w:fill="EEECE1"/>
            <w:vAlign w:val="bottom"/>
            <w:hideMark/>
          </w:tcPr>
          <w:p w:rsidR="00B64BB4" w:rsidRPr="001B4E2D" w:rsidRDefault="00B64BB4" w:rsidP="00496903">
            <w:pPr>
              <w:spacing w:after="0" w:line="240" w:lineRule="auto"/>
              <w:jc w:val="center"/>
              <w:rPr>
                <w:rFonts w:asciiTheme="minorHAnsi" w:eastAsia="Times New Roman" w:hAnsiTheme="minorHAnsi" w:cstheme="minorHAnsi"/>
                <w:b/>
                <w:bCs/>
                <w:color w:val="000000"/>
                <w:lang w:eastAsia="fr-CA"/>
              </w:rPr>
            </w:pPr>
            <w:r w:rsidRPr="001B4E2D">
              <w:rPr>
                <w:rFonts w:asciiTheme="minorHAnsi" w:eastAsia="Times New Roman" w:hAnsiTheme="minorHAnsi" w:cstheme="minorHAnsi"/>
                <w:b/>
                <w:bCs/>
                <w:color w:val="000000"/>
                <w:lang w:eastAsia="fr-CA"/>
              </w:rPr>
              <w:t xml:space="preserve">GENERALITES </w:t>
            </w:r>
          </w:p>
        </w:tc>
      </w:tr>
      <w:tr w:rsidR="00B64BB4" w:rsidRPr="001B4E2D" w:rsidTr="000F34E0">
        <w:trPr>
          <w:trHeight w:val="34"/>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Religions</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traditionnelle, musulmane, chrétienne</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Langue officielle</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Français</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Monnaie</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Franc CFA</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Taux de change annuel moyen (2016)</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1 dollar US pour  593,1 FCFA</w:t>
            </w:r>
          </w:p>
        </w:tc>
      </w:tr>
      <w:tr w:rsidR="00B64BB4" w:rsidRPr="001B4E2D" w:rsidTr="000F34E0">
        <w:trPr>
          <w:trHeight w:val="35"/>
        </w:trPr>
        <w:tc>
          <w:tcPr>
            <w:tcW w:w="2542" w:type="pct"/>
            <w:tcBorders>
              <w:top w:val="nil"/>
              <w:left w:val="single" w:sz="4" w:space="0" w:color="auto"/>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Exercice budgétaire</w:t>
            </w:r>
          </w:p>
        </w:tc>
        <w:tc>
          <w:tcPr>
            <w:tcW w:w="2458" w:type="pct"/>
            <w:tcBorders>
              <w:top w:val="nil"/>
              <w:left w:val="nil"/>
              <w:bottom w:val="single" w:sz="4" w:space="0" w:color="auto"/>
              <w:right w:val="single" w:sz="4" w:space="0" w:color="auto"/>
            </w:tcBorders>
            <w:shd w:val="clear" w:color="auto" w:fill="auto"/>
            <w:vAlign w:val="bottom"/>
            <w:hideMark/>
          </w:tcPr>
          <w:p w:rsidR="00B64BB4" w:rsidRPr="001B4E2D" w:rsidRDefault="00B64BB4" w:rsidP="00496903">
            <w:pPr>
              <w:spacing w:after="0" w:line="240" w:lineRule="auto"/>
              <w:rPr>
                <w:rFonts w:asciiTheme="minorHAnsi" w:eastAsia="Times New Roman" w:hAnsiTheme="minorHAnsi" w:cstheme="minorHAnsi"/>
                <w:color w:val="000000"/>
                <w:lang w:eastAsia="fr-CA"/>
              </w:rPr>
            </w:pPr>
            <w:r w:rsidRPr="001B4E2D">
              <w:rPr>
                <w:rFonts w:asciiTheme="minorHAnsi" w:eastAsia="Times New Roman" w:hAnsiTheme="minorHAnsi" w:cstheme="minorHAnsi"/>
                <w:color w:val="000000"/>
                <w:lang w:eastAsia="fr-CA"/>
              </w:rPr>
              <w:t>du 1er Janvier au 31 Décembre</w:t>
            </w:r>
          </w:p>
        </w:tc>
      </w:tr>
    </w:tbl>
    <w:p w:rsidR="00486546" w:rsidRPr="00EC23D6" w:rsidRDefault="00486546" w:rsidP="00895283">
      <w:pPr>
        <w:shd w:val="clear" w:color="auto" w:fill="FFFFFF"/>
        <w:spacing w:after="0"/>
        <w:rPr>
          <w:rFonts w:ascii="Arial" w:hAnsi="Arial" w:cs="Arial"/>
          <w:sz w:val="18"/>
          <w:szCs w:val="18"/>
        </w:rPr>
      </w:pPr>
      <w:r w:rsidRPr="00EC23D6">
        <w:rPr>
          <w:rFonts w:ascii="Arial" w:hAnsi="Arial" w:cs="Arial"/>
          <w:b/>
          <w:sz w:val="18"/>
          <w:szCs w:val="18"/>
          <w:u w:val="single"/>
        </w:rPr>
        <w:t>Source :</w:t>
      </w:r>
    </w:p>
    <w:p w:rsidR="00486546" w:rsidRPr="00EC23D6" w:rsidRDefault="00895283" w:rsidP="00895283">
      <w:pPr>
        <w:numPr>
          <w:ilvl w:val="0"/>
          <w:numId w:val="30"/>
        </w:numPr>
        <w:shd w:val="clear" w:color="auto" w:fill="FFFFFF"/>
        <w:spacing w:after="0" w:line="240" w:lineRule="auto"/>
        <w:ind w:left="1134" w:hanging="141"/>
        <w:jc w:val="both"/>
        <w:rPr>
          <w:rFonts w:ascii="Arial" w:hAnsi="Arial" w:cs="Arial"/>
          <w:sz w:val="18"/>
          <w:szCs w:val="18"/>
        </w:rPr>
      </w:pPr>
      <w:r>
        <w:rPr>
          <w:rFonts w:ascii="Arial" w:hAnsi="Arial" w:cs="Arial"/>
          <w:sz w:val="18"/>
          <w:szCs w:val="18"/>
        </w:rPr>
        <w:t>Annuaires statistiques des ministères</w:t>
      </w:r>
      <w:r w:rsidR="00486546" w:rsidRPr="00EC23D6">
        <w:rPr>
          <w:rFonts w:ascii="Arial" w:hAnsi="Arial" w:cs="Arial"/>
          <w:sz w:val="18"/>
          <w:szCs w:val="18"/>
        </w:rPr>
        <w:t xml:space="preserve"> (MA</w:t>
      </w:r>
      <w:r w:rsidR="00EC23D6">
        <w:rPr>
          <w:rFonts w:ascii="Arial" w:hAnsi="Arial" w:cs="Arial"/>
          <w:sz w:val="18"/>
          <w:szCs w:val="18"/>
        </w:rPr>
        <w:t>AH</w:t>
      </w:r>
      <w:r w:rsidR="00C55E8B">
        <w:rPr>
          <w:rFonts w:ascii="Arial" w:hAnsi="Arial" w:cs="Arial"/>
          <w:sz w:val="18"/>
          <w:szCs w:val="18"/>
        </w:rPr>
        <w:t>, Santé, MENA, MESRSI</w:t>
      </w:r>
      <w:r w:rsidR="00F834D2">
        <w:rPr>
          <w:rFonts w:ascii="Arial" w:hAnsi="Arial" w:cs="Arial"/>
          <w:sz w:val="18"/>
          <w:szCs w:val="18"/>
        </w:rPr>
        <w:t>, MME, MI</w:t>
      </w:r>
      <w:r w:rsidR="004D7F0F">
        <w:rPr>
          <w:rFonts w:ascii="Arial" w:hAnsi="Arial" w:cs="Arial"/>
          <w:sz w:val="18"/>
          <w:szCs w:val="18"/>
        </w:rPr>
        <w:t>, MEA</w:t>
      </w:r>
      <w:r w:rsidR="00486546" w:rsidRPr="00EC23D6">
        <w:rPr>
          <w:rFonts w:ascii="Arial" w:hAnsi="Arial" w:cs="Arial"/>
          <w:sz w:val="18"/>
          <w:szCs w:val="18"/>
        </w:rPr>
        <w:t>) ;</w:t>
      </w:r>
    </w:p>
    <w:p w:rsidR="00486546" w:rsidRPr="00EC23D6" w:rsidRDefault="00486546" w:rsidP="004277C1">
      <w:pPr>
        <w:numPr>
          <w:ilvl w:val="0"/>
          <w:numId w:val="30"/>
        </w:numPr>
        <w:shd w:val="clear" w:color="auto" w:fill="FFFFFF"/>
        <w:spacing w:after="0" w:line="240" w:lineRule="auto"/>
        <w:ind w:left="1134" w:hanging="141"/>
        <w:jc w:val="both"/>
        <w:rPr>
          <w:rFonts w:ascii="Arial" w:hAnsi="Arial" w:cs="Arial"/>
          <w:sz w:val="18"/>
          <w:szCs w:val="18"/>
        </w:rPr>
      </w:pPr>
      <w:r w:rsidRPr="00EC23D6">
        <w:rPr>
          <w:rFonts w:ascii="Arial" w:hAnsi="Arial" w:cs="Arial"/>
          <w:sz w:val="18"/>
          <w:szCs w:val="18"/>
        </w:rPr>
        <w:t>Rapport Mondial sur le Développement Humain Durable, 2015/PNUD ;</w:t>
      </w:r>
    </w:p>
    <w:p w:rsidR="00486546" w:rsidRPr="00EC23D6" w:rsidRDefault="00486546" w:rsidP="004277C1">
      <w:pPr>
        <w:numPr>
          <w:ilvl w:val="0"/>
          <w:numId w:val="30"/>
        </w:numPr>
        <w:shd w:val="clear" w:color="auto" w:fill="FFFFFF"/>
        <w:spacing w:after="0" w:line="240" w:lineRule="auto"/>
        <w:ind w:left="1134" w:hanging="141"/>
        <w:jc w:val="both"/>
        <w:rPr>
          <w:rFonts w:ascii="Arial" w:hAnsi="Arial" w:cs="Arial"/>
          <w:sz w:val="18"/>
          <w:szCs w:val="18"/>
        </w:rPr>
      </w:pPr>
      <w:r w:rsidRPr="00EC23D6">
        <w:rPr>
          <w:rFonts w:ascii="Arial" w:hAnsi="Arial" w:cs="Arial"/>
          <w:sz w:val="18"/>
          <w:szCs w:val="18"/>
        </w:rPr>
        <w:t>Recensement général de la population et de l’habitat, INSD/ MEF – 2006 ;</w:t>
      </w:r>
    </w:p>
    <w:p w:rsidR="00486546" w:rsidRPr="00EC23D6" w:rsidRDefault="00486546" w:rsidP="004277C1">
      <w:pPr>
        <w:numPr>
          <w:ilvl w:val="0"/>
          <w:numId w:val="30"/>
        </w:numPr>
        <w:shd w:val="clear" w:color="auto" w:fill="FFFFFF"/>
        <w:spacing w:after="0" w:line="240" w:lineRule="auto"/>
        <w:ind w:left="1134" w:hanging="141"/>
        <w:contextualSpacing/>
        <w:jc w:val="both"/>
        <w:rPr>
          <w:rFonts w:ascii="Arial" w:hAnsi="Arial" w:cs="Arial"/>
          <w:sz w:val="18"/>
          <w:szCs w:val="18"/>
        </w:rPr>
      </w:pPr>
      <w:r w:rsidRPr="00EC23D6">
        <w:rPr>
          <w:rFonts w:ascii="Arial" w:hAnsi="Arial" w:cs="Arial"/>
          <w:sz w:val="18"/>
          <w:szCs w:val="18"/>
        </w:rPr>
        <w:t>Note technique sur la situation économique et financière du Burkina Faso en 2015 et perspectives 2016-2019/DGEP, Mars 2016;</w:t>
      </w:r>
    </w:p>
    <w:p w:rsidR="00486546" w:rsidRPr="007326DC" w:rsidRDefault="00486546" w:rsidP="004277C1">
      <w:pPr>
        <w:numPr>
          <w:ilvl w:val="0"/>
          <w:numId w:val="30"/>
        </w:numPr>
        <w:shd w:val="clear" w:color="auto" w:fill="FFFFFF"/>
        <w:spacing w:after="0" w:line="240" w:lineRule="auto"/>
        <w:ind w:left="1134" w:hanging="141"/>
        <w:jc w:val="both"/>
        <w:rPr>
          <w:rFonts w:ascii="Arial" w:hAnsi="Arial" w:cs="Arial"/>
          <w:sz w:val="18"/>
          <w:szCs w:val="18"/>
        </w:rPr>
      </w:pPr>
      <w:r w:rsidRPr="007326DC">
        <w:rPr>
          <w:rFonts w:ascii="Arial" w:hAnsi="Arial" w:cs="Arial"/>
          <w:sz w:val="18"/>
          <w:szCs w:val="18"/>
        </w:rPr>
        <w:t>Tableau de Bord de la Gouvernance, édition 201</w:t>
      </w:r>
      <w:r w:rsidR="007326DC">
        <w:rPr>
          <w:rFonts w:ascii="Arial" w:hAnsi="Arial" w:cs="Arial"/>
          <w:sz w:val="18"/>
          <w:szCs w:val="18"/>
        </w:rPr>
        <w:t>6</w:t>
      </w:r>
      <w:r w:rsidRPr="007326DC">
        <w:rPr>
          <w:rFonts w:ascii="Arial" w:hAnsi="Arial" w:cs="Arial"/>
          <w:sz w:val="18"/>
          <w:szCs w:val="18"/>
        </w:rPr>
        <w:t>/ INSD ;</w:t>
      </w:r>
    </w:p>
    <w:p w:rsidR="00486546" w:rsidRPr="00EC23D6" w:rsidRDefault="00486546" w:rsidP="004277C1">
      <w:pPr>
        <w:numPr>
          <w:ilvl w:val="0"/>
          <w:numId w:val="30"/>
        </w:numPr>
        <w:shd w:val="clear" w:color="auto" w:fill="FFFFFF"/>
        <w:spacing w:after="0" w:line="240" w:lineRule="auto"/>
        <w:ind w:left="1134" w:hanging="141"/>
        <w:jc w:val="both"/>
        <w:rPr>
          <w:rFonts w:ascii="Arial" w:hAnsi="Arial" w:cs="Arial"/>
          <w:sz w:val="18"/>
          <w:szCs w:val="18"/>
        </w:rPr>
      </w:pPr>
      <w:r w:rsidRPr="00EC23D6">
        <w:rPr>
          <w:rFonts w:ascii="Arial" w:hAnsi="Arial" w:cs="Arial"/>
          <w:sz w:val="18"/>
          <w:szCs w:val="18"/>
        </w:rPr>
        <w:t>Projections démographiques de 2007 à 2020 par régio</w:t>
      </w:r>
      <w:r w:rsidR="00A37544">
        <w:rPr>
          <w:rFonts w:ascii="Arial" w:hAnsi="Arial" w:cs="Arial"/>
          <w:sz w:val="18"/>
          <w:szCs w:val="18"/>
        </w:rPr>
        <w:t>n et province, INSD, août 2009.</w:t>
      </w:r>
    </w:p>
    <w:p w:rsidR="00486546" w:rsidRDefault="00486546" w:rsidP="007326DC">
      <w:pPr>
        <w:shd w:val="clear" w:color="auto" w:fill="FFFFFF"/>
        <w:spacing w:after="0" w:line="240" w:lineRule="auto"/>
        <w:ind w:left="1134"/>
        <w:jc w:val="both"/>
        <w:rPr>
          <w:rFonts w:ascii="Arial" w:hAnsi="Arial" w:cs="Arial"/>
          <w:sz w:val="18"/>
          <w:szCs w:val="18"/>
        </w:rPr>
      </w:pPr>
    </w:p>
    <w:p w:rsidR="007326DC" w:rsidRPr="00EC23D6" w:rsidRDefault="007326DC" w:rsidP="007326DC">
      <w:pPr>
        <w:shd w:val="clear" w:color="auto" w:fill="FFFFFF"/>
        <w:spacing w:after="0" w:line="240" w:lineRule="auto"/>
        <w:ind w:left="1134"/>
        <w:jc w:val="both"/>
        <w:rPr>
          <w:rFonts w:ascii="Arial" w:hAnsi="Arial" w:cs="Arial"/>
          <w:sz w:val="18"/>
          <w:szCs w:val="18"/>
        </w:rPr>
      </w:pPr>
    </w:p>
    <w:p w:rsidR="00486546" w:rsidRPr="00EC23D6" w:rsidRDefault="00486546" w:rsidP="00486546">
      <w:pPr>
        <w:rPr>
          <w:rFonts w:ascii="Arial" w:hAnsi="Arial" w:cs="Arial"/>
        </w:rPr>
      </w:pPr>
    </w:p>
    <w:p w:rsidR="00486546" w:rsidRPr="00486546" w:rsidRDefault="00486546" w:rsidP="00486546">
      <w:pPr>
        <w:rPr>
          <w:rFonts w:ascii="Arial" w:hAnsi="Arial" w:cs="Arial"/>
          <w:color w:val="FF0000"/>
        </w:rPr>
      </w:pPr>
      <w:r w:rsidRPr="00486546">
        <w:rPr>
          <w:rFonts w:ascii="Arial" w:hAnsi="Arial" w:cs="Arial"/>
          <w:color w:val="FF0000"/>
        </w:rPr>
        <w:br w:type="page"/>
      </w:r>
    </w:p>
    <w:p w:rsidR="00486546" w:rsidRPr="002B51BA" w:rsidRDefault="00486546" w:rsidP="002B51BA">
      <w:pPr>
        <w:pStyle w:val="Titre"/>
        <w:rPr>
          <w:rFonts w:asciiTheme="majorHAnsi" w:hAnsiTheme="majorHAnsi"/>
          <w:sz w:val="26"/>
          <w:szCs w:val="26"/>
        </w:rPr>
      </w:pPr>
      <w:bookmarkStart w:id="22" w:name="_Toc424550979"/>
      <w:bookmarkStart w:id="23" w:name="_Toc424552485"/>
      <w:bookmarkStart w:id="24" w:name="_Toc427009690"/>
      <w:bookmarkStart w:id="25" w:name="_Toc459122775"/>
      <w:bookmarkStart w:id="26" w:name="_Toc492972153"/>
      <w:r w:rsidRPr="002B51BA">
        <w:rPr>
          <w:rFonts w:asciiTheme="majorHAnsi" w:hAnsiTheme="majorHAnsi"/>
          <w:sz w:val="26"/>
          <w:szCs w:val="26"/>
        </w:rPr>
        <w:lastRenderedPageBreak/>
        <w:t>SOURCES ET METHODES</w:t>
      </w:r>
      <w:bookmarkEnd w:id="22"/>
      <w:bookmarkEnd w:id="23"/>
      <w:bookmarkEnd w:id="24"/>
      <w:bookmarkEnd w:id="25"/>
      <w:bookmarkEnd w:id="26"/>
    </w:p>
    <w:p w:rsidR="00231A0E" w:rsidRPr="00096021" w:rsidRDefault="00231A0E" w:rsidP="00096021">
      <w:pPr>
        <w:spacing w:after="120"/>
        <w:jc w:val="both"/>
        <w:rPr>
          <w:rFonts w:ascii="Arial" w:hAnsi="Arial" w:cs="Arial"/>
          <w:i/>
          <w:iCs/>
        </w:rPr>
      </w:pPr>
      <w:r w:rsidRPr="00096021">
        <w:rPr>
          <w:rFonts w:ascii="Arial" w:hAnsi="Arial" w:cs="Arial"/>
          <w:i/>
          <w:iCs/>
        </w:rPr>
        <w:t xml:space="preserve">Le Rapport sur la Coopération au Développement est produit chaque année pour retracer la situation de l’aide publique au développement fournie au Burkina Faso pendant l’année budgétaire écoulée. Le présent rapport permet d’examiner l’ensemble des opérations financières concernant les ressources extérieures au cours de l’année 2016. </w:t>
      </w:r>
    </w:p>
    <w:p w:rsidR="00231A0E" w:rsidRPr="00096021" w:rsidRDefault="00231A0E" w:rsidP="00096021">
      <w:pPr>
        <w:spacing w:after="120"/>
        <w:jc w:val="both"/>
        <w:rPr>
          <w:rFonts w:ascii="Arial" w:hAnsi="Arial" w:cs="Arial"/>
          <w:i/>
          <w:iCs/>
        </w:rPr>
      </w:pPr>
      <w:r w:rsidRPr="00096021">
        <w:rPr>
          <w:rFonts w:ascii="Arial" w:hAnsi="Arial" w:cs="Arial"/>
          <w:i/>
          <w:iCs/>
        </w:rPr>
        <w:t>Il a été rédigé par un comit</w:t>
      </w:r>
      <w:r w:rsidR="00CC1D95">
        <w:rPr>
          <w:rFonts w:ascii="Arial" w:hAnsi="Arial" w:cs="Arial"/>
          <w:i/>
          <w:iCs/>
        </w:rPr>
        <w:t xml:space="preserve">é de rédaction </w:t>
      </w:r>
      <w:r w:rsidRPr="00096021">
        <w:rPr>
          <w:rFonts w:ascii="Arial" w:hAnsi="Arial" w:cs="Arial"/>
          <w:i/>
          <w:iCs/>
        </w:rPr>
        <w:t>supervisé par Monsieur Amb</w:t>
      </w:r>
      <w:r w:rsidR="00CC1D95">
        <w:rPr>
          <w:rFonts w:ascii="Arial" w:hAnsi="Arial" w:cs="Arial"/>
          <w:i/>
          <w:iCs/>
        </w:rPr>
        <w:t>r</w:t>
      </w:r>
      <w:r w:rsidRPr="00096021">
        <w:rPr>
          <w:rFonts w:ascii="Arial" w:hAnsi="Arial" w:cs="Arial"/>
          <w:i/>
          <w:iCs/>
        </w:rPr>
        <w:t>oise KAFANDO, Directeur Général de la Coopération et se compose comme suit :</w:t>
      </w:r>
    </w:p>
    <w:p w:rsidR="00231A0E" w:rsidRPr="00096021" w:rsidRDefault="00231A0E" w:rsidP="00B92B11">
      <w:pPr>
        <w:numPr>
          <w:ilvl w:val="0"/>
          <w:numId w:val="32"/>
        </w:numPr>
        <w:spacing w:after="120"/>
        <w:ind w:left="714" w:hanging="357"/>
        <w:contextualSpacing/>
        <w:jc w:val="both"/>
        <w:rPr>
          <w:rFonts w:ascii="Arial" w:hAnsi="Arial" w:cs="Arial"/>
        </w:rPr>
      </w:pPr>
      <w:r w:rsidRPr="00096021">
        <w:rPr>
          <w:rFonts w:ascii="Arial" w:hAnsi="Arial" w:cs="Arial"/>
          <w:i/>
          <w:iCs/>
        </w:rPr>
        <w:t xml:space="preserve">Mme Alimatou ZONGO/KABORE, Directrice de la Coordination et de l’Efficacité de l’Aide Publique au Développement (DCE-APD/DGCOOP) ; </w:t>
      </w:r>
    </w:p>
    <w:p w:rsidR="00AF1896" w:rsidRPr="00A60D96" w:rsidRDefault="00231A0E" w:rsidP="00B92B11">
      <w:pPr>
        <w:numPr>
          <w:ilvl w:val="0"/>
          <w:numId w:val="32"/>
        </w:numPr>
        <w:spacing w:after="120"/>
        <w:contextualSpacing/>
        <w:jc w:val="both"/>
        <w:rPr>
          <w:rFonts w:ascii="Arial" w:hAnsi="Arial" w:cs="Arial"/>
        </w:rPr>
      </w:pPr>
      <w:r w:rsidRPr="00096021">
        <w:rPr>
          <w:rFonts w:ascii="Arial" w:hAnsi="Arial" w:cs="Arial"/>
          <w:i/>
          <w:iCs/>
        </w:rPr>
        <w:t xml:space="preserve">M. Pascal YAOGO, </w:t>
      </w:r>
      <w:r w:rsidR="00B36AAF" w:rsidRPr="00B36AAF">
        <w:rPr>
          <w:rFonts w:ascii="Arial" w:hAnsi="Arial" w:cs="Arial"/>
          <w:i/>
          <w:iCs/>
        </w:rPr>
        <w:t>Coordonnateur Technique National du Programme de Renforcement de la Gouvernance, sous-composante « Gouvernance Economique » (PRG-GE)</w:t>
      </w:r>
      <w:r w:rsidR="00405DCC">
        <w:rPr>
          <w:rFonts w:ascii="Arial" w:hAnsi="Arial" w:cs="Arial"/>
          <w:i/>
          <w:iCs/>
        </w:rPr>
        <w:t> ;</w:t>
      </w:r>
    </w:p>
    <w:p w:rsidR="00231A0E" w:rsidRPr="00096021" w:rsidRDefault="00231A0E" w:rsidP="00B92B11">
      <w:pPr>
        <w:numPr>
          <w:ilvl w:val="0"/>
          <w:numId w:val="32"/>
        </w:numPr>
        <w:spacing w:after="120"/>
        <w:ind w:left="714" w:hanging="357"/>
        <w:contextualSpacing/>
        <w:jc w:val="both"/>
        <w:rPr>
          <w:rFonts w:ascii="Arial" w:hAnsi="Arial" w:cs="Arial"/>
        </w:rPr>
      </w:pPr>
      <w:r w:rsidRPr="00096021">
        <w:rPr>
          <w:rFonts w:ascii="Arial" w:hAnsi="Arial" w:cs="Arial"/>
          <w:i/>
          <w:iCs/>
        </w:rPr>
        <w:t>Mme Salimata SY/BARRY, Chef de Service de la Coordination de l’aide Publique au développement (DCE-APD/DGCOOP) ;</w:t>
      </w:r>
    </w:p>
    <w:p w:rsidR="00231A0E" w:rsidRPr="00096021" w:rsidRDefault="00231A0E" w:rsidP="00B92B11">
      <w:pPr>
        <w:numPr>
          <w:ilvl w:val="0"/>
          <w:numId w:val="32"/>
        </w:numPr>
        <w:spacing w:after="120"/>
        <w:ind w:left="714" w:hanging="357"/>
        <w:contextualSpacing/>
        <w:jc w:val="both"/>
        <w:rPr>
          <w:rFonts w:ascii="Arial" w:hAnsi="Arial" w:cs="Arial"/>
        </w:rPr>
      </w:pPr>
      <w:r w:rsidRPr="00096021">
        <w:rPr>
          <w:rFonts w:ascii="Arial" w:hAnsi="Arial" w:cs="Arial"/>
          <w:i/>
          <w:iCs/>
        </w:rPr>
        <w:t>M. Karim OUEDRAOGO, Chef de Service de Suivi de l’efficacité de l’aide (DCE-APD/DGCOOP) ;</w:t>
      </w:r>
    </w:p>
    <w:p w:rsidR="00231A0E" w:rsidRPr="00096021" w:rsidRDefault="00231A0E" w:rsidP="00B92B11">
      <w:pPr>
        <w:numPr>
          <w:ilvl w:val="0"/>
          <w:numId w:val="32"/>
        </w:numPr>
        <w:spacing w:after="120"/>
        <w:ind w:left="714" w:hanging="357"/>
        <w:contextualSpacing/>
        <w:jc w:val="both"/>
        <w:rPr>
          <w:rFonts w:ascii="Arial" w:hAnsi="Arial" w:cs="Arial"/>
          <w:i/>
          <w:iCs/>
        </w:rPr>
      </w:pPr>
      <w:r w:rsidRPr="00096021">
        <w:rPr>
          <w:rFonts w:ascii="Arial" w:hAnsi="Arial" w:cs="Arial"/>
          <w:i/>
          <w:iCs/>
        </w:rPr>
        <w:t xml:space="preserve">M. Gustave BILLA, Chef de Service de l’analyse et des statistiques (DDP/DGTCP) ; </w:t>
      </w:r>
    </w:p>
    <w:p w:rsidR="00231A0E" w:rsidRPr="00096021" w:rsidRDefault="00231A0E" w:rsidP="00B92B11">
      <w:pPr>
        <w:numPr>
          <w:ilvl w:val="0"/>
          <w:numId w:val="32"/>
        </w:numPr>
        <w:spacing w:after="120"/>
        <w:ind w:left="714" w:hanging="357"/>
        <w:contextualSpacing/>
        <w:jc w:val="both"/>
        <w:rPr>
          <w:rFonts w:ascii="Arial" w:hAnsi="Arial" w:cs="Arial"/>
          <w:i/>
          <w:iCs/>
        </w:rPr>
      </w:pPr>
      <w:r w:rsidRPr="00096021">
        <w:rPr>
          <w:rFonts w:ascii="Arial" w:hAnsi="Arial" w:cs="Arial"/>
          <w:i/>
          <w:iCs/>
        </w:rPr>
        <w:t xml:space="preserve">M. Louis Anicet BAKOUAN, Chef de Service de la Cellule du Contrôle interne et de suivi évaluation (DGCOOP) ; </w:t>
      </w:r>
    </w:p>
    <w:p w:rsidR="00231A0E" w:rsidRPr="00096021" w:rsidRDefault="00231A0E" w:rsidP="00B92B11">
      <w:pPr>
        <w:numPr>
          <w:ilvl w:val="0"/>
          <w:numId w:val="32"/>
        </w:numPr>
        <w:spacing w:after="120"/>
        <w:ind w:left="714" w:hanging="357"/>
        <w:contextualSpacing/>
        <w:jc w:val="both"/>
        <w:rPr>
          <w:rFonts w:ascii="Arial" w:hAnsi="Arial" w:cs="Arial"/>
          <w:i/>
          <w:iCs/>
        </w:rPr>
      </w:pPr>
      <w:r w:rsidRPr="00096021">
        <w:rPr>
          <w:rFonts w:ascii="Arial" w:hAnsi="Arial" w:cs="Arial"/>
          <w:i/>
          <w:iCs/>
        </w:rPr>
        <w:t xml:space="preserve">M. Mahamadou DAYAMBA, Chef de Service juridique (DPPP/DGCOOP) ; </w:t>
      </w:r>
    </w:p>
    <w:p w:rsidR="00231A0E" w:rsidRPr="00405DCC" w:rsidRDefault="00231A0E" w:rsidP="00B92B11">
      <w:pPr>
        <w:numPr>
          <w:ilvl w:val="0"/>
          <w:numId w:val="32"/>
        </w:numPr>
        <w:spacing w:after="120"/>
        <w:ind w:left="714" w:hanging="357"/>
        <w:contextualSpacing/>
        <w:jc w:val="both"/>
        <w:rPr>
          <w:rFonts w:ascii="Arial" w:hAnsi="Arial" w:cs="Arial"/>
          <w:i/>
          <w:iCs/>
        </w:rPr>
      </w:pPr>
      <w:r w:rsidRPr="00405DCC">
        <w:rPr>
          <w:rFonts w:ascii="Arial" w:hAnsi="Arial" w:cs="Arial"/>
          <w:i/>
          <w:iCs/>
        </w:rPr>
        <w:t xml:space="preserve">Mme Fatoumata BAKO/TRAORE, </w:t>
      </w:r>
      <w:r w:rsidR="00F11086" w:rsidRPr="00405DCC">
        <w:rPr>
          <w:rFonts w:ascii="Arial" w:hAnsi="Arial" w:cs="Arial"/>
          <w:i/>
          <w:iCs/>
        </w:rPr>
        <w:t>Chef du département réforme des institutions et modernisation de l’administration publique</w:t>
      </w:r>
      <w:r w:rsidRPr="00405DCC">
        <w:rPr>
          <w:rFonts w:ascii="Arial" w:hAnsi="Arial" w:cs="Arial"/>
          <w:i/>
          <w:iCs/>
        </w:rPr>
        <w:t xml:space="preserve"> (SP/PNDES) ;</w:t>
      </w:r>
    </w:p>
    <w:p w:rsidR="00231A0E" w:rsidRPr="00096021" w:rsidRDefault="00231A0E" w:rsidP="00B92B11">
      <w:pPr>
        <w:numPr>
          <w:ilvl w:val="0"/>
          <w:numId w:val="32"/>
        </w:numPr>
        <w:spacing w:after="120"/>
        <w:ind w:left="714" w:hanging="357"/>
        <w:contextualSpacing/>
        <w:jc w:val="both"/>
        <w:rPr>
          <w:rFonts w:ascii="Arial" w:hAnsi="Arial" w:cs="Arial"/>
          <w:i/>
          <w:iCs/>
        </w:rPr>
      </w:pPr>
      <w:r w:rsidRPr="00096021">
        <w:rPr>
          <w:rFonts w:ascii="Arial" w:hAnsi="Arial" w:cs="Arial"/>
          <w:i/>
          <w:iCs/>
        </w:rPr>
        <w:t>M. Eric. W.Y</w:t>
      </w:r>
      <w:r w:rsidR="00F11086">
        <w:rPr>
          <w:rFonts w:ascii="Arial" w:hAnsi="Arial" w:cs="Arial"/>
          <w:i/>
          <w:iCs/>
        </w:rPr>
        <w:t>.</w:t>
      </w:r>
      <w:r w:rsidRPr="00096021">
        <w:rPr>
          <w:rFonts w:ascii="Arial" w:hAnsi="Arial" w:cs="Arial"/>
          <w:i/>
          <w:iCs/>
        </w:rPr>
        <w:t xml:space="preserve"> ZOURE, Chargé d’études (DPAM/DGEP) ;</w:t>
      </w:r>
    </w:p>
    <w:p w:rsidR="00231A0E" w:rsidRPr="00096021" w:rsidRDefault="00231A0E" w:rsidP="00B92B11">
      <w:pPr>
        <w:numPr>
          <w:ilvl w:val="0"/>
          <w:numId w:val="32"/>
        </w:numPr>
        <w:spacing w:after="120"/>
        <w:contextualSpacing/>
        <w:jc w:val="both"/>
        <w:rPr>
          <w:rFonts w:ascii="Arial" w:hAnsi="Arial" w:cs="Arial"/>
          <w:i/>
          <w:iCs/>
        </w:rPr>
      </w:pPr>
      <w:r w:rsidRPr="00096021">
        <w:rPr>
          <w:rFonts w:ascii="Arial" w:hAnsi="Arial" w:cs="Arial"/>
          <w:i/>
          <w:iCs/>
        </w:rPr>
        <w:t xml:space="preserve">M. </w:t>
      </w:r>
      <w:r w:rsidR="00B60219" w:rsidRPr="00B60219">
        <w:rPr>
          <w:rFonts w:ascii="Arial" w:hAnsi="Arial" w:cs="Arial"/>
          <w:i/>
          <w:iCs/>
        </w:rPr>
        <w:t>Isaac F</w:t>
      </w:r>
      <w:r w:rsidR="00F11086">
        <w:rPr>
          <w:rFonts w:ascii="Arial" w:hAnsi="Arial" w:cs="Arial"/>
          <w:i/>
          <w:iCs/>
        </w:rPr>
        <w:t>.</w:t>
      </w:r>
      <w:r w:rsidR="00B60219" w:rsidRPr="00B60219">
        <w:rPr>
          <w:rFonts w:ascii="Arial" w:hAnsi="Arial" w:cs="Arial"/>
          <w:i/>
          <w:iCs/>
        </w:rPr>
        <w:t xml:space="preserve"> W</w:t>
      </w:r>
      <w:r w:rsidR="00F11086">
        <w:rPr>
          <w:rFonts w:ascii="Arial" w:hAnsi="Arial" w:cs="Arial"/>
          <w:i/>
          <w:iCs/>
        </w:rPr>
        <w:t>.</w:t>
      </w:r>
      <w:r w:rsidR="00BC2125" w:rsidRPr="00BC2125">
        <w:rPr>
          <w:rFonts w:ascii="Arial" w:hAnsi="Arial" w:cs="Arial"/>
          <w:i/>
          <w:iCs/>
        </w:rPr>
        <w:t xml:space="preserve"> </w:t>
      </w:r>
      <w:r w:rsidR="00BC2125" w:rsidRPr="00B60219">
        <w:rPr>
          <w:rFonts w:ascii="Arial" w:hAnsi="Arial" w:cs="Arial"/>
          <w:i/>
          <w:iCs/>
        </w:rPr>
        <w:t>KABRE</w:t>
      </w:r>
      <w:r w:rsidRPr="00096021">
        <w:rPr>
          <w:rFonts w:ascii="Arial" w:hAnsi="Arial" w:cs="Arial"/>
          <w:i/>
          <w:iCs/>
        </w:rPr>
        <w:t xml:space="preserve">, Chargé d’études (DPB/DGB) ; </w:t>
      </w:r>
    </w:p>
    <w:p w:rsidR="00231A0E" w:rsidRPr="00096021" w:rsidRDefault="00231A0E" w:rsidP="00B92B11">
      <w:pPr>
        <w:numPr>
          <w:ilvl w:val="0"/>
          <w:numId w:val="32"/>
        </w:numPr>
        <w:spacing w:after="120"/>
        <w:ind w:left="714" w:hanging="357"/>
        <w:contextualSpacing/>
        <w:jc w:val="both"/>
        <w:rPr>
          <w:rFonts w:ascii="Arial" w:hAnsi="Arial" w:cs="Arial"/>
          <w:i/>
          <w:iCs/>
        </w:rPr>
      </w:pPr>
      <w:r w:rsidRPr="00096021">
        <w:rPr>
          <w:rFonts w:ascii="Arial" w:hAnsi="Arial" w:cs="Arial"/>
          <w:i/>
          <w:iCs/>
        </w:rPr>
        <w:t>M. Inouss</w:t>
      </w:r>
      <w:r w:rsidR="00BC2125">
        <w:rPr>
          <w:rFonts w:ascii="Arial" w:hAnsi="Arial" w:cs="Arial"/>
          <w:i/>
          <w:iCs/>
        </w:rPr>
        <w:t>a KANTAGBA, Chargé d’études (D</w:t>
      </w:r>
      <w:r w:rsidRPr="00096021">
        <w:rPr>
          <w:rFonts w:ascii="Arial" w:hAnsi="Arial" w:cs="Arial"/>
          <w:i/>
          <w:iCs/>
        </w:rPr>
        <w:t>P-ONG/DGCOOP) ;</w:t>
      </w:r>
    </w:p>
    <w:p w:rsidR="00231A0E" w:rsidRPr="00096021" w:rsidRDefault="00231A0E" w:rsidP="00B92B11">
      <w:pPr>
        <w:numPr>
          <w:ilvl w:val="0"/>
          <w:numId w:val="32"/>
        </w:numPr>
        <w:spacing w:after="120"/>
        <w:ind w:left="714" w:hanging="357"/>
        <w:contextualSpacing/>
        <w:jc w:val="both"/>
        <w:rPr>
          <w:rFonts w:ascii="Arial" w:hAnsi="Arial" w:cs="Arial"/>
        </w:rPr>
      </w:pPr>
      <w:r w:rsidRPr="00096021">
        <w:rPr>
          <w:rFonts w:ascii="Arial" w:hAnsi="Arial" w:cs="Arial"/>
          <w:i/>
          <w:iCs/>
        </w:rPr>
        <w:t>Mme. Aminata OUEDRAOGO/SANOGO, Chargée de programmes (DCB/DGCOOP) ;</w:t>
      </w:r>
    </w:p>
    <w:p w:rsidR="00231A0E" w:rsidRPr="00096021" w:rsidRDefault="00231A0E" w:rsidP="00B92B11">
      <w:pPr>
        <w:numPr>
          <w:ilvl w:val="0"/>
          <w:numId w:val="32"/>
        </w:numPr>
        <w:spacing w:after="120"/>
        <w:ind w:left="714" w:hanging="357"/>
        <w:contextualSpacing/>
        <w:jc w:val="both"/>
        <w:rPr>
          <w:rFonts w:ascii="Arial" w:hAnsi="Arial" w:cs="Arial"/>
        </w:rPr>
      </w:pPr>
      <w:r w:rsidRPr="00096021">
        <w:rPr>
          <w:rFonts w:ascii="Arial" w:hAnsi="Arial" w:cs="Arial"/>
          <w:i/>
          <w:iCs/>
        </w:rPr>
        <w:t>M. Ap</w:t>
      </w:r>
      <w:r w:rsidR="00BC2125">
        <w:rPr>
          <w:rFonts w:ascii="Arial" w:hAnsi="Arial" w:cs="Arial"/>
          <w:i/>
          <w:iCs/>
        </w:rPr>
        <w:t>po</w:t>
      </w:r>
      <w:r w:rsidRPr="00096021">
        <w:rPr>
          <w:rFonts w:ascii="Arial" w:hAnsi="Arial" w:cs="Arial"/>
          <w:i/>
          <w:iCs/>
        </w:rPr>
        <w:t>linaire. W. OUEDRAOGO, Chargé de programmes (DCM/DGCOOP)</w:t>
      </w:r>
    </w:p>
    <w:p w:rsidR="00231A0E" w:rsidRPr="00096021" w:rsidRDefault="001F6034" w:rsidP="00B92B11">
      <w:pPr>
        <w:numPr>
          <w:ilvl w:val="0"/>
          <w:numId w:val="32"/>
        </w:numPr>
        <w:spacing w:after="120"/>
        <w:ind w:left="714" w:hanging="357"/>
        <w:contextualSpacing/>
        <w:jc w:val="both"/>
        <w:rPr>
          <w:rFonts w:ascii="Arial" w:hAnsi="Arial" w:cs="Arial"/>
        </w:rPr>
      </w:pPr>
      <w:r>
        <w:rPr>
          <w:rFonts w:ascii="Arial" w:hAnsi="Arial" w:cs="Arial"/>
          <w:i/>
          <w:iCs/>
        </w:rPr>
        <w:t>Mme Diane SAMA/DABIRE, C</w:t>
      </w:r>
      <w:r w:rsidR="00231A0E" w:rsidRPr="00096021">
        <w:rPr>
          <w:rFonts w:ascii="Arial" w:hAnsi="Arial" w:cs="Arial"/>
          <w:i/>
          <w:iCs/>
        </w:rPr>
        <w:t>hargée d’études (DSPF/DGCOOP) ;</w:t>
      </w:r>
    </w:p>
    <w:p w:rsidR="00231A0E" w:rsidRPr="00096021" w:rsidRDefault="00231A0E" w:rsidP="00B92B11">
      <w:pPr>
        <w:numPr>
          <w:ilvl w:val="0"/>
          <w:numId w:val="32"/>
        </w:numPr>
        <w:spacing w:after="120"/>
        <w:ind w:left="714" w:hanging="357"/>
        <w:contextualSpacing/>
        <w:jc w:val="both"/>
        <w:rPr>
          <w:rFonts w:ascii="Arial" w:hAnsi="Arial" w:cs="Arial"/>
        </w:rPr>
      </w:pPr>
      <w:r w:rsidRPr="00096021">
        <w:rPr>
          <w:rFonts w:ascii="Arial" w:hAnsi="Arial" w:cs="Arial"/>
          <w:i/>
          <w:iCs/>
        </w:rPr>
        <w:t xml:space="preserve">Mme Justine DAMBRE/NIKIEMA, Chargée d’études (DCE-APD/DG-COOP) ;  </w:t>
      </w:r>
    </w:p>
    <w:p w:rsidR="00231A0E" w:rsidRPr="00096021" w:rsidRDefault="00231A0E" w:rsidP="00B92B11">
      <w:pPr>
        <w:numPr>
          <w:ilvl w:val="0"/>
          <w:numId w:val="32"/>
        </w:numPr>
        <w:spacing w:after="120"/>
        <w:ind w:left="714" w:hanging="357"/>
        <w:contextualSpacing/>
        <w:jc w:val="both"/>
        <w:rPr>
          <w:rFonts w:ascii="Arial" w:hAnsi="Arial" w:cs="Arial"/>
        </w:rPr>
      </w:pPr>
      <w:r w:rsidRPr="00096021">
        <w:rPr>
          <w:rFonts w:ascii="Arial" w:hAnsi="Arial" w:cs="Arial"/>
          <w:i/>
        </w:rPr>
        <w:t>M</w:t>
      </w:r>
      <w:r w:rsidRPr="00096021">
        <w:rPr>
          <w:rFonts w:ascii="Arial" w:hAnsi="Arial" w:cs="Arial"/>
          <w:i/>
          <w:iCs/>
        </w:rPr>
        <w:t>me R. Raïssa SANOU/OUEDRAOGO, Chargée d’études (DCE-APD/DGCOOP) ;</w:t>
      </w:r>
    </w:p>
    <w:p w:rsidR="00231A0E" w:rsidRPr="00096021" w:rsidRDefault="001F6034" w:rsidP="00B92B11">
      <w:pPr>
        <w:numPr>
          <w:ilvl w:val="0"/>
          <w:numId w:val="32"/>
        </w:numPr>
        <w:spacing w:after="120"/>
        <w:ind w:left="714" w:hanging="357"/>
        <w:contextualSpacing/>
        <w:jc w:val="both"/>
        <w:rPr>
          <w:rFonts w:ascii="Arial" w:hAnsi="Arial" w:cs="Arial"/>
          <w:i/>
        </w:rPr>
      </w:pPr>
      <w:r>
        <w:rPr>
          <w:rFonts w:ascii="Arial" w:hAnsi="Arial" w:cs="Arial"/>
          <w:i/>
          <w:iCs/>
        </w:rPr>
        <w:t>Mme Mariam SORY/TRAORE, C</w:t>
      </w:r>
      <w:r w:rsidR="00231A0E" w:rsidRPr="00096021">
        <w:rPr>
          <w:rFonts w:ascii="Arial" w:hAnsi="Arial" w:cs="Arial"/>
          <w:i/>
          <w:iCs/>
        </w:rPr>
        <w:t xml:space="preserve">hargée d’études (DCE-APD/DGCOOP). </w:t>
      </w:r>
    </w:p>
    <w:p w:rsidR="00231A0E" w:rsidRPr="00096021" w:rsidRDefault="00231A0E" w:rsidP="00B92B11">
      <w:pPr>
        <w:numPr>
          <w:ilvl w:val="0"/>
          <w:numId w:val="32"/>
        </w:numPr>
        <w:spacing w:after="120"/>
        <w:ind w:left="714" w:hanging="357"/>
        <w:contextualSpacing/>
        <w:jc w:val="both"/>
        <w:rPr>
          <w:rFonts w:ascii="Arial" w:hAnsi="Arial" w:cs="Arial"/>
          <w:i/>
        </w:rPr>
      </w:pPr>
      <w:r w:rsidRPr="00096021">
        <w:rPr>
          <w:rFonts w:ascii="Arial" w:hAnsi="Arial" w:cs="Arial"/>
          <w:i/>
          <w:iCs/>
        </w:rPr>
        <w:t>M. Moustapha D.BAGA, Chargé d’études (DCE-APD/DGCOOP).</w:t>
      </w:r>
    </w:p>
    <w:p w:rsidR="00231A0E" w:rsidRPr="00096021" w:rsidRDefault="00231A0E" w:rsidP="00B92B11">
      <w:pPr>
        <w:numPr>
          <w:ilvl w:val="0"/>
          <w:numId w:val="32"/>
        </w:numPr>
        <w:spacing w:after="120"/>
        <w:jc w:val="both"/>
        <w:rPr>
          <w:rFonts w:ascii="Arial" w:hAnsi="Arial" w:cs="Arial"/>
          <w:i/>
        </w:rPr>
      </w:pPr>
      <w:r w:rsidRPr="00096021">
        <w:rPr>
          <w:rFonts w:ascii="Arial" w:hAnsi="Arial" w:cs="Arial"/>
          <w:i/>
          <w:iCs/>
        </w:rPr>
        <w:t>Mme Pascaline KOHOUN/DAKUYO, Chargée d’études (DCE-APD/DGCOOP).</w:t>
      </w:r>
    </w:p>
    <w:p w:rsidR="00231A0E" w:rsidRPr="00096021" w:rsidRDefault="00231A0E" w:rsidP="00096021">
      <w:pPr>
        <w:spacing w:after="120"/>
        <w:jc w:val="both"/>
        <w:rPr>
          <w:rFonts w:ascii="Arial" w:hAnsi="Arial" w:cs="Arial"/>
          <w:i/>
          <w:iCs/>
        </w:rPr>
      </w:pPr>
      <w:r w:rsidRPr="00096021">
        <w:rPr>
          <w:rFonts w:ascii="Arial" w:hAnsi="Arial" w:cs="Arial"/>
          <w:i/>
          <w:iCs/>
        </w:rPr>
        <w:t>Le processus de production du rapport a connu les éta</w:t>
      </w:r>
      <w:r w:rsidR="0084193F">
        <w:rPr>
          <w:rFonts w:ascii="Arial" w:hAnsi="Arial" w:cs="Arial"/>
          <w:i/>
          <w:iCs/>
        </w:rPr>
        <w:t>pes suivantes : (i) la collecte,</w:t>
      </w:r>
      <w:r w:rsidR="000E717D">
        <w:rPr>
          <w:rFonts w:ascii="Arial" w:hAnsi="Arial" w:cs="Arial"/>
          <w:i/>
          <w:iCs/>
        </w:rPr>
        <w:t xml:space="preserve"> la saisie</w:t>
      </w:r>
      <w:r w:rsidR="0084193F">
        <w:rPr>
          <w:rFonts w:ascii="Arial" w:hAnsi="Arial" w:cs="Arial"/>
          <w:i/>
          <w:iCs/>
        </w:rPr>
        <w:t xml:space="preserve"> et le traitement</w:t>
      </w:r>
      <w:r w:rsidR="000E717D">
        <w:rPr>
          <w:rFonts w:ascii="Arial" w:hAnsi="Arial" w:cs="Arial"/>
          <w:i/>
          <w:iCs/>
        </w:rPr>
        <w:t xml:space="preserve"> </w:t>
      </w:r>
      <w:r w:rsidRPr="00096021">
        <w:rPr>
          <w:rFonts w:ascii="Arial" w:hAnsi="Arial" w:cs="Arial"/>
          <w:i/>
          <w:iCs/>
        </w:rPr>
        <w:t xml:space="preserve">des données (ii) le choix du thème et l’élaboration des termes de référence des ateliers de rédaction, (iii) l’élaboration d’un draft du document par la Direction Générale de la Coopération, (iv) les travaux en ateliers suivis de la validation avec les acteurs concernés, (v) la présentation du rapport au Gouvernement et (vi) la publication et la ventilation du document. </w:t>
      </w:r>
    </w:p>
    <w:p w:rsidR="00231A0E" w:rsidRPr="00096021" w:rsidRDefault="00231A0E" w:rsidP="00096021">
      <w:pPr>
        <w:spacing w:after="120"/>
        <w:jc w:val="both"/>
        <w:rPr>
          <w:rFonts w:ascii="Arial" w:hAnsi="Arial" w:cs="Arial"/>
          <w:i/>
          <w:iCs/>
        </w:rPr>
      </w:pPr>
      <w:r w:rsidRPr="00096021">
        <w:rPr>
          <w:rFonts w:ascii="Arial" w:hAnsi="Arial" w:cs="Arial"/>
          <w:i/>
          <w:iCs/>
        </w:rPr>
        <w:t>Outre, le comité de rédaction, des personnes ressources ont apporté leurs contributions à l’élaboration du rapport.</w:t>
      </w:r>
    </w:p>
    <w:p w:rsidR="0036646C" w:rsidRDefault="00231A0E" w:rsidP="00096021">
      <w:pPr>
        <w:spacing w:after="120"/>
        <w:jc w:val="both"/>
        <w:rPr>
          <w:rFonts w:ascii="Arial" w:hAnsi="Arial" w:cs="Arial"/>
          <w:i/>
          <w:iCs/>
        </w:rPr>
      </w:pPr>
      <w:r w:rsidRPr="00096021">
        <w:rPr>
          <w:rFonts w:ascii="Arial" w:hAnsi="Arial" w:cs="Arial"/>
          <w:i/>
          <w:iCs/>
        </w:rPr>
        <w:t>Les informations économiques et sociales ont été collectées auprès des structures techniques des départements ministériels. Celles relatives aux décaissements proviennent des partenaires techniques et financiers (PTF), des ONG et de l’Administration. Ces données ont été saisies et traitées dans le logiciel « Plateforme de Gestion de l’Aide », selon les devises ayant se</w:t>
      </w:r>
      <w:r w:rsidR="0036646C">
        <w:rPr>
          <w:rFonts w:ascii="Arial" w:hAnsi="Arial" w:cs="Arial"/>
          <w:i/>
          <w:iCs/>
        </w:rPr>
        <w:t xml:space="preserve">rvi aux transactions. </w:t>
      </w:r>
    </w:p>
    <w:p w:rsidR="00705FD7" w:rsidRDefault="00231A0E" w:rsidP="00705FD7">
      <w:pPr>
        <w:spacing w:after="120"/>
        <w:jc w:val="both"/>
        <w:rPr>
          <w:rFonts w:ascii="Arial" w:hAnsi="Arial" w:cs="Arial"/>
          <w:i/>
          <w:iCs/>
        </w:rPr>
      </w:pPr>
      <w:r w:rsidRPr="00096021">
        <w:rPr>
          <w:rFonts w:ascii="Arial" w:hAnsi="Arial" w:cs="Arial"/>
          <w:i/>
          <w:iCs/>
        </w:rPr>
        <w:t xml:space="preserve">En outre, les taux utilisés pour la conversion en dollar sont ceux publiés sur le site web </w:t>
      </w:r>
      <w:hyperlink w:history="1">
        <w:r w:rsidR="00096021" w:rsidRPr="00FA7943">
          <w:rPr>
            <w:rStyle w:val="Lienhypertexte"/>
            <w:rFonts w:ascii="Arial" w:hAnsi="Arial" w:cs="Arial"/>
          </w:rPr>
          <w:t xml:space="preserve">www.oanda.com </w:t>
        </w:r>
        <w:r w:rsidR="00096021" w:rsidRPr="00096021">
          <w:rPr>
            <w:rStyle w:val="Lienhypertexte"/>
            <w:rFonts w:ascii="Arial" w:hAnsi="Arial" w:cs="Arial"/>
            <w:i/>
            <w:iCs/>
            <w:color w:val="auto"/>
            <w:u w:val="none"/>
          </w:rPr>
          <w:t>re</w:t>
        </w:r>
      </w:hyperlink>
      <w:r w:rsidRPr="00096021">
        <w:rPr>
          <w:rFonts w:ascii="Arial" w:hAnsi="Arial" w:cs="Arial"/>
          <w:i/>
          <w:iCs/>
        </w:rPr>
        <w:t xml:space="preserve">commandé par l’OCDE. Les taux retenus correspondent aux taux moyens annuels. Le taux de change </w:t>
      </w:r>
      <w:r w:rsidRPr="00096021">
        <w:rPr>
          <w:rFonts w:ascii="Arial" w:hAnsi="Arial" w:cs="Arial"/>
          <w:i/>
          <w:iCs/>
        </w:rPr>
        <w:lastRenderedPageBreak/>
        <w:t xml:space="preserve">annuel moyen du dollar US en </w:t>
      </w:r>
      <w:r w:rsidR="00411DA3" w:rsidRPr="00096021">
        <w:rPr>
          <w:rFonts w:ascii="Arial" w:hAnsi="Arial" w:cs="Arial"/>
          <w:i/>
          <w:iCs/>
        </w:rPr>
        <w:t>201</w:t>
      </w:r>
      <w:r w:rsidR="00411DA3">
        <w:rPr>
          <w:rFonts w:ascii="Arial" w:hAnsi="Arial" w:cs="Arial"/>
          <w:i/>
          <w:iCs/>
        </w:rPr>
        <w:t>6</w:t>
      </w:r>
      <w:r w:rsidR="00411DA3" w:rsidRPr="00096021">
        <w:rPr>
          <w:rFonts w:ascii="Arial" w:hAnsi="Arial" w:cs="Arial"/>
          <w:i/>
          <w:iCs/>
        </w:rPr>
        <w:t xml:space="preserve"> </w:t>
      </w:r>
      <w:r w:rsidRPr="00096021">
        <w:rPr>
          <w:rFonts w:ascii="Arial" w:hAnsi="Arial" w:cs="Arial"/>
          <w:i/>
          <w:iCs/>
        </w:rPr>
        <w:t xml:space="preserve">est de </w:t>
      </w:r>
      <w:r w:rsidR="00411DA3" w:rsidRPr="00411DA3">
        <w:rPr>
          <w:rFonts w:ascii="Arial" w:hAnsi="Arial" w:cs="Arial"/>
          <w:i/>
          <w:iCs/>
        </w:rPr>
        <w:t xml:space="preserve">593,1 </w:t>
      </w:r>
      <w:r w:rsidRPr="00096021">
        <w:rPr>
          <w:rFonts w:ascii="Arial" w:hAnsi="Arial" w:cs="Arial"/>
          <w:i/>
          <w:iCs/>
        </w:rPr>
        <w:t xml:space="preserve">FCFA. Pour l’analyse des flux d’aide, </w:t>
      </w:r>
      <w:r w:rsidR="00D87AC8">
        <w:rPr>
          <w:rFonts w:ascii="Arial" w:hAnsi="Arial" w:cs="Arial"/>
          <w:i/>
          <w:iCs/>
        </w:rPr>
        <w:t xml:space="preserve">la </w:t>
      </w:r>
      <w:r w:rsidRPr="00096021">
        <w:rPr>
          <w:rFonts w:ascii="Arial" w:hAnsi="Arial" w:cs="Arial"/>
          <w:i/>
          <w:iCs/>
        </w:rPr>
        <w:t xml:space="preserve">classification sectorielle utilisée </w:t>
      </w:r>
      <w:r w:rsidR="00D87AC8">
        <w:rPr>
          <w:rFonts w:ascii="Arial" w:hAnsi="Arial" w:cs="Arial"/>
          <w:i/>
          <w:iCs/>
        </w:rPr>
        <w:t xml:space="preserve">est celle </w:t>
      </w:r>
      <w:r w:rsidR="00CF6308">
        <w:rPr>
          <w:rFonts w:ascii="Arial" w:hAnsi="Arial" w:cs="Arial"/>
          <w:i/>
          <w:iCs/>
        </w:rPr>
        <w:t>contenue dans le PNDES.</w:t>
      </w:r>
    </w:p>
    <w:p w:rsidR="00705FD7" w:rsidRPr="00096021" w:rsidRDefault="00705FD7" w:rsidP="00705FD7">
      <w:pPr>
        <w:spacing w:after="120"/>
        <w:jc w:val="both"/>
        <w:rPr>
          <w:rFonts w:ascii="Arial" w:hAnsi="Arial" w:cs="Arial"/>
          <w:i/>
          <w:iCs/>
        </w:rPr>
      </w:pPr>
      <w:r>
        <w:rPr>
          <w:rFonts w:ascii="Arial" w:hAnsi="Arial" w:cs="Arial"/>
          <w:i/>
          <w:iCs/>
        </w:rPr>
        <w:t>C</w:t>
      </w:r>
      <w:r w:rsidRPr="00096021">
        <w:rPr>
          <w:rFonts w:ascii="Arial" w:hAnsi="Arial" w:cs="Arial"/>
          <w:i/>
          <w:iCs/>
        </w:rPr>
        <w:t xml:space="preserve">ette activité </w:t>
      </w:r>
      <w:r w:rsidR="00E93247">
        <w:rPr>
          <w:rFonts w:ascii="Arial" w:hAnsi="Arial" w:cs="Arial"/>
          <w:i/>
          <w:iCs/>
        </w:rPr>
        <w:t>est</w:t>
      </w:r>
      <w:r w:rsidRPr="00096021">
        <w:rPr>
          <w:rFonts w:ascii="Arial" w:hAnsi="Arial" w:cs="Arial"/>
          <w:i/>
          <w:iCs/>
        </w:rPr>
        <w:t xml:space="preserve"> rendu</w:t>
      </w:r>
      <w:r w:rsidR="00E93247">
        <w:rPr>
          <w:rFonts w:ascii="Arial" w:hAnsi="Arial" w:cs="Arial"/>
          <w:i/>
          <w:iCs/>
        </w:rPr>
        <w:t>e</w:t>
      </w:r>
      <w:r w:rsidRPr="00096021">
        <w:rPr>
          <w:rFonts w:ascii="Arial" w:hAnsi="Arial" w:cs="Arial"/>
          <w:i/>
          <w:iCs/>
        </w:rPr>
        <w:t xml:space="preserve"> possible grâce à </w:t>
      </w:r>
      <w:r>
        <w:rPr>
          <w:rFonts w:ascii="Arial" w:hAnsi="Arial" w:cs="Arial"/>
          <w:i/>
          <w:iCs/>
        </w:rPr>
        <w:t>l’accompagnement</w:t>
      </w:r>
      <w:r w:rsidRPr="00096021">
        <w:rPr>
          <w:rFonts w:ascii="Arial" w:hAnsi="Arial" w:cs="Arial"/>
          <w:i/>
          <w:iCs/>
        </w:rPr>
        <w:t xml:space="preserve"> du </w:t>
      </w:r>
      <w:r>
        <w:rPr>
          <w:rFonts w:ascii="Arial" w:hAnsi="Arial" w:cs="Arial"/>
          <w:i/>
          <w:iCs/>
        </w:rPr>
        <w:t>Programme des Nations Unies pour le Développement</w:t>
      </w:r>
      <w:r w:rsidR="001252BD">
        <w:rPr>
          <w:rFonts w:ascii="Arial" w:hAnsi="Arial" w:cs="Arial"/>
          <w:i/>
          <w:iCs/>
        </w:rPr>
        <w:t xml:space="preserve"> (PNUD)</w:t>
      </w:r>
      <w:r>
        <w:rPr>
          <w:rFonts w:ascii="Arial" w:hAnsi="Arial" w:cs="Arial"/>
          <w:i/>
          <w:iCs/>
        </w:rPr>
        <w:t xml:space="preserve"> </w:t>
      </w:r>
      <w:r w:rsidR="0060083A">
        <w:rPr>
          <w:rFonts w:ascii="Arial" w:hAnsi="Arial" w:cs="Arial"/>
          <w:i/>
          <w:iCs/>
        </w:rPr>
        <w:t>à travers le</w:t>
      </w:r>
      <w:r w:rsidRPr="00096021">
        <w:rPr>
          <w:rFonts w:ascii="Arial" w:hAnsi="Arial" w:cs="Arial"/>
          <w:i/>
          <w:iCs/>
        </w:rPr>
        <w:t xml:space="preserve"> Programme de Renforcement de la Gouvernance (PRG)</w:t>
      </w:r>
      <w:r w:rsidR="001252BD">
        <w:rPr>
          <w:rFonts w:ascii="Arial" w:hAnsi="Arial" w:cs="Arial"/>
          <w:i/>
          <w:iCs/>
        </w:rPr>
        <w:t>.</w:t>
      </w:r>
      <w:r w:rsidRPr="00096021">
        <w:rPr>
          <w:rFonts w:ascii="Arial" w:hAnsi="Arial" w:cs="Arial"/>
          <w:i/>
          <w:iCs/>
        </w:rPr>
        <w:t xml:space="preserve"> </w:t>
      </w:r>
    </w:p>
    <w:p w:rsidR="00231A0E" w:rsidRPr="00096021" w:rsidRDefault="00231A0E" w:rsidP="00096021">
      <w:pPr>
        <w:spacing w:after="120"/>
        <w:jc w:val="both"/>
        <w:rPr>
          <w:rFonts w:ascii="Arial" w:hAnsi="Arial" w:cs="Arial"/>
          <w:i/>
          <w:iCs/>
        </w:rPr>
      </w:pPr>
      <w:r w:rsidRPr="00096021">
        <w:rPr>
          <w:rFonts w:ascii="Arial" w:hAnsi="Arial" w:cs="Arial"/>
          <w:i/>
          <w:iCs/>
        </w:rPr>
        <w:t>Enfin, le processus de rédaction a été empreint de difficultés qui sont entre autres la transmission tardive des données, la transmission agrégée de certaines données qui ne permettait pas un renseignement adéquat de la Plateforme,</w:t>
      </w:r>
      <w:r w:rsidR="00C14283">
        <w:rPr>
          <w:rFonts w:ascii="Arial" w:hAnsi="Arial" w:cs="Arial"/>
          <w:i/>
          <w:iCs/>
        </w:rPr>
        <w:t xml:space="preserve"> </w:t>
      </w:r>
      <w:r w:rsidRPr="00096021">
        <w:rPr>
          <w:rFonts w:ascii="Arial" w:hAnsi="Arial" w:cs="Arial"/>
          <w:i/>
          <w:iCs/>
        </w:rPr>
        <w:t xml:space="preserve">l’incomplétude de certaines données fournies, l’absence des données désagrégées par secteurs et par </w:t>
      </w:r>
      <w:r w:rsidR="002D3BCD" w:rsidRPr="00096021">
        <w:rPr>
          <w:rFonts w:ascii="Arial" w:hAnsi="Arial" w:cs="Arial"/>
          <w:i/>
          <w:iCs/>
        </w:rPr>
        <w:t>O</w:t>
      </w:r>
      <w:r w:rsidR="00C14283">
        <w:rPr>
          <w:rFonts w:ascii="Arial" w:hAnsi="Arial" w:cs="Arial"/>
          <w:i/>
          <w:iCs/>
        </w:rPr>
        <w:t xml:space="preserve">bjectifs de </w:t>
      </w:r>
      <w:r w:rsidR="002D3BCD">
        <w:rPr>
          <w:rFonts w:ascii="Arial" w:hAnsi="Arial" w:cs="Arial"/>
          <w:i/>
          <w:iCs/>
        </w:rPr>
        <w:t>D</w:t>
      </w:r>
      <w:r w:rsidR="00C14283">
        <w:rPr>
          <w:rFonts w:ascii="Arial" w:hAnsi="Arial" w:cs="Arial"/>
          <w:i/>
          <w:iCs/>
        </w:rPr>
        <w:t xml:space="preserve">éveloppement </w:t>
      </w:r>
      <w:r w:rsidR="002D3BCD">
        <w:rPr>
          <w:rFonts w:ascii="Arial" w:hAnsi="Arial" w:cs="Arial"/>
          <w:i/>
          <w:iCs/>
        </w:rPr>
        <w:t>D</w:t>
      </w:r>
      <w:r w:rsidR="00C14283">
        <w:rPr>
          <w:rFonts w:ascii="Arial" w:hAnsi="Arial" w:cs="Arial"/>
          <w:i/>
          <w:iCs/>
        </w:rPr>
        <w:t>urable</w:t>
      </w:r>
      <w:r w:rsidR="00095F91">
        <w:rPr>
          <w:rFonts w:ascii="Arial" w:hAnsi="Arial" w:cs="Arial"/>
          <w:i/>
          <w:iCs/>
        </w:rPr>
        <w:t xml:space="preserve"> (ODD)</w:t>
      </w:r>
      <w:r w:rsidR="00C14283">
        <w:rPr>
          <w:rFonts w:ascii="Arial" w:hAnsi="Arial" w:cs="Arial"/>
          <w:i/>
          <w:iCs/>
        </w:rPr>
        <w:t xml:space="preserve">, l’accessibilité de la plateforme de gestion de l’Aide, le paramétrage des </w:t>
      </w:r>
      <w:r w:rsidR="00893AEA">
        <w:rPr>
          <w:rFonts w:ascii="Arial" w:hAnsi="Arial" w:cs="Arial"/>
          <w:i/>
          <w:iCs/>
        </w:rPr>
        <w:t>secteurs du PNDES.</w:t>
      </w:r>
    </w:p>
    <w:p w:rsidR="00231A0E" w:rsidRDefault="00231A0E" w:rsidP="00096021">
      <w:pPr>
        <w:spacing w:after="120"/>
        <w:jc w:val="both"/>
        <w:rPr>
          <w:rFonts w:ascii="Arial" w:hAnsi="Arial" w:cs="Arial"/>
          <w:i/>
          <w:iCs/>
        </w:rPr>
      </w:pPr>
      <w:r w:rsidRPr="00096021">
        <w:rPr>
          <w:rFonts w:ascii="Arial" w:hAnsi="Arial" w:cs="Arial"/>
          <w:i/>
          <w:iCs/>
        </w:rPr>
        <w:t>Pour pallier la difficulté relative à la transmission tardive des décaissements, l’atelier de validation des données consacrera désormais la validation définitive des données.</w:t>
      </w:r>
    </w:p>
    <w:p w:rsidR="00CE5483" w:rsidRPr="00096021" w:rsidRDefault="00CE5483" w:rsidP="00096021">
      <w:pPr>
        <w:spacing w:after="120"/>
        <w:jc w:val="both"/>
        <w:rPr>
          <w:rFonts w:ascii="Arial" w:hAnsi="Arial" w:cs="Arial"/>
        </w:rPr>
      </w:pPr>
    </w:p>
    <w:p w:rsidR="00486546" w:rsidRPr="00096021" w:rsidRDefault="00486546" w:rsidP="00096021">
      <w:pPr>
        <w:spacing w:after="120"/>
        <w:rPr>
          <w:rFonts w:ascii="Arial" w:hAnsi="Arial" w:cs="Arial"/>
          <w:b/>
        </w:rPr>
      </w:pPr>
      <w:r w:rsidRPr="00096021">
        <w:rPr>
          <w:rFonts w:ascii="Arial" w:hAnsi="Arial" w:cs="Arial"/>
          <w:i/>
          <w:iCs/>
        </w:rPr>
        <w:t>.</w:t>
      </w:r>
      <w:r w:rsidRPr="00096021">
        <w:rPr>
          <w:rFonts w:ascii="Arial" w:hAnsi="Arial" w:cs="Arial"/>
          <w:b/>
        </w:rPr>
        <w:br w:type="page"/>
      </w:r>
    </w:p>
    <w:p w:rsidR="00486546" w:rsidRPr="009F0E05" w:rsidRDefault="00486546" w:rsidP="00A1666B">
      <w:pPr>
        <w:pStyle w:val="Titre"/>
        <w:rPr>
          <w:rFonts w:asciiTheme="majorHAnsi" w:hAnsiTheme="majorHAnsi"/>
          <w:sz w:val="26"/>
          <w:szCs w:val="26"/>
        </w:rPr>
      </w:pPr>
      <w:bookmarkStart w:id="27" w:name="_Toc459122776"/>
      <w:bookmarkStart w:id="28" w:name="_Toc492972154"/>
      <w:r w:rsidRPr="009F0E05">
        <w:rPr>
          <w:rFonts w:asciiTheme="majorHAnsi" w:hAnsiTheme="majorHAnsi"/>
          <w:sz w:val="26"/>
          <w:szCs w:val="26"/>
        </w:rPr>
        <w:lastRenderedPageBreak/>
        <w:t>RESUME</w:t>
      </w:r>
      <w:bookmarkEnd w:id="27"/>
      <w:bookmarkEnd w:id="28"/>
    </w:p>
    <w:p w:rsidR="001F59B4" w:rsidRPr="004C3EFB" w:rsidRDefault="001F59B4" w:rsidP="00096021">
      <w:pPr>
        <w:autoSpaceDE w:val="0"/>
        <w:autoSpaceDN w:val="0"/>
        <w:adjustRightInd w:val="0"/>
        <w:spacing w:after="120"/>
        <w:jc w:val="both"/>
        <w:rPr>
          <w:rFonts w:ascii="Arial" w:hAnsi="Arial" w:cs="Arial"/>
          <w:bCs/>
          <w:iCs/>
        </w:rPr>
      </w:pPr>
      <w:bookmarkStart w:id="29" w:name="_Toc395864348"/>
      <w:bookmarkEnd w:id="29"/>
      <w:r>
        <w:rPr>
          <w:rFonts w:ascii="Arial" w:hAnsi="Arial" w:cs="Arial"/>
        </w:rPr>
        <w:t xml:space="preserve">En </w:t>
      </w:r>
      <w:r w:rsidR="00C76965">
        <w:rPr>
          <w:rFonts w:ascii="Arial" w:hAnsi="Arial" w:cs="Arial"/>
        </w:rPr>
        <w:t>2016</w:t>
      </w:r>
      <w:r w:rsidR="00FD0C17">
        <w:rPr>
          <w:rFonts w:ascii="Arial" w:hAnsi="Arial" w:cs="Arial"/>
        </w:rPr>
        <w:t>, en</w:t>
      </w:r>
      <w:r w:rsidR="00C76965">
        <w:rPr>
          <w:rFonts w:ascii="Arial" w:hAnsi="Arial" w:cs="Arial"/>
        </w:rPr>
        <w:t xml:space="preserve"> </w:t>
      </w:r>
      <w:r>
        <w:rPr>
          <w:rFonts w:ascii="Arial" w:hAnsi="Arial" w:cs="Arial"/>
        </w:rPr>
        <w:t xml:space="preserve">dépit d’une </w:t>
      </w:r>
      <w:r w:rsidRPr="004C3EFB">
        <w:rPr>
          <w:rFonts w:ascii="Arial" w:hAnsi="Arial" w:cs="Arial"/>
        </w:rPr>
        <w:t xml:space="preserve">situation sécuritaire </w:t>
      </w:r>
      <w:r>
        <w:rPr>
          <w:rFonts w:ascii="Arial" w:hAnsi="Arial" w:cs="Arial"/>
        </w:rPr>
        <w:t>difficile et d’un cli</w:t>
      </w:r>
      <w:r w:rsidR="00FB460A">
        <w:rPr>
          <w:rFonts w:ascii="Arial" w:hAnsi="Arial" w:cs="Arial"/>
        </w:rPr>
        <w:t xml:space="preserve">mat social délétère, le pays a </w:t>
      </w:r>
      <w:r>
        <w:rPr>
          <w:rFonts w:ascii="Arial" w:hAnsi="Arial" w:cs="Arial"/>
        </w:rPr>
        <w:t xml:space="preserve">enregistré </w:t>
      </w:r>
      <w:r w:rsidRPr="004C3EFB">
        <w:rPr>
          <w:rFonts w:ascii="Arial" w:hAnsi="Arial" w:cs="Arial"/>
        </w:rPr>
        <w:t>une croissance économique</w:t>
      </w:r>
      <w:r w:rsidR="00F75ABA">
        <w:rPr>
          <w:rFonts w:ascii="Arial" w:hAnsi="Arial" w:cs="Arial"/>
        </w:rPr>
        <w:t xml:space="preserve"> de </w:t>
      </w:r>
      <w:r w:rsidRPr="004C3EFB">
        <w:rPr>
          <w:rFonts w:ascii="Arial" w:hAnsi="Arial" w:cs="Arial"/>
        </w:rPr>
        <w:t>5,9</w:t>
      </w:r>
      <w:r w:rsidR="00FD0C17">
        <w:rPr>
          <w:rFonts w:ascii="Arial" w:hAnsi="Arial" w:cs="Arial"/>
        </w:rPr>
        <w:t>%</w:t>
      </w:r>
      <w:r>
        <w:rPr>
          <w:rFonts w:ascii="Arial" w:hAnsi="Arial" w:cs="Arial"/>
        </w:rPr>
        <w:t xml:space="preserve">contre </w:t>
      </w:r>
      <w:r w:rsidRPr="004C3EFB">
        <w:rPr>
          <w:rFonts w:ascii="Arial" w:hAnsi="Arial" w:cs="Arial"/>
        </w:rPr>
        <w:t>4,0% en 2015</w:t>
      </w:r>
      <w:r>
        <w:rPr>
          <w:rFonts w:ascii="Arial" w:hAnsi="Arial" w:cs="Arial"/>
        </w:rPr>
        <w:t xml:space="preserve">, soit un </w:t>
      </w:r>
      <w:r w:rsidR="00C76965">
        <w:rPr>
          <w:rFonts w:ascii="Arial" w:hAnsi="Arial" w:cs="Arial"/>
        </w:rPr>
        <w:t>gain</w:t>
      </w:r>
      <w:r w:rsidRPr="004C3EFB">
        <w:rPr>
          <w:rFonts w:ascii="Arial" w:hAnsi="Arial" w:cs="Arial"/>
        </w:rPr>
        <w:t xml:space="preserve"> de 1,9 point de pourcentage</w:t>
      </w:r>
      <w:r>
        <w:rPr>
          <w:rFonts w:ascii="Arial" w:hAnsi="Arial" w:cs="Arial"/>
        </w:rPr>
        <w:t>.</w:t>
      </w:r>
    </w:p>
    <w:p w:rsidR="00FC016D" w:rsidRDefault="001F59B4" w:rsidP="00096021">
      <w:pPr>
        <w:spacing w:after="120"/>
        <w:jc w:val="both"/>
        <w:rPr>
          <w:rFonts w:ascii="Arial" w:hAnsi="Arial" w:cs="Arial"/>
        </w:rPr>
      </w:pPr>
      <w:r w:rsidRPr="004C3EFB">
        <w:rPr>
          <w:rFonts w:ascii="Arial" w:hAnsi="Arial" w:cs="Arial"/>
          <w:iCs/>
        </w:rPr>
        <w:t xml:space="preserve">L’accompagnement des </w:t>
      </w:r>
      <w:r w:rsidR="00FC016D">
        <w:rPr>
          <w:rFonts w:ascii="Arial" w:hAnsi="Arial" w:cs="Arial"/>
          <w:iCs/>
        </w:rPr>
        <w:t xml:space="preserve">PTF </w:t>
      </w:r>
      <w:r w:rsidRPr="004C3EFB">
        <w:rPr>
          <w:rFonts w:ascii="Arial" w:hAnsi="Arial" w:cs="Arial"/>
          <w:iCs/>
        </w:rPr>
        <w:t xml:space="preserve">à la </w:t>
      </w:r>
      <w:r w:rsidR="00D0707B">
        <w:rPr>
          <w:rFonts w:ascii="Arial" w:hAnsi="Arial" w:cs="Arial"/>
          <w:iCs/>
        </w:rPr>
        <w:t>mise en œuvre du PNDES</w:t>
      </w:r>
      <w:r w:rsidRPr="004C3EFB">
        <w:rPr>
          <w:rFonts w:ascii="Arial" w:hAnsi="Arial" w:cs="Arial"/>
          <w:iCs/>
        </w:rPr>
        <w:t xml:space="preserve">, dans un </w:t>
      </w:r>
      <w:r>
        <w:rPr>
          <w:rFonts w:ascii="Arial" w:hAnsi="Arial" w:cs="Arial"/>
          <w:iCs/>
        </w:rPr>
        <w:t xml:space="preserve">tel </w:t>
      </w:r>
      <w:r w:rsidRPr="004C3EFB">
        <w:rPr>
          <w:rFonts w:ascii="Arial" w:hAnsi="Arial" w:cs="Arial"/>
          <w:iCs/>
        </w:rPr>
        <w:t xml:space="preserve">contexte, a été estimé à </w:t>
      </w:r>
      <w:r w:rsidRPr="004C3EFB">
        <w:rPr>
          <w:rFonts w:ascii="Arial" w:hAnsi="Arial" w:cs="Arial"/>
        </w:rPr>
        <w:t>1</w:t>
      </w:r>
      <w:r w:rsidR="00992535">
        <w:rPr>
          <w:rFonts w:ascii="Arial" w:hAnsi="Arial" w:cs="Arial"/>
        </w:rPr>
        <w:t xml:space="preserve"> </w:t>
      </w:r>
      <w:r w:rsidRPr="004C3EFB">
        <w:rPr>
          <w:rFonts w:ascii="Arial" w:hAnsi="Arial" w:cs="Arial"/>
        </w:rPr>
        <w:t>140,23 mil</w:t>
      </w:r>
      <w:r w:rsidR="00992535">
        <w:rPr>
          <w:rFonts w:ascii="Arial" w:hAnsi="Arial" w:cs="Arial"/>
        </w:rPr>
        <w:t xml:space="preserve">lions dollars US d’APD </w:t>
      </w:r>
      <w:r w:rsidR="00ED1C3D">
        <w:rPr>
          <w:rFonts w:ascii="Arial" w:hAnsi="Arial" w:cs="Arial"/>
        </w:rPr>
        <w:t xml:space="preserve">en 2016 </w:t>
      </w:r>
      <w:r w:rsidR="00992535">
        <w:rPr>
          <w:rFonts w:ascii="Arial" w:hAnsi="Arial" w:cs="Arial"/>
        </w:rPr>
        <w:t xml:space="preserve">contre 1 </w:t>
      </w:r>
      <w:r w:rsidRPr="004C3EFB">
        <w:rPr>
          <w:rFonts w:ascii="Arial" w:hAnsi="Arial" w:cs="Arial"/>
        </w:rPr>
        <w:t xml:space="preserve">100,34 millions dollars US en 2015, soit un accroissement de 3,6%. </w:t>
      </w:r>
    </w:p>
    <w:p w:rsidR="00AA08FE" w:rsidRDefault="00AA08FE" w:rsidP="00096021">
      <w:pPr>
        <w:spacing w:after="120"/>
        <w:jc w:val="both"/>
        <w:rPr>
          <w:rFonts w:ascii="Arial" w:hAnsi="Arial" w:cs="Arial"/>
        </w:rPr>
      </w:pPr>
      <w:r>
        <w:rPr>
          <w:rFonts w:ascii="Arial" w:hAnsi="Arial" w:cs="Arial"/>
        </w:rPr>
        <w:t>L’aide octroyée au Burkina Faso en 2016 présente la même caractéristique que celles des années antérieures à savoir : une</w:t>
      </w:r>
      <w:r w:rsidR="00BB44FD">
        <w:rPr>
          <w:rFonts w:ascii="Arial" w:hAnsi="Arial" w:cs="Arial"/>
        </w:rPr>
        <w:t xml:space="preserve"> </w:t>
      </w:r>
      <w:r w:rsidR="00BB44FD" w:rsidRPr="004C3EFB">
        <w:rPr>
          <w:rFonts w:ascii="Arial" w:hAnsi="Arial" w:cs="Arial"/>
        </w:rPr>
        <w:t>prédominance de l’aide multilatérale (57,9%) par rapport à l’aide bilatérale (39,1%) et à la contribution des ONG (2,9%)</w:t>
      </w:r>
      <w:r w:rsidR="00BB44FD">
        <w:rPr>
          <w:rFonts w:ascii="Arial" w:hAnsi="Arial" w:cs="Arial"/>
        </w:rPr>
        <w:t xml:space="preserve">, </w:t>
      </w:r>
      <w:r w:rsidR="00BB44FD" w:rsidRPr="004C3EFB">
        <w:rPr>
          <w:rFonts w:ascii="Arial" w:hAnsi="Arial" w:cs="Arial"/>
        </w:rPr>
        <w:t>des dons (</w:t>
      </w:r>
      <w:r w:rsidR="00BB44FD" w:rsidRPr="004C3EFB">
        <w:rPr>
          <w:rFonts w:ascii="Arial" w:eastAsia="Arial" w:hAnsi="Arial" w:cs="Arial"/>
        </w:rPr>
        <w:t>71,3%</w:t>
      </w:r>
      <w:r w:rsidR="00BB44FD" w:rsidRPr="004C3EFB">
        <w:rPr>
          <w:rFonts w:ascii="Arial" w:hAnsi="Arial" w:cs="Arial"/>
        </w:rPr>
        <w:t xml:space="preserve">) par rapport aux prêts  </w:t>
      </w:r>
      <w:r w:rsidR="00BB44FD">
        <w:rPr>
          <w:rFonts w:ascii="Arial" w:hAnsi="Arial" w:cs="Arial"/>
        </w:rPr>
        <w:t xml:space="preserve">et </w:t>
      </w:r>
      <w:r w:rsidR="00BB44FD" w:rsidRPr="004C3EFB">
        <w:rPr>
          <w:rFonts w:ascii="Arial" w:hAnsi="Arial" w:cs="Arial"/>
        </w:rPr>
        <w:t xml:space="preserve">de l’aide projet </w:t>
      </w:r>
      <w:r w:rsidR="00BB44FD" w:rsidRPr="004D1DDE">
        <w:rPr>
          <w:rFonts w:ascii="Arial" w:hAnsi="Arial" w:cs="Arial"/>
        </w:rPr>
        <w:t xml:space="preserve">(72,4%) </w:t>
      </w:r>
      <w:r w:rsidR="00BB44FD" w:rsidRPr="004C3EFB">
        <w:rPr>
          <w:rFonts w:ascii="Arial" w:hAnsi="Arial" w:cs="Arial"/>
        </w:rPr>
        <w:t>par rappor</w:t>
      </w:r>
      <w:r w:rsidR="00BB44FD">
        <w:rPr>
          <w:rFonts w:ascii="Arial" w:hAnsi="Arial" w:cs="Arial"/>
        </w:rPr>
        <w:t>t aux autres types d’assistance</w:t>
      </w:r>
      <w:r>
        <w:rPr>
          <w:rFonts w:ascii="Arial" w:hAnsi="Arial" w:cs="Arial"/>
        </w:rPr>
        <w:t>.</w:t>
      </w:r>
    </w:p>
    <w:p w:rsidR="001F59B4" w:rsidRPr="004C3EFB" w:rsidRDefault="001F59B4" w:rsidP="00096021">
      <w:pPr>
        <w:spacing w:after="120"/>
        <w:jc w:val="both"/>
        <w:rPr>
          <w:rFonts w:ascii="Arial" w:hAnsi="Arial" w:cs="Arial"/>
          <w:lang w:eastAsia="fr-FR"/>
        </w:rPr>
      </w:pPr>
      <w:r w:rsidRPr="004C3EFB">
        <w:rPr>
          <w:rFonts w:ascii="Arial" w:hAnsi="Arial" w:cs="Arial"/>
        </w:rPr>
        <w:t xml:space="preserve">Selon les types de financement, le montant total des prêts reçus se chiffre à 327,46 millions dollars US (soit 28,7% de l’APD totale) contre 277,97 millions dollars US en 2015. Les dons, quant à eux, ont baissé de 1,2% par rapport à 2015 et ont été évalués à 812,77 millions dollars US contre 822,37 millions dollars US </w:t>
      </w:r>
      <w:r>
        <w:rPr>
          <w:rFonts w:ascii="Arial" w:hAnsi="Arial" w:cs="Arial"/>
        </w:rPr>
        <w:t>un an plus tôt</w:t>
      </w:r>
      <w:r w:rsidR="00096021">
        <w:rPr>
          <w:rFonts w:ascii="Arial" w:hAnsi="Arial" w:cs="Arial"/>
          <w:lang w:eastAsia="fr-FR"/>
        </w:rPr>
        <w:t xml:space="preserve">. </w:t>
      </w:r>
    </w:p>
    <w:p w:rsidR="001F59B4" w:rsidRPr="007D5292" w:rsidRDefault="001F59B4" w:rsidP="00096021">
      <w:pPr>
        <w:spacing w:after="120"/>
        <w:jc w:val="both"/>
        <w:rPr>
          <w:rFonts w:ascii="Arial" w:hAnsi="Arial" w:cs="Arial"/>
        </w:rPr>
      </w:pPr>
      <w:r w:rsidRPr="007D5292">
        <w:rPr>
          <w:rFonts w:ascii="Arial" w:hAnsi="Arial" w:cs="Arial"/>
        </w:rPr>
        <w:t xml:space="preserve">En </w:t>
      </w:r>
      <w:r w:rsidR="00FE78B2">
        <w:rPr>
          <w:rFonts w:ascii="Arial" w:hAnsi="Arial" w:cs="Arial"/>
        </w:rPr>
        <w:t>pourcentage</w:t>
      </w:r>
      <w:r w:rsidRPr="007D5292">
        <w:rPr>
          <w:rFonts w:ascii="Arial" w:hAnsi="Arial" w:cs="Arial"/>
        </w:rPr>
        <w:t xml:space="preserve"> de l’APD totale, les quatre types d’instruments</w:t>
      </w:r>
      <w:r w:rsidR="00FF17D1">
        <w:rPr>
          <w:rFonts w:ascii="Arial" w:hAnsi="Arial" w:cs="Arial"/>
        </w:rPr>
        <w:t>,</w:t>
      </w:r>
      <w:r w:rsidRPr="007D5292">
        <w:rPr>
          <w:rFonts w:ascii="Arial" w:hAnsi="Arial" w:cs="Arial"/>
        </w:rPr>
        <w:t xml:space="preserve"> à savoir l’aide projet, l’appui budgétaire, l’aide alimentaire et l’assistance et secours d’urgence, ont représen</w:t>
      </w:r>
      <w:r w:rsidR="00CE4670" w:rsidRPr="007D5292">
        <w:rPr>
          <w:rFonts w:ascii="Arial" w:hAnsi="Arial" w:cs="Arial"/>
        </w:rPr>
        <w:t>té respectivement 74,1</w:t>
      </w:r>
      <w:r w:rsidRPr="007D5292">
        <w:rPr>
          <w:rFonts w:ascii="Arial" w:hAnsi="Arial" w:cs="Arial"/>
        </w:rPr>
        <w:t>% (84</w:t>
      </w:r>
      <w:r w:rsidR="00CE4670" w:rsidRPr="007D5292">
        <w:rPr>
          <w:rFonts w:ascii="Arial" w:hAnsi="Arial" w:cs="Arial"/>
        </w:rPr>
        <w:t>5,27 millions dollars US), 2</w:t>
      </w:r>
      <w:r w:rsidR="00D70C5F" w:rsidRPr="007D5292">
        <w:rPr>
          <w:rFonts w:ascii="Arial" w:hAnsi="Arial" w:cs="Arial"/>
        </w:rPr>
        <w:t>4</w:t>
      </w:r>
      <w:r w:rsidR="00CE4670" w:rsidRPr="007D5292">
        <w:rPr>
          <w:rFonts w:ascii="Arial" w:hAnsi="Arial" w:cs="Arial"/>
        </w:rPr>
        <w:t>,</w:t>
      </w:r>
      <w:r w:rsidR="00D70C5F" w:rsidRPr="007D5292">
        <w:rPr>
          <w:rFonts w:ascii="Arial" w:hAnsi="Arial" w:cs="Arial"/>
        </w:rPr>
        <w:t>2</w:t>
      </w:r>
      <w:r w:rsidRPr="007D5292">
        <w:rPr>
          <w:rFonts w:ascii="Arial" w:hAnsi="Arial" w:cs="Arial"/>
        </w:rPr>
        <w:t>% (</w:t>
      </w:r>
      <w:r w:rsidR="00CE4670" w:rsidRPr="007D5292">
        <w:rPr>
          <w:rFonts w:ascii="Arial" w:hAnsi="Arial" w:cs="Arial"/>
        </w:rPr>
        <w:t>2</w:t>
      </w:r>
      <w:r w:rsidR="00792293" w:rsidRPr="007D5292">
        <w:rPr>
          <w:rFonts w:ascii="Arial" w:hAnsi="Arial" w:cs="Arial"/>
        </w:rPr>
        <w:t>7</w:t>
      </w:r>
      <w:r w:rsidR="00CE4670" w:rsidRPr="007D5292">
        <w:rPr>
          <w:rFonts w:ascii="Arial" w:hAnsi="Arial" w:cs="Arial"/>
        </w:rPr>
        <w:t>6,</w:t>
      </w:r>
      <w:r w:rsidR="00792293" w:rsidRPr="007D5292">
        <w:rPr>
          <w:rFonts w:ascii="Arial" w:hAnsi="Arial" w:cs="Arial"/>
        </w:rPr>
        <w:t>1</w:t>
      </w:r>
      <w:r w:rsidR="00CE4670" w:rsidRPr="007D5292">
        <w:rPr>
          <w:rFonts w:ascii="Arial" w:hAnsi="Arial" w:cs="Arial"/>
        </w:rPr>
        <w:t>9 millions dollars US), 2,</w:t>
      </w:r>
      <w:r w:rsidRPr="007D5292">
        <w:rPr>
          <w:rFonts w:ascii="Arial" w:hAnsi="Arial" w:cs="Arial"/>
        </w:rPr>
        <w:t>8% (31</w:t>
      </w:r>
      <w:r w:rsidR="00CE4670" w:rsidRPr="007D5292">
        <w:rPr>
          <w:rFonts w:ascii="Arial" w:hAnsi="Arial" w:cs="Arial"/>
        </w:rPr>
        <w:t>,66 millions dollars US)  et 0,</w:t>
      </w:r>
      <w:r w:rsidRPr="007D5292">
        <w:rPr>
          <w:rFonts w:ascii="Arial" w:hAnsi="Arial" w:cs="Arial"/>
        </w:rPr>
        <w:t>6% (6,34 millions dollars US).</w:t>
      </w:r>
      <w:r w:rsidR="00096021" w:rsidRPr="007D5292">
        <w:rPr>
          <w:rFonts w:ascii="Arial" w:hAnsi="Arial" w:cs="Arial"/>
        </w:rPr>
        <w:t xml:space="preserve"> </w:t>
      </w:r>
    </w:p>
    <w:p w:rsidR="001F59B4" w:rsidRPr="00096021" w:rsidRDefault="001F59B4" w:rsidP="00096021">
      <w:pPr>
        <w:spacing w:after="120"/>
        <w:jc w:val="both"/>
        <w:rPr>
          <w:rFonts w:ascii="Arial" w:eastAsia="Arial" w:hAnsi="Arial" w:cs="Arial"/>
        </w:rPr>
      </w:pPr>
      <w:r w:rsidRPr="004C3EFB">
        <w:rPr>
          <w:rFonts w:ascii="Arial" w:eastAsia="Arial" w:hAnsi="Arial" w:cs="Arial"/>
        </w:rPr>
        <w:t>En ce qui concerne la répartition de l’APD par secteur</w:t>
      </w:r>
      <w:r>
        <w:rPr>
          <w:rFonts w:ascii="Arial" w:eastAsia="Arial" w:hAnsi="Arial" w:cs="Arial"/>
        </w:rPr>
        <w:t xml:space="preserve"> dans le cadre du PNDES</w:t>
      </w:r>
      <w:r w:rsidRPr="004C3EFB">
        <w:rPr>
          <w:rFonts w:ascii="Arial" w:eastAsia="Arial" w:hAnsi="Arial" w:cs="Arial"/>
        </w:rPr>
        <w:t>, cinq principaux secteurs on</w:t>
      </w:r>
      <w:r>
        <w:rPr>
          <w:rFonts w:ascii="Arial" w:eastAsia="Arial" w:hAnsi="Arial" w:cs="Arial"/>
        </w:rPr>
        <w:t>t absorbé près de 67,1% de l’aide totale</w:t>
      </w:r>
      <w:r w:rsidRPr="004C3EFB">
        <w:rPr>
          <w:rFonts w:ascii="Arial" w:eastAsia="Arial" w:hAnsi="Arial" w:cs="Arial"/>
        </w:rPr>
        <w:t>. Il s’agit de : (i) Gouvernance économique (24,2%) ; (ii) Environnement, eau et assainissement (15,3%) ; (iii) Production agro-sylvo-pastorale (10,1%); (iv) Education et formation (9,3%) et (v) Transformation ind</w:t>
      </w:r>
      <w:r w:rsidR="00096021">
        <w:rPr>
          <w:rFonts w:ascii="Arial" w:eastAsia="Arial" w:hAnsi="Arial" w:cs="Arial"/>
        </w:rPr>
        <w:t>ustrielle et artisanale (8,1%).</w:t>
      </w:r>
    </w:p>
    <w:p w:rsidR="001F59B4" w:rsidRDefault="001F59B4" w:rsidP="00096021">
      <w:pPr>
        <w:spacing w:after="120"/>
        <w:jc w:val="both"/>
        <w:rPr>
          <w:rFonts w:ascii="Arial" w:eastAsia="Arial" w:hAnsi="Arial" w:cs="Arial"/>
        </w:rPr>
      </w:pPr>
      <w:r w:rsidRPr="004C3EFB">
        <w:rPr>
          <w:rFonts w:ascii="Arial" w:hAnsi="Arial" w:cs="Arial"/>
        </w:rPr>
        <w:t xml:space="preserve">En outre, selon les </w:t>
      </w:r>
      <w:r w:rsidRPr="004C3EFB">
        <w:rPr>
          <w:rFonts w:ascii="Arial" w:eastAsia="Arial" w:hAnsi="Arial" w:cs="Arial"/>
        </w:rPr>
        <w:t>sources de financement, le volume le plus important d’APD provient des partenaires multilatéraux avec un montant de 660,66 millions dollars US. Ils sont suivis des partenaires bilatéraux avec un apport de 445,47 millions dollars US et des ONG pour une contribution de 34,10 millions dollars US.</w:t>
      </w:r>
      <w:r w:rsidR="00213FE2">
        <w:rPr>
          <w:rFonts w:ascii="Arial" w:eastAsia="Arial" w:hAnsi="Arial" w:cs="Arial"/>
        </w:rPr>
        <w:t xml:space="preserve"> Toutes ces contributions concourent </w:t>
      </w:r>
      <w:r w:rsidR="00F50330">
        <w:rPr>
          <w:rFonts w:ascii="Arial" w:eastAsia="Arial" w:hAnsi="Arial" w:cs="Arial"/>
        </w:rPr>
        <w:t xml:space="preserve">à relever </w:t>
      </w:r>
      <w:r w:rsidR="002E06BF">
        <w:rPr>
          <w:rFonts w:ascii="Arial" w:eastAsia="Arial" w:hAnsi="Arial" w:cs="Arial"/>
        </w:rPr>
        <w:t>les défis</w:t>
      </w:r>
      <w:r w:rsidR="00F50330">
        <w:rPr>
          <w:rFonts w:ascii="Arial" w:eastAsia="Arial" w:hAnsi="Arial" w:cs="Arial"/>
        </w:rPr>
        <w:t xml:space="preserve"> du financement du PNDES.</w:t>
      </w:r>
      <w:r w:rsidR="002E06BF">
        <w:rPr>
          <w:rFonts w:ascii="Arial" w:eastAsia="Arial" w:hAnsi="Arial" w:cs="Arial"/>
        </w:rPr>
        <w:t xml:space="preserve"> </w:t>
      </w:r>
    </w:p>
    <w:p w:rsidR="006018BC" w:rsidRDefault="00EE4554" w:rsidP="00096021">
      <w:pPr>
        <w:autoSpaceDE w:val="0"/>
        <w:autoSpaceDN w:val="0"/>
        <w:adjustRightInd w:val="0"/>
        <w:spacing w:after="120"/>
        <w:jc w:val="both"/>
        <w:rPr>
          <w:rFonts w:ascii="Arial" w:eastAsia="Times New Roman" w:hAnsi="Arial" w:cs="Arial"/>
          <w:bCs/>
          <w:lang w:eastAsia="fr-FR"/>
        </w:rPr>
      </w:pPr>
      <w:r>
        <w:rPr>
          <w:rFonts w:ascii="Arial" w:eastAsia="Times New Roman" w:hAnsi="Arial" w:cs="Arial"/>
          <w:bCs/>
          <w:lang w:eastAsia="fr-FR"/>
        </w:rPr>
        <w:t>C</w:t>
      </w:r>
      <w:r w:rsidR="00FF17D1">
        <w:rPr>
          <w:rFonts w:ascii="Arial" w:eastAsia="Times New Roman" w:hAnsi="Arial" w:cs="Arial"/>
          <w:bCs/>
          <w:lang w:eastAsia="fr-FR"/>
        </w:rPr>
        <w:t xml:space="preserve">e nouveau référentiel </w:t>
      </w:r>
      <w:r w:rsidR="00D46DE0">
        <w:rPr>
          <w:rFonts w:ascii="Arial" w:eastAsia="Times New Roman" w:hAnsi="Arial" w:cs="Arial"/>
          <w:bCs/>
          <w:lang w:eastAsia="fr-FR"/>
        </w:rPr>
        <w:t xml:space="preserve">de développement du Burkina Faso </w:t>
      </w:r>
      <w:r w:rsidR="00FF17D1">
        <w:rPr>
          <w:rFonts w:ascii="Arial" w:eastAsia="Times New Roman" w:hAnsi="Arial" w:cs="Arial"/>
          <w:bCs/>
          <w:lang w:eastAsia="fr-FR"/>
        </w:rPr>
        <w:t xml:space="preserve">ambitionne de transformer structurellement l’économie du pays pour une </w:t>
      </w:r>
      <w:r w:rsidR="00945A9A">
        <w:rPr>
          <w:rFonts w:ascii="Arial" w:eastAsia="Times New Roman" w:hAnsi="Arial" w:cs="Arial"/>
          <w:bCs/>
          <w:lang w:eastAsia="fr-FR"/>
        </w:rPr>
        <w:t xml:space="preserve">croissance économique soutenue. </w:t>
      </w:r>
      <w:r w:rsidR="0012195C">
        <w:rPr>
          <w:rFonts w:ascii="Arial" w:eastAsia="Times New Roman" w:hAnsi="Arial" w:cs="Arial"/>
          <w:bCs/>
          <w:lang w:eastAsia="fr-FR"/>
        </w:rPr>
        <w:t xml:space="preserve">Au regard </w:t>
      </w:r>
      <w:r w:rsidR="006331E1">
        <w:rPr>
          <w:rFonts w:ascii="Arial" w:eastAsia="Times New Roman" w:hAnsi="Arial" w:cs="Arial"/>
          <w:bCs/>
          <w:lang w:eastAsia="fr-FR"/>
        </w:rPr>
        <w:t>de ces</w:t>
      </w:r>
      <w:r w:rsidR="0012195C">
        <w:rPr>
          <w:rFonts w:ascii="Arial" w:eastAsia="Times New Roman" w:hAnsi="Arial" w:cs="Arial"/>
          <w:bCs/>
          <w:lang w:eastAsia="fr-FR"/>
        </w:rPr>
        <w:t xml:space="preserve"> ambitions</w:t>
      </w:r>
      <w:r w:rsidR="006331E1">
        <w:rPr>
          <w:rFonts w:ascii="Arial" w:eastAsia="Times New Roman" w:hAnsi="Arial" w:cs="Arial"/>
          <w:bCs/>
          <w:lang w:eastAsia="fr-FR"/>
        </w:rPr>
        <w:t>,</w:t>
      </w:r>
      <w:r w:rsidR="0012195C">
        <w:rPr>
          <w:rFonts w:ascii="Arial" w:eastAsia="Times New Roman" w:hAnsi="Arial" w:cs="Arial"/>
          <w:bCs/>
          <w:lang w:eastAsia="fr-FR"/>
        </w:rPr>
        <w:t xml:space="preserve"> </w:t>
      </w:r>
      <w:r w:rsidR="001F59B4">
        <w:rPr>
          <w:rFonts w:ascii="Arial" w:eastAsia="Times New Roman" w:hAnsi="Arial" w:cs="Arial"/>
          <w:bCs/>
          <w:lang w:eastAsia="fr-FR"/>
        </w:rPr>
        <w:t>le pays</w:t>
      </w:r>
      <w:r w:rsidR="00AE0AC1">
        <w:rPr>
          <w:rFonts w:ascii="Arial" w:eastAsia="Times New Roman" w:hAnsi="Arial" w:cs="Arial"/>
          <w:bCs/>
          <w:lang w:eastAsia="fr-FR"/>
        </w:rPr>
        <w:t xml:space="preserve"> a opté de</w:t>
      </w:r>
      <w:r w:rsidR="00C3210E">
        <w:rPr>
          <w:rFonts w:ascii="Arial" w:eastAsia="Times New Roman" w:hAnsi="Arial" w:cs="Arial"/>
          <w:bCs/>
          <w:lang w:eastAsia="fr-FR"/>
        </w:rPr>
        <w:t xml:space="preserve"> s’oriente</w:t>
      </w:r>
      <w:r w:rsidR="00AE0AC1">
        <w:rPr>
          <w:rFonts w:ascii="Arial" w:eastAsia="Times New Roman" w:hAnsi="Arial" w:cs="Arial"/>
          <w:bCs/>
          <w:lang w:eastAsia="fr-FR"/>
        </w:rPr>
        <w:t>r</w:t>
      </w:r>
      <w:r w:rsidR="00C3210E">
        <w:rPr>
          <w:rFonts w:ascii="Arial" w:eastAsia="Times New Roman" w:hAnsi="Arial" w:cs="Arial"/>
          <w:bCs/>
          <w:lang w:eastAsia="fr-FR"/>
        </w:rPr>
        <w:t xml:space="preserve"> prioritairement vers</w:t>
      </w:r>
      <w:r w:rsidR="001F59B4">
        <w:rPr>
          <w:rFonts w:ascii="Arial" w:eastAsia="Times New Roman" w:hAnsi="Arial" w:cs="Arial"/>
          <w:bCs/>
          <w:lang w:eastAsia="fr-FR"/>
        </w:rPr>
        <w:t xml:space="preserve"> la mobilisation d</w:t>
      </w:r>
      <w:r w:rsidR="001F59B4" w:rsidRPr="004C3EFB">
        <w:rPr>
          <w:rFonts w:ascii="Arial" w:eastAsia="Times New Roman" w:hAnsi="Arial" w:cs="Arial"/>
          <w:bCs/>
          <w:lang w:eastAsia="fr-FR"/>
        </w:rPr>
        <w:t xml:space="preserve">es ressources internes en mettant l’accent sur </w:t>
      </w:r>
      <w:r w:rsidR="001F59B4">
        <w:rPr>
          <w:rFonts w:ascii="Arial" w:eastAsia="Times New Roman" w:hAnsi="Arial" w:cs="Arial"/>
          <w:bCs/>
          <w:lang w:eastAsia="fr-FR"/>
        </w:rPr>
        <w:t>l’accroissement d</w:t>
      </w:r>
      <w:r w:rsidR="001F59B4" w:rsidRPr="004C3EFB">
        <w:rPr>
          <w:rFonts w:ascii="Arial" w:eastAsia="Times New Roman" w:hAnsi="Arial" w:cs="Arial"/>
          <w:bCs/>
          <w:lang w:eastAsia="fr-FR"/>
        </w:rPr>
        <w:t xml:space="preserve">es recettes fiscales, l’épargne intérieure, la contribution du secteur privé et de la diaspora. </w:t>
      </w:r>
      <w:r w:rsidR="001D7FD6">
        <w:rPr>
          <w:rFonts w:ascii="Arial" w:eastAsia="Times New Roman" w:hAnsi="Arial" w:cs="Arial"/>
          <w:bCs/>
          <w:lang w:eastAsia="fr-FR"/>
        </w:rPr>
        <w:t>Par ailleurs il</w:t>
      </w:r>
      <w:r w:rsidR="001F59B4" w:rsidRPr="004C3EFB">
        <w:rPr>
          <w:rFonts w:ascii="Arial" w:eastAsia="Times New Roman" w:hAnsi="Arial" w:cs="Arial"/>
          <w:bCs/>
          <w:lang w:eastAsia="fr-FR"/>
        </w:rPr>
        <w:t xml:space="preserve"> </w:t>
      </w:r>
      <w:r w:rsidR="00C3210E">
        <w:rPr>
          <w:rFonts w:ascii="Arial" w:eastAsia="Times New Roman" w:hAnsi="Arial" w:cs="Arial"/>
          <w:bCs/>
          <w:lang w:eastAsia="fr-FR"/>
        </w:rPr>
        <w:t>veiller</w:t>
      </w:r>
      <w:r w:rsidR="001D7FD6">
        <w:rPr>
          <w:rFonts w:ascii="Arial" w:eastAsia="Times New Roman" w:hAnsi="Arial" w:cs="Arial"/>
          <w:bCs/>
          <w:lang w:eastAsia="fr-FR"/>
        </w:rPr>
        <w:t>a</w:t>
      </w:r>
      <w:r w:rsidR="00C3210E">
        <w:rPr>
          <w:rFonts w:ascii="Arial" w:eastAsia="Times New Roman" w:hAnsi="Arial" w:cs="Arial"/>
          <w:bCs/>
          <w:lang w:eastAsia="fr-FR"/>
        </w:rPr>
        <w:t xml:space="preserve"> </w:t>
      </w:r>
      <w:r w:rsidR="007F18DB">
        <w:rPr>
          <w:rFonts w:ascii="Arial" w:eastAsia="Times New Roman" w:hAnsi="Arial" w:cs="Arial"/>
          <w:bCs/>
          <w:lang w:eastAsia="fr-FR"/>
        </w:rPr>
        <w:t xml:space="preserve">à l’amélioration de la </w:t>
      </w:r>
      <w:r w:rsidR="001F59B4" w:rsidRPr="004C3EFB">
        <w:rPr>
          <w:rFonts w:ascii="Arial" w:eastAsia="Times New Roman" w:hAnsi="Arial" w:cs="Arial"/>
          <w:bCs/>
          <w:lang w:eastAsia="fr-FR"/>
        </w:rPr>
        <w:t xml:space="preserve">gouvernance dans la réalisation de toutes </w:t>
      </w:r>
      <w:r w:rsidR="001F59B4">
        <w:rPr>
          <w:rFonts w:ascii="Arial" w:eastAsia="Times New Roman" w:hAnsi="Arial" w:cs="Arial"/>
          <w:bCs/>
          <w:lang w:eastAsia="fr-FR"/>
        </w:rPr>
        <w:t>l</w:t>
      </w:r>
      <w:r w:rsidR="001F59B4" w:rsidRPr="004C3EFB">
        <w:rPr>
          <w:rFonts w:ascii="Arial" w:eastAsia="Times New Roman" w:hAnsi="Arial" w:cs="Arial"/>
          <w:bCs/>
          <w:lang w:eastAsia="fr-FR"/>
        </w:rPr>
        <w:t xml:space="preserve">es actions de développement. </w:t>
      </w:r>
    </w:p>
    <w:p w:rsidR="001F59B4" w:rsidRDefault="001F59B4" w:rsidP="00096021">
      <w:p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Après une année de mise en œuvre, il convient de s’interroger sur l’efficacité de la stratégie de mob</w:t>
      </w:r>
      <w:r>
        <w:rPr>
          <w:rFonts w:ascii="Arial" w:eastAsia="Times New Roman" w:hAnsi="Arial" w:cs="Arial"/>
          <w:bCs/>
          <w:lang w:eastAsia="fr-FR"/>
        </w:rPr>
        <w:t>ilisation des ressources,  de relever les défis, d’envisager d</w:t>
      </w:r>
      <w:r w:rsidRPr="004C3EFB">
        <w:rPr>
          <w:rFonts w:ascii="Arial" w:eastAsia="Times New Roman" w:hAnsi="Arial" w:cs="Arial"/>
          <w:bCs/>
          <w:lang w:eastAsia="fr-FR"/>
        </w:rPr>
        <w:t>es perspectives et proposer des recommandations pour une meilleure mise en œuvre du Plan.</w:t>
      </w:r>
    </w:p>
    <w:p w:rsidR="00857395" w:rsidRDefault="001F59B4" w:rsidP="00096021">
      <w:p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Pour réaliser ce programme, outre les canau</w:t>
      </w:r>
      <w:r w:rsidR="00857395">
        <w:rPr>
          <w:rFonts w:ascii="Arial" w:eastAsia="Times New Roman" w:hAnsi="Arial" w:cs="Arial"/>
          <w:bCs/>
          <w:lang w:eastAsia="fr-FR"/>
        </w:rPr>
        <w:t>x traditionnels de financement</w:t>
      </w:r>
      <w:r w:rsidR="00DB3696">
        <w:rPr>
          <w:rFonts w:ascii="Arial" w:eastAsia="Times New Roman" w:hAnsi="Arial" w:cs="Arial"/>
          <w:bCs/>
          <w:lang w:eastAsia="fr-FR"/>
        </w:rPr>
        <w:t xml:space="preserve">, </w:t>
      </w:r>
      <w:r w:rsidR="00857395">
        <w:rPr>
          <w:rFonts w:ascii="Arial" w:eastAsia="Times New Roman" w:hAnsi="Arial" w:cs="Arial"/>
          <w:bCs/>
          <w:lang w:eastAsia="fr-FR"/>
        </w:rPr>
        <w:t xml:space="preserve">aux niveaux national et international, une stratégie </w:t>
      </w:r>
      <w:r w:rsidR="00DB3696">
        <w:rPr>
          <w:rFonts w:ascii="Arial" w:eastAsia="Times New Roman" w:hAnsi="Arial" w:cs="Arial"/>
          <w:bCs/>
          <w:lang w:eastAsia="fr-FR"/>
        </w:rPr>
        <w:t>de mobilisation des ressources ainsi que les défis et perspectives se présentent de la manière suivante :</w:t>
      </w:r>
    </w:p>
    <w:p w:rsidR="00F04774" w:rsidRDefault="00464E53" w:rsidP="00464E53">
      <w:pPr>
        <w:pStyle w:val="Paragraphedeliste"/>
        <w:tabs>
          <w:tab w:val="left" w:pos="2070"/>
        </w:tabs>
        <w:spacing w:after="120"/>
        <w:ind w:left="0"/>
        <w:jc w:val="both"/>
        <w:rPr>
          <w:rFonts w:ascii="Arial" w:eastAsia="Times New Roman" w:hAnsi="Arial" w:cs="Arial"/>
          <w:bCs/>
          <w:lang w:eastAsia="fr-FR"/>
        </w:rPr>
      </w:pPr>
      <w:r w:rsidRPr="004C3EFB">
        <w:rPr>
          <w:rFonts w:ascii="Arial" w:eastAsia="Times New Roman" w:hAnsi="Arial" w:cs="Arial"/>
          <w:b/>
          <w:bCs/>
          <w:i/>
          <w:lang w:eastAsia="fr-FR"/>
        </w:rPr>
        <w:t>Au niveau national</w:t>
      </w:r>
      <w:r w:rsidRPr="004C3EFB">
        <w:rPr>
          <w:rFonts w:ascii="Arial" w:eastAsia="Times New Roman" w:hAnsi="Arial" w:cs="Arial"/>
          <w:bCs/>
          <w:lang w:eastAsia="fr-FR"/>
        </w:rPr>
        <w:t xml:space="preserve">, la stratégie de mobilisation des ressources repose sur les régies de recettes en ce qui concerne les ressources propres et le recours aux obligations à travers l’épargne régionale. </w:t>
      </w:r>
    </w:p>
    <w:p w:rsidR="00F04774" w:rsidRDefault="00464E53" w:rsidP="00A60D96">
      <w:p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 xml:space="preserve">Pour ce faire, les principaux défis pour l’optimisation de la mobilisation des ressources intérieures sont entre autres la détermination et l’engagement des acteurs des différentes régies, le civisme fiscal et la lutte contre la corruption. </w:t>
      </w:r>
    </w:p>
    <w:p w:rsidR="00464E53" w:rsidRDefault="00464E53" w:rsidP="00A60D96">
      <w:p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lastRenderedPageBreak/>
        <w:t>En perspectives, le financement du PNDES au niveau national devra s’appuyer sur la mise en œuvre de la Politique nationale de coopération au développement (PNCD), les tables rondes sectorielles et la rationalisation des projets et programmes.</w:t>
      </w:r>
    </w:p>
    <w:p w:rsidR="00B132AB" w:rsidRDefault="00C44F5D" w:rsidP="00C44F5D">
      <w:pPr>
        <w:spacing w:after="120"/>
        <w:jc w:val="both"/>
        <w:rPr>
          <w:rFonts w:ascii="Arial" w:eastAsia="Times New Roman" w:hAnsi="Arial" w:cs="Arial"/>
          <w:bCs/>
          <w:lang w:eastAsia="fr-FR"/>
        </w:rPr>
      </w:pPr>
      <w:r w:rsidRPr="004C3EFB">
        <w:rPr>
          <w:rFonts w:ascii="Arial" w:eastAsia="Times New Roman" w:hAnsi="Arial" w:cs="Arial"/>
          <w:b/>
          <w:bCs/>
          <w:i/>
          <w:lang w:eastAsia="fr-FR"/>
        </w:rPr>
        <w:t>Au niveau international</w:t>
      </w:r>
      <w:r w:rsidRPr="004C3EFB">
        <w:rPr>
          <w:rFonts w:ascii="Arial" w:eastAsia="Times New Roman" w:hAnsi="Arial" w:cs="Arial"/>
          <w:bCs/>
          <w:lang w:eastAsia="fr-FR"/>
        </w:rPr>
        <w:t>, plusieurs actions ont été</w:t>
      </w:r>
      <w:r>
        <w:rPr>
          <w:rFonts w:ascii="Arial" w:eastAsia="Times New Roman" w:hAnsi="Arial" w:cs="Arial"/>
          <w:bCs/>
          <w:lang w:eastAsia="fr-FR"/>
        </w:rPr>
        <w:t xml:space="preserve"> entreprises dont la tenue de la</w:t>
      </w:r>
      <w:r w:rsidRPr="004C3EFB">
        <w:rPr>
          <w:rFonts w:ascii="Arial" w:eastAsia="Times New Roman" w:hAnsi="Arial" w:cs="Arial"/>
          <w:bCs/>
          <w:lang w:eastAsia="fr-FR"/>
        </w:rPr>
        <w:t xml:space="preserve"> conférence des partenaires du Burkina à Paris et des tables rondes sectorielles au niveau nati</w:t>
      </w:r>
      <w:r>
        <w:rPr>
          <w:rFonts w:ascii="Arial" w:eastAsia="Times New Roman" w:hAnsi="Arial" w:cs="Arial"/>
          <w:bCs/>
          <w:lang w:eastAsia="fr-FR"/>
        </w:rPr>
        <w:t>onal, l</w:t>
      </w:r>
      <w:r w:rsidRPr="004C3EFB">
        <w:rPr>
          <w:rFonts w:ascii="Arial" w:eastAsia="Times New Roman" w:hAnsi="Arial" w:cs="Arial"/>
          <w:bCs/>
          <w:lang w:eastAsia="fr-FR"/>
        </w:rPr>
        <w:t>es consultations bilatérales et multilatérales, la dynamisation des mécanismes PPP, la prospection et le recours aux financements innovants (finances islamiques, fina</w:t>
      </w:r>
      <w:r>
        <w:rPr>
          <w:rFonts w:ascii="Arial" w:eastAsia="Times New Roman" w:hAnsi="Arial" w:cs="Arial"/>
          <w:bCs/>
          <w:lang w:eastAsia="fr-FR"/>
        </w:rPr>
        <w:t xml:space="preserve">nces climat). </w:t>
      </w:r>
    </w:p>
    <w:p w:rsidR="00C44F5D" w:rsidRPr="004C3EFB" w:rsidRDefault="00C44F5D" w:rsidP="00C44F5D">
      <w:pPr>
        <w:spacing w:after="120"/>
        <w:jc w:val="both"/>
        <w:rPr>
          <w:rFonts w:ascii="Arial" w:eastAsia="Times New Roman" w:hAnsi="Arial" w:cs="Arial"/>
          <w:bCs/>
          <w:lang w:eastAsia="fr-FR"/>
        </w:rPr>
      </w:pPr>
      <w:r>
        <w:rPr>
          <w:rFonts w:ascii="Arial" w:eastAsia="Times New Roman" w:hAnsi="Arial" w:cs="Arial"/>
          <w:bCs/>
          <w:lang w:eastAsia="fr-FR"/>
        </w:rPr>
        <w:t>En perspectives, l</w:t>
      </w:r>
      <w:r w:rsidRPr="004C3EFB">
        <w:rPr>
          <w:rFonts w:ascii="Arial" w:eastAsia="Times New Roman" w:hAnsi="Arial" w:cs="Arial"/>
          <w:bCs/>
          <w:lang w:eastAsia="fr-FR"/>
        </w:rPr>
        <w:t>e Gouvernement devrait développer des actions dans le sens de la mise en œuvre des engagements pris lors de la Conférence d’Addis-Abeba sur le financement du développement, la réunion de haut niveau de Nairobi et la 22ème Conférence des Parties sur le climat.</w:t>
      </w:r>
    </w:p>
    <w:p w:rsidR="00464E53" w:rsidRPr="004C3EFB" w:rsidRDefault="00464E53" w:rsidP="00464E53">
      <w:pPr>
        <w:spacing w:after="120"/>
        <w:jc w:val="both"/>
        <w:rPr>
          <w:rFonts w:ascii="Arial" w:eastAsia="Times New Roman" w:hAnsi="Arial" w:cs="Arial"/>
          <w:bCs/>
          <w:lang w:eastAsia="fr-FR"/>
        </w:rPr>
      </w:pPr>
      <w:r w:rsidRPr="004C3EFB">
        <w:rPr>
          <w:rFonts w:ascii="Arial" w:eastAsia="Times New Roman" w:hAnsi="Arial" w:cs="Arial"/>
          <w:bCs/>
          <w:lang w:eastAsia="fr-FR"/>
        </w:rPr>
        <w:t xml:space="preserve">Pour améliorer la mobilisation des ressources, </w:t>
      </w:r>
      <w:r w:rsidR="00DA1416">
        <w:rPr>
          <w:rFonts w:ascii="Arial" w:eastAsia="Times New Roman" w:hAnsi="Arial" w:cs="Arial"/>
          <w:bCs/>
          <w:lang w:eastAsia="fr-FR"/>
        </w:rPr>
        <w:t>les</w:t>
      </w:r>
      <w:r w:rsidRPr="004C3EFB">
        <w:rPr>
          <w:rFonts w:ascii="Arial" w:eastAsia="Times New Roman" w:hAnsi="Arial" w:cs="Arial"/>
          <w:bCs/>
          <w:lang w:eastAsia="fr-FR"/>
        </w:rPr>
        <w:t xml:space="preserve"> recommandations </w:t>
      </w:r>
      <w:r w:rsidR="00DA1416">
        <w:rPr>
          <w:rFonts w:ascii="Arial" w:eastAsia="Times New Roman" w:hAnsi="Arial" w:cs="Arial"/>
          <w:bCs/>
          <w:lang w:eastAsia="fr-FR"/>
        </w:rPr>
        <w:t xml:space="preserve">suivantes ont été formulées </w:t>
      </w:r>
      <w:r w:rsidRPr="004C3EFB">
        <w:rPr>
          <w:rFonts w:ascii="Arial" w:eastAsia="Times New Roman" w:hAnsi="Arial" w:cs="Arial"/>
          <w:bCs/>
          <w:lang w:eastAsia="fr-FR"/>
        </w:rPr>
        <w:t xml:space="preserve">à l’endroit du Gouvernement </w:t>
      </w:r>
      <w:r w:rsidR="00DA1416">
        <w:rPr>
          <w:rFonts w:ascii="Arial" w:eastAsia="Times New Roman" w:hAnsi="Arial" w:cs="Arial"/>
          <w:bCs/>
          <w:lang w:eastAsia="fr-FR"/>
        </w:rPr>
        <w:t xml:space="preserve">et </w:t>
      </w:r>
      <w:r w:rsidRPr="004C3EFB">
        <w:rPr>
          <w:rFonts w:ascii="Arial" w:eastAsia="Times New Roman" w:hAnsi="Arial" w:cs="Arial"/>
          <w:bCs/>
          <w:lang w:eastAsia="fr-FR"/>
        </w:rPr>
        <w:t xml:space="preserve">de ses partenaires au développement. </w:t>
      </w:r>
      <w:r w:rsidR="00DA1416">
        <w:rPr>
          <w:rFonts w:ascii="Arial" w:eastAsia="Times New Roman" w:hAnsi="Arial" w:cs="Arial"/>
          <w:bCs/>
          <w:lang w:eastAsia="fr-FR"/>
        </w:rPr>
        <w:t>Il s’agit de :</w:t>
      </w:r>
    </w:p>
    <w:p w:rsidR="00464E53" w:rsidRPr="004C3EFB" w:rsidRDefault="00464E53" w:rsidP="00A60D96">
      <w:pPr>
        <w:spacing w:before="120" w:after="120"/>
        <w:jc w:val="both"/>
        <w:rPr>
          <w:rFonts w:ascii="Arial" w:eastAsia="Times New Roman" w:hAnsi="Arial" w:cs="Arial"/>
          <w:b/>
          <w:bCs/>
          <w:i/>
          <w:lang w:eastAsia="fr-FR"/>
        </w:rPr>
      </w:pPr>
      <w:r w:rsidRPr="004C3EFB">
        <w:rPr>
          <w:rFonts w:ascii="Arial" w:eastAsia="Times New Roman" w:hAnsi="Arial" w:cs="Arial"/>
          <w:b/>
          <w:bCs/>
          <w:i/>
          <w:lang w:eastAsia="fr-FR"/>
        </w:rPr>
        <w:t>A l’endroit du Gouvernement :</w:t>
      </w:r>
    </w:p>
    <w:p w:rsidR="009A5EA5" w:rsidRPr="002B4C0A" w:rsidRDefault="009A5EA5" w:rsidP="00B92B11">
      <w:pPr>
        <w:pStyle w:val="Paragraphedeliste"/>
        <w:numPr>
          <w:ilvl w:val="0"/>
          <w:numId w:val="93"/>
        </w:numPr>
        <w:spacing w:after="0"/>
        <w:jc w:val="both"/>
        <w:rPr>
          <w:rFonts w:ascii="Arial" w:hAnsi="Arial" w:cs="Arial"/>
        </w:rPr>
      </w:pPr>
      <w:r w:rsidRPr="002B4C0A">
        <w:rPr>
          <w:rFonts w:ascii="Arial" w:hAnsi="Arial" w:cs="Arial"/>
        </w:rPr>
        <w:t>améliorer le taux de pression fiscale à travers l’élargissement de l’assiette fiscale;</w:t>
      </w:r>
    </w:p>
    <w:p w:rsidR="009A5EA5" w:rsidRPr="002B4C0A" w:rsidRDefault="009A5EA5" w:rsidP="00B92B11">
      <w:pPr>
        <w:pStyle w:val="Paragraphedeliste"/>
        <w:numPr>
          <w:ilvl w:val="0"/>
          <w:numId w:val="93"/>
        </w:numPr>
        <w:spacing w:after="0"/>
        <w:jc w:val="both"/>
        <w:rPr>
          <w:rFonts w:ascii="Arial" w:hAnsi="Arial" w:cs="Arial"/>
        </w:rPr>
      </w:pPr>
      <w:r w:rsidRPr="002B4C0A">
        <w:rPr>
          <w:rFonts w:ascii="Arial" w:hAnsi="Arial" w:cs="Arial"/>
        </w:rPr>
        <w:t>élaborer et mettre en œuvre une stratégie de mobilisation de l’épargne des burkinabè de l’étranger ;</w:t>
      </w:r>
    </w:p>
    <w:p w:rsidR="009A5EA5" w:rsidRPr="002B4C0A" w:rsidRDefault="009A5EA5" w:rsidP="00B92B11">
      <w:pPr>
        <w:pStyle w:val="Paragraphedeliste"/>
        <w:numPr>
          <w:ilvl w:val="0"/>
          <w:numId w:val="93"/>
        </w:numPr>
        <w:spacing w:after="0"/>
        <w:jc w:val="both"/>
        <w:rPr>
          <w:rFonts w:ascii="Arial" w:hAnsi="Arial" w:cs="Arial"/>
        </w:rPr>
      </w:pPr>
      <w:r w:rsidRPr="002B4C0A">
        <w:rPr>
          <w:rFonts w:ascii="Arial" w:hAnsi="Arial" w:cs="Arial"/>
        </w:rPr>
        <w:t>intensifier les mesures sécuritaires</w:t>
      </w:r>
      <w:r>
        <w:rPr>
          <w:rFonts w:ascii="Arial" w:hAnsi="Arial" w:cs="Arial"/>
        </w:rPr>
        <w:t>;</w:t>
      </w:r>
    </w:p>
    <w:p w:rsidR="009A5EA5" w:rsidRPr="002B4C0A" w:rsidRDefault="009A5EA5" w:rsidP="00B92B11">
      <w:pPr>
        <w:pStyle w:val="Paragraphedeliste"/>
        <w:numPr>
          <w:ilvl w:val="0"/>
          <w:numId w:val="93"/>
        </w:numPr>
        <w:spacing w:after="0"/>
        <w:jc w:val="both"/>
        <w:rPr>
          <w:rFonts w:ascii="Arial" w:hAnsi="Arial" w:cs="Arial"/>
        </w:rPr>
      </w:pPr>
      <w:r w:rsidRPr="002B4C0A">
        <w:rPr>
          <w:rFonts w:ascii="Arial" w:hAnsi="Arial" w:cs="Arial"/>
        </w:rPr>
        <w:t>élargir la coopération avec de nouveaux partenaires</w:t>
      </w:r>
      <w:r>
        <w:rPr>
          <w:rFonts w:ascii="Arial" w:hAnsi="Arial" w:cs="Arial"/>
        </w:rPr>
        <w:t> ;</w:t>
      </w:r>
    </w:p>
    <w:p w:rsidR="009A5EA5" w:rsidRDefault="009A5EA5" w:rsidP="00B92B11">
      <w:pPr>
        <w:pStyle w:val="Paragraphedeliste"/>
        <w:numPr>
          <w:ilvl w:val="0"/>
          <w:numId w:val="93"/>
        </w:numPr>
        <w:spacing w:after="0"/>
        <w:jc w:val="both"/>
        <w:rPr>
          <w:rFonts w:ascii="Arial" w:hAnsi="Arial" w:cs="Arial"/>
        </w:rPr>
      </w:pPr>
      <w:r w:rsidRPr="002B4C0A">
        <w:rPr>
          <w:rFonts w:ascii="Arial" w:hAnsi="Arial" w:cs="Arial"/>
        </w:rPr>
        <w:t>renforcer la bonne gouvernance économique en luttant eff</w:t>
      </w:r>
      <w:r>
        <w:rPr>
          <w:rFonts w:ascii="Arial" w:hAnsi="Arial" w:cs="Arial"/>
        </w:rPr>
        <w:t>icacement contre la corruption.</w:t>
      </w:r>
    </w:p>
    <w:p w:rsidR="001F59B4" w:rsidRPr="004C3EFB" w:rsidRDefault="001F59B4" w:rsidP="00A60D96">
      <w:pPr>
        <w:spacing w:before="120" w:after="120"/>
        <w:jc w:val="both"/>
        <w:rPr>
          <w:rFonts w:ascii="Arial" w:eastAsia="Times New Roman" w:hAnsi="Arial" w:cs="Arial"/>
          <w:b/>
          <w:bCs/>
          <w:i/>
          <w:lang w:eastAsia="fr-FR"/>
        </w:rPr>
      </w:pPr>
      <w:r w:rsidRPr="004C3EFB">
        <w:rPr>
          <w:rFonts w:ascii="Arial" w:eastAsia="Times New Roman" w:hAnsi="Arial" w:cs="Arial"/>
          <w:b/>
          <w:bCs/>
          <w:i/>
          <w:lang w:eastAsia="fr-FR"/>
        </w:rPr>
        <w:t>A l’endroit des partenaires techniques et financiers:</w:t>
      </w:r>
    </w:p>
    <w:p w:rsidR="001F59B4" w:rsidRPr="004C3EFB" w:rsidRDefault="001F59B4" w:rsidP="00B92B11">
      <w:pPr>
        <w:pStyle w:val="Paragraphedeliste"/>
        <w:numPr>
          <w:ilvl w:val="0"/>
          <w:numId w:val="90"/>
        </w:numPr>
        <w:spacing w:after="120"/>
        <w:jc w:val="both"/>
        <w:rPr>
          <w:rFonts w:ascii="Arial" w:eastAsia="Times New Roman" w:hAnsi="Arial" w:cs="Arial"/>
          <w:bCs/>
          <w:lang w:eastAsia="fr-FR"/>
        </w:rPr>
      </w:pPr>
      <w:r w:rsidRPr="004C3EFB">
        <w:rPr>
          <w:rFonts w:ascii="Arial" w:eastAsia="Times New Roman" w:hAnsi="Arial" w:cs="Arial"/>
          <w:bCs/>
          <w:lang w:eastAsia="fr-FR"/>
        </w:rPr>
        <w:t>respecter l’engagement de fournir au moins 1% de leur RNB comme aide au développement aux pays en développement ;</w:t>
      </w:r>
    </w:p>
    <w:p w:rsidR="001F59B4" w:rsidRPr="004C3EFB" w:rsidRDefault="001F59B4" w:rsidP="00B92B11">
      <w:pPr>
        <w:pStyle w:val="Paragraphedeliste"/>
        <w:numPr>
          <w:ilvl w:val="0"/>
          <w:numId w:val="90"/>
        </w:numPr>
        <w:spacing w:after="120"/>
        <w:jc w:val="both"/>
        <w:rPr>
          <w:rFonts w:ascii="Arial" w:eastAsia="Times New Roman" w:hAnsi="Arial" w:cs="Arial"/>
          <w:bCs/>
          <w:lang w:eastAsia="fr-FR"/>
        </w:rPr>
      </w:pPr>
      <w:r w:rsidRPr="004C3EFB">
        <w:rPr>
          <w:rFonts w:ascii="Arial" w:eastAsia="Times New Roman" w:hAnsi="Arial" w:cs="Arial"/>
          <w:bCs/>
          <w:lang w:eastAsia="fr-FR"/>
        </w:rPr>
        <w:t>s’aligner sur les systèmes nationaux de gestion des finances publiques ;</w:t>
      </w:r>
    </w:p>
    <w:p w:rsidR="001F59B4" w:rsidRPr="004C3EFB" w:rsidRDefault="001F59B4" w:rsidP="00096021">
      <w:pPr>
        <w:pStyle w:val="Paragraphedeliste"/>
        <w:numPr>
          <w:ilvl w:val="0"/>
          <w:numId w:val="31"/>
        </w:num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contribuer à améliorer la mobilisation des ressources intérieures par un renforcement des capacités en la matière ;</w:t>
      </w:r>
    </w:p>
    <w:p w:rsidR="001F59B4" w:rsidRPr="004C3EFB" w:rsidRDefault="001F59B4" w:rsidP="00096021">
      <w:pPr>
        <w:pStyle w:val="Paragraphedeliste"/>
        <w:numPr>
          <w:ilvl w:val="0"/>
          <w:numId w:val="31"/>
        </w:num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privilégier les appuis budgétaires;</w:t>
      </w:r>
    </w:p>
    <w:p w:rsidR="001F59B4" w:rsidRPr="004C3EFB" w:rsidRDefault="001F59B4" w:rsidP="00096021">
      <w:pPr>
        <w:pStyle w:val="Paragraphedeliste"/>
        <w:numPr>
          <w:ilvl w:val="0"/>
          <w:numId w:val="31"/>
        </w:num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améliorer la prévisibilité de l’aide ;</w:t>
      </w:r>
    </w:p>
    <w:p w:rsidR="001F59B4" w:rsidRPr="009F74BC" w:rsidRDefault="001F59B4" w:rsidP="009F74BC">
      <w:pPr>
        <w:pStyle w:val="Paragraphedeliste"/>
        <w:numPr>
          <w:ilvl w:val="0"/>
          <w:numId w:val="31"/>
        </w:num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recourir aux approches conjointes de financement y compris la mise en œuvre des principes de la division du travail et la complémentarité.</w:t>
      </w:r>
    </w:p>
    <w:p w:rsidR="001F59B4" w:rsidRPr="004C3EFB" w:rsidRDefault="001F59B4" w:rsidP="00A60D96">
      <w:pPr>
        <w:spacing w:before="120" w:after="120"/>
        <w:jc w:val="both"/>
        <w:rPr>
          <w:rFonts w:ascii="Arial" w:eastAsia="Times New Roman" w:hAnsi="Arial" w:cs="Arial"/>
          <w:b/>
          <w:bCs/>
          <w:i/>
          <w:lang w:eastAsia="fr-FR"/>
        </w:rPr>
      </w:pPr>
      <w:r w:rsidRPr="004C3EFB">
        <w:rPr>
          <w:rFonts w:ascii="Arial" w:eastAsia="Times New Roman" w:hAnsi="Arial" w:cs="Arial"/>
          <w:b/>
          <w:bCs/>
          <w:i/>
          <w:lang w:eastAsia="fr-FR"/>
        </w:rPr>
        <w:t>A l’endroit de la société civile:</w:t>
      </w:r>
    </w:p>
    <w:p w:rsidR="001F59B4" w:rsidRPr="004C3EFB" w:rsidRDefault="001F59B4" w:rsidP="00096021">
      <w:pPr>
        <w:pStyle w:val="Paragraphedeliste"/>
        <w:numPr>
          <w:ilvl w:val="0"/>
          <w:numId w:val="31"/>
        </w:num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jouer leur rôle de veille et de contrôle citoyen dans la mise en œuvre des politiques publiques ;</w:t>
      </w:r>
    </w:p>
    <w:p w:rsidR="001F59B4" w:rsidRPr="004C3EFB" w:rsidRDefault="001F59B4" w:rsidP="00096021">
      <w:pPr>
        <w:pStyle w:val="Paragraphedeliste"/>
        <w:numPr>
          <w:ilvl w:val="0"/>
          <w:numId w:val="31"/>
        </w:num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sensibiliser le public sur les engagements contractés au niveau national et local et mettre l’accent sur les progrès et difficultés rencontrées dans la mise en œuvre ;</w:t>
      </w:r>
    </w:p>
    <w:p w:rsidR="001F59B4" w:rsidRPr="00096021" w:rsidRDefault="001F59B4" w:rsidP="00096021">
      <w:pPr>
        <w:pStyle w:val="Paragraphedeliste"/>
        <w:numPr>
          <w:ilvl w:val="0"/>
          <w:numId w:val="31"/>
        </w:num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accompagner davantage le Gouvernement dans le financement des actions de développement.</w:t>
      </w:r>
    </w:p>
    <w:p w:rsidR="001F59B4" w:rsidRPr="004C3EFB" w:rsidRDefault="001F59B4" w:rsidP="00A60D96">
      <w:pPr>
        <w:spacing w:before="120" w:after="120"/>
        <w:jc w:val="both"/>
        <w:rPr>
          <w:rFonts w:ascii="Arial" w:eastAsia="Times New Roman" w:hAnsi="Arial" w:cs="Arial"/>
          <w:b/>
          <w:bCs/>
          <w:i/>
          <w:lang w:eastAsia="fr-FR"/>
        </w:rPr>
      </w:pPr>
      <w:r w:rsidRPr="004C3EFB">
        <w:rPr>
          <w:rFonts w:ascii="Arial" w:eastAsia="Times New Roman" w:hAnsi="Arial" w:cs="Arial"/>
          <w:b/>
          <w:bCs/>
          <w:i/>
          <w:lang w:eastAsia="fr-FR"/>
        </w:rPr>
        <w:t>A l’endroit du secteur privé :</w:t>
      </w:r>
    </w:p>
    <w:p w:rsidR="001F59B4" w:rsidRPr="009F74BC" w:rsidRDefault="001F59B4" w:rsidP="009F74BC">
      <w:pPr>
        <w:numPr>
          <w:ilvl w:val="0"/>
          <w:numId w:val="31"/>
        </w:numPr>
        <w:spacing w:after="120"/>
        <w:contextualSpacing/>
        <w:jc w:val="both"/>
        <w:rPr>
          <w:rFonts w:ascii="Arial" w:eastAsia="Times New Roman" w:hAnsi="Arial" w:cs="Arial"/>
          <w:bCs/>
          <w:lang w:eastAsia="fr-FR"/>
        </w:rPr>
      </w:pPr>
      <w:r w:rsidRPr="004C3EFB">
        <w:rPr>
          <w:rFonts w:ascii="Arial" w:eastAsia="Times New Roman" w:hAnsi="Arial" w:cs="Arial"/>
          <w:bCs/>
          <w:lang w:eastAsia="fr-FR"/>
        </w:rPr>
        <w:t>promouvoir  l’innovation, la création de richesses, de revenus et d’emploi ;</w:t>
      </w:r>
    </w:p>
    <w:p w:rsidR="001F59B4" w:rsidRPr="00096021" w:rsidRDefault="001F59B4" w:rsidP="009F74BC">
      <w:pPr>
        <w:pStyle w:val="Paragraphedeliste"/>
        <w:numPr>
          <w:ilvl w:val="0"/>
          <w:numId w:val="31"/>
        </w:numPr>
        <w:autoSpaceDE w:val="0"/>
        <w:autoSpaceDN w:val="0"/>
        <w:adjustRightInd w:val="0"/>
        <w:spacing w:after="120"/>
        <w:jc w:val="both"/>
        <w:rPr>
          <w:rFonts w:ascii="Arial" w:eastAsia="Times New Roman" w:hAnsi="Arial" w:cs="Arial"/>
          <w:bCs/>
          <w:lang w:eastAsia="fr-FR"/>
        </w:rPr>
      </w:pPr>
      <w:r w:rsidRPr="004C3EFB">
        <w:rPr>
          <w:rFonts w:ascii="Arial" w:eastAsia="Times New Roman" w:hAnsi="Arial" w:cs="Arial"/>
          <w:bCs/>
          <w:lang w:eastAsia="fr-FR"/>
        </w:rPr>
        <w:t>accompagner le Gouvernement dans le financement des actions de développement par le biais du partenariat public-privé. </w:t>
      </w:r>
    </w:p>
    <w:p w:rsidR="001F59B4" w:rsidRPr="004C3EFB" w:rsidRDefault="001F59B4" w:rsidP="00A60D96">
      <w:pPr>
        <w:spacing w:before="120" w:after="120"/>
        <w:jc w:val="both"/>
        <w:rPr>
          <w:rFonts w:ascii="Arial" w:eastAsia="Times New Roman" w:hAnsi="Arial" w:cs="Arial"/>
          <w:b/>
          <w:bCs/>
          <w:i/>
          <w:lang w:eastAsia="fr-FR"/>
        </w:rPr>
      </w:pPr>
      <w:r w:rsidRPr="004C3EFB">
        <w:rPr>
          <w:rFonts w:ascii="Arial" w:eastAsia="Times New Roman" w:hAnsi="Arial" w:cs="Arial"/>
          <w:b/>
          <w:bCs/>
          <w:i/>
          <w:lang w:eastAsia="fr-FR"/>
        </w:rPr>
        <w:t>A l’endroit de la diaspora burkinabè :</w:t>
      </w:r>
    </w:p>
    <w:p w:rsidR="001F59B4" w:rsidRPr="004C3EFB" w:rsidRDefault="001F59B4" w:rsidP="00B92B11">
      <w:pPr>
        <w:pStyle w:val="Paragraphedeliste"/>
        <w:numPr>
          <w:ilvl w:val="0"/>
          <w:numId w:val="91"/>
        </w:numPr>
        <w:spacing w:after="120"/>
        <w:jc w:val="both"/>
        <w:rPr>
          <w:rFonts w:ascii="Arial" w:eastAsia="Times New Roman" w:hAnsi="Arial" w:cs="Arial"/>
          <w:bCs/>
          <w:lang w:eastAsia="fr-FR"/>
        </w:rPr>
      </w:pPr>
      <w:r w:rsidRPr="004C3EFB">
        <w:rPr>
          <w:rFonts w:ascii="Arial" w:eastAsia="Times New Roman" w:hAnsi="Arial" w:cs="Arial"/>
          <w:bCs/>
          <w:lang w:eastAsia="fr-FR"/>
        </w:rPr>
        <w:t>sécuriser leurs ressources en les investissant au Burkina Faso ;</w:t>
      </w:r>
    </w:p>
    <w:p w:rsidR="001F59B4" w:rsidRPr="004C3EFB" w:rsidRDefault="001F59B4" w:rsidP="00B92B11">
      <w:pPr>
        <w:pStyle w:val="Paragraphedeliste"/>
        <w:numPr>
          <w:ilvl w:val="0"/>
          <w:numId w:val="91"/>
        </w:numPr>
        <w:spacing w:after="120"/>
        <w:jc w:val="both"/>
        <w:rPr>
          <w:rFonts w:ascii="Arial" w:eastAsia="Times New Roman" w:hAnsi="Arial" w:cs="Arial"/>
          <w:bCs/>
          <w:lang w:eastAsia="fr-FR"/>
        </w:rPr>
      </w:pPr>
      <w:r w:rsidRPr="004C3EFB">
        <w:rPr>
          <w:rFonts w:ascii="Arial" w:eastAsia="Times New Roman" w:hAnsi="Arial" w:cs="Arial"/>
          <w:bCs/>
          <w:lang w:eastAsia="fr-FR"/>
        </w:rPr>
        <w:t>dupliquer dans leur pays d’origine les bonnes expériences de progrès économique, social et culturel vécues dans les pays d’accueil ;</w:t>
      </w:r>
    </w:p>
    <w:p w:rsidR="00A60D96" w:rsidRDefault="001F59B4" w:rsidP="00A60D96">
      <w:pPr>
        <w:pStyle w:val="Paragraphedeliste"/>
        <w:numPr>
          <w:ilvl w:val="0"/>
          <w:numId w:val="91"/>
        </w:numPr>
        <w:spacing w:after="120"/>
        <w:jc w:val="both"/>
        <w:rPr>
          <w:rFonts w:ascii="Arial" w:eastAsia="Times New Roman" w:hAnsi="Arial" w:cs="Arial"/>
          <w:bCs/>
          <w:lang w:eastAsia="fr-FR"/>
        </w:rPr>
        <w:sectPr w:rsidR="00A60D96" w:rsidSect="00FC726D">
          <w:headerReference w:type="default" r:id="rId13"/>
          <w:footerReference w:type="default" r:id="rId14"/>
          <w:pgSz w:w="11906" w:h="16838"/>
          <w:pgMar w:top="851" w:right="849" w:bottom="1417" w:left="851" w:header="708" w:footer="708" w:gutter="0"/>
          <w:pgNumType w:fmt="upperRoman" w:start="2"/>
          <w:cols w:space="708"/>
          <w:titlePg/>
          <w:docGrid w:linePitch="360"/>
        </w:sectPr>
      </w:pPr>
      <w:r w:rsidRPr="00A60D96">
        <w:rPr>
          <w:rFonts w:ascii="Arial" w:eastAsia="Times New Roman" w:hAnsi="Arial" w:cs="Arial"/>
          <w:bCs/>
          <w:lang w:eastAsia="fr-FR"/>
        </w:rPr>
        <w:t>s’inspirer des expériences réussies dans une diaspora pour les dupliquer ailleurs.</w:t>
      </w:r>
      <w:bookmarkStart w:id="30" w:name="_Toc459122777"/>
      <w:bookmarkStart w:id="31" w:name="_Toc399933213"/>
      <w:bookmarkStart w:id="32" w:name="_Toc400638563"/>
      <w:bookmarkStart w:id="33" w:name="_Toc400643266"/>
    </w:p>
    <w:p w:rsidR="00486546" w:rsidRPr="00C240C2" w:rsidRDefault="00486546" w:rsidP="00A6746A">
      <w:pPr>
        <w:pStyle w:val="Titre"/>
        <w:rPr>
          <w:rFonts w:asciiTheme="majorHAnsi" w:hAnsiTheme="majorHAnsi"/>
          <w:sz w:val="26"/>
          <w:szCs w:val="26"/>
        </w:rPr>
      </w:pPr>
      <w:bookmarkStart w:id="34" w:name="_Toc492972155"/>
      <w:r w:rsidRPr="00C240C2">
        <w:rPr>
          <w:rFonts w:asciiTheme="majorHAnsi" w:hAnsiTheme="majorHAnsi"/>
          <w:sz w:val="26"/>
          <w:szCs w:val="26"/>
        </w:rPr>
        <w:lastRenderedPageBreak/>
        <w:t>INTRODUCTION GENERALE</w:t>
      </w:r>
      <w:bookmarkEnd w:id="30"/>
      <w:bookmarkEnd w:id="34"/>
    </w:p>
    <w:bookmarkEnd w:id="31"/>
    <w:bookmarkEnd w:id="32"/>
    <w:bookmarkEnd w:id="33"/>
    <w:p w:rsidR="00193D81" w:rsidRPr="000E5AA3" w:rsidRDefault="00336ED9" w:rsidP="00A60D96">
      <w:pPr>
        <w:spacing w:after="120"/>
        <w:jc w:val="both"/>
        <w:rPr>
          <w:rFonts w:ascii="Arial" w:hAnsi="Arial" w:cs="Arial"/>
        </w:rPr>
      </w:pPr>
      <w:r w:rsidRPr="000E5AA3">
        <w:rPr>
          <w:rFonts w:ascii="Arial" w:hAnsi="Arial" w:cs="Arial"/>
        </w:rPr>
        <w:t>En 2016, l’activité économique</w:t>
      </w:r>
      <w:r w:rsidR="00270AE9" w:rsidRPr="000E5AA3">
        <w:rPr>
          <w:rFonts w:ascii="Arial" w:hAnsi="Arial" w:cs="Arial"/>
        </w:rPr>
        <w:t xml:space="preserve"> du Burkina Faso </w:t>
      </w:r>
      <w:r w:rsidR="000D5EF5" w:rsidRPr="000E5AA3">
        <w:rPr>
          <w:rFonts w:ascii="Arial" w:hAnsi="Arial" w:cs="Arial"/>
        </w:rPr>
        <w:t xml:space="preserve">s’est </w:t>
      </w:r>
      <w:r w:rsidR="00193D81" w:rsidRPr="000E5AA3">
        <w:rPr>
          <w:rFonts w:ascii="Arial" w:hAnsi="Arial" w:cs="Arial"/>
        </w:rPr>
        <w:t>déroulée</w:t>
      </w:r>
      <w:r w:rsidR="00270AE9" w:rsidRPr="000E5AA3">
        <w:rPr>
          <w:rFonts w:ascii="Arial" w:hAnsi="Arial" w:cs="Arial"/>
        </w:rPr>
        <w:t xml:space="preserve"> dans un </w:t>
      </w:r>
      <w:r w:rsidR="000D5EF5" w:rsidRPr="000E5AA3">
        <w:rPr>
          <w:rFonts w:ascii="Arial" w:hAnsi="Arial" w:cs="Arial"/>
        </w:rPr>
        <w:t xml:space="preserve">contexte sociopolitique difficile </w:t>
      </w:r>
      <w:r w:rsidR="00CA71CD" w:rsidRPr="000E5AA3">
        <w:rPr>
          <w:rFonts w:ascii="Arial" w:hAnsi="Arial" w:cs="Arial"/>
        </w:rPr>
        <w:t>marqué par les effets des crises des années antérieures</w:t>
      </w:r>
      <w:r w:rsidR="00193D81" w:rsidRPr="000E5AA3">
        <w:rPr>
          <w:rFonts w:ascii="Arial" w:hAnsi="Arial" w:cs="Arial"/>
        </w:rPr>
        <w:t>, le retour à une vie constitutionnelle normale et la bonne tenue des cours des principales matières premières.</w:t>
      </w:r>
    </w:p>
    <w:p w:rsidR="006065C8" w:rsidRDefault="006065C8" w:rsidP="00A60D96">
      <w:pPr>
        <w:spacing w:after="120"/>
        <w:jc w:val="both"/>
        <w:rPr>
          <w:rFonts w:ascii="Arial" w:hAnsi="Arial" w:cs="Arial"/>
        </w:rPr>
      </w:pPr>
      <w:r>
        <w:rPr>
          <w:rFonts w:ascii="Arial" w:hAnsi="Arial" w:cs="Arial"/>
        </w:rPr>
        <w:t xml:space="preserve">Cette </w:t>
      </w:r>
      <w:r w:rsidR="00650ADA">
        <w:rPr>
          <w:rFonts w:ascii="Arial" w:hAnsi="Arial" w:cs="Arial"/>
        </w:rPr>
        <w:t xml:space="preserve">situation </w:t>
      </w:r>
      <w:r>
        <w:rPr>
          <w:rFonts w:ascii="Arial" w:hAnsi="Arial" w:cs="Arial"/>
        </w:rPr>
        <w:t>a eu des conséquences</w:t>
      </w:r>
      <w:r w:rsidR="003B740E">
        <w:rPr>
          <w:rFonts w:ascii="Arial" w:hAnsi="Arial" w:cs="Arial"/>
        </w:rPr>
        <w:t xml:space="preserve"> sur le cadre macroéconomique </w:t>
      </w:r>
      <w:r w:rsidR="00AF2E2C">
        <w:rPr>
          <w:rFonts w:ascii="Arial" w:hAnsi="Arial" w:cs="Arial"/>
        </w:rPr>
        <w:t>entrainant une augmentation du rythme de croissance de l’activité économique en 2016. En effet, la croissance s’est affichée à 5,9% contre 4,0% en 2015.</w:t>
      </w:r>
    </w:p>
    <w:p w:rsidR="00AF2E2C" w:rsidRDefault="00BB3C30" w:rsidP="00A60D96">
      <w:pPr>
        <w:spacing w:after="120"/>
        <w:jc w:val="both"/>
        <w:rPr>
          <w:rFonts w:ascii="Arial" w:hAnsi="Arial" w:cs="Arial"/>
        </w:rPr>
      </w:pPr>
      <w:r>
        <w:rPr>
          <w:rFonts w:ascii="Arial" w:hAnsi="Arial" w:cs="Arial"/>
        </w:rPr>
        <w:t xml:space="preserve">Au cours de </w:t>
      </w:r>
      <w:r w:rsidR="002501B9">
        <w:rPr>
          <w:rFonts w:ascii="Arial" w:hAnsi="Arial" w:cs="Arial"/>
        </w:rPr>
        <w:t>l’année 2016</w:t>
      </w:r>
      <w:r>
        <w:rPr>
          <w:rFonts w:ascii="Arial" w:hAnsi="Arial" w:cs="Arial"/>
        </w:rPr>
        <w:t xml:space="preserve">, le Burkina Faso a bénéficié de l’accompagnement de ses partenaires techniques et financiers pour la mise en œuvre </w:t>
      </w:r>
      <w:r w:rsidR="004B5015">
        <w:rPr>
          <w:rFonts w:ascii="Arial" w:hAnsi="Arial" w:cs="Arial"/>
        </w:rPr>
        <w:t>de ses programmes de développement</w:t>
      </w:r>
      <w:r w:rsidR="002501B9">
        <w:rPr>
          <w:rFonts w:ascii="Arial" w:hAnsi="Arial" w:cs="Arial"/>
        </w:rPr>
        <w:t>.</w:t>
      </w:r>
      <w:r w:rsidR="00242A39">
        <w:rPr>
          <w:rFonts w:ascii="Arial" w:hAnsi="Arial" w:cs="Arial"/>
        </w:rPr>
        <w:t xml:space="preserve"> Ainsi, </w:t>
      </w:r>
      <w:r w:rsidR="00E52630">
        <w:rPr>
          <w:rFonts w:ascii="Arial" w:hAnsi="Arial" w:cs="Arial"/>
        </w:rPr>
        <w:t>le volume d’aide mobilisé</w:t>
      </w:r>
      <w:r w:rsidR="004B5015">
        <w:rPr>
          <w:rFonts w:ascii="Arial" w:hAnsi="Arial" w:cs="Arial"/>
        </w:rPr>
        <w:t>e</w:t>
      </w:r>
      <w:r w:rsidR="00E52630">
        <w:rPr>
          <w:rFonts w:ascii="Arial" w:hAnsi="Arial" w:cs="Arial"/>
        </w:rPr>
        <w:t xml:space="preserve"> en 2016 s’est élevé à 1140,23 millions de dollars contre 1100,34 millions de dollars</w:t>
      </w:r>
      <w:r w:rsidR="0036318E">
        <w:rPr>
          <w:rFonts w:ascii="Arial" w:hAnsi="Arial" w:cs="Arial"/>
        </w:rPr>
        <w:t xml:space="preserve"> en 2015.</w:t>
      </w:r>
    </w:p>
    <w:p w:rsidR="00414CA5" w:rsidRPr="006713F9" w:rsidRDefault="004B5015" w:rsidP="00A60D96">
      <w:pPr>
        <w:spacing w:after="120"/>
        <w:jc w:val="both"/>
        <w:rPr>
          <w:rFonts w:ascii="Arial" w:hAnsi="Arial" w:cs="Arial"/>
        </w:rPr>
      </w:pPr>
      <w:r w:rsidRPr="006713F9">
        <w:rPr>
          <w:rFonts w:ascii="Arial" w:hAnsi="Arial" w:cs="Arial"/>
        </w:rPr>
        <w:t xml:space="preserve">Avec l’adoption du PNDES, </w:t>
      </w:r>
      <w:r w:rsidR="00990AAA" w:rsidRPr="006713F9">
        <w:rPr>
          <w:rFonts w:ascii="Arial" w:hAnsi="Arial" w:cs="Arial"/>
        </w:rPr>
        <w:t xml:space="preserve">la mobilisation des ressources constitue un enjeu majeur pour la </w:t>
      </w:r>
      <w:r w:rsidR="005F1CD5" w:rsidRPr="006713F9">
        <w:rPr>
          <w:rFonts w:ascii="Arial" w:hAnsi="Arial" w:cs="Arial"/>
        </w:rPr>
        <w:t xml:space="preserve">transformation structurelle de l’économie </w:t>
      </w:r>
      <w:r w:rsidR="00805DBA" w:rsidRPr="006713F9">
        <w:rPr>
          <w:rFonts w:ascii="Arial" w:hAnsi="Arial" w:cs="Arial"/>
        </w:rPr>
        <w:t>pour atteindre une croissance économique forte, inclusive et durable</w:t>
      </w:r>
      <w:r w:rsidR="00414CA5" w:rsidRPr="006713F9">
        <w:rPr>
          <w:rFonts w:ascii="Arial" w:hAnsi="Arial" w:cs="Arial"/>
        </w:rPr>
        <w:t xml:space="preserve"> ; d’où l’intérêt du choix du </w:t>
      </w:r>
      <w:r w:rsidR="008678BB" w:rsidRPr="006713F9">
        <w:rPr>
          <w:rFonts w:ascii="Arial" w:hAnsi="Arial" w:cs="Arial"/>
        </w:rPr>
        <w:t xml:space="preserve">thème </w:t>
      </w:r>
      <w:r w:rsidR="00414CA5" w:rsidRPr="006713F9">
        <w:rPr>
          <w:rFonts w:ascii="Arial" w:hAnsi="Arial" w:cs="Arial"/>
        </w:rPr>
        <w:t>du présent rapport</w:t>
      </w:r>
      <w:r w:rsidR="008678BB" w:rsidRPr="006713F9">
        <w:rPr>
          <w:rFonts w:ascii="Arial" w:hAnsi="Arial" w:cs="Arial"/>
        </w:rPr>
        <w:t xml:space="preserve"> </w:t>
      </w:r>
      <w:r w:rsidR="00414CA5" w:rsidRPr="006713F9">
        <w:rPr>
          <w:rFonts w:ascii="Arial" w:hAnsi="Arial" w:cs="Arial"/>
        </w:rPr>
        <w:t xml:space="preserve">qui s’intitule : </w:t>
      </w:r>
      <w:r w:rsidR="008678BB" w:rsidRPr="006713F9">
        <w:rPr>
          <w:rFonts w:ascii="Arial" w:hAnsi="Arial" w:cs="Arial"/>
        </w:rPr>
        <w:t>« Le financement du Plan Nation</w:t>
      </w:r>
      <w:r w:rsidR="00414CA5" w:rsidRPr="006713F9">
        <w:rPr>
          <w:rFonts w:ascii="Arial" w:hAnsi="Arial" w:cs="Arial"/>
        </w:rPr>
        <w:t>al</w:t>
      </w:r>
      <w:r w:rsidR="008678BB" w:rsidRPr="006713F9">
        <w:rPr>
          <w:rFonts w:ascii="Arial" w:hAnsi="Arial" w:cs="Arial"/>
        </w:rPr>
        <w:t xml:space="preserve"> de Développement Economique et Social</w:t>
      </w:r>
      <w:r w:rsidR="00414CA5" w:rsidRPr="006713F9">
        <w:rPr>
          <w:rFonts w:ascii="Arial" w:hAnsi="Arial" w:cs="Arial"/>
        </w:rPr>
        <w:t xml:space="preserve"> : </w:t>
      </w:r>
      <w:r w:rsidR="008678BB" w:rsidRPr="006713F9">
        <w:rPr>
          <w:rFonts w:ascii="Arial" w:hAnsi="Arial" w:cs="Arial"/>
        </w:rPr>
        <w:t xml:space="preserve">défis et perspectives ». </w:t>
      </w:r>
    </w:p>
    <w:p w:rsidR="006713F9" w:rsidRDefault="00414CA5" w:rsidP="00A60D96">
      <w:pPr>
        <w:spacing w:after="120"/>
        <w:jc w:val="both"/>
        <w:rPr>
          <w:rFonts w:ascii="Arial" w:hAnsi="Arial" w:cs="Arial"/>
        </w:rPr>
      </w:pPr>
      <w:r w:rsidRPr="006713F9">
        <w:rPr>
          <w:rFonts w:ascii="Arial" w:hAnsi="Arial" w:cs="Arial"/>
        </w:rPr>
        <w:t>Le développement de ce thème</w:t>
      </w:r>
      <w:r w:rsidR="00EE73C6" w:rsidRPr="006713F9">
        <w:rPr>
          <w:rFonts w:ascii="Arial" w:hAnsi="Arial" w:cs="Arial"/>
        </w:rPr>
        <w:t xml:space="preserve"> vise à </w:t>
      </w:r>
      <w:r w:rsidR="006713F9">
        <w:rPr>
          <w:rFonts w:ascii="Arial" w:hAnsi="Arial" w:cs="Arial"/>
        </w:rPr>
        <w:t>présenter les principaux défis liés à la mobilisation des financements et les perspectives en vue d’une mise en œuvre efficace du PNDES.</w:t>
      </w:r>
    </w:p>
    <w:p w:rsidR="008678BB" w:rsidRPr="00B857D4" w:rsidRDefault="008678BB" w:rsidP="00A60D96">
      <w:pPr>
        <w:spacing w:after="120"/>
        <w:jc w:val="both"/>
        <w:rPr>
          <w:rFonts w:ascii="Arial" w:hAnsi="Arial" w:cs="Arial"/>
        </w:rPr>
      </w:pPr>
      <w:r w:rsidRPr="00B857D4">
        <w:rPr>
          <w:rFonts w:ascii="Arial" w:hAnsi="Arial" w:cs="Arial"/>
        </w:rPr>
        <w:t>Le présent rapport est structuré en trois parties :</w:t>
      </w:r>
      <w:r w:rsidR="00C2003C">
        <w:rPr>
          <w:rFonts w:ascii="Arial" w:hAnsi="Arial" w:cs="Arial"/>
        </w:rPr>
        <w:t xml:space="preserve"> (i) </w:t>
      </w:r>
      <w:r w:rsidRPr="00B857D4">
        <w:rPr>
          <w:rFonts w:ascii="Arial" w:hAnsi="Arial" w:cs="Arial"/>
        </w:rPr>
        <w:t>la première présente la situation socio-économique, la planification du développement et la coordination de l’aide ;</w:t>
      </w:r>
      <w:r w:rsidR="00C2003C">
        <w:rPr>
          <w:rFonts w:ascii="Arial" w:hAnsi="Arial" w:cs="Arial"/>
        </w:rPr>
        <w:t xml:space="preserve"> (ii) </w:t>
      </w:r>
      <w:r w:rsidRPr="00B857D4">
        <w:rPr>
          <w:rFonts w:ascii="Arial" w:hAnsi="Arial" w:cs="Arial"/>
        </w:rPr>
        <w:t>la deuxième est consacrée à l’a</w:t>
      </w:r>
      <w:r w:rsidR="00C2003C">
        <w:rPr>
          <w:rFonts w:ascii="Arial" w:hAnsi="Arial" w:cs="Arial"/>
        </w:rPr>
        <w:t xml:space="preserve">nalyse des tendances de l’aide  et ; (iii) </w:t>
      </w:r>
      <w:r w:rsidR="0012796B">
        <w:rPr>
          <w:rFonts w:ascii="Arial" w:hAnsi="Arial" w:cs="Arial"/>
        </w:rPr>
        <w:t>la dernière</w:t>
      </w:r>
      <w:r w:rsidRPr="00B857D4">
        <w:rPr>
          <w:rFonts w:ascii="Arial" w:hAnsi="Arial" w:cs="Arial"/>
        </w:rPr>
        <w:t xml:space="preserve"> partie traite du thème.</w:t>
      </w:r>
    </w:p>
    <w:p w:rsidR="008678BB" w:rsidRDefault="008678BB" w:rsidP="00A60D96">
      <w:pPr>
        <w:spacing w:after="120"/>
        <w:jc w:val="both"/>
        <w:rPr>
          <w:rFonts w:ascii="Arial" w:hAnsi="Arial" w:cs="Arial"/>
        </w:rPr>
      </w:pPr>
    </w:p>
    <w:p w:rsidR="008678BB" w:rsidRPr="00D944D5" w:rsidRDefault="008678BB" w:rsidP="00A60D96">
      <w:pPr>
        <w:spacing w:after="0"/>
        <w:jc w:val="both"/>
        <w:rPr>
          <w:rFonts w:ascii="Arial" w:hAnsi="Arial" w:cs="Arial"/>
        </w:rPr>
      </w:pPr>
    </w:p>
    <w:p w:rsidR="008678BB" w:rsidRDefault="008678BB">
      <w:pPr>
        <w:spacing w:after="0" w:line="240" w:lineRule="auto"/>
        <w:rPr>
          <w:rFonts w:ascii="Arial" w:hAnsi="Arial" w:cs="Arial"/>
        </w:rPr>
      </w:pPr>
      <w:r>
        <w:rPr>
          <w:rFonts w:ascii="Arial" w:hAnsi="Arial" w:cs="Arial"/>
        </w:rPr>
        <w:br w:type="page"/>
      </w: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486546" w:rsidP="00486546">
      <w:pPr>
        <w:rPr>
          <w:rFonts w:ascii="Arial" w:hAnsi="Arial" w:cs="Arial"/>
          <w:lang w:eastAsia="fr-FR"/>
        </w:rPr>
      </w:pPr>
    </w:p>
    <w:p w:rsidR="00486546" w:rsidRPr="00865C1E" w:rsidRDefault="00E8560A" w:rsidP="00486546">
      <w:pPr>
        <w:rPr>
          <w:rFonts w:ascii="Arial" w:hAnsi="Arial" w:cs="Arial"/>
          <w:lang w:eastAsia="fr-FR"/>
        </w:rPr>
      </w:pPr>
      <w:r>
        <w:rPr>
          <w:rFonts w:ascii="Arial" w:hAnsi="Arial" w:cs="Arial"/>
          <w:noProof/>
          <w:lang w:eastAsia="fr-FR"/>
        </w:rPr>
        <mc:AlternateContent>
          <mc:Choice Requires="wps">
            <w:drawing>
              <wp:anchor distT="0" distB="0" distL="114300" distR="114300" simplePos="0" relativeHeight="251653120" behindDoc="1" locked="0" layoutInCell="1" allowOverlap="1" wp14:anchorId="5DFF98E8" wp14:editId="3199D4D9">
                <wp:simplePos x="0" y="0"/>
                <wp:positionH relativeFrom="column">
                  <wp:posOffset>46211</wp:posOffset>
                </wp:positionH>
                <wp:positionV relativeFrom="paragraph">
                  <wp:posOffset>117080</wp:posOffset>
                </wp:positionV>
                <wp:extent cx="6288657" cy="888520"/>
                <wp:effectExtent l="0" t="0" r="17145" b="26035"/>
                <wp:wrapNone/>
                <wp:docPr id="20" name="Rectangle à coins arrondis 20"/>
                <wp:cNvGraphicFramePr/>
                <a:graphic xmlns:a="http://schemas.openxmlformats.org/drawingml/2006/main">
                  <a:graphicData uri="http://schemas.microsoft.com/office/word/2010/wordprocessingShape">
                    <wps:wsp>
                      <wps:cNvSpPr/>
                      <wps:spPr>
                        <a:xfrm>
                          <a:off x="0" y="0"/>
                          <a:ext cx="6288657" cy="888520"/>
                        </a:xfrm>
                        <a:prstGeom prst="round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61147E4" id="Rectangle à coins arrondis 20" o:spid="_x0000_s1026" style="position:absolute;margin-left:3.65pt;margin-top:9.2pt;width:495.15pt;height:69.95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" fillcolor="#d8d8d8 [2732]" strokecolor="#243f60 [1604]" strokeweight="2pt"/>
            </w:pict>
          </mc:Fallback>
        </mc:AlternateContent>
      </w:r>
    </w:p>
    <w:p w:rsidR="00486546" w:rsidRPr="00E8560A" w:rsidRDefault="00486546" w:rsidP="00E8560A">
      <w:pPr>
        <w:pStyle w:val="Titre"/>
        <w:rPr>
          <w:rFonts w:asciiTheme="majorHAnsi" w:hAnsiTheme="majorHAnsi"/>
        </w:rPr>
      </w:pPr>
      <w:bookmarkStart w:id="35" w:name="_Toc459122778"/>
      <w:bookmarkStart w:id="36" w:name="_Toc492972156"/>
      <w:r w:rsidRPr="00E8560A">
        <w:rPr>
          <w:rFonts w:asciiTheme="majorHAnsi" w:hAnsiTheme="majorHAnsi"/>
        </w:rPr>
        <w:t>PREMIERE PARTIE : SITUATION SOCIOECONOMIQUE, PLANIFICATION DU DEVELEOPPEMENT ET COORDINATION DE L’AIDE</w:t>
      </w:r>
      <w:bookmarkEnd w:id="35"/>
      <w:bookmarkEnd w:id="36"/>
    </w:p>
    <w:p w:rsidR="00486546" w:rsidRPr="00865C1E" w:rsidRDefault="00486546" w:rsidP="00486546">
      <w:pPr>
        <w:rPr>
          <w:rFonts w:ascii="Arial" w:hAnsi="Arial" w:cs="Arial"/>
          <w:lang w:val="fr-BE" w:eastAsia="fr-FR"/>
        </w:rPr>
      </w:pPr>
    </w:p>
    <w:p w:rsidR="00486546" w:rsidRPr="00865C1E" w:rsidRDefault="00486546" w:rsidP="00486546">
      <w:pPr>
        <w:rPr>
          <w:rFonts w:ascii="Arial" w:hAnsi="Arial" w:cs="Arial"/>
          <w:lang w:val="fr-BE" w:eastAsia="fr-FR"/>
        </w:rPr>
      </w:pPr>
    </w:p>
    <w:p w:rsidR="00486546" w:rsidRPr="00865C1E" w:rsidRDefault="00486546" w:rsidP="00486546">
      <w:pPr>
        <w:rPr>
          <w:rFonts w:ascii="Arial" w:hAnsi="Arial" w:cs="Arial"/>
          <w:lang w:val="fr-BE" w:eastAsia="fr-FR"/>
        </w:rPr>
      </w:pPr>
    </w:p>
    <w:p w:rsidR="00486546" w:rsidRPr="00865C1E" w:rsidRDefault="00486546" w:rsidP="00486546">
      <w:pPr>
        <w:rPr>
          <w:rFonts w:ascii="Arial" w:hAnsi="Arial" w:cs="Arial"/>
          <w:lang w:val="fr-BE" w:eastAsia="fr-FR"/>
        </w:rPr>
      </w:pPr>
    </w:p>
    <w:p w:rsidR="00486546" w:rsidRPr="00865C1E" w:rsidRDefault="00486546" w:rsidP="00486546">
      <w:pPr>
        <w:rPr>
          <w:rFonts w:ascii="Arial" w:hAnsi="Arial" w:cs="Arial"/>
          <w:lang w:val="fr-BE" w:eastAsia="fr-FR"/>
        </w:rPr>
      </w:pPr>
    </w:p>
    <w:p w:rsidR="00002B76" w:rsidRDefault="00002B76">
      <w:pPr>
        <w:spacing w:after="0" w:line="240" w:lineRule="auto"/>
        <w:rPr>
          <w:rFonts w:ascii="Arial" w:hAnsi="Arial" w:cs="Arial"/>
          <w:b/>
          <w:sz w:val="24"/>
          <w:szCs w:val="24"/>
        </w:rPr>
      </w:pPr>
      <w:r>
        <w:rPr>
          <w:rFonts w:ascii="Arial" w:hAnsi="Arial" w:cs="Arial"/>
          <w:b/>
          <w:sz w:val="24"/>
          <w:szCs w:val="24"/>
        </w:rPr>
        <w:br w:type="page"/>
      </w:r>
    </w:p>
    <w:p w:rsidR="009A4DF8" w:rsidRPr="009016A3" w:rsidRDefault="00E8560A" w:rsidP="009016A3">
      <w:pPr>
        <w:pStyle w:val="Titre1"/>
        <w:jc w:val="center"/>
        <w:rPr>
          <w:lang w:eastAsia="fr-FR"/>
        </w:rPr>
      </w:pPr>
      <w:bookmarkStart w:id="37" w:name="_Toc492972157"/>
      <w:bookmarkStart w:id="38" w:name="_Toc424550987"/>
      <w:bookmarkStart w:id="39" w:name="_Toc424552493"/>
      <w:bookmarkStart w:id="40" w:name="_Toc427009715"/>
      <w:bookmarkStart w:id="41" w:name="_Toc459122802"/>
      <w:r>
        <w:rPr>
          <w:lang w:eastAsia="fr-FR"/>
        </w:rPr>
        <w:lastRenderedPageBreak/>
        <w:t>CHAPITRE 1. APERC</w:t>
      </w:r>
      <w:r w:rsidR="009A4DF8" w:rsidRPr="009016A3">
        <w:rPr>
          <w:lang w:eastAsia="fr-FR"/>
        </w:rPr>
        <w:t>U DE LA SITUATION ECONOMIQUE INTERNATIONALE ET NATIONALE</w:t>
      </w:r>
      <w:bookmarkEnd w:id="37"/>
    </w:p>
    <w:p w:rsidR="009A4DF8" w:rsidRPr="00CC49EE" w:rsidRDefault="009A4DF8" w:rsidP="00F679D8">
      <w:pPr>
        <w:pStyle w:val="Titre2"/>
        <w:numPr>
          <w:ilvl w:val="0"/>
          <w:numId w:val="134"/>
        </w:numPr>
        <w:tabs>
          <w:tab w:val="left" w:pos="1134"/>
        </w:tabs>
        <w:spacing w:line="276" w:lineRule="auto"/>
        <w:ind w:left="1134" w:hanging="567"/>
      </w:pPr>
      <w:bookmarkStart w:id="42" w:name="_Toc492972158"/>
      <w:bookmarkStart w:id="43" w:name="_Toc424550986"/>
      <w:bookmarkStart w:id="44" w:name="_Toc424552492"/>
      <w:r w:rsidRPr="00CC49EE">
        <w:t>L’environnement économique international</w:t>
      </w:r>
      <w:bookmarkEnd w:id="42"/>
    </w:p>
    <w:p w:rsidR="009A4DF8" w:rsidRPr="00CC49EE" w:rsidRDefault="009A4DF8" w:rsidP="00F679D8">
      <w:pPr>
        <w:spacing w:after="120"/>
        <w:jc w:val="both"/>
        <w:rPr>
          <w:rFonts w:ascii="Arial" w:hAnsi="Arial" w:cs="Arial"/>
          <w:iCs/>
        </w:rPr>
      </w:pPr>
      <w:r w:rsidRPr="00CC49EE">
        <w:rPr>
          <w:rFonts w:ascii="Arial" w:hAnsi="Arial" w:cs="Arial"/>
          <w:iCs/>
        </w:rPr>
        <w:t xml:space="preserve">L’économie du Burkina Faso en 2016 a évolué dans un environnement international marqué par une stagnation du rythme de progression de l’activité </w:t>
      </w:r>
      <w:r w:rsidRPr="00CC49EE">
        <w:rPr>
          <w:rFonts w:ascii="Arial" w:hAnsi="Arial" w:cs="Arial"/>
        </w:rPr>
        <w:t>dans les pays émergents et en développement et une baisse dans les pays avancés</w:t>
      </w:r>
      <w:r w:rsidRPr="00CC49EE">
        <w:rPr>
          <w:rFonts w:ascii="Arial" w:hAnsi="Arial" w:cs="Arial"/>
          <w:iCs/>
        </w:rPr>
        <w:t xml:space="preserve">. La croissance économique mondiale se situerait </w:t>
      </w:r>
      <w:r w:rsidRPr="00CC49EE">
        <w:rPr>
          <w:rFonts w:ascii="Arial" w:hAnsi="Arial" w:cs="Arial"/>
        </w:rPr>
        <w:t>à 3,1% en 2016 comme en</w:t>
      </w:r>
      <w:r>
        <w:rPr>
          <w:rFonts w:ascii="Arial" w:hAnsi="Arial" w:cs="Arial"/>
        </w:rPr>
        <w:t xml:space="preserve"> </w:t>
      </w:r>
      <w:r w:rsidRPr="00CC49EE">
        <w:rPr>
          <w:rFonts w:ascii="Arial" w:hAnsi="Arial" w:cs="Arial"/>
        </w:rPr>
        <w:t>2015</w:t>
      </w:r>
      <w:r w:rsidRPr="00CC49EE">
        <w:rPr>
          <w:rFonts w:ascii="Arial" w:hAnsi="Arial" w:cs="Arial"/>
          <w:iCs/>
        </w:rPr>
        <w:t>.</w:t>
      </w:r>
    </w:p>
    <w:p w:rsidR="009A4DF8" w:rsidRPr="00CC49EE" w:rsidRDefault="009A4DF8" w:rsidP="00F679D8">
      <w:pPr>
        <w:spacing w:after="120"/>
        <w:jc w:val="both"/>
        <w:rPr>
          <w:rFonts w:ascii="Arial" w:hAnsi="Arial" w:cs="Arial"/>
        </w:rPr>
      </w:pPr>
      <w:r w:rsidRPr="00CC49EE">
        <w:rPr>
          <w:rFonts w:ascii="Arial" w:hAnsi="Arial" w:cs="Arial"/>
        </w:rPr>
        <w:t>L’activité économique dans</w:t>
      </w:r>
      <w:r w:rsidRPr="00CC49EE">
        <w:rPr>
          <w:rFonts w:ascii="Arial" w:hAnsi="Arial" w:cs="Arial"/>
          <w:b/>
        </w:rPr>
        <w:t xml:space="preserve"> les pays avancés</w:t>
      </w:r>
      <w:r w:rsidRPr="00CC49EE">
        <w:rPr>
          <w:rFonts w:ascii="Arial" w:hAnsi="Arial" w:cs="Arial"/>
        </w:rPr>
        <w:t xml:space="preserve"> a baissé passant de 2,1% en 2015 à 1,6% en 2016. </w:t>
      </w:r>
      <w:r w:rsidRPr="00CC49EE">
        <w:rPr>
          <w:rFonts w:ascii="Arial" w:hAnsi="Arial" w:cs="Arial"/>
          <w:b/>
          <w:i/>
        </w:rPr>
        <w:t>Aux Etats-Unis</w:t>
      </w:r>
      <w:r w:rsidRPr="00CC49EE">
        <w:rPr>
          <w:rFonts w:ascii="Arial" w:hAnsi="Arial" w:cs="Arial"/>
          <w:b/>
        </w:rPr>
        <w:t xml:space="preserve">, </w:t>
      </w:r>
      <w:r w:rsidRPr="00CC49EE">
        <w:rPr>
          <w:rFonts w:ascii="Arial" w:hAnsi="Arial" w:cs="Arial"/>
        </w:rPr>
        <w:t>le niveau de la production n’a progressé que de 1,6% en 2016 contre 2,6% en 2015 en raison notamment d’une forte chute des exportations au quatrième trimestre 2016 (-4,3%)</w:t>
      </w:r>
      <w:r>
        <w:rPr>
          <w:rFonts w:ascii="Arial" w:hAnsi="Arial" w:cs="Arial"/>
        </w:rPr>
        <w:t xml:space="preserve"> </w:t>
      </w:r>
      <w:r w:rsidRPr="00CC49EE">
        <w:rPr>
          <w:rFonts w:ascii="Arial" w:hAnsi="Arial" w:cs="Arial"/>
        </w:rPr>
        <w:t xml:space="preserve">associée à une accélération des importations (+8,3%) et un faible niveau des dépenses de consommation (+2,5% contre+3,0% au trimestre précédent). </w:t>
      </w:r>
    </w:p>
    <w:p w:rsidR="009A4DF8" w:rsidRPr="00CC49EE" w:rsidRDefault="009A4DF8" w:rsidP="00F679D8">
      <w:pPr>
        <w:spacing w:after="120"/>
        <w:jc w:val="both"/>
        <w:rPr>
          <w:rFonts w:ascii="Arial" w:hAnsi="Arial" w:cs="Arial"/>
        </w:rPr>
      </w:pPr>
      <w:r w:rsidRPr="00CC49EE">
        <w:rPr>
          <w:rFonts w:ascii="Arial" w:hAnsi="Arial" w:cs="Arial"/>
        </w:rPr>
        <w:t xml:space="preserve">La </w:t>
      </w:r>
      <w:r w:rsidRPr="00CC49EE">
        <w:rPr>
          <w:rFonts w:ascii="Arial" w:hAnsi="Arial" w:cs="Arial"/>
          <w:b/>
          <w:i/>
        </w:rPr>
        <w:t>zone euro</w:t>
      </w:r>
      <w:r w:rsidRPr="00CC49EE">
        <w:rPr>
          <w:rFonts w:ascii="Arial" w:hAnsi="Arial" w:cs="Arial"/>
        </w:rPr>
        <w:t xml:space="preserve"> affiche une croissance économique qui </w:t>
      </w:r>
      <w:r w:rsidRPr="0065187F">
        <w:rPr>
          <w:rFonts w:ascii="Arial" w:hAnsi="Arial" w:cs="Arial"/>
        </w:rPr>
        <w:t>s’évaluerait</w:t>
      </w:r>
      <w:r w:rsidRPr="00CC49EE">
        <w:rPr>
          <w:rFonts w:ascii="Arial" w:hAnsi="Arial" w:cs="Arial"/>
        </w:rPr>
        <w:t xml:space="preserve"> à 1,7% en 2016 contre 2,0% en 2015. En </w:t>
      </w:r>
      <w:r w:rsidRPr="00CC49EE">
        <w:rPr>
          <w:rFonts w:ascii="Arial" w:hAnsi="Arial" w:cs="Arial"/>
          <w:b/>
          <w:i/>
        </w:rPr>
        <w:t>France</w:t>
      </w:r>
      <w:r w:rsidRPr="00CC49EE">
        <w:rPr>
          <w:rFonts w:ascii="Arial" w:hAnsi="Arial" w:cs="Arial"/>
        </w:rPr>
        <w:t xml:space="preserve">, la croissance économique est estimée à 1,1% en 2016 contre 1,2% en 2015, imputable au repli du commerce extérieur et à la consommation des ménages en décembre. </w:t>
      </w:r>
      <w:r w:rsidRPr="00CC49EE">
        <w:rPr>
          <w:rFonts w:ascii="Arial" w:hAnsi="Arial" w:cs="Arial"/>
          <w:b/>
          <w:i/>
        </w:rPr>
        <w:t>Au Royaume-Uni</w:t>
      </w:r>
      <w:r w:rsidRPr="00CC49EE">
        <w:rPr>
          <w:rFonts w:ascii="Arial" w:hAnsi="Arial" w:cs="Arial"/>
        </w:rPr>
        <w:t xml:space="preserve">, la croissance est restée dynamique en 2016 (+1,8% contre +2,2% en 2015). </w:t>
      </w:r>
    </w:p>
    <w:p w:rsidR="009A4DF8" w:rsidRPr="00CC49EE" w:rsidRDefault="009A4DF8" w:rsidP="00F679D8">
      <w:pPr>
        <w:spacing w:after="120"/>
        <w:jc w:val="both"/>
        <w:rPr>
          <w:rFonts w:ascii="Arial" w:hAnsi="Arial" w:cs="Arial"/>
          <w:iCs/>
        </w:rPr>
      </w:pPr>
      <w:r w:rsidRPr="00CC49EE">
        <w:rPr>
          <w:rFonts w:ascii="Arial" w:hAnsi="Arial" w:cs="Arial"/>
        </w:rPr>
        <w:t xml:space="preserve">Le rythme de progression de l’activité économique a stagné </w:t>
      </w:r>
      <w:r w:rsidRPr="00CC49EE">
        <w:rPr>
          <w:rFonts w:ascii="Arial" w:hAnsi="Arial" w:cs="Arial"/>
          <w:b/>
        </w:rPr>
        <w:t>dans les pays émergents et en développement</w:t>
      </w:r>
      <w:r w:rsidRPr="00CC49EE">
        <w:rPr>
          <w:rFonts w:ascii="Arial" w:hAnsi="Arial" w:cs="Arial"/>
        </w:rPr>
        <w:t xml:space="preserve">, s’affichant à 4,1% comme en 2015. </w:t>
      </w:r>
      <w:r w:rsidRPr="00CC49EE">
        <w:rPr>
          <w:rFonts w:ascii="Arial" w:hAnsi="Arial" w:cs="Arial"/>
          <w:b/>
          <w:i/>
          <w:iCs/>
        </w:rPr>
        <w:t>En Chine</w:t>
      </w:r>
      <w:r w:rsidRPr="00CC49EE">
        <w:rPr>
          <w:rFonts w:ascii="Arial" w:hAnsi="Arial" w:cs="Arial"/>
          <w:iCs/>
        </w:rPr>
        <w:t xml:space="preserve">, la croissance s’est établie à 6,8% comme en 2015. </w:t>
      </w:r>
    </w:p>
    <w:p w:rsidR="009A4DF8" w:rsidRPr="00CC49EE" w:rsidRDefault="009A4DF8" w:rsidP="00F679D8">
      <w:pPr>
        <w:spacing w:after="120"/>
        <w:jc w:val="both"/>
        <w:rPr>
          <w:rFonts w:ascii="Arial" w:hAnsi="Arial" w:cs="Arial"/>
          <w:iCs/>
        </w:rPr>
      </w:pPr>
      <w:r w:rsidRPr="00CC49EE">
        <w:rPr>
          <w:rFonts w:ascii="Arial" w:hAnsi="Arial" w:cs="Arial"/>
          <w:b/>
          <w:i/>
        </w:rPr>
        <w:t>En Afrique subsaharienne</w:t>
      </w:r>
      <w:r w:rsidRPr="00CC49EE">
        <w:rPr>
          <w:rFonts w:ascii="Arial" w:hAnsi="Arial" w:cs="Arial"/>
          <w:b/>
        </w:rPr>
        <w:t xml:space="preserve">, </w:t>
      </w:r>
      <w:r w:rsidRPr="00CC49EE">
        <w:rPr>
          <w:rFonts w:ascii="Arial" w:hAnsi="Arial" w:cs="Arial"/>
        </w:rPr>
        <w:t>l’activité économique a ralenti en 2016. En effet, le taux de croissance économique est passé de 3,4% en 2015 à 1,6% en 2016.</w:t>
      </w:r>
    </w:p>
    <w:p w:rsidR="009A4DF8" w:rsidRPr="00CC49EE" w:rsidRDefault="009A4DF8" w:rsidP="00F679D8">
      <w:pPr>
        <w:spacing w:after="120"/>
        <w:jc w:val="both"/>
        <w:rPr>
          <w:rFonts w:ascii="Arial" w:hAnsi="Arial" w:cs="Arial"/>
        </w:rPr>
      </w:pPr>
      <w:r w:rsidRPr="00CC49EE">
        <w:rPr>
          <w:rFonts w:ascii="Arial" w:hAnsi="Arial" w:cs="Arial"/>
          <w:b/>
          <w:iCs/>
        </w:rPr>
        <w:t>Dans la zone UEMOA</w:t>
      </w:r>
      <w:r w:rsidRPr="00CC49EE">
        <w:rPr>
          <w:rFonts w:ascii="Arial" w:hAnsi="Arial" w:cs="Arial"/>
          <w:iCs/>
        </w:rPr>
        <w:t xml:space="preserve">, </w:t>
      </w:r>
      <w:r w:rsidRPr="00CC49EE">
        <w:rPr>
          <w:rFonts w:ascii="Arial" w:hAnsi="Arial" w:cs="Arial"/>
        </w:rPr>
        <w:t>la croissance économique s’est affichée à 6,8% en 2016, après 6,6% en 2015.</w:t>
      </w:r>
    </w:p>
    <w:p w:rsidR="009A4DF8" w:rsidRPr="00CC49EE" w:rsidRDefault="009A4DF8" w:rsidP="00F679D8">
      <w:pPr>
        <w:spacing w:after="120"/>
        <w:jc w:val="both"/>
        <w:rPr>
          <w:rFonts w:ascii="Arial" w:hAnsi="Arial" w:cs="Arial"/>
        </w:rPr>
      </w:pPr>
      <w:r w:rsidRPr="00CC49EE">
        <w:rPr>
          <w:rFonts w:ascii="Arial" w:hAnsi="Arial" w:cs="Arial"/>
        </w:rPr>
        <w:t>Les résultats atteints par le Burkina Faso sur le plan économique et social au cours de l’a</w:t>
      </w:r>
      <w:r>
        <w:rPr>
          <w:rFonts w:ascii="Arial" w:hAnsi="Arial" w:cs="Arial"/>
        </w:rPr>
        <w:t xml:space="preserve">nnée 2016 sont déclinés dans le point ci-dessous. </w:t>
      </w:r>
    </w:p>
    <w:p w:rsidR="009A4DF8" w:rsidRPr="009F74BC" w:rsidRDefault="009A4DF8" w:rsidP="00F679D8">
      <w:pPr>
        <w:pStyle w:val="Titre2"/>
        <w:numPr>
          <w:ilvl w:val="0"/>
          <w:numId w:val="134"/>
        </w:numPr>
        <w:tabs>
          <w:tab w:val="left" w:pos="1134"/>
        </w:tabs>
        <w:spacing w:line="276" w:lineRule="auto"/>
        <w:ind w:left="1134" w:hanging="567"/>
      </w:pPr>
      <w:bookmarkStart w:id="45" w:name="_Toc492972159"/>
      <w:r w:rsidRPr="009F74BC">
        <w:t>La situation économique et sociale du Burkina Faso</w:t>
      </w:r>
      <w:bookmarkEnd w:id="45"/>
      <w:r w:rsidRPr="009F74BC">
        <w:t xml:space="preserve"> </w:t>
      </w:r>
    </w:p>
    <w:p w:rsidR="009A4DF8" w:rsidRPr="00CC49EE" w:rsidRDefault="009A4DF8" w:rsidP="00F679D8">
      <w:pPr>
        <w:pStyle w:val="Titre3"/>
        <w:numPr>
          <w:ilvl w:val="0"/>
          <w:numId w:val="135"/>
        </w:numPr>
        <w:tabs>
          <w:tab w:val="left" w:pos="1701"/>
        </w:tabs>
        <w:spacing w:line="276" w:lineRule="auto"/>
        <w:ind w:left="1276"/>
      </w:pPr>
      <w:bookmarkStart w:id="46" w:name="_Toc492972160"/>
      <w:r w:rsidRPr="00CC49EE">
        <w:t>La situation macroéconomique</w:t>
      </w:r>
      <w:bookmarkEnd w:id="46"/>
    </w:p>
    <w:p w:rsidR="009A4DF8" w:rsidRPr="00CC49EE" w:rsidRDefault="009A4DF8" w:rsidP="00F679D8">
      <w:pPr>
        <w:spacing w:after="120"/>
        <w:jc w:val="both"/>
        <w:rPr>
          <w:rFonts w:ascii="Arial" w:hAnsi="Arial" w:cs="Arial"/>
        </w:rPr>
      </w:pPr>
      <w:r w:rsidRPr="00CC49EE">
        <w:rPr>
          <w:rFonts w:ascii="Arial" w:hAnsi="Arial" w:cs="Arial"/>
        </w:rPr>
        <w:t xml:space="preserve">L’activité économique en 2016 s’est déroulée dans un contexte de retour à une vie constitutionnelle normale, de pluviosité favorable, de restauration de la confiance des investisseurs et d’une bonne tenue des cours de l’or et du coton. En dépit d’une situation sécuritaire et d’un climat social difficiles, la croissance économique a enregistré une reprise </w:t>
      </w:r>
      <w:r w:rsidRPr="00CC49EE">
        <w:rPr>
          <w:rFonts w:ascii="Arial" w:hAnsi="Arial" w:cs="Arial"/>
          <w:bCs/>
          <w:iCs/>
        </w:rPr>
        <w:t xml:space="preserve">résultant d’une bonne </w:t>
      </w:r>
      <w:r>
        <w:rPr>
          <w:rFonts w:ascii="Arial" w:hAnsi="Arial" w:cs="Arial"/>
          <w:bCs/>
          <w:iCs/>
        </w:rPr>
        <w:t>orientation</w:t>
      </w:r>
      <w:r w:rsidRPr="00CC49EE">
        <w:rPr>
          <w:rFonts w:ascii="Arial" w:hAnsi="Arial" w:cs="Arial"/>
          <w:bCs/>
          <w:iCs/>
        </w:rPr>
        <w:t xml:space="preserve"> des secteurs primaire, secondaire et tertiaire.</w:t>
      </w:r>
    </w:p>
    <w:p w:rsidR="009A4DF8" w:rsidRPr="00CC49EE" w:rsidRDefault="009A4DF8" w:rsidP="00F679D8">
      <w:pPr>
        <w:pStyle w:val="Titre4"/>
        <w:numPr>
          <w:ilvl w:val="0"/>
          <w:numId w:val="136"/>
        </w:numPr>
        <w:spacing w:line="276" w:lineRule="auto"/>
        <w:ind w:left="1701"/>
      </w:pPr>
      <w:bookmarkStart w:id="47" w:name="_Toc492972161"/>
      <w:r w:rsidRPr="00CC49EE">
        <w:t>Le Produit Intérieur Brut</w:t>
      </w:r>
      <w:bookmarkEnd w:id="47"/>
    </w:p>
    <w:p w:rsidR="009A4DF8" w:rsidRPr="00CC49EE" w:rsidRDefault="009A4DF8" w:rsidP="00F679D8">
      <w:pPr>
        <w:spacing w:after="120"/>
        <w:jc w:val="both"/>
        <w:rPr>
          <w:rFonts w:ascii="Arial" w:hAnsi="Arial" w:cs="Arial"/>
        </w:rPr>
      </w:pPr>
      <w:r w:rsidRPr="00CC49EE">
        <w:rPr>
          <w:rFonts w:ascii="Arial" w:hAnsi="Arial" w:cs="Arial"/>
        </w:rPr>
        <w:t xml:space="preserve">L’activité économique a enregistré une accélération de son rythme de croissance en 2016. En effet, le taux de croissance du </w:t>
      </w:r>
      <w:r>
        <w:rPr>
          <w:rFonts w:ascii="Arial" w:hAnsi="Arial" w:cs="Arial"/>
        </w:rPr>
        <w:t xml:space="preserve">PIB réel est ressorti à 5,9% </w:t>
      </w:r>
      <w:r w:rsidRPr="00CC49EE">
        <w:rPr>
          <w:rFonts w:ascii="Arial" w:hAnsi="Arial" w:cs="Arial"/>
        </w:rPr>
        <w:t xml:space="preserve">contre 4,0% en 2015. Cette croissance a été tirée par l’ensemble des secteurs avec des variations de leurs valeurs ajoutées de +5,9% en 2016 contre 6,2% en 2015 pour le tertiaire, +5,5% en 2016 contre 4,6% en 2015 pour le secteur secondaire et +4,9% en 2016 contre -0,9% en 2015 pour le secteur primaire. </w:t>
      </w:r>
    </w:p>
    <w:p w:rsidR="009A4DF8" w:rsidRPr="00CC49EE" w:rsidRDefault="009A4DF8" w:rsidP="00F679D8">
      <w:pPr>
        <w:numPr>
          <w:ilvl w:val="4"/>
          <w:numId w:val="0"/>
        </w:numPr>
        <w:tabs>
          <w:tab w:val="num" w:pos="0"/>
        </w:tabs>
        <w:suppressAutoHyphens/>
        <w:spacing w:after="120"/>
        <w:jc w:val="both"/>
        <w:outlineLvl w:val="4"/>
        <w:rPr>
          <w:rFonts w:ascii="Arial" w:hAnsi="Arial" w:cs="Arial"/>
          <w:b/>
          <w:iCs/>
        </w:rPr>
      </w:pPr>
      <w:r w:rsidRPr="00CC49EE">
        <w:rPr>
          <w:rFonts w:ascii="Arial" w:hAnsi="Arial" w:cs="Arial"/>
          <w:iCs/>
          <w:lang w:eastAsia="ar-SA"/>
        </w:rPr>
        <w:t>Dans la formation du PIB,</w:t>
      </w:r>
      <w:r>
        <w:rPr>
          <w:rFonts w:ascii="Arial" w:hAnsi="Arial" w:cs="Arial"/>
          <w:iCs/>
          <w:lang w:eastAsia="ar-SA"/>
        </w:rPr>
        <w:t xml:space="preserve"> </w:t>
      </w:r>
      <w:r w:rsidRPr="00CC49EE">
        <w:rPr>
          <w:rFonts w:ascii="Arial" w:hAnsi="Arial" w:cs="Arial"/>
          <w:iCs/>
          <w:lang w:eastAsia="ar-SA"/>
        </w:rPr>
        <w:t>la part du secteur primaire s’est située à 29,4% en 2016 contre 30,1% en 2015,</w:t>
      </w:r>
      <w:r>
        <w:rPr>
          <w:rFonts w:ascii="Arial" w:hAnsi="Arial" w:cs="Arial"/>
          <w:iCs/>
          <w:lang w:eastAsia="ar-SA"/>
        </w:rPr>
        <w:t xml:space="preserve"> </w:t>
      </w:r>
      <w:r w:rsidRPr="00CC49EE">
        <w:rPr>
          <w:rFonts w:ascii="Arial" w:hAnsi="Arial" w:cs="Arial"/>
        </w:rPr>
        <w:t>celle du secteur secondaire est ressortie à 20,0% en 2016 contre 19,6% en 2015 et la contribution du secteur tertiaire (y compris les taxes et SIFIM) a été de 50,6% en 2016 contre 50,3% en 2015.</w:t>
      </w:r>
    </w:p>
    <w:p w:rsidR="009A4DF8" w:rsidRPr="00CC49EE" w:rsidRDefault="009A4DF8" w:rsidP="00F679D8">
      <w:pPr>
        <w:numPr>
          <w:ilvl w:val="4"/>
          <w:numId w:val="0"/>
        </w:numPr>
        <w:tabs>
          <w:tab w:val="num" w:pos="0"/>
        </w:tabs>
        <w:suppressAutoHyphens/>
        <w:spacing w:after="120"/>
        <w:jc w:val="both"/>
        <w:outlineLvl w:val="4"/>
        <w:rPr>
          <w:rFonts w:ascii="Arial" w:hAnsi="Arial" w:cs="Arial"/>
        </w:rPr>
      </w:pPr>
      <w:r w:rsidRPr="00CC49EE">
        <w:rPr>
          <w:rFonts w:ascii="Arial" w:hAnsi="Arial" w:cs="Arial"/>
          <w:iCs/>
          <w:lang w:eastAsia="ar-SA"/>
        </w:rPr>
        <w:lastRenderedPageBreak/>
        <w:t>Les contributions à la croissance du PIB pour le</w:t>
      </w:r>
      <w:r>
        <w:rPr>
          <w:rFonts w:ascii="Arial" w:hAnsi="Arial" w:cs="Arial"/>
          <w:iCs/>
          <w:lang w:eastAsia="ar-SA"/>
        </w:rPr>
        <w:t>s</w:t>
      </w:r>
      <w:r w:rsidRPr="00CC49EE">
        <w:rPr>
          <w:rFonts w:ascii="Arial" w:hAnsi="Arial" w:cs="Arial"/>
          <w:iCs/>
          <w:lang w:eastAsia="ar-SA"/>
        </w:rPr>
        <w:t xml:space="preserve"> secteur</w:t>
      </w:r>
      <w:r>
        <w:rPr>
          <w:rFonts w:ascii="Arial" w:hAnsi="Arial" w:cs="Arial"/>
          <w:iCs/>
          <w:lang w:eastAsia="ar-SA"/>
        </w:rPr>
        <w:t>s</w:t>
      </w:r>
      <w:r w:rsidRPr="00CC49EE">
        <w:rPr>
          <w:rFonts w:ascii="Arial" w:hAnsi="Arial" w:cs="Arial"/>
          <w:iCs/>
          <w:lang w:eastAsia="ar-SA"/>
        </w:rPr>
        <w:t xml:space="preserve"> primaire, secondaire et tertiaire </w:t>
      </w:r>
      <w:r w:rsidRPr="00CC49EE">
        <w:rPr>
          <w:rFonts w:ascii="Arial" w:hAnsi="Arial" w:cs="Arial"/>
        </w:rPr>
        <w:t>(y compris les taxes et SIFIM)</w:t>
      </w:r>
      <w:r>
        <w:rPr>
          <w:rFonts w:ascii="Arial" w:hAnsi="Arial" w:cs="Arial"/>
        </w:rPr>
        <w:t xml:space="preserve"> </w:t>
      </w:r>
      <w:r w:rsidRPr="00CC49EE">
        <w:rPr>
          <w:rFonts w:ascii="Arial" w:hAnsi="Arial" w:cs="Arial"/>
          <w:iCs/>
          <w:lang w:eastAsia="ar-SA"/>
        </w:rPr>
        <w:t>sont respectivement de 1,2 point de pourcentage en 2016 contre -0,2 point en 2015</w:t>
      </w:r>
      <w:bookmarkStart w:id="48" w:name="_Toc267937067"/>
      <w:bookmarkStart w:id="49" w:name="_Toc254886226"/>
      <w:bookmarkStart w:id="50" w:name="_Toc254886228"/>
      <w:bookmarkEnd w:id="48"/>
      <w:bookmarkEnd w:id="49"/>
      <w:bookmarkEnd w:id="50"/>
      <w:r w:rsidRPr="00CC49EE">
        <w:rPr>
          <w:rFonts w:ascii="Arial" w:hAnsi="Arial" w:cs="Arial"/>
          <w:iCs/>
          <w:lang w:eastAsia="ar-SA"/>
        </w:rPr>
        <w:t>,</w:t>
      </w:r>
      <w:r w:rsidRPr="00CC49EE">
        <w:rPr>
          <w:rFonts w:ascii="Arial" w:hAnsi="Arial" w:cs="Arial"/>
          <w:iCs/>
        </w:rPr>
        <w:t xml:space="preserve"> de</w:t>
      </w:r>
      <w:r>
        <w:rPr>
          <w:rFonts w:ascii="Arial" w:hAnsi="Arial" w:cs="Arial"/>
          <w:iCs/>
        </w:rPr>
        <w:t xml:space="preserve"> </w:t>
      </w:r>
      <w:r w:rsidRPr="00CC49EE">
        <w:rPr>
          <w:rFonts w:ascii="Arial" w:hAnsi="Arial" w:cs="Arial"/>
        </w:rPr>
        <w:t>1,0 point de pourcentage en 2016 contre 0,8 point en 2015 et</w:t>
      </w:r>
      <w:r>
        <w:rPr>
          <w:rFonts w:ascii="Arial" w:hAnsi="Arial" w:cs="Arial"/>
        </w:rPr>
        <w:t xml:space="preserve"> </w:t>
      </w:r>
      <w:r w:rsidRPr="00CC49EE">
        <w:rPr>
          <w:rFonts w:ascii="Arial" w:hAnsi="Arial" w:cs="Arial"/>
          <w:iCs/>
        </w:rPr>
        <w:t>de</w:t>
      </w:r>
      <w:r>
        <w:rPr>
          <w:rFonts w:ascii="Arial" w:hAnsi="Arial" w:cs="Arial"/>
          <w:iCs/>
        </w:rPr>
        <w:t xml:space="preserve"> </w:t>
      </w:r>
      <w:r w:rsidRPr="00CC49EE">
        <w:rPr>
          <w:rFonts w:ascii="Arial" w:hAnsi="Arial" w:cs="Arial"/>
        </w:rPr>
        <w:t>3,7 points de pourcentage en 2016 contre 3,4 points de pourcentage en 2015.</w:t>
      </w:r>
    </w:p>
    <w:p w:rsidR="009A4DF8" w:rsidRPr="00CC49EE" w:rsidRDefault="009A4DF8" w:rsidP="00F679D8">
      <w:pPr>
        <w:spacing w:after="120"/>
        <w:jc w:val="both"/>
        <w:rPr>
          <w:rFonts w:ascii="Arial" w:hAnsi="Arial" w:cs="Arial"/>
        </w:rPr>
      </w:pPr>
      <w:r w:rsidRPr="00CC49EE">
        <w:rPr>
          <w:rFonts w:ascii="Arial" w:hAnsi="Arial" w:cs="Arial"/>
        </w:rPr>
        <w:t>Le PIB nominal s’est établi à 7 185,5 milliards de FCFA et le PIB réel à 4 628, 2 milliards de FCFA en 2016</w:t>
      </w:r>
      <w:r>
        <w:rPr>
          <w:rFonts w:ascii="Arial" w:hAnsi="Arial" w:cs="Arial"/>
        </w:rPr>
        <w:t>.</w:t>
      </w:r>
    </w:p>
    <w:p w:rsidR="009A4DF8" w:rsidRPr="00F801C6" w:rsidRDefault="00F801C6" w:rsidP="00F801C6">
      <w:pPr>
        <w:pStyle w:val="Lgende"/>
        <w:keepNext/>
        <w:jc w:val="both"/>
        <w:rPr>
          <w:color w:val="auto"/>
          <w:u w:val="none"/>
        </w:rPr>
      </w:pPr>
      <w:bookmarkStart w:id="51" w:name="_Toc492895469"/>
      <w:r w:rsidRPr="00F801C6">
        <w:rPr>
          <w:color w:val="auto"/>
        </w:rPr>
        <w:t xml:space="preserve">Tableau </w:t>
      </w:r>
      <w:r w:rsidRPr="00F801C6">
        <w:rPr>
          <w:color w:val="auto"/>
        </w:rPr>
        <w:fldChar w:fldCharType="begin"/>
      </w:r>
      <w:r w:rsidRPr="00F801C6">
        <w:rPr>
          <w:color w:val="auto"/>
        </w:rPr>
        <w:instrText xml:space="preserve"> SEQ Tableau \* ARABIC </w:instrText>
      </w:r>
      <w:r w:rsidRPr="00F801C6">
        <w:rPr>
          <w:color w:val="auto"/>
        </w:rPr>
        <w:fldChar w:fldCharType="separate"/>
      </w:r>
      <w:r w:rsidR="009A1402">
        <w:rPr>
          <w:noProof/>
          <w:color w:val="auto"/>
        </w:rPr>
        <w:t>1</w:t>
      </w:r>
      <w:r w:rsidRPr="00F801C6">
        <w:rPr>
          <w:color w:val="auto"/>
        </w:rPr>
        <w:fldChar w:fldCharType="end"/>
      </w:r>
      <w:r w:rsidR="009A4DF8" w:rsidRPr="00F801C6">
        <w:rPr>
          <w:color w:val="auto"/>
        </w:rPr>
        <w:t> :</w:t>
      </w:r>
      <w:r w:rsidR="009A4DF8" w:rsidRPr="00F801C6">
        <w:rPr>
          <w:color w:val="auto"/>
          <w:u w:val="none"/>
        </w:rPr>
        <w:t xml:space="preserve"> Evolution des parts contributives des secteurs au PIB (2012-2016)</w:t>
      </w:r>
      <w:bookmarkEnd w:id="51"/>
      <w:r w:rsidR="009A4DF8" w:rsidRPr="00F801C6">
        <w:rPr>
          <w:color w:val="auto"/>
          <w:u w:val="none"/>
        </w:rPr>
        <w:tab/>
      </w:r>
    </w:p>
    <w:tbl>
      <w:tblPr>
        <w:tblStyle w:val="Grilledutableau"/>
        <w:tblW w:w="0" w:type="auto"/>
        <w:tblLook w:val="04A0" w:firstRow="1" w:lastRow="0" w:firstColumn="1" w:lastColumn="0" w:noHBand="0" w:noVBand="1"/>
      </w:tblPr>
      <w:tblGrid>
        <w:gridCol w:w="4646"/>
        <w:gridCol w:w="1113"/>
        <w:gridCol w:w="1113"/>
        <w:gridCol w:w="1113"/>
        <w:gridCol w:w="1136"/>
        <w:gridCol w:w="1113"/>
      </w:tblGrid>
      <w:tr w:rsidR="009A4DF8" w:rsidRPr="00CC49EE" w:rsidTr="009F74BC">
        <w:trPr>
          <w:trHeight w:val="257"/>
        </w:trPr>
        <w:tc>
          <w:tcPr>
            <w:tcW w:w="4646" w:type="dxa"/>
          </w:tcPr>
          <w:p w:rsidR="009A4DF8" w:rsidRPr="00CC49EE" w:rsidRDefault="009A4DF8" w:rsidP="009F74BC">
            <w:pPr>
              <w:spacing w:after="0" w:line="240" w:lineRule="auto"/>
              <w:jc w:val="both"/>
              <w:rPr>
                <w:rFonts w:ascii="Arial" w:hAnsi="Arial" w:cs="Arial"/>
                <w:b/>
              </w:rPr>
            </w:pPr>
            <w:r w:rsidRPr="00CC49EE">
              <w:rPr>
                <w:rFonts w:ascii="Arial" w:hAnsi="Arial" w:cs="Arial"/>
                <w:b/>
              </w:rPr>
              <w:t>Désignation</w:t>
            </w:r>
          </w:p>
        </w:tc>
        <w:tc>
          <w:tcPr>
            <w:tcW w:w="1113" w:type="dxa"/>
          </w:tcPr>
          <w:p w:rsidR="009A4DF8" w:rsidRPr="00CC49EE" w:rsidRDefault="009A4DF8" w:rsidP="009F74BC">
            <w:pPr>
              <w:spacing w:after="0" w:line="240" w:lineRule="auto"/>
              <w:jc w:val="both"/>
              <w:rPr>
                <w:rFonts w:ascii="Arial" w:hAnsi="Arial" w:cs="Arial"/>
                <w:b/>
              </w:rPr>
            </w:pPr>
            <w:r w:rsidRPr="00CC49EE">
              <w:rPr>
                <w:rFonts w:ascii="Arial" w:hAnsi="Arial" w:cs="Arial"/>
                <w:b/>
              </w:rPr>
              <w:t>2012</w:t>
            </w:r>
          </w:p>
        </w:tc>
        <w:tc>
          <w:tcPr>
            <w:tcW w:w="1113" w:type="dxa"/>
          </w:tcPr>
          <w:p w:rsidR="009A4DF8" w:rsidRPr="00CC49EE" w:rsidRDefault="009A4DF8" w:rsidP="009F74BC">
            <w:pPr>
              <w:spacing w:after="0" w:line="240" w:lineRule="auto"/>
              <w:jc w:val="both"/>
              <w:rPr>
                <w:rFonts w:ascii="Arial" w:hAnsi="Arial" w:cs="Arial"/>
                <w:b/>
              </w:rPr>
            </w:pPr>
            <w:r w:rsidRPr="00CC49EE">
              <w:rPr>
                <w:rFonts w:ascii="Arial" w:hAnsi="Arial" w:cs="Arial"/>
                <w:b/>
              </w:rPr>
              <w:t>2013</w:t>
            </w:r>
          </w:p>
        </w:tc>
        <w:tc>
          <w:tcPr>
            <w:tcW w:w="1113" w:type="dxa"/>
          </w:tcPr>
          <w:p w:rsidR="009A4DF8" w:rsidRPr="00CC49EE" w:rsidRDefault="009A4DF8" w:rsidP="009F74BC">
            <w:pPr>
              <w:spacing w:after="0" w:line="240" w:lineRule="auto"/>
              <w:jc w:val="both"/>
              <w:rPr>
                <w:rFonts w:ascii="Arial" w:hAnsi="Arial" w:cs="Arial"/>
                <w:b/>
              </w:rPr>
            </w:pPr>
            <w:r w:rsidRPr="00CC49EE">
              <w:rPr>
                <w:rFonts w:ascii="Arial" w:hAnsi="Arial" w:cs="Arial"/>
                <w:b/>
              </w:rPr>
              <w:t>2014</w:t>
            </w:r>
          </w:p>
        </w:tc>
        <w:tc>
          <w:tcPr>
            <w:tcW w:w="1136" w:type="dxa"/>
          </w:tcPr>
          <w:p w:rsidR="009A4DF8" w:rsidRPr="00CC49EE" w:rsidRDefault="009A4DF8" w:rsidP="009F74BC">
            <w:pPr>
              <w:spacing w:after="0" w:line="240" w:lineRule="auto"/>
              <w:jc w:val="both"/>
              <w:rPr>
                <w:rFonts w:ascii="Arial" w:hAnsi="Arial" w:cs="Arial"/>
                <w:b/>
              </w:rPr>
            </w:pPr>
            <w:r w:rsidRPr="00CC49EE">
              <w:rPr>
                <w:rFonts w:ascii="Arial" w:hAnsi="Arial" w:cs="Arial"/>
                <w:b/>
              </w:rPr>
              <w:t>2015</w:t>
            </w:r>
          </w:p>
        </w:tc>
        <w:tc>
          <w:tcPr>
            <w:tcW w:w="1113" w:type="dxa"/>
          </w:tcPr>
          <w:p w:rsidR="009A4DF8" w:rsidRPr="00CC49EE" w:rsidRDefault="009A4DF8" w:rsidP="009F74BC">
            <w:pPr>
              <w:spacing w:after="0" w:line="240" w:lineRule="auto"/>
              <w:jc w:val="both"/>
              <w:rPr>
                <w:rFonts w:ascii="Arial" w:hAnsi="Arial" w:cs="Arial"/>
                <w:b/>
              </w:rPr>
            </w:pPr>
            <w:r w:rsidRPr="00CC49EE">
              <w:rPr>
                <w:rFonts w:ascii="Arial" w:hAnsi="Arial" w:cs="Arial"/>
                <w:b/>
              </w:rPr>
              <w:t>2016</w:t>
            </w:r>
          </w:p>
        </w:tc>
      </w:tr>
      <w:tr w:rsidR="009A4DF8" w:rsidRPr="00CC49EE" w:rsidTr="009F74BC">
        <w:trPr>
          <w:trHeight w:val="249"/>
        </w:trPr>
        <w:tc>
          <w:tcPr>
            <w:tcW w:w="4646" w:type="dxa"/>
          </w:tcPr>
          <w:p w:rsidR="009A4DF8" w:rsidRPr="00CC49EE" w:rsidRDefault="009A4DF8" w:rsidP="009F74BC">
            <w:pPr>
              <w:spacing w:after="0" w:line="240" w:lineRule="auto"/>
              <w:jc w:val="both"/>
              <w:rPr>
                <w:rFonts w:ascii="Arial" w:hAnsi="Arial" w:cs="Arial"/>
              </w:rPr>
            </w:pPr>
            <w:r w:rsidRPr="00CC49EE">
              <w:rPr>
                <w:rFonts w:ascii="Arial" w:hAnsi="Arial" w:cs="Arial"/>
              </w:rPr>
              <w:t>Secteur primaire</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31,5%</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31,7%</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31,9%</w:t>
            </w:r>
          </w:p>
        </w:tc>
        <w:tc>
          <w:tcPr>
            <w:tcW w:w="1136" w:type="dxa"/>
          </w:tcPr>
          <w:p w:rsidR="009A4DF8" w:rsidRPr="00CC49EE" w:rsidRDefault="009A4DF8" w:rsidP="009F74BC">
            <w:pPr>
              <w:spacing w:after="0" w:line="240" w:lineRule="auto"/>
              <w:rPr>
                <w:rFonts w:ascii="Arial" w:hAnsi="Arial" w:cs="Arial"/>
              </w:rPr>
            </w:pPr>
            <w:r w:rsidRPr="00CC49EE">
              <w:rPr>
                <w:rFonts w:ascii="Arial" w:hAnsi="Arial" w:cs="Arial"/>
              </w:rPr>
              <w:t>30,1%</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29,4%</w:t>
            </w:r>
          </w:p>
        </w:tc>
      </w:tr>
      <w:tr w:rsidR="009A4DF8" w:rsidRPr="00CC49EE" w:rsidTr="009F74BC">
        <w:trPr>
          <w:trHeight w:val="257"/>
        </w:trPr>
        <w:tc>
          <w:tcPr>
            <w:tcW w:w="4646" w:type="dxa"/>
          </w:tcPr>
          <w:p w:rsidR="009A4DF8" w:rsidRPr="00CC49EE" w:rsidRDefault="009A4DF8" w:rsidP="009F74BC">
            <w:pPr>
              <w:spacing w:after="0" w:line="240" w:lineRule="auto"/>
              <w:jc w:val="both"/>
              <w:rPr>
                <w:rFonts w:ascii="Arial" w:hAnsi="Arial" w:cs="Arial"/>
              </w:rPr>
            </w:pPr>
            <w:r w:rsidRPr="00CC49EE">
              <w:rPr>
                <w:rFonts w:ascii="Arial" w:hAnsi="Arial" w:cs="Arial"/>
              </w:rPr>
              <w:t>Secteur secondaire</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22,4%</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18,7%</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18,5%</w:t>
            </w:r>
          </w:p>
        </w:tc>
        <w:tc>
          <w:tcPr>
            <w:tcW w:w="1136" w:type="dxa"/>
          </w:tcPr>
          <w:p w:rsidR="009A4DF8" w:rsidRPr="00CC49EE" w:rsidRDefault="009A4DF8" w:rsidP="009F74BC">
            <w:pPr>
              <w:spacing w:after="0" w:line="240" w:lineRule="auto"/>
              <w:rPr>
                <w:rFonts w:ascii="Arial" w:hAnsi="Arial" w:cs="Arial"/>
              </w:rPr>
            </w:pPr>
            <w:r w:rsidRPr="00CC49EE">
              <w:rPr>
                <w:rFonts w:ascii="Arial" w:hAnsi="Arial" w:cs="Arial"/>
              </w:rPr>
              <w:t>19,6%</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20,0%</w:t>
            </w:r>
          </w:p>
        </w:tc>
      </w:tr>
      <w:tr w:rsidR="009A4DF8" w:rsidRPr="00CC49EE" w:rsidTr="009F74BC">
        <w:trPr>
          <w:trHeight w:val="396"/>
        </w:trPr>
        <w:tc>
          <w:tcPr>
            <w:tcW w:w="4646" w:type="dxa"/>
          </w:tcPr>
          <w:p w:rsidR="009A4DF8" w:rsidRPr="00CC49EE" w:rsidRDefault="009A4DF8" w:rsidP="009F74BC">
            <w:pPr>
              <w:spacing w:after="0" w:line="240" w:lineRule="auto"/>
              <w:jc w:val="both"/>
              <w:rPr>
                <w:rFonts w:ascii="Arial" w:hAnsi="Arial" w:cs="Arial"/>
              </w:rPr>
            </w:pPr>
            <w:r w:rsidRPr="00CC49EE">
              <w:rPr>
                <w:rFonts w:ascii="Arial" w:hAnsi="Arial" w:cs="Arial"/>
              </w:rPr>
              <w:t>Secteur tertiaire (y compris les taxes et SIFIM)</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46,1%</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49,6%</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49,6%</w:t>
            </w:r>
          </w:p>
        </w:tc>
        <w:tc>
          <w:tcPr>
            <w:tcW w:w="1136" w:type="dxa"/>
          </w:tcPr>
          <w:p w:rsidR="009A4DF8" w:rsidRPr="00CC49EE" w:rsidRDefault="009A4DF8" w:rsidP="009F74BC">
            <w:pPr>
              <w:spacing w:after="0" w:line="240" w:lineRule="auto"/>
              <w:rPr>
                <w:rFonts w:ascii="Arial" w:hAnsi="Arial" w:cs="Arial"/>
              </w:rPr>
            </w:pPr>
            <w:r w:rsidRPr="00CC49EE">
              <w:rPr>
                <w:rFonts w:ascii="Arial" w:hAnsi="Arial" w:cs="Arial"/>
              </w:rPr>
              <w:t>50,3%</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50,6%</w:t>
            </w:r>
          </w:p>
        </w:tc>
      </w:tr>
      <w:tr w:rsidR="009A4DF8" w:rsidRPr="00CC49EE" w:rsidTr="009F74BC">
        <w:trPr>
          <w:trHeight w:val="413"/>
        </w:trPr>
        <w:tc>
          <w:tcPr>
            <w:tcW w:w="4646" w:type="dxa"/>
          </w:tcPr>
          <w:p w:rsidR="009A4DF8" w:rsidRPr="00CC49EE" w:rsidRDefault="009A4DF8" w:rsidP="009F74BC">
            <w:pPr>
              <w:spacing w:after="0" w:line="240" w:lineRule="auto"/>
              <w:jc w:val="both"/>
              <w:rPr>
                <w:rFonts w:ascii="Arial" w:hAnsi="Arial" w:cs="Arial"/>
              </w:rPr>
            </w:pPr>
            <w:r w:rsidRPr="00CC49EE">
              <w:rPr>
                <w:rFonts w:ascii="Arial" w:hAnsi="Arial" w:cs="Arial"/>
              </w:rPr>
              <w:t>Taux de croissance du PIB réel (%)</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6,5%</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5,7%</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4,2%</w:t>
            </w:r>
          </w:p>
        </w:tc>
        <w:tc>
          <w:tcPr>
            <w:tcW w:w="1136" w:type="dxa"/>
          </w:tcPr>
          <w:p w:rsidR="009A4DF8" w:rsidRPr="00CC49EE" w:rsidRDefault="009A4DF8" w:rsidP="009F74BC">
            <w:pPr>
              <w:spacing w:after="0" w:line="240" w:lineRule="auto"/>
              <w:rPr>
                <w:rFonts w:ascii="Arial" w:hAnsi="Arial" w:cs="Arial"/>
              </w:rPr>
            </w:pPr>
            <w:r w:rsidRPr="00CC49EE">
              <w:rPr>
                <w:rFonts w:ascii="Arial" w:hAnsi="Arial" w:cs="Arial"/>
              </w:rPr>
              <w:t>4,0%</w:t>
            </w:r>
          </w:p>
        </w:tc>
        <w:tc>
          <w:tcPr>
            <w:tcW w:w="1113" w:type="dxa"/>
          </w:tcPr>
          <w:p w:rsidR="009A4DF8" w:rsidRPr="00CC49EE" w:rsidRDefault="009A4DF8" w:rsidP="009F74BC">
            <w:pPr>
              <w:spacing w:after="0" w:line="240" w:lineRule="auto"/>
              <w:rPr>
                <w:rFonts w:ascii="Arial" w:hAnsi="Arial" w:cs="Arial"/>
              </w:rPr>
            </w:pPr>
            <w:r w:rsidRPr="00CC49EE">
              <w:rPr>
                <w:rFonts w:ascii="Arial" w:hAnsi="Arial" w:cs="Arial"/>
              </w:rPr>
              <w:t>5,9%</w:t>
            </w:r>
          </w:p>
        </w:tc>
      </w:tr>
    </w:tbl>
    <w:p w:rsidR="009A4DF8" w:rsidRPr="009F74BC" w:rsidRDefault="009A4DF8" w:rsidP="009F74BC">
      <w:pPr>
        <w:jc w:val="both"/>
        <w:rPr>
          <w:rFonts w:ascii="Arial" w:hAnsi="Arial" w:cs="Arial"/>
          <w:b/>
          <w:i/>
        </w:rPr>
      </w:pPr>
      <w:r w:rsidRPr="009F74BC">
        <w:rPr>
          <w:rFonts w:ascii="Arial" w:hAnsi="Arial" w:cs="Arial"/>
          <w:b/>
          <w:i/>
          <w:u w:val="single"/>
        </w:rPr>
        <w:t>Source</w:t>
      </w:r>
      <w:r w:rsidRPr="009F74BC">
        <w:rPr>
          <w:rFonts w:ascii="Arial" w:hAnsi="Arial" w:cs="Arial"/>
          <w:b/>
          <w:i/>
        </w:rPr>
        <w:t xml:space="preserve"> : </w:t>
      </w:r>
      <w:r w:rsidRPr="00A37544">
        <w:rPr>
          <w:rFonts w:ascii="Arial" w:hAnsi="Arial" w:cs="Arial"/>
          <w:b/>
          <w:i/>
          <w:sz w:val="20"/>
        </w:rPr>
        <w:t>« Instrument Automatisé de Prévision » MINEFID/DGEP/DPAM, mars 2017.</w:t>
      </w:r>
    </w:p>
    <w:p w:rsidR="009A4DF8" w:rsidRPr="009F74BC" w:rsidRDefault="009A4DF8" w:rsidP="00F679D8">
      <w:pPr>
        <w:pStyle w:val="Titre4"/>
        <w:numPr>
          <w:ilvl w:val="0"/>
          <w:numId w:val="136"/>
        </w:numPr>
        <w:spacing w:line="276" w:lineRule="auto"/>
        <w:ind w:left="1701"/>
      </w:pPr>
      <w:bookmarkStart w:id="52" w:name="_Toc492972162"/>
      <w:r w:rsidRPr="009F74BC">
        <w:t>Les prix à la consommation</w:t>
      </w:r>
      <w:bookmarkEnd w:id="52"/>
    </w:p>
    <w:p w:rsidR="009A4DF8" w:rsidRPr="00CC49EE" w:rsidRDefault="009A4DF8" w:rsidP="00F679D8">
      <w:pPr>
        <w:spacing w:after="120"/>
        <w:jc w:val="both"/>
        <w:rPr>
          <w:rFonts w:ascii="Arial" w:hAnsi="Arial" w:cs="Arial"/>
        </w:rPr>
      </w:pPr>
      <w:r w:rsidRPr="00CC49EE">
        <w:rPr>
          <w:rFonts w:ascii="Arial" w:hAnsi="Arial" w:cs="Arial"/>
        </w:rPr>
        <w:t>En 2016, le niveau général des prix à la consommation a enregistré une légère baisse. En moyenne annuelle, le taux d</w:t>
      </w:r>
      <w:r>
        <w:rPr>
          <w:rFonts w:ascii="Arial" w:hAnsi="Arial" w:cs="Arial"/>
        </w:rPr>
        <w:t>’in</w:t>
      </w:r>
      <w:r w:rsidRPr="00CC49EE">
        <w:rPr>
          <w:rFonts w:ascii="Arial" w:hAnsi="Arial" w:cs="Arial"/>
        </w:rPr>
        <w:t xml:space="preserve">flation s’est situé à </w:t>
      </w:r>
      <w:r>
        <w:rPr>
          <w:rFonts w:ascii="Arial" w:hAnsi="Arial" w:cs="Arial"/>
        </w:rPr>
        <w:t>-</w:t>
      </w:r>
      <w:r w:rsidRPr="00CC49EE">
        <w:rPr>
          <w:rFonts w:ascii="Arial" w:hAnsi="Arial" w:cs="Arial"/>
        </w:rPr>
        <w:t>0,2% à fin décembre 2016 contre 0,9% à fin décembre 2015. Cette baisse s’expliquerait essentiellement par le repli des prix des fonctions « Transport » (-4 ,1%), « Logement, eau, gaz, électricité et autres combustibles » (-0,7%) et « Meubles, articles de ménage et entretien courant du foyer » (-0,3%). En outre, les prix des « Produits alimentaires et boissons non alcoolisées » ont enregistré une hausse modérée (+1,0%).</w:t>
      </w:r>
    </w:p>
    <w:p w:rsidR="009A4DF8" w:rsidRPr="00CC49EE" w:rsidRDefault="009A4DF8" w:rsidP="00F679D8">
      <w:pPr>
        <w:spacing w:after="120"/>
        <w:jc w:val="both"/>
        <w:rPr>
          <w:rFonts w:ascii="Arial" w:hAnsi="Arial" w:cs="Arial"/>
        </w:rPr>
      </w:pPr>
      <w:r w:rsidRPr="00CC49EE">
        <w:rPr>
          <w:rFonts w:ascii="Arial" w:hAnsi="Arial" w:cs="Arial"/>
        </w:rPr>
        <w:t>Les résultats de la campagne agricole 2016/2017 assez reluisants et les mesures gouvernementales de lutte contre la vie chère (la vente des céréales à prix social dans les zones déficitaires, le contrôle des prix des produits de grande consommation, la réouverture de boutiques témoins et la baisse du prix du carburant à la pompe) auraient contribué au quasi-maintien des prix à leur niveau de 2015.</w:t>
      </w:r>
    </w:p>
    <w:p w:rsidR="009A4DF8" w:rsidRPr="009F74BC" w:rsidRDefault="009A4DF8" w:rsidP="00F679D8">
      <w:pPr>
        <w:pStyle w:val="Titre4"/>
        <w:numPr>
          <w:ilvl w:val="0"/>
          <w:numId w:val="136"/>
        </w:numPr>
        <w:spacing w:line="276" w:lineRule="auto"/>
        <w:ind w:left="1701"/>
      </w:pPr>
      <w:bookmarkStart w:id="53" w:name="_Toc492972163"/>
      <w:r w:rsidRPr="009F74BC">
        <w:t>Les finances publiques</w:t>
      </w:r>
      <w:bookmarkEnd w:id="53"/>
    </w:p>
    <w:p w:rsidR="009A4DF8" w:rsidRPr="009F74BC" w:rsidRDefault="009A4DF8" w:rsidP="00F679D8">
      <w:pPr>
        <w:pStyle w:val="Paragraphedeliste"/>
        <w:numPr>
          <w:ilvl w:val="0"/>
          <w:numId w:val="137"/>
        </w:numPr>
        <w:spacing w:after="120"/>
        <w:ind w:left="714" w:hanging="357"/>
        <w:contextualSpacing w:val="0"/>
        <w:jc w:val="both"/>
        <w:rPr>
          <w:rFonts w:ascii="Arial" w:hAnsi="Arial" w:cs="Arial"/>
          <w:b/>
        </w:rPr>
      </w:pPr>
      <w:r w:rsidRPr="009F74BC">
        <w:rPr>
          <w:rFonts w:ascii="Arial" w:hAnsi="Arial" w:cs="Arial"/>
          <w:b/>
        </w:rPr>
        <w:t>Les recettes totales et dons</w:t>
      </w:r>
    </w:p>
    <w:p w:rsidR="009A4DF8" w:rsidRPr="00CC49EE" w:rsidRDefault="009A4DF8" w:rsidP="00F679D8">
      <w:pPr>
        <w:tabs>
          <w:tab w:val="left" w:pos="1320"/>
        </w:tabs>
        <w:spacing w:after="120"/>
        <w:jc w:val="both"/>
        <w:rPr>
          <w:rFonts w:ascii="Arial" w:hAnsi="Arial" w:cs="Arial"/>
          <w:shd w:val="clear" w:color="auto" w:fill="FFFFFF"/>
        </w:rPr>
      </w:pPr>
      <w:r w:rsidRPr="00CC49EE">
        <w:rPr>
          <w:rFonts w:ascii="Arial" w:hAnsi="Arial" w:cs="Arial"/>
        </w:rPr>
        <w:t xml:space="preserve">La mobilisation des </w:t>
      </w:r>
      <w:r w:rsidRPr="00CC49EE">
        <w:rPr>
          <w:rFonts w:ascii="Arial" w:hAnsi="Arial" w:cs="Arial"/>
          <w:b/>
        </w:rPr>
        <w:t>recettes totales et dons</w:t>
      </w:r>
      <w:r>
        <w:rPr>
          <w:rFonts w:ascii="Arial" w:hAnsi="Arial" w:cs="Arial"/>
          <w:b/>
        </w:rPr>
        <w:t xml:space="preserve"> </w:t>
      </w:r>
      <w:r w:rsidRPr="00CC49EE">
        <w:rPr>
          <w:rFonts w:ascii="Arial" w:hAnsi="Arial" w:cs="Arial"/>
        </w:rPr>
        <w:t>s’est élevée à 1 410,7 milliards de FCFA à fin décembre 2016 contre 1 277,9 milliards de FCFA à la même période en 2015, soit une hausse de 10,4%. Ce résultat est en partie imputable à l’augmentation des recettes pro</w:t>
      </w:r>
      <w:r>
        <w:rPr>
          <w:rFonts w:ascii="Arial" w:hAnsi="Arial" w:cs="Arial"/>
        </w:rPr>
        <w:t>pres (+180,6 milliards de FCFA) ;</w:t>
      </w:r>
      <w:r w:rsidRPr="00CC49EE">
        <w:rPr>
          <w:rFonts w:ascii="Arial" w:hAnsi="Arial" w:cs="Arial"/>
        </w:rPr>
        <w:t xml:space="preserve"> les dons ayant connu une diminution de 49,9 milliards de FCFA</w:t>
      </w:r>
      <w:r>
        <w:rPr>
          <w:rFonts w:ascii="Arial" w:hAnsi="Arial" w:cs="Arial"/>
        </w:rPr>
        <w:t xml:space="preserve"> dû à l’arrivée à terme de la stratégie pays de la BAD et à la fin des programmes avec l’Allemagne et la Suède.</w:t>
      </w:r>
    </w:p>
    <w:p w:rsidR="009A4DF8" w:rsidRPr="00CC49EE" w:rsidRDefault="009A4DF8" w:rsidP="00F679D8">
      <w:pPr>
        <w:tabs>
          <w:tab w:val="left" w:pos="1320"/>
        </w:tabs>
        <w:spacing w:after="120"/>
        <w:jc w:val="both"/>
        <w:rPr>
          <w:rFonts w:ascii="Arial" w:hAnsi="Arial" w:cs="Arial"/>
          <w:shd w:val="clear" w:color="auto" w:fill="FFFFFF"/>
        </w:rPr>
      </w:pPr>
      <w:r w:rsidRPr="00CC49EE">
        <w:rPr>
          <w:rFonts w:ascii="Arial" w:hAnsi="Arial" w:cs="Arial"/>
        </w:rPr>
        <w:t>En fin décembre 2016, les</w:t>
      </w:r>
      <w:r w:rsidRPr="00CC49EE">
        <w:rPr>
          <w:rFonts w:ascii="Arial" w:hAnsi="Arial" w:cs="Arial"/>
          <w:b/>
        </w:rPr>
        <w:t xml:space="preserve"> recettes propres</w:t>
      </w:r>
      <w:r>
        <w:rPr>
          <w:rFonts w:ascii="Arial" w:hAnsi="Arial" w:cs="Arial"/>
          <w:b/>
        </w:rPr>
        <w:t xml:space="preserve"> </w:t>
      </w:r>
      <w:r w:rsidRPr="00CC49EE">
        <w:rPr>
          <w:rFonts w:ascii="Arial" w:hAnsi="Arial" w:cs="Arial"/>
        </w:rPr>
        <w:t>se sont situées à 1 230,5 milliards de FCFA contre 1048,0 milliards de FCFA en 2015, soit une augmentation de 17,4%. Ce taux de mobilisation, qui représente 95,8% des prévisions annuelles de la deuxième loi de finances rectificative de 2016 (1 283,9 milliards de FCFA), est lié à la bonne performance enregistrée aussi bien au niveau des recettes fiscales que non fiscales.</w:t>
      </w:r>
    </w:p>
    <w:p w:rsidR="009A4DF8" w:rsidRDefault="009A4DF8" w:rsidP="00F679D8">
      <w:pPr>
        <w:tabs>
          <w:tab w:val="left" w:pos="1320"/>
        </w:tabs>
        <w:spacing w:after="120"/>
        <w:jc w:val="both"/>
        <w:rPr>
          <w:rFonts w:ascii="Arial" w:hAnsi="Arial" w:cs="Arial"/>
        </w:rPr>
      </w:pPr>
      <w:r w:rsidRPr="00CC49EE">
        <w:rPr>
          <w:rFonts w:ascii="Arial" w:hAnsi="Arial" w:cs="Arial"/>
        </w:rPr>
        <w:t>En effet, les</w:t>
      </w:r>
      <w:r w:rsidRPr="00CC49EE">
        <w:rPr>
          <w:rFonts w:ascii="Arial" w:hAnsi="Arial" w:cs="Arial"/>
          <w:b/>
        </w:rPr>
        <w:t xml:space="preserve"> recettes fiscales</w:t>
      </w:r>
      <w:r w:rsidRPr="00CC49EE">
        <w:rPr>
          <w:rFonts w:ascii="Arial" w:hAnsi="Arial" w:cs="Arial"/>
        </w:rPr>
        <w:t xml:space="preserve"> ont connu une augmentation de 146,1 milliards de FCFA (+15,7%) par rapport à fin décembre 2015 pour s’afficher à 1 075,4 milliards de FCFA à fin décembre 2016. Cette situation s’explique essentiellement par la hausse constatée au niveau des« taxes sur biens et services » (+72,7 milliards de FCFA) et de l’« impôt sur</w:t>
      </w:r>
      <w:r>
        <w:rPr>
          <w:rFonts w:ascii="Arial" w:hAnsi="Arial" w:cs="Arial"/>
        </w:rPr>
        <w:t xml:space="preserve"> </w:t>
      </w:r>
      <w:r w:rsidRPr="00CC49EE">
        <w:rPr>
          <w:rFonts w:ascii="Arial" w:hAnsi="Arial" w:cs="Arial"/>
        </w:rPr>
        <w:t>les revenus et bénéfices » (+51,3 milliards de FCFA).</w:t>
      </w:r>
    </w:p>
    <w:p w:rsidR="009A4DF8" w:rsidRPr="009F74BC" w:rsidRDefault="009A4DF8" w:rsidP="00F679D8">
      <w:pPr>
        <w:tabs>
          <w:tab w:val="left" w:pos="1320"/>
        </w:tabs>
        <w:spacing w:after="120"/>
        <w:jc w:val="both"/>
        <w:rPr>
          <w:rFonts w:ascii="Arial" w:hAnsi="Arial" w:cs="Arial"/>
        </w:rPr>
      </w:pPr>
      <w:r>
        <w:rPr>
          <w:rFonts w:ascii="Arial" w:hAnsi="Arial" w:cs="Arial"/>
        </w:rPr>
        <w:t xml:space="preserve">Ces performances dans la mobilisation des ressources internes résultent des réformes et mesures prises par le Gouvernement en la matière. Il s’agit entre autres de l’amélioration du recouvrement des </w:t>
      </w:r>
      <w:r>
        <w:rPr>
          <w:rFonts w:ascii="Arial" w:hAnsi="Arial" w:cs="Arial"/>
        </w:rPr>
        <w:lastRenderedPageBreak/>
        <w:t>« Restes à recouvrer » (RAR), de l’approche « unités de recouvrement », du suivi des clauses fiscales et douanières des marchés publics sur ressources propres de l’Etat, de la segmentation des entreprises dans le cadre d’un suivi efficient des contribuables par la DGI.</w:t>
      </w:r>
    </w:p>
    <w:p w:rsidR="009A4DF8" w:rsidRPr="00CC49EE" w:rsidRDefault="009A4DF8" w:rsidP="00F679D8">
      <w:pPr>
        <w:pStyle w:val="Paragraphedeliste"/>
        <w:numPr>
          <w:ilvl w:val="0"/>
          <w:numId w:val="137"/>
        </w:numPr>
        <w:spacing w:after="120"/>
        <w:ind w:left="714" w:hanging="357"/>
        <w:contextualSpacing w:val="0"/>
        <w:jc w:val="both"/>
        <w:rPr>
          <w:rFonts w:ascii="Arial" w:hAnsi="Arial" w:cs="Arial"/>
          <w:b/>
        </w:rPr>
      </w:pPr>
      <w:r w:rsidRPr="00CC49EE">
        <w:rPr>
          <w:rFonts w:ascii="Arial" w:hAnsi="Arial" w:cs="Arial"/>
          <w:b/>
        </w:rPr>
        <w:t>Les dépenses totales et prêts nets</w:t>
      </w:r>
    </w:p>
    <w:p w:rsidR="009A4DF8" w:rsidRPr="00CC49EE" w:rsidRDefault="009A4DF8" w:rsidP="00F679D8">
      <w:pPr>
        <w:tabs>
          <w:tab w:val="left" w:pos="1320"/>
        </w:tabs>
        <w:spacing w:after="120"/>
        <w:jc w:val="both"/>
        <w:rPr>
          <w:rFonts w:ascii="Arial" w:hAnsi="Arial" w:cs="Arial"/>
        </w:rPr>
      </w:pPr>
      <w:r w:rsidRPr="00CC49EE">
        <w:rPr>
          <w:rFonts w:ascii="Arial" w:hAnsi="Arial" w:cs="Arial"/>
        </w:rPr>
        <w:t>A fin décembre 2016, les</w:t>
      </w:r>
      <w:r>
        <w:rPr>
          <w:rFonts w:ascii="Arial" w:hAnsi="Arial" w:cs="Arial"/>
        </w:rPr>
        <w:t xml:space="preserve"> </w:t>
      </w:r>
      <w:r w:rsidRPr="00CC49EE">
        <w:rPr>
          <w:rFonts w:ascii="Arial" w:hAnsi="Arial" w:cs="Arial"/>
          <w:b/>
        </w:rPr>
        <w:t xml:space="preserve">dépenses totales et prêts nets </w:t>
      </w:r>
      <w:r w:rsidRPr="00CC49EE">
        <w:rPr>
          <w:rFonts w:ascii="Arial" w:hAnsi="Arial" w:cs="Arial"/>
        </w:rPr>
        <w:t>ont</w:t>
      </w:r>
      <w:r>
        <w:rPr>
          <w:rFonts w:ascii="Arial" w:hAnsi="Arial" w:cs="Arial"/>
        </w:rPr>
        <w:t xml:space="preserve"> </w:t>
      </w:r>
      <w:r w:rsidRPr="00CC49EE">
        <w:rPr>
          <w:rFonts w:ascii="Arial" w:hAnsi="Arial" w:cs="Arial"/>
        </w:rPr>
        <w:t>été exécutés à hauteur de 1 636,4 milliards de FCFA contre 1 411,6 milliards de FCFA un an plus tôt, soit un accroissement de 224,9 milliards de FCFA (+15,9%). Cette tendance s’explique aussi bien par l’augmentation des dépenses courantes (+195,5 milliards de FCFA) que par celle des dépenses en capital (+25,4 milliards de FCFA).</w:t>
      </w:r>
    </w:p>
    <w:p w:rsidR="009A4DF8" w:rsidRPr="00CC49EE" w:rsidRDefault="009A4DF8" w:rsidP="00F679D8">
      <w:pPr>
        <w:autoSpaceDE w:val="0"/>
        <w:autoSpaceDN w:val="0"/>
        <w:adjustRightInd w:val="0"/>
        <w:spacing w:after="120"/>
        <w:jc w:val="both"/>
        <w:rPr>
          <w:rFonts w:ascii="Arial" w:hAnsi="Arial" w:cs="Arial"/>
        </w:rPr>
      </w:pPr>
      <w:r w:rsidRPr="00CC49EE">
        <w:rPr>
          <w:rFonts w:ascii="Arial" w:hAnsi="Arial" w:cs="Arial"/>
        </w:rPr>
        <w:t xml:space="preserve">En effet, les </w:t>
      </w:r>
      <w:r w:rsidRPr="00CC49EE">
        <w:rPr>
          <w:rFonts w:ascii="Arial" w:hAnsi="Arial" w:cs="Arial"/>
          <w:b/>
        </w:rPr>
        <w:t>dépenses courantes</w:t>
      </w:r>
      <w:r w:rsidRPr="00CC49EE">
        <w:rPr>
          <w:rFonts w:ascii="Arial" w:hAnsi="Arial" w:cs="Arial"/>
        </w:rPr>
        <w:t>, en hausse de 21,2% par rapport à fin décembre 2015, ont été exécutées à hauteur de 1 118,7 milliards de FCFA à fin décembre 2016. Cette augmentation s’explique par celle des dépenses de personnel (+85,9 milliards de FCFA), des dépenses de transferts courants (+69,5 milliards de FCFA), des intérêts de la dette publique (+21,6 milliards de FCFA) et des dépenses de fonctionnement (+18,5 milliards de FCFA). L’augmentation de la masse salariale est principalement due</w:t>
      </w:r>
      <w:r>
        <w:rPr>
          <w:rFonts w:ascii="Arial" w:hAnsi="Arial" w:cs="Arial"/>
        </w:rPr>
        <w:t xml:space="preserve"> </w:t>
      </w:r>
      <w:r w:rsidRPr="00CC49EE">
        <w:rPr>
          <w:rFonts w:ascii="Arial" w:hAnsi="Arial" w:cs="Arial"/>
          <w:bCs/>
          <w:lang w:val="fr-CH"/>
        </w:rPr>
        <w:t xml:space="preserve">à la régularisation des avancements dans le cadre de l’opérationnalisation de </w:t>
      </w:r>
      <w:r w:rsidRPr="002D77DC">
        <w:rPr>
          <w:rFonts w:ascii="Arial" w:hAnsi="Arial" w:cs="Arial"/>
          <w:bCs/>
          <w:lang w:val="fr-CH"/>
        </w:rPr>
        <w:t>la loi 081-2015/CNT du 24 novembre 2015</w:t>
      </w:r>
      <w:r w:rsidRPr="00CC49EE">
        <w:rPr>
          <w:rFonts w:ascii="Arial" w:hAnsi="Arial" w:cs="Arial"/>
          <w:bCs/>
          <w:lang w:val="fr-CH"/>
        </w:rPr>
        <w:t>, la mise en œuvre des reversements dans le nouveau classement indiciaire adopté en application de la</w:t>
      </w:r>
      <w:r>
        <w:rPr>
          <w:rFonts w:ascii="Arial" w:hAnsi="Arial" w:cs="Arial"/>
          <w:bCs/>
          <w:lang w:val="fr-CH"/>
        </w:rPr>
        <w:t xml:space="preserve"> même </w:t>
      </w:r>
      <w:r w:rsidRPr="00CC49EE">
        <w:rPr>
          <w:rFonts w:ascii="Arial" w:hAnsi="Arial" w:cs="Arial"/>
          <w:bCs/>
          <w:lang w:val="fr-CH"/>
        </w:rPr>
        <w:t>loi, la réforme de la situation salariale des appelés SND et la prise en charge des statuts autonomes des personnels du ministère en charge de la justice.</w:t>
      </w:r>
    </w:p>
    <w:p w:rsidR="009A4DF8" w:rsidRPr="009F74BC" w:rsidRDefault="009A4DF8" w:rsidP="00F679D8">
      <w:pPr>
        <w:tabs>
          <w:tab w:val="left" w:pos="1320"/>
        </w:tabs>
        <w:spacing w:after="120"/>
        <w:jc w:val="both"/>
        <w:rPr>
          <w:rFonts w:ascii="Arial" w:hAnsi="Arial" w:cs="Arial"/>
        </w:rPr>
      </w:pPr>
      <w:r w:rsidRPr="00CC49EE">
        <w:rPr>
          <w:rFonts w:ascii="Arial" w:hAnsi="Arial" w:cs="Arial"/>
        </w:rPr>
        <w:t xml:space="preserve">Quant aux </w:t>
      </w:r>
      <w:r w:rsidRPr="00CC49EE">
        <w:rPr>
          <w:rFonts w:ascii="Arial" w:hAnsi="Arial" w:cs="Arial"/>
          <w:b/>
        </w:rPr>
        <w:t>dépenses en capital</w:t>
      </w:r>
      <w:r w:rsidRPr="00CC49EE">
        <w:rPr>
          <w:rFonts w:ascii="Arial" w:hAnsi="Arial" w:cs="Arial"/>
        </w:rPr>
        <w:t>, elles ont augmenté de 5,1% à fin décembre 2016 par rapport à la même période en 2015 en ressortant à 526,4 milliards de FCFA. Cette progression est imputable essentiellement à la hausse des dépenses d’investissements financées sur ressources propres (+36,1 milliards de FCFA) et de celles financées sur ressources extérieures (+29,3 milliards de FCFA), les transferts en capital et restructuration ayant connu une forte baisse de 39,9 milliards de FCFA, soit un taux de -85,1%. Comparativement à l’année 2015, les décaissements au titre des prêts projets ont connu une hausse de 35,5 milliards de FCFA et ceux au titre des dons projets, une baisse de 6,2 milliards de FCFA.</w:t>
      </w:r>
    </w:p>
    <w:p w:rsidR="009A4DF8" w:rsidRPr="00CC49EE" w:rsidRDefault="009A4DF8" w:rsidP="00F679D8">
      <w:pPr>
        <w:pStyle w:val="Paragraphedeliste"/>
        <w:numPr>
          <w:ilvl w:val="0"/>
          <w:numId w:val="137"/>
        </w:numPr>
        <w:spacing w:after="120"/>
        <w:ind w:left="714" w:hanging="357"/>
        <w:contextualSpacing w:val="0"/>
        <w:jc w:val="both"/>
        <w:rPr>
          <w:rFonts w:ascii="Arial" w:hAnsi="Arial" w:cs="Arial"/>
          <w:b/>
        </w:rPr>
      </w:pPr>
      <w:r w:rsidRPr="00CC49EE">
        <w:rPr>
          <w:rFonts w:ascii="Arial" w:hAnsi="Arial" w:cs="Arial"/>
          <w:b/>
        </w:rPr>
        <w:t>La dette publique</w:t>
      </w:r>
    </w:p>
    <w:p w:rsidR="009A4DF8" w:rsidRPr="00CC49EE" w:rsidRDefault="009A4DF8" w:rsidP="00F679D8">
      <w:pPr>
        <w:spacing w:after="120"/>
        <w:jc w:val="both"/>
        <w:rPr>
          <w:rFonts w:ascii="Arial" w:hAnsi="Arial" w:cs="Arial"/>
        </w:rPr>
      </w:pPr>
      <w:r w:rsidRPr="00CC49EE">
        <w:rPr>
          <w:rFonts w:ascii="Arial" w:hAnsi="Arial" w:cs="Arial"/>
        </w:rPr>
        <w:t>L’</w:t>
      </w:r>
      <w:r w:rsidRPr="00CC49EE">
        <w:rPr>
          <w:rFonts w:ascii="Arial" w:hAnsi="Arial" w:cs="Arial"/>
          <w:b/>
        </w:rPr>
        <w:t>encours de la dette publique</w:t>
      </w:r>
      <w:r>
        <w:rPr>
          <w:rFonts w:ascii="Arial" w:hAnsi="Arial" w:cs="Arial"/>
          <w:b/>
          <w:vertAlign w:val="superscript"/>
        </w:rPr>
        <w:t xml:space="preserve"> </w:t>
      </w:r>
      <w:r w:rsidRPr="00CC49EE">
        <w:rPr>
          <w:rFonts w:ascii="Arial" w:hAnsi="Arial" w:cs="Arial"/>
        </w:rPr>
        <w:t xml:space="preserve">s’est établi à 2 497 ,03 milliards de FCFA au 31 décembre 2016 contre 2 188,5 milliards de FCFA un an plus tôt, soit une augmentation de 308,53 milliards de FCFA (+14,3%), imputable à la fois à la dette intérieure et extérieure qui se sont accrues respectivement de 157,7 milliards de FCFA (+27,5%) et </w:t>
      </w:r>
      <w:r>
        <w:rPr>
          <w:rFonts w:ascii="Arial" w:hAnsi="Arial" w:cs="Arial"/>
        </w:rPr>
        <w:t xml:space="preserve">de </w:t>
      </w:r>
      <w:r w:rsidRPr="00CC49EE">
        <w:rPr>
          <w:rFonts w:ascii="Arial" w:hAnsi="Arial" w:cs="Arial"/>
        </w:rPr>
        <w:t>151,0 milliards de FCFA (+9,4%) par rapport au 31 décembre 2015 pour se situer à 730,97 milliards de FCFA et 1 766,06 milliards de FCFA. Cette évolution s’explique principalement par la p</w:t>
      </w:r>
      <w:r>
        <w:rPr>
          <w:rFonts w:ascii="Arial" w:hAnsi="Arial" w:cs="Arial"/>
        </w:rPr>
        <w:t>oursuite des décaissements</w:t>
      </w:r>
      <w:r w:rsidRPr="00CC49EE">
        <w:rPr>
          <w:rFonts w:ascii="Arial" w:hAnsi="Arial" w:cs="Arial"/>
        </w:rPr>
        <w:t xml:space="preserve"> </w:t>
      </w:r>
      <w:r>
        <w:rPr>
          <w:rFonts w:ascii="Arial" w:hAnsi="Arial" w:cs="Arial"/>
        </w:rPr>
        <w:t xml:space="preserve">au plan extérieur </w:t>
      </w:r>
      <w:r w:rsidRPr="00CC49EE">
        <w:rPr>
          <w:rFonts w:ascii="Arial" w:hAnsi="Arial" w:cs="Arial"/>
        </w:rPr>
        <w:t>et l’émission de bons et</w:t>
      </w:r>
      <w:r>
        <w:rPr>
          <w:rFonts w:ascii="Arial" w:hAnsi="Arial" w:cs="Arial"/>
        </w:rPr>
        <w:t xml:space="preserve"> </w:t>
      </w:r>
      <w:r w:rsidRPr="00CC49EE">
        <w:rPr>
          <w:rFonts w:ascii="Arial" w:hAnsi="Arial" w:cs="Arial"/>
        </w:rPr>
        <w:t>d’obligations du Trésor d’un montant nominal cumulé de 468,5 milliards de FCFA au plan intérieur.</w:t>
      </w:r>
    </w:p>
    <w:p w:rsidR="009A4DF8" w:rsidRPr="00CC49EE" w:rsidRDefault="009A4DF8" w:rsidP="00F679D8">
      <w:pPr>
        <w:spacing w:after="120"/>
        <w:jc w:val="both"/>
        <w:rPr>
          <w:rFonts w:ascii="Arial" w:hAnsi="Arial" w:cs="Arial"/>
        </w:rPr>
      </w:pPr>
      <w:r w:rsidRPr="00CC49EE">
        <w:rPr>
          <w:rFonts w:ascii="Arial" w:hAnsi="Arial" w:cs="Arial"/>
        </w:rPr>
        <w:t>L’analyse de la structure de l’encours total de la dette publique à fin décembre 2016 indique que la dette extérieure est la composante la plus importante avec une proportion de 70,73%. La composante intérieure est constituée à 87,8% de titres publics tandis que celle extérieure provient essentiellement de créanciers multilatéraux avec une proportion de 86,3%.</w:t>
      </w:r>
    </w:p>
    <w:p w:rsidR="009A4DF8" w:rsidRPr="00CC49EE" w:rsidRDefault="009A4DF8" w:rsidP="00F679D8">
      <w:pPr>
        <w:spacing w:after="120"/>
        <w:jc w:val="both"/>
        <w:rPr>
          <w:rFonts w:ascii="Arial" w:hAnsi="Arial" w:cs="Arial"/>
        </w:rPr>
      </w:pPr>
      <w:r w:rsidRPr="00CC49EE">
        <w:rPr>
          <w:rFonts w:ascii="Arial" w:hAnsi="Arial" w:cs="Arial"/>
        </w:rPr>
        <w:t>Le ratio d’endettement, à savoir l’encours de la dette publique rapporté au PIB, est évalué à 34,8% en 2016 pour un seuil communautaire fixé à 70% au maximum.</w:t>
      </w:r>
    </w:p>
    <w:p w:rsidR="009A4DF8" w:rsidRPr="00CC49EE" w:rsidRDefault="009A4DF8" w:rsidP="00F679D8">
      <w:pPr>
        <w:spacing w:after="120"/>
        <w:jc w:val="both"/>
        <w:rPr>
          <w:rFonts w:ascii="Arial" w:hAnsi="Arial" w:cs="Arial"/>
        </w:rPr>
      </w:pPr>
      <w:r w:rsidRPr="00CC49EE">
        <w:rPr>
          <w:rFonts w:ascii="Arial" w:hAnsi="Arial" w:cs="Arial"/>
        </w:rPr>
        <w:t>Quant au service payé au titre de la dette publique, il s’est affiché à 226,92 milliards de FCFA au 31 décembre 2016, dont 56,33</w:t>
      </w:r>
      <w:r>
        <w:rPr>
          <w:rFonts w:ascii="Arial" w:hAnsi="Arial" w:cs="Arial"/>
        </w:rPr>
        <w:t xml:space="preserve"> </w:t>
      </w:r>
      <w:r w:rsidRPr="00CC49EE">
        <w:rPr>
          <w:rFonts w:ascii="Arial" w:hAnsi="Arial" w:cs="Arial"/>
          <w:bCs/>
        </w:rPr>
        <w:t>milliards</w:t>
      </w:r>
      <w:r>
        <w:rPr>
          <w:rFonts w:ascii="Arial" w:hAnsi="Arial" w:cs="Arial"/>
          <w:bCs/>
        </w:rPr>
        <w:t xml:space="preserve"> </w:t>
      </w:r>
      <w:r w:rsidRPr="00CC49EE">
        <w:rPr>
          <w:rFonts w:ascii="Arial" w:hAnsi="Arial" w:cs="Arial"/>
          <w:bCs/>
        </w:rPr>
        <w:t>de FCFA</w:t>
      </w:r>
      <w:r w:rsidRPr="00CC49EE">
        <w:rPr>
          <w:rFonts w:ascii="Arial" w:hAnsi="Arial" w:cs="Arial"/>
        </w:rPr>
        <w:t xml:space="preserve"> de dette extérieure et 170,59</w:t>
      </w:r>
      <w:r w:rsidRPr="00CC49EE">
        <w:rPr>
          <w:rFonts w:ascii="Arial" w:hAnsi="Arial" w:cs="Arial"/>
          <w:bCs/>
        </w:rPr>
        <w:t xml:space="preserve"> milliards</w:t>
      </w:r>
      <w:r>
        <w:rPr>
          <w:rFonts w:ascii="Arial" w:hAnsi="Arial" w:cs="Arial"/>
          <w:bCs/>
        </w:rPr>
        <w:t xml:space="preserve"> </w:t>
      </w:r>
      <w:r w:rsidRPr="00CC49EE">
        <w:rPr>
          <w:rFonts w:ascii="Arial" w:hAnsi="Arial" w:cs="Arial"/>
          <w:bCs/>
        </w:rPr>
        <w:t>de</w:t>
      </w:r>
      <w:r>
        <w:rPr>
          <w:rFonts w:ascii="Arial" w:hAnsi="Arial" w:cs="Arial"/>
          <w:bCs/>
        </w:rPr>
        <w:t xml:space="preserve"> </w:t>
      </w:r>
      <w:r w:rsidRPr="00CC49EE">
        <w:rPr>
          <w:rFonts w:ascii="Arial" w:hAnsi="Arial" w:cs="Arial"/>
          <w:bCs/>
        </w:rPr>
        <w:t>FCFA</w:t>
      </w:r>
      <w:r>
        <w:rPr>
          <w:rFonts w:ascii="Arial" w:hAnsi="Arial" w:cs="Arial"/>
          <w:bCs/>
        </w:rPr>
        <w:t xml:space="preserve"> </w:t>
      </w:r>
      <w:r w:rsidRPr="00CC49EE">
        <w:rPr>
          <w:rFonts w:ascii="Arial" w:hAnsi="Arial" w:cs="Arial"/>
        </w:rPr>
        <w:t>de dette intérieure.</w:t>
      </w:r>
      <w:r>
        <w:rPr>
          <w:rFonts w:ascii="Arial" w:hAnsi="Arial" w:cs="Arial"/>
        </w:rPr>
        <w:t xml:space="preserve"> </w:t>
      </w:r>
      <w:r w:rsidRPr="00CC49EE">
        <w:rPr>
          <w:rFonts w:ascii="Arial" w:hAnsi="Arial" w:cs="Arial"/>
        </w:rPr>
        <w:t>Le ratio « service de la dette sur recettes budgétaires » se situe à 15,1% en 2016, pour un seuil maximum de 22,0%.</w:t>
      </w:r>
    </w:p>
    <w:p w:rsidR="009A4DF8" w:rsidRPr="001B4E2D" w:rsidRDefault="009A4DF8" w:rsidP="00F679D8">
      <w:pPr>
        <w:pStyle w:val="Titre4"/>
        <w:numPr>
          <w:ilvl w:val="0"/>
          <w:numId w:val="136"/>
        </w:numPr>
        <w:spacing w:line="276" w:lineRule="auto"/>
        <w:ind w:left="1701"/>
      </w:pPr>
      <w:bookmarkStart w:id="54" w:name="_Toc492972164"/>
      <w:r w:rsidRPr="001B4E2D">
        <w:lastRenderedPageBreak/>
        <w:t>La balance commerciale.</w:t>
      </w:r>
      <w:bookmarkEnd w:id="54"/>
    </w:p>
    <w:p w:rsidR="009A4DF8" w:rsidRPr="00CC49EE" w:rsidRDefault="009A4DF8" w:rsidP="00F679D8">
      <w:pPr>
        <w:spacing w:after="120"/>
        <w:jc w:val="both"/>
        <w:rPr>
          <w:rFonts w:ascii="Arial" w:hAnsi="Arial" w:cs="Arial"/>
        </w:rPr>
      </w:pPr>
      <w:r w:rsidRPr="00CC49EE">
        <w:rPr>
          <w:rFonts w:ascii="Arial" w:hAnsi="Arial" w:cs="Arial"/>
        </w:rPr>
        <w:t xml:space="preserve">La balance commerciale a dégagé un solde déficitaire de 109,3 milliards de FCFA en 2016 contre un déficit de 142,7 milliards de FCFA en 2015, en raison d'un accroissement en valeur des exportations plus important que celui des importations. </w:t>
      </w:r>
    </w:p>
    <w:p w:rsidR="009A4DF8" w:rsidRPr="00CC49EE" w:rsidRDefault="009A4DF8" w:rsidP="00F679D8">
      <w:pPr>
        <w:tabs>
          <w:tab w:val="left" w:pos="0"/>
        </w:tabs>
        <w:spacing w:after="120"/>
        <w:jc w:val="both"/>
        <w:rPr>
          <w:rFonts w:ascii="Arial" w:hAnsi="Arial" w:cs="Arial"/>
        </w:rPr>
      </w:pPr>
      <w:r w:rsidRPr="00CC49EE">
        <w:rPr>
          <w:rFonts w:ascii="Arial" w:hAnsi="Arial" w:cs="Arial"/>
          <w:b/>
        </w:rPr>
        <w:t>Les exportations</w:t>
      </w:r>
      <w:r w:rsidRPr="00CC49EE">
        <w:rPr>
          <w:rFonts w:ascii="Arial" w:hAnsi="Arial" w:cs="Arial"/>
        </w:rPr>
        <w:t xml:space="preserve"> ont atteint 1 537,1 milliards de FCFA en 2016, en hausse de 10,0% sur un an, principalement du fait de la progression des exportations d'or non monétaire, les ventes à l'international de coton fibre se réduisant en dépit de la hausse de 7,6% du prix moyen. En effet, sur la base des données provisoires des trois (03) sociétés cotonnières, la quantité de coton fibre exportée s'est chiffrée à 239 214 tonnes. Cette quantité, valorisée au cours moyen de 828 016 FCFA/tonne, a procuré des recettes d’exportation de 198,1 milliards de FCFA en 2016, contre 213,4 milliards de FCFA une année auparavant. S'agissant des ventes d'or non monétaire à l'étranger, les recettes y relatives se sont élevées à 1 004,0 milliards de FCFA en 2016 contre 875,8 milliards de FCFA en 2015, soit une hausse de 14,6%, à la faveur de la progression tant des cours mondiaux que des quantités.</w:t>
      </w:r>
    </w:p>
    <w:p w:rsidR="009A4DF8" w:rsidRPr="00CC49EE" w:rsidRDefault="009A4DF8" w:rsidP="00F679D8">
      <w:pPr>
        <w:tabs>
          <w:tab w:val="left" w:pos="0"/>
        </w:tabs>
        <w:spacing w:after="120"/>
        <w:jc w:val="both"/>
        <w:rPr>
          <w:rFonts w:ascii="Arial" w:hAnsi="Arial" w:cs="Arial"/>
        </w:rPr>
      </w:pPr>
      <w:r w:rsidRPr="00CC49EE">
        <w:rPr>
          <w:rFonts w:ascii="Arial" w:hAnsi="Arial" w:cs="Arial"/>
          <w:b/>
        </w:rPr>
        <w:t>Les importations</w:t>
      </w:r>
      <w:r w:rsidRPr="00CC49EE">
        <w:rPr>
          <w:rFonts w:ascii="Arial" w:hAnsi="Arial" w:cs="Arial"/>
        </w:rPr>
        <w:t xml:space="preserve"> ont augmenté de 6,9% en 2016, passant de 1540,4 milliards de F CFA en 2015 à 1 646,4 milliards de FCFA en 2016. Cet accroissement a été principalement porté, d’une part, par les biens d'équipement (+77,6 milliards de FCFA), les biens intermédiaires (+57,4 milliards de FCFA) à la faveur notamment de la construction de nouvelles mines d'or et, d’autre part, par les produits alimentaires (+9,6 milliards de FCFA), en raison de la baisse de la production céréalière de la campagne agricole 2015/2016. </w:t>
      </w:r>
    </w:p>
    <w:p w:rsidR="009A4DF8" w:rsidRPr="001B4E2D" w:rsidRDefault="009A4DF8" w:rsidP="00F679D8">
      <w:pPr>
        <w:pStyle w:val="Titre4"/>
        <w:numPr>
          <w:ilvl w:val="0"/>
          <w:numId w:val="136"/>
        </w:numPr>
        <w:spacing w:line="276" w:lineRule="auto"/>
        <w:ind w:left="1701"/>
      </w:pPr>
      <w:bookmarkStart w:id="55" w:name="_Toc492972165"/>
      <w:r w:rsidRPr="001B4E2D">
        <w:t>La situation monétaire</w:t>
      </w:r>
      <w:bookmarkEnd w:id="55"/>
    </w:p>
    <w:p w:rsidR="009A4DF8" w:rsidRPr="00CC49EE" w:rsidRDefault="009A4DF8" w:rsidP="00F679D8">
      <w:pPr>
        <w:tabs>
          <w:tab w:val="left" w:pos="0"/>
        </w:tabs>
        <w:spacing w:after="120"/>
        <w:jc w:val="both"/>
        <w:rPr>
          <w:rFonts w:ascii="Arial" w:hAnsi="Arial" w:cs="Arial"/>
        </w:rPr>
      </w:pPr>
      <w:bookmarkStart w:id="56" w:name="_Toc287033826"/>
      <w:bookmarkStart w:id="57" w:name="_Toc287034345"/>
      <w:bookmarkStart w:id="58" w:name="_Toc318419231"/>
      <w:bookmarkStart w:id="59" w:name="_Toc318545476"/>
      <w:bookmarkStart w:id="60" w:name="_Toc318545810"/>
      <w:bookmarkStart w:id="61" w:name="_Toc318545871"/>
      <w:bookmarkStart w:id="62" w:name="_Toc318547463"/>
      <w:bookmarkStart w:id="63" w:name="_Toc440459501"/>
      <w:r w:rsidRPr="00CC49EE">
        <w:rPr>
          <w:rFonts w:ascii="Arial" w:hAnsi="Arial" w:cs="Arial"/>
        </w:rPr>
        <w:t>L'évolution de la situation monétaire du Burkina Faso a été marquée, entre fin décembre 2015 et fin décembre 2016, par une hausse des Avoirs extérieurs nets (AEN) de 294,3 milliards de FCFA (+45,1%) et du crédit intérieur de 34,8 milliards de FCFA (+1,7%), conduisant à un accroissement de la masse monétaire de 302,8 milliards de FCFA (+11,8%).</w:t>
      </w:r>
    </w:p>
    <w:bookmarkEnd w:id="56"/>
    <w:bookmarkEnd w:id="57"/>
    <w:bookmarkEnd w:id="58"/>
    <w:bookmarkEnd w:id="59"/>
    <w:bookmarkEnd w:id="60"/>
    <w:bookmarkEnd w:id="61"/>
    <w:bookmarkEnd w:id="62"/>
    <w:bookmarkEnd w:id="63"/>
    <w:p w:rsidR="009A4DF8" w:rsidRPr="00CC49EE" w:rsidRDefault="009A4DF8" w:rsidP="00F679D8">
      <w:pPr>
        <w:tabs>
          <w:tab w:val="left" w:pos="0"/>
        </w:tabs>
        <w:spacing w:after="120"/>
        <w:jc w:val="both"/>
        <w:rPr>
          <w:rFonts w:ascii="Arial" w:hAnsi="Arial" w:cs="Arial"/>
        </w:rPr>
      </w:pPr>
      <w:r w:rsidRPr="00CC49EE">
        <w:rPr>
          <w:rFonts w:ascii="Arial" w:hAnsi="Arial" w:cs="Arial"/>
          <w:b/>
        </w:rPr>
        <w:t>Les Avoirs Extérieurs Nets</w:t>
      </w:r>
      <w:r>
        <w:rPr>
          <w:rFonts w:ascii="Arial" w:hAnsi="Arial" w:cs="Arial"/>
          <w:b/>
        </w:rPr>
        <w:t xml:space="preserve"> </w:t>
      </w:r>
      <w:r w:rsidRPr="00CC49EE">
        <w:rPr>
          <w:rFonts w:ascii="Arial" w:hAnsi="Arial" w:cs="Arial"/>
          <w:b/>
        </w:rPr>
        <w:t>(AEN)</w:t>
      </w:r>
      <w:r>
        <w:rPr>
          <w:rFonts w:ascii="Arial" w:hAnsi="Arial" w:cs="Arial"/>
          <w:b/>
        </w:rPr>
        <w:t xml:space="preserve"> </w:t>
      </w:r>
      <w:r w:rsidRPr="00CC49EE">
        <w:rPr>
          <w:rFonts w:ascii="Arial" w:hAnsi="Arial" w:cs="Arial"/>
        </w:rPr>
        <w:t xml:space="preserve">des Institutions monétaires sont ressortis à 946,2 milliards de FCFA à fin décembre 2016, augmentant ainsi de 45,1% par rapport à fin décembre 2015. Cette progression est exclusivement attribuable aux banques, dont les AEN se sont accrus de 305,9 milliards de FCFA, ceux de la Banque Centrale s'étant par contre détériorés de 11,6 milliards de FCFA au cours de la même période. </w:t>
      </w:r>
    </w:p>
    <w:p w:rsidR="009A4DF8" w:rsidRPr="00CC49EE" w:rsidRDefault="009A4DF8" w:rsidP="00F679D8">
      <w:pPr>
        <w:tabs>
          <w:tab w:val="left" w:pos="0"/>
        </w:tabs>
        <w:spacing w:after="120"/>
        <w:jc w:val="both"/>
        <w:rPr>
          <w:rFonts w:ascii="Arial" w:hAnsi="Arial" w:cs="Arial"/>
        </w:rPr>
      </w:pPr>
      <w:r w:rsidRPr="00CC49EE">
        <w:rPr>
          <w:rFonts w:ascii="Arial" w:hAnsi="Arial" w:cs="Arial"/>
        </w:rPr>
        <w:t>La hausse des AEN des banques résulte d'un accroissement de leurs créances brutes sur les non-résidents (+429,7 milliards de FCFA, dont 257,3 milliards de FCFA de souscription aux titres des autres Etats de l'UEMOA) plus important que celui de leurs engagements extérieurs à court terme (+123,8 milliards de FCFA). Quant à la contraction des AEN de l'Institut d'émission, elle s'explique par une hausse des engagements extérieurs (+21,5 milliards de FCFA) plus prononcée que celle de ses avoirs extérieurs (+9,9 milliards de FCFA) au cours de la période sous revue.</w:t>
      </w:r>
    </w:p>
    <w:p w:rsidR="009A4DF8" w:rsidRPr="00CC49EE" w:rsidRDefault="009A4DF8" w:rsidP="00F679D8">
      <w:pPr>
        <w:spacing w:after="120"/>
        <w:jc w:val="both"/>
        <w:rPr>
          <w:rFonts w:ascii="Arial" w:hAnsi="Arial" w:cs="Arial"/>
        </w:rPr>
      </w:pPr>
      <w:bookmarkStart w:id="64" w:name="_Toc287033828"/>
      <w:bookmarkStart w:id="65" w:name="_Toc287034347"/>
      <w:bookmarkStart w:id="66" w:name="_Toc318419233"/>
      <w:bookmarkStart w:id="67" w:name="_Toc318545478"/>
      <w:bookmarkStart w:id="68" w:name="_Toc318545812"/>
      <w:bookmarkStart w:id="69" w:name="_Toc318545873"/>
      <w:bookmarkStart w:id="70" w:name="_Toc318547465"/>
      <w:bookmarkStart w:id="71" w:name="_Toc440459503"/>
      <w:r w:rsidRPr="00CC49EE">
        <w:rPr>
          <w:rFonts w:ascii="Arial" w:hAnsi="Arial" w:cs="Arial"/>
          <w:b/>
        </w:rPr>
        <w:t>S’agissant du crédit intérieur</w:t>
      </w:r>
      <w:r w:rsidRPr="00CC49EE">
        <w:rPr>
          <w:rFonts w:ascii="Arial" w:hAnsi="Arial" w:cs="Arial"/>
        </w:rPr>
        <w:t>, il s'est établi à 2 113,4 milliards de FCFA à fin décembre 2016 contre 2 078,6 milliards de FCFA à fin décembre 2015, en progression de 1,7%. L'accroissement observé est imputable à l'augmentation des crédits à l'économie de 142,3 milliards de FCFA, la Position Nette du Gouvernement (PNG) s'étant améliorée de 107,5 milliards de FCFA.</w:t>
      </w:r>
    </w:p>
    <w:bookmarkEnd w:id="64"/>
    <w:bookmarkEnd w:id="65"/>
    <w:bookmarkEnd w:id="66"/>
    <w:bookmarkEnd w:id="67"/>
    <w:bookmarkEnd w:id="68"/>
    <w:bookmarkEnd w:id="69"/>
    <w:bookmarkEnd w:id="70"/>
    <w:bookmarkEnd w:id="71"/>
    <w:p w:rsidR="009A4DF8" w:rsidRPr="00CC49EE" w:rsidRDefault="009A4DF8" w:rsidP="00F679D8">
      <w:pPr>
        <w:spacing w:after="120"/>
        <w:jc w:val="both"/>
        <w:rPr>
          <w:rFonts w:ascii="Arial" w:hAnsi="Arial" w:cs="Arial"/>
        </w:rPr>
      </w:pPr>
      <w:r w:rsidRPr="00CC49EE">
        <w:rPr>
          <w:rFonts w:ascii="Arial" w:hAnsi="Arial" w:cs="Arial"/>
          <w:b/>
        </w:rPr>
        <w:t>Quant à la masse monétaire</w:t>
      </w:r>
      <w:r w:rsidRPr="00CC49EE">
        <w:rPr>
          <w:rFonts w:ascii="Arial" w:hAnsi="Arial" w:cs="Arial"/>
        </w:rPr>
        <w:t>, suivant l’évolution de ses contreparties, elle est ressortie à 2 868,3 milliards de FCFA à fin décembre 2016, augmentant ainsi de 302,8 milliards de FCFA (+11,8%) sur un an. Cet accroissement se retrouve exclusivement dans les dépôts (+321,3 milliards de FCFA, soit +14,2%), la circulation fiduciaire ayant connu par contre une décélération de 18,5 milliards de FCFA (-6,2%).</w:t>
      </w:r>
    </w:p>
    <w:p w:rsidR="009A4DF8" w:rsidRPr="001B4E2D" w:rsidRDefault="009A4DF8" w:rsidP="00F679D8">
      <w:pPr>
        <w:pStyle w:val="Titre4"/>
        <w:numPr>
          <w:ilvl w:val="0"/>
          <w:numId w:val="136"/>
        </w:numPr>
        <w:spacing w:line="276" w:lineRule="auto"/>
        <w:ind w:left="1701"/>
      </w:pPr>
      <w:bookmarkStart w:id="72" w:name="_Toc492972166"/>
      <w:r w:rsidRPr="001B4E2D">
        <w:lastRenderedPageBreak/>
        <w:t>L’état de la convergence</w:t>
      </w:r>
      <w:bookmarkEnd w:id="72"/>
    </w:p>
    <w:p w:rsidR="009A4DF8" w:rsidRPr="00CC49EE" w:rsidRDefault="009A4DF8" w:rsidP="00F679D8">
      <w:pPr>
        <w:spacing w:after="120"/>
        <w:jc w:val="both"/>
        <w:rPr>
          <w:rFonts w:ascii="Arial" w:hAnsi="Arial" w:cs="Arial"/>
        </w:rPr>
      </w:pPr>
      <w:bookmarkStart w:id="73" w:name="_Toc300071693"/>
      <w:bookmarkStart w:id="74" w:name="_Toc300212614"/>
      <w:bookmarkStart w:id="75" w:name="_Toc300897163"/>
      <w:bookmarkStart w:id="76" w:name="_Toc310407771"/>
      <w:bookmarkStart w:id="77" w:name="_Toc319003138"/>
      <w:bookmarkStart w:id="78" w:name="_Toc321994521"/>
      <w:bookmarkStart w:id="79" w:name="_Toc349913223"/>
      <w:r w:rsidRPr="00CC49EE">
        <w:rPr>
          <w:rFonts w:ascii="Arial" w:hAnsi="Arial" w:cs="Arial"/>
        </w:rPr>
        <w:t xml:space="preserve">De l’estimation de l’activité économique pour l’année 2016, il ressort que le Burkina Faso a respecté deux (02) critères de premier rang et ne respecte aucun critère de second rang. </w:t>
      </w:r>
    </w:p>
    <w:p w:rsidR="009A4DF8" w:rsidRPr="00CC49EE" w:rsidRDefault="009A4DF8" w:rsidP="00F679D8">
      <w:pPr>
        <w:spacing w:after="120"/>
        <w:jc w:val="both"/>
        <w:rPr>
          <w:rFonts w:ascii="Arial" w:hAnsi="Arial" w:cs="Arial"/>
        </w:rPr>
      </w:pPr>
      <w:r w:rsidRPr="00CC49EE">
        <w:rPr>
          <w:rFonts w:ascii="Arial" w:hAnsi="Arial" w:cs="Arial"/>
        </w:rPr>
        <w:t>Le profil des critères de convergence se présente comme suit :</w:t>
      </w:r>
    </w:p>
    <w:p w:rsidR="009A4DF8" w:rsidRPr="00172AFA" w:rsidRDefault="009A4DF8" w:rsidP="00F679D8">
      <w:pPr>
        <w:pStyle w:val="Paragraphedeliste"/>
        <w:numPr>
          <w:ilvl w:val="0"/>
          <w:numId w:val="67"/>
        </w:numPr>
        <w:spacing w:after="120"/>
        <w:jc w:val="both"/>
        <w:rPr>
          <w:rFonts w:ascii="Arial" w:hAnsi="Arial" w:cs="Arial"/>
          <w:b/>
        </w:rPr>
      </w:pPr>
      <w:r w:rsidRPr="00172AFA">
        <w:rPr>
          <w:rFonts w:ascii="Arial" w:hAnsi="Arial" w:cs="Arial"/>
          <w:b/>
        </w:rPr>
        <w:t>Critères de premier rang</w:t>
      </w:r>
    </w:p>
    <w:p w:rsidR="009A4DF8" w:rsidRPr="00CC49EE" w:rsidRDefault="009A4DF8" w:rsidP="00F679D8">
      <w:pPr>
        <w:numPr>
          <w:ilvl w:val="0"/>
          <w:numId w:val="66"/>
        </w:numPr>
        <w:autoSpaceDE w:val="0"/>
        <w:autoSpaceDN w:val="0"/>
        <w:adjustRightInd w:val="0"/>
        <w:spacing w:after="120"/>
        <w:ind w:left="924" w:hanging="357"/>
        <w:contextualSpacing/>
        <w:jc w:val="both"/>
        <w:rPr>
          <w:rFonts w:ascii="Arial" w:hAnsi="Arial" w:cs="Arial"/>
          <w:bCs/>
        </w:rPr>
      </w:pPr>
      <w:r w:rsidRPr="00CC49EE">
        <w:rPr>
          <w:rFonts w:ascii="Arial" w:hAnsi="Arial" w:cs="Arial"/>
          <w:b/>
          <w:bCs/>
        </w:rPr>
        <w:t xml:space="preserve">Ratio du solde budgétaire global, dons compris, rapporté au PIB nominal (norme ≥ -3%) </w:t>
      </w:r>
      <w:r w:rsidRPr="00CC49EE">
        <w:rPr>
          <w:rFonts w:ascii="Arial" w:hAnsi="Arial" w:cs="Arial"/>
          <w:bCs/>
        </w:rPr>
        <w:t>: il est ressorti à -3,1% en 2016 contre -2,0% en 2015. Ce critère n’est pas en conformité avec la norme communautaire ;</w:t>
      </w:r>
    </w:p>
    <w:p w:rsidR="009A4DF8" w:rsidRPr="00CC49EE" w:rsidRDefault="009A4DF8" w:rsidP="00F679D8">
      <w:pPr>
        <w:numPr>
          <w:ilvl w:val="0"/>
          <w:numId w:val="66"/>
        </w:numPr>
        <w:autoSpaceDE w:val="0"/>
        <w:autoSpaceDN w:val="0"/>
        <w:adjustRightInd w:val="0"/>
        <w:spacing w:after="120"/>
        <w:ind w:left="924" w:hanging="357"/>
        <w:contextualSpacing/>
        <w:jc w:val="both"/>
        <w:rPr>
          <w:rFonts w:ascii="Arial" w:hAnsi="Arial" w:cs="Arial"/>
        </w:rPr>
      </w:pPr>
      <w:r w:rsidRPr="00CC49EE">
        <w:rPr>
          <w:rFonts w:ascii="Arial" w:hAnsi="Arial" w:cs="Arial"/>
          <w:b/>
          <w:bCs/>
        </w:rPr>
        <w:t xml:space="preserve">le taux d’inflation annuel moyen (norme ≤3%) : </w:t>
      </w:r>
      <w:r w:rsidRPr="00CC49EE">
        <w:rPr>
          <w:rFonts w:ascii="Arial" w:hAnsi="Arial" w:cs="Arial"/>
        </w:rPr>
        <w:t>contenu</w:t>
      </w:r>
      <w:r>
        <w:rPr>
          <w:rFonts w:ascii="Arial" w:hAnsi="Arial" w:cs="Arial"/>
        </w:rPr>
        <w:t xml:space="preserve"> </w:t>
      </w:r>
      <w:r w:rsidRPr="00CC49EE">
        <w:rPr>
          <w:rFonts w:ascii="Arial" w:hAnsi="Arial" w:cs="Arial"/>
        </w:rPr>
        <w:t xml:space="preserve">dans la norme communautaire, il </w:t>
      </w:r>
      <w:r w:rsidRPr="00CC49EE">
        <w:rPr>
          <w:rFonts w:ascii="Arial" w:hAnsi="Arial" w:cs="Arial"/>
          <w:bCs/>
        </w:rPr>
        <w:t xml:space="preserve">s’est situé à -0,2% en 2016 contre 0,9% en 2015 </w:t>
      </w:r>
      <w:r w:rsidRPr="00CC49EE">
        <w:rPr>
          <w:rFonts w:ascii="Arial" w:hAnsi="Arial" w:cs="Arial"/>
        </w:rPr>
        <w:t>;</w:t>
      </w:r>
    </w:p>
    <w:p w:rsidR="00D76F44" w:rsidRPr="00A60D96" w:rsidRDefault="009A4DF8" w:rsidP="00F679D8">
      <w:pPr>
        <w:numPr>
          <w:ilvl w:val="0"/>
          <w:numId w:val="66"/>
        </w:numPr>
        <w:autoSpaceDE w:val="0"/>
        <w:autoSpaceDN w:val="0"/>
        <w:adjustRightInd w:val="0"/>
        <w:spacing w:after="120"/>
        <w:ind w:left="924" w:hanging="357"/>
        <w:jc w:val="both"/>
        <w:rPr>
          <w:rFonts w:ascii="Arial" w:hAnsi="Arial" w:cs="Arial"/>
        </w:rPr>
      </w:pPr>
      <w:r w:rsidRPr="00CC49EE">
        <w:rPr>
          <w:rFonts w:ascii="Arial" w:hAnsi="Arial" w:cs="Arial"/>
          <w:b/>
          <w:bCs/>
        </w:rPr>
        <w:t>le ratio de l'encours de la dette intérieure et extérieure rapporté au PIB nominal (norme ≤ 70%) </w:t>
      </w:r>
      <w:r w:rsidRPr="00CC49EE">
        <w:rPr>
          <w:rFonts w:ascii="Arial" w:hAnsi="Arial" w:cs="Arial"/>
        </w:rPr>
        <w:t xml:space="preserve">: il est ressorti à </w:t>
      </w:r>
      <w:r w:rsidRPr="00CC49EE">
        <w:rPr>
          <w:rFonts w:ascii="Arial" w:hAnsi="Arial" w:cs="Arial"/>
          <w:bCs/>
        </w:rPr>
        <w:t>34,8</w:t>
      </w:r>
      <w:r w:rsidRPr="00CC49EE">
        <w:rPr>
          <w:rFonts w:ascii="Arial" w:hAnsi="Arial" w:cs="Arial"/>
        </w:rPr>
        <w:t>%</w:t>
      </w:r>
      <w:r w:rsidRPr="00CC49EE">
        <w:rPr>
          <w:rStyle w:val="Appelnotedebasdep"/>
          <w:rFonts w:cs="Arial"/>
        </w:rPr>
        <w:footnoteReference w:id="1"/>
      </w:r>
      <w:r w:rsidRPr="00CC49EE">
        <w:rPr>
          <w:rFonts w:ascii="Arial" w:hAnsi="Arial" w:cs="Arial"/>
        </w:rPr>
        <w:t xml:space="preserve"> en 2016 contre 33,2% en 2015, </w:t>
      </w:r>
      <w:r w:rsidRPr="00CC49EE">
        <w:rPr>
          <w:rFonts w:ascii="Arial" w:hAnsi="Arial" w:cs="Arial"/>
          <w:bCs/>
        </w:rPr>
        <w:t>en conformité avec la norme communautaire.</w:t>
      </w:r>
    </w:p>
    <w:p w:rsidR="009A4DF8" w:rsidRPr="00172AFA" w:rsidRDefault="009A4DF8" w:rsidP="00F679D8">
      <w:pPr>
        <w:pStyle w:val="Paragraphedeliste"/>
        <w:numPr>
          <w:ilvl w:val="0"/>
          <w:numId w:val="68"/>
        </w:numPr>
        <w:spacing w:after="120"/>
        <w:jc w:val="both"/>
        <w:rPr>
          <w:rFonts w:ascii="Arial" w:hAnsi="Arial" w:cs="Arial"/>
          <w:b/>
        </w:rPr>
      </w:pPr>
      <w:r w:rsidRPr="00172AFA">
        <w:rPr>
          <w:rFonts w:ascii="Arial" w:hAnsi="Arial" w:cs="Arial"/>
          <w:b/>
        </w:rPr>
        <w:t>Critères de second rang</w:t>
      </w:r>
    </w:p>
    <w:p w:rsidR="009A4DF8" w:rsidRPr="00CC49EE" w:rsidRDefault="009A4DF8" w:rsidP="00F679D8">
      <w:pPr>
        <w:numPr>
          <w:ilvl w:val="0"/>
          <w:numId w:val="69"/>
        </w:numPr>
        <w:autoSpaceDE w:val="0"/>
        <w:autoSpaceDN w:val="0"/>
        <w:adjustRightInd w:val="0"/>
        <w:spacing w:after="120"/>
        <w:ind w:left="924" w:hanging="357"/>
        <w:contextualSpacing/>
        <w:jc w:val="both"/>
        <w:rPr>
          <w:rFonts w:ascii="Arial" w:hAnsi="Arial" w:cs="Arial"/>
          <w:bCs/>
        </w:rPr>
      </w:pPr>
      <w:r w:rsidRPr="00CC49EE">
        <w:rPr>
          <w:rFonts w:ascii="Arial" w:hAnsi="Arial" w:cs="Arial"/>
          <w:b/>
          <w:bCs/>
        </w:rPr>
        <w:t xml:space="preserve">le ratio de la masse salariale sur recettes fiscales (norme ≤ 35%) : </w:t>
      </w:r>
      <w:r w:rsidRPr="00CC49EE">
        <w:rPr>
          <w:rFonts w:ascii="Arial" w:hAnsi="Arial" w:cs="Arial"/>
          <w:bCs/>
        </w:rPr>
        <w:t>il s’est établi à 51,6% en 2016 contre 50,4% en 2015</w:t>
      </w:r>
      <w:r w:rsidRPr="00CC49EE">
        <w:rPr>
          <w:rFonts w:ascii="Arial" w:hAnsi="Arial" w:cs="Arial"/>
          <w:b/>
          <w:bCs/>
        </w:rPr>
        <w:t>.</w:t>
      </w:r>
      <w:r w:rsidRPr="00CC49EE">
        <w:rPr>
          <w:rFonts w:ascii="Arial" w:hAnsi="Arial" w:cs="Arial"/>
          <w:bCs/>
        </w:rPr>
        <w:t>La norme communautaire de 35% maximum n’a pas été respectée en 2016 ;</w:t>
      </w:r>
    </w:p>
    <w:p w:rsidR="009A4DF8" w:rsidRPr="00CC49EE" w:rsidRDefault="009A4DF8" w:rsidP="00F679D8">
      <w:pPr>
        <w:numPr>
          <w:ilvl w:val="0"/>
          <w:numId w:val="69"/>
        </w:numPr>
        <w:autoSpaceDE w:val="0"/>
        <w:autoSpaceDN w:val="0"/>
        <w:adjustRightInd w:val="0"/>
        <w:spacing w:after="120"/>
        <w:ind w:left="924" w:hanging="357"/>
        <w:jc w:val="both"/>
        <w:rPr>
          <w:rFonts w:ascii="Arial" w:hAnsi="Arial" w:cs="Arial"/>
        </w:rPr>
      </w:pPr>
      <w:r w:rsidRPr="00CC49EE">
        <w:rPr>
          <w:rFonts w:ascii="Arial" w:hAnsi="Arial" w:cs="Arial"/>
          <w:b/>
          <w:bCs/>
        </w:rPr>
        <w:t>le taux de pression fiscale (norme ≥ 20%) </w:t>
      </w:r>
      <w:r w:rsidRPr="00CC49EE">
        <w:rPr>
          <w:rFonts w:ascii="Arial" w:hAnsi="Arial" w:cs="Arial"/>
          <w:bCs/>
        </w:rPr>
        <w:t>: il s’est situé à 15,0% en 2016 contre 14,1% en 2015</w:t>
      </w:r>
      <w:r w:rsidRPr="00CC49EE">
        <w:rPr>
          <w:rFonts w:ascii="Arial" w:hAnsi="Arial" w:cs="Arial"/>
        </w:rPr>
        <w:t>, ne respectant pas la norme communautaire.</w:t>
      </w:r>
    </w:p>
    <w:p w:rsidR="009A4DF8" w:rsidRPr="00F801C6" w:rsidRDefault="00F801C6" w:rsidP="00F801C6">
      <w:pPr>
        <w:pStyle w:val="Lgende"/>
        <w:rPr>
          <w:color w:val="auto"/>
          <w:u w:val="none"/>
        </w:rPr>
      </w:pPr>
      <w:bookmarkStart w:id="80" w:name="_Toc492895470"/>
      <w:bookmarkEnd w:id="73"/>
      <w:bookmarkEnd w:id="74"/>
      <w:bookmarkEnd w:id="75"/>
      <w:bookmarkEnd w:id="76"/>
      <w:bookmarkEnd w:id="77"/>
      <w:bookmarkEnd w:id="78"/>
      <w:bookmarkEnd w:id="79"/>
      <w:r w:rsidRPr="00F801C6">
        <w:rPr>
          <w:color w:val="auto"/>
        </w:rPr>
        <w:t xml:space="preserve">Tableau </w:t>
      </w:r>
      <w:r w:rsidRPr="00F801C6">
        <w:rPr>
          <w:color w:val="auto"/>
        </w:rPr>
        <w:fldChar w:fldCharType="begin"/>
      </w:r>
      <w:r w:rsidRPr="00F801C6">
        <w:rPr>
          <w:color w:val="auto"/>
        </w:rPr>
        <w:instrText xml:space="preserve"> SEQ Tableau \* ARABIC </w:instrText>
      </w:r>
      <w:r w:rsidRPr="00F801C6">
        <w:rPr>
          <w:color w:val="auto"/>
        </w:rPr>
        <w:fldChar w:fldCharType="separate"/>
      </w:r>
      <w:r w:rsidR="009A1402">
        <w:rPr>
          <w:noProof/>
          <w:color w:val="auto"/>
        </w:rPr>
        <w:t>2</w:t>
      </w:r>
      <w:r w:rsidRPr="00F801C6">
        <w:rPr>
          <w:color w:val="auto"/>
        </w:rPr>
        <w:fldChar w:fldCharType="end"/>
      </w:r>
      <w:r w:rsidR="009A4DF8" w:rsidRPr="00F801C6">
        <w:rPr>
          <w:color w:val="auto"/>
        </w:rPr>
        <w:t> :</w:t>
      </w:r>
      <w:r w:rsidR="009A4DF8" w:rsidRPr="00F801C6">
        <w:rPr>
          <w:color w:val="auto"/>
          <w:u w:val="none"/>
        </w:rPr>
        <w:t xml:space="preserve"> Evolution des critères de convergence</w:t>
      </w:r>
      <w:bookmarkEnd w:id="80"/>
    </w:p>
    <w:tbl>
      <w:tblPr>
        <w:tblW w:w="4896"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68"/>
        <w:gridCol w:w="930"/>
        <w:gridCol w:w="1066"/>
        <w:gridCol w:w="1066"/>
        <w:gridCol w:w="1066"/>
        <w:gridCol w:w="1435"/>
      </w:tblGrid>
      <w:tr w:rsidR="009A4DF8" w:rsidRPr="002B2A05" w:rsidTr="00F801C6">
        <w:trPr>
          <w:trHeight w:val="179"/>
          <w:tblHeader/>
        </w:trPr>
        <w:tc>
          <w:tcPr>
            <w:tcW w:w="2255" w:type="pct"/>
            <w:shd w:val="clear" w:color="auto" w:fill="auto"/>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Critères</w:t>
            </w:r>
          </w:p>
        </w:tc>
        <w:tc>
          <w:tcPr>
            <w:tcW w:w="459" w:type="pct"/>
            <w:shd w:val="clear" w:color="auto" w:fill="auto"/>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Normes</w:t>
            </w:r>
          </w:p>
        </w:tc>
        <w:tc>
          <w:tcPr>
            <w:tcW w:w="526" w:type="pct"/>
            <w:shd w:val="clear" w:color="auto" w:fill="auto"/>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Réal 2015</w:t>
            </w:r>
          </w:p>
        </w:tc>
        <w:tc>
          <w:tcPr>
            <w:tcW w:w="526" w:type="pct"/>
            <w:shd w:val="clear" w:color="auto" w:fill="auto"/>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Prév 2016</w:t>
            </w:r>
          </w:p>
        </w:tc>
        <w:tc>
          <w:tcPr>
            <w:tcW w:w="526" w:type="pct"/>
            <w:vAlign w:val="center"/>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Réal 2016</w:t>
            </w:r>
          </w:p>
        </w:tc>
        <w:tc>
          <w:tcPr>
            <w:tcW w:w="708" w:type="pct"/>
            <w:vAlign w:val="center"/>
          </w:tcPr>
          <w:p w:rsidR="009A4DF8" w:rsidRPr="002B2A05" w:rsidRDefault="009A4DF8" w:rsidP="009A4DF8">
            <w:pPr>
              <w:spacing w:after="0" w:line="240" w:lineRule="auto"/>
              <w:jc w:val="center"/>
              <w:rPr>
                <w:rFonts w:ascii="Arial" w:hAnsi="Arial" w:cs="Arial"/>
                <w:bCs/>
                <w:sz w:val="20"/>
                <w:szCs w:val="20"/>
              </w:rPr>
            </w:pPr>
            <w:r w:rsidRPr="002B2A05">
              <w:rPr>
                <w:rFonts w:ascii="Arial" w:hAnsi="Arial" w:cs="Arial"/>
                <w:bCs/>
                <w:sz w:val="20"/>
                <w:szCs w:val="20"/>
              </w:rPr>
              <w:t>Observation</w:t>
            </w:r>
          </w:p>
        </w:tc>
      </w:tr>
      <w:tr w:rsidR="009A4DF8" w:rsidRPr="002B2A05" w:rsidTr="00F801C6">
        <w:trPr>
          <w:gridAfter w:val="5"/>
          <w:wAfter w:w="2745" w:type="pct"/>
          <w:trHeight w:val="189"/>
          <w:tblHeader/>
        </w:trPr>
        <w:tc>
          <w:tcPr>
            <w:tcW w:w="2255" w:type="pct"/>
            <w:shd w:val="clear" w:color="auto" w:fill="BFBFBF" w:themeFill="background1" w:themeFillShade="BF"/>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Critères de premier rang</w:t>
            </w:r>
          </w:p>
        </w:tc>
      </w:tr>
      <w:tr w:rsidR="009A4DF8" w:rsidRPr="002B2A05" w:rsidTr="00F801C6">
        <w:trPr>
          <w:trHeight w:val="226"/>
          <w:tblHeader/>
        </w:trPr>
        <w:tc>
          <w:tcPr>
            <w:tcW w:w="2255" w:type="pct"/>
            <w:shd w:val="clear" w:color="auto" w:fill="auto"/>
            <w:noWrap/>
            <w:vAlign w:val="center"/>
            <w:hideMark/>
          </w:tcPr>
          <w:p w:rsidR="009A4DF8" w:rsidRPr="002B2A05" w:rsidRDefault="009A4DF8" w:rsidP="009A4DF8">
            <w:pPr>
              <w:spacing w:after="0" w:line="240" w:lineRule="auto"/>
              <w:rPr>
                <w:rFonts w:ascii="Arial" w:hAnsi="Arial" w:cs="Arial"/>
                <w:sz w:val="20"/>
                <w:szCs w:val="20"/>
              </w:rPr>
            </w:pPr>
            <w:r w:rsidRPr="002B2A05">
              <w:rPr>
                <w:rFonts w:ascii="Arial" w:hAnsi="Arial" w:cs="Arial"/>
                <w:sz w:val="20"/>
                <w:szCs w:val="20"/>
              </w:rPr>
              <w:t>Solde global base engagement, dons compris, sur le PIB nominal (%)</w:t>
            </w:r>
          </w:p>
        </w:tc>
        <w:tc>
          <w:tcPr>
            <w:tcW w:w="459" w:type="pct"/>
            <w:shd w:val="clear" w:color="auto" w:fill="auto"/>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 -3%</w:t>
            </w:r>
          </w:p>
        </w:tc>
        <w:tc>
          <w:tcPr>
            <w:tcW w:w="526" w:type="pct"/>
            <w:shd w:val="clear" w:color="auto" w:fill="auto"/>
            <w:noWrap/>
            <w:vAlign w:val="center"/>
            <w:hideMark/>
          </w:tcPr>
          <w:p w:rsidR="009A4DF8" w:rsidRPr="002B2A05" w:rsidRDefault="009A4DF8" w:rsidP="009A4DF8">
            <w:pPr>
              <w:spacing w:after="0" w:line="240" w:lineRule="auto"/>
              <w:jc w:val="center"/>
              <w:rPr>
                <w:rFonts w:ascii="Arial" w:hAnsi="Arial" w:cs="Arial"/>
                <w:sz w:val="20"/>
                <w:szCs w:val="20"/>
              </w:rPr>
            </w:pPr>
            <w:r w:rsidRPr="002B2A05">
              <w:rPr>
                <w:rFonts w:ascii="Arial" w:hAnsi="Arial" w:cs="Arial"/>
                <w:iCs/>
                <w:sz w:val="20"/>
                <w:szCs w:val="20"/>
              </w:rPr>
              <w:t>-2,0</w:t>
            </w:r>
          </w:p>
        </w:tc>
        <w:tc>
          <w:tcPr>
            <w:tcW w:w="526" w:type="pct"/>
            <w:shd w:val="clear" w:color="auto" w:fill="auto"/>
            <w:noWrap/>
            <w:vAlign w:val="center"/>
            <w:hideMark/>
          </w:tcPr>
          <w:p w:rsidR="009A4DF8" w:rsidRPr="002B2A05" w:rsidRDefault="009A4DF8" w:rsidP="009A4DF8">
            <w:pPr>
              <w:spacing w:after="0"/>
              <w:jc w:val="center"/>
              <w:rPr>
                <w:rFonts w:ascii="Arial" w:hAnsi="Arial" w:cs="Arial"/>
                <w:iCs/>
                <w:sz w:val="20"/>
                <w:szCs w:val="20"/>
              </w:rPr>
            </w:pPr>
            <w:r w:rsidRPr="002B2A05">
              <w:rPr>
                <w:rFonts w:ascii="Arial" w:hAnsi="Arial" w:cs="Arial"/>
                <w:iCs/>
                <w:sz w:val="20"/>
                <w:szCs w:val="20"/>
              </w:rPr>
              <w:t>-2,7</w:t>
            </w:r>
          </w:p>
        </w:tc>
        <w:tc>
          <w:tcPr>
            <w:tcW w:w="526" w:type="pct"/>
            <w:vAlign w:val="center"/>
          </w:tcPr>
          <w:p w:rsidR="009A4DF8" w:rsidRPr="002B2A05" w:rsidRDefault="009A4DF8" w:rsidP="009A4DF8">
            <w:pPr>
              <w:spacing w:after="0"/>
              <w:jc w:val="center"/>
              <w:rPr>
                <w:rFonts w:ascii="Arial" w:hAnsi="Arial" w:cs="Arial"/>
                <w:iCs/>
                <w:sz w:val="20"/>
                <w:szCs w:val="20"/>
              </w:rPr>
            </w:pPr>
            <w:r w:rsidRPr="002B2A05">
              <w:rPr>
                <w:rFonts w:ascii="Arial" w:hAnsi="Arial" w:cs="Arial"/>
                <w:iCs/>
                <w:sz w:val="20"/>
                <w:szCs w:val="20"/>
              </w:rPr>
              <w:t>-3,1</w:t>
            </w:r>
          </w:p>
        </w:tc>
        <w:tc>
          <w:tcPr>
            <w:tcW w:w="708" w:type="pct"/>
            <w:vAlign w:val="center"/>
          </w:tcPr>
          <w:p w:rsidR="009A4DF8" w:rsidRPr="002B2A05" w:rsidRDefault="009A4DF8" w:rsidP="009A4DF8">
            <w:pPr>
              <w:spacing w:after="0"/>
              <w:rPr>
                <w:rFonts w:ascii="Arial" w:hAnsi="Arial" w:cs="Arial"/>
                <w:iCs/>
                <w:sz w:val="20"/>
                <w:szCs w:val="20"/>
              </w:rPr>
            </w:pPr>
            <w:r w:rsidRPr="002B2A05">
              <w:rPr>
                <w:rFonts w:ascii="Arial" w:hAnsi="Arial" w:cs="Arial"/>
                <w:iCs/>
                <w:sz w:val="20"/>
                <w:szCs w:val="20"/>
              </w:rPr>
              <w:t>Non respecté</w:t>
            </w:r>
          </w:p>
        </w:tc>
      </w:tr>
      <w:tr w:rsidR="009A4DF8" w:rsidRPr="002B2A05" w:rsidTr="00F801C6">
        <w:trPr>
          <w:trHeight w:val="189"/>
          <w:tblHeader/>
        </w:trPr>
        <w:tc>
          <w:tcPr>
            <w:tcW w:w="2255" w:type="pct"/>
            <w:shd w:val="clear" w:color="auto" w:fill="auto"/>
            <w:noWrap/>
            <w:vAlign w:val="center"/>
            <w:hideMark/>
          </w:tcPr>
          <w:p w:rsidR="009A4DF8" w:rsidRPr="002B2A05" w:rsidRDefault="009A4DF8" w:rsidP="009A4DF8">
            <w:pPr>
              <w:spacing w:after="0" w:line="240" w:lineRule="auto"/>
              <w:rPr>
                <w:rFonts w:ascii="Arial" w:hAnsi="Arial" w:cs="Arial"/>
                <w:sz w:val="20"/>
                <w:szCs w:val="20"/>
              </w:rPr>
            </w:pPr>
            <w:r w:rsidRPr="002B2A05">
              <w:rPr>
                <w:rFonts w:ascii="Arial" w:hAnsi="Arial" w:cs="Arial"/>
                <w:sz w:val="20"/>
                <w:szCs w:val="20"/>
              </w:rPr>
              <w:t>Taux d'inflation annuel moyen (%)</w:t>
            </w:r>
          </w:p>
        </w:tc>
        <w:tc>
          <w:tcPr>
            <w:tcW w:w="459" w:type="pct"/>
            <w:shd w:val="clear" w:color="auto" w:fill="auto"/>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 3%</w:t>
            </w:r>
          </w:p>
        </w:tc>
        <w:tc>
          <w:tcPr>
            <w:tcW w:w="526" w:type="pct"/>
            <w:shd w:val="clear" w:color="auto" w:fill="auto"/>
            <w:noWrap/>
            <w:vAlign w:val="center"/>
            <w:hideMark/>
          </w:tcPr>
          <w:p w:rsidR="009A4DF8" w:rsidRPr="002B2A05" w:rsidRDefault="009A4DF8" w:rsidP="009A4DF8">
            <w:pPr>
              <w:spacing w:after="0" w:line="240" w:lineRule="auto"/>
              <w:jc w:val="center"/>
              <w:rPr>
                <w:rFonts w:ascii="Arial" w:hAnsi="Arial" w:cs="Arial"/>
                <w:sz w:val="20"/>
                <w:szCs w:val="20"/>
              </w:rPr>
            </w:pPr>
            <w:r w:rsidRPr="002B2A05">
              <w:rPr>
                <w:rFonts w:ascii="Arial" w:hAnsi="Arial" w:cs="Arial"/>
                <w:sz w:val="20"/>
                <w:szCs w:val="20"/>
              </w:rPr>
              <w:t>0,9</w:t>
            </w:r>
          </w:p>
        </w:tc>
        <w:tc>
          <w:tcPr>
            <w:tcW w:w="526" w:type="pct"/>
            <w:shd w:val="clear" w:color="auto" w:fill="auto"/>
            <w:noWrap/>
            <w:vAlign w:val="center"/>
            <w:hideMark/>
          </w:tcPr>
          <w:p w:rsidR="009A4DF8" w:rsidRPr="002B2A05" w:rsidRDefault="009A4DF8" w:rsidP="009A4DF8">
            <w:pPr>
              <w:spacing w:after="0"/>
              <w:jc w:val="center"/>
              <w:rPr>
                <w:rFonts w:ascii="Arial" w:hAnsi="Arial" w:cs="Arial"/>
                <w:iCs/>
                <w:sz w:val="20"/>
                <w:szCs w:val="20"/>
              </w:rPr>
            </w:pPr>
            <w:r w:rsidRPr="002B2A05">
              <w:rPr>
                <w:rFonts w:ascii="Arial" w:hAnsi="Arial" w:cs="Arial"/>
                <w:iCs/>
                <w:sz w:val="20"/>
                <w:szCs w:val="20"/>
              </w:rPr>
              <w:t>1,9</w:t>
            </w:r>
          </w:p>
        </w:tc>
        <w:tc>
          <w:tcPr>
            <w:tcW w:w="526" w:type="pct"/>
            <w:vAlign w:val="center"/>
          </w:tcPr>
          <w:p w:rsidR="009A4DF8" w:rsidRPr="002B2A05" w:rsidRDefault="009A4DF8" w:rsidP="009A4DF8">
            <w:pPr>
              <w:spacing w:after="0" w:line="240" w:lineRule="auto"/>
              <w:jc w:val="center"/>
              <w:rPr>
                <w:rFonts w:ascii="Arial" w:hAnsi="Arial" w:cs="Arial"/>
                <w:iCs/>
                <w:sz w:val="20"/>
                <w:szCs w:val="20"/>
              </w:rPr>
            </w:pPr>
            <w:r w:rsidRPr="002B2A05">
              <w:rPr>
                <w:rFonts w:ascii="Arial" w:hAnsi="Arial" w:cs="Arial"/>
                <w:iCs/>
                <w:sz w:val="20"/>
                <w:szCs w:val="20"/>
              </w:rPr>
              <w:t>-0,2</w:t>
            </w:r>
          </w:p>
        </w:tc>
        <w:tc>
          <w:tcPr>
            <w:tcW w:w="708" w:type="pct"/>
            <w:vAlign w:val="center"/>
          </w:tcPr>
          <w:p w:rsidR="009A4DF8" w:rsidRPr="002B2A05" w:rsidRDefault="009A4DF8" w:rsidP="009A4DF8">
            <w:pPr>
              <w:spacing w:after="0"/>
              <w:rPr>
                <w:rFonts w:ascii="Arial" w:hAnsi="Arial" w:cs="Arial"/>
                <w:sz w:val="20"/>
                <w:szCs w:val="20"/>
              </w:rPr>
            </w:pPr>
            <w:r w:rsidRPr="002B2A05">
              <w:rPr>
                <w:rFonts w:ascii="Arial" w:hAnsi="Arial" w:cs="Arial"/>
                <w:iCs/>
                <w:sz w:val="20"/>
                <w:szCs w:val="20"/>
              </w:rPr>
              <w:t>Respecté</w:t>
            </w:r>
          </w:p>
        </w:tc>
      </w:tr>
      <w:tr w:rsidR="009A4DF8" w:rsidRPr="002B2A05" w:rsidTr="00F801C6">
        <w:trPr>
          <w:trHeight w:val="189"/>
          <w:tblHeader/>
        </w:trPr>
        <w:tc>
          <w:tcPr>
            <w:tcW w:w="2255" w:type="pct"/>
            <w:shd w:val="clear" w:color="auto" w:fill="auto"/>
            <w:noWrap/>
            <w:vAlign w:val="center"/>
            <w:hideMark/>
          </w:tcPr>
          <w:p w:rsidR="009A4DF8" w:rsidRPr="002B2A05" w:rsidRDefault="009A4DF8" w:rsidP="009A4DF8">
            <w:pPr>
              <w:spacing w:after="0" w:line="240" w:lineRule="auto"/>
              <w:rPr>
                <w:rFonts w:ascii="Arial" w:hAnsi="Arial" w:cs="Arial"/>
                <w:sz w:val="20"/>
                <w:szCs w:val="20"/>
              </w:rPr>
            </w:pPr>
            <w:r w:rsidRPr="002B2A05">
              <w:rPr>
                <w:rFonts w:ascii="Arial" w:hAnsi="Arial" w:cs="Arial"/>
                <w:sz w:val="20"/>
                <w:szCs w:val="20"/>
              </w:rPr>
              <w:t>Ratio de l'encours total de la dette sur PIB nominal (%)</w:t>
            </w:r>
          </w:p>
        </w:tc>
        <w:tc>
          <w:tcPr>
            <w:tcW w:w="459" w:type="pct"/>
            <w:shd w:val="clear" w:color="auto" w:fill="auto"/>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 70%</w:t>
            </w:r>
          </w:p>
        </w:tc>
        <w:tc>
          <w:tcPr>
            <w:tcW w:w="526" w:type="pct"/>
            <w:shd w:val="clear" w:color="auto" w:fill="auto"/>
            <w:noWrap/>
            <w:vAlign w:val="center"/>
            <w:hideMark/>
          </w:tcPr>
          <w:p w:rsidR="009A4DF8" w:rsidRPr="002B2A05" w:rsidRDefault="009A4DF8" w:rsidP="009A4DF8">
            <w:pPr>
              <w:spacing w:after="0" w:line="240" w:lineRule="auto"/>
              <w:jc w:val="center"/>
              <w:rPr>
                <w:rFonts w:ascii="Arial" w:hAnsi="Arial" w:cs="Arial"/>
                <w:iCs/>
                <w:sz w:val="20"/>
                <w:szCs w:val="20"/>
              </w:rPr>
            </w:pPr>
            <w:r w:rsidRPr="002B2A05">
              <w:rPr>
                <w:rFonts w:ascii="Arial" w:hAnsi="Arial" w:cs="Arial"/>
                <w:sz w:val="20"/>
                <w:szCs w:val="20"/>
              </w:rPr>
              <w:t>33,2</w:t>
            </w:r>
          </w:p>
        </w:tc>
        <w:tc>
          <w:tcPr>
            <w:tcW w:w="526" w:type="pct"/>
            <w:shd w:val="clear" w:color="auto" w:fill="auto"/>
            <w:noWrap/>
            <w:vAlign w:val="center"/>
            <w:hideMark/>
          </w:tcPr>
          <w:p w:rsidR="009A4DF8" w:rsidRPr="002B2A05" w:rsidRDefault="009A4DF8" w:rsidP="009A4DF8">
            <w:pPr>
              <w:spacing w:after="0"/>
              <w:jc w:val="center"/>
              <w:rPr>
                <w:rFonts w:ascii="Arial" w:hAnsi="Arial" w:cs="Arial"/>
                <w:iCs/>
                <w:sz w:val="20"/>
                <w:szCs w:val="20"/>
              </w:rPr>
            </w:pPr>
            <w:r w:rsidRPr="002B2A05">
              <w:rPr>
                <w:rFonts w:ascii="Arial" w:hAnsi="Arial" w:cs="Arial"/>
                <w:iCs/>
                <w:sz w:val="20"/>
                <w:szCs w:val="20"/>
              </w:rPr>
              <w:t>32,0</w:t>
            </w:r>
          </w:p>
        </w:tc>
        <w:tc>
          <w:tcPr>
            <w:tcW w:w="526" w:type="pct"/>
            <w:vAlign w:val="center"/>
          </w:tcPr>
          <w:p w:rsidR="009A4DF8" w:rsidRPr="002B2A05" w:rsidRDefault="009A4DF8" w:rsidP="009A4DF8">
            <w:pPr>
              <w:spacing w:after="0" w:line="240" w:lineRule="auto"/>
              <w:jc w:val="center"/>
              <w:rPr>
                <w:rFonts w:ascii="Arial" w:hAnsi="Arial" w:cs="Arial"/>
                <w:iCs/>
                <w:sz w:val="20"/>
                <w:szCs w:val="20"/>
              </w:rPr>
            </w:pPr>
            <w:r w:rsidRPr="002B2A05">
              <w:rPr>
                <w:rFonts w:ascii="Arial" w:hAnsi="Arial" w:cs="Arial"/>
                <w:iCs/>
                <w:sz w:val="20"/>
                <w:szCs w:val="20"/>
              </w:rPr>
              <w:t>34,8</w:t>
            </w:r>
          </w:p>
        </w:tc>
        <w:tc>
          <w:tcPr>
            <w:tcW w:w="708" w:type="pct"/>
            <w:vAlign w:val="center"/>
          </w:tcPr>
          <w:p w:rsidR="009A4DF8" w:rsidRPr="002B2A05" w:rsidRDefault="009A4DF8" w:rsidP="009A4DF8">
            <w:pPr>
              <w:spacing w:after="0"/>
              <w:rPr>
                <w:rFonts w:ascii="Arial" w:hAnsi="Arial" w:cs="Arial"/>
                <w:sz w:val="20"/>
                <w:szCs w:val="20"/>
              </w:rPr>
            </w:pPr>
            <w:r w:rsidRPr="002B2A05">
              <w:rPr>
                <w:rFonts w:ascii="Arial" w:hAnsi="Arial" w:cs="Arial"/>
                <w:iCs/>
                <w:sz w:val="20"/>
                <w:szCs w:val="20"/>
              </w:rPr>
              <w:t>Respecté</w:t>
            </w:r>
          </w:p>
        </w:tc>
      </w:tr>
      <w:tr w:rsidR="009A4DF8" w:rsidRPr="002B2A05" w:rsidTr="00F801C6">
        <w:trPr>
          <w:gridAfter w:val="5"/>
          <w:wAfter w:w="2745" w:type="pct"/>
          <w:trHeight w:val="198"/>
          <w:tblHeader/>
        </w:trPr>
        <w:tc>
          <w:tcPr>
            <w:tcW w:w="2255" w:type="pct"/>
            <w:shd w:val="clear" w:color="000000" w:fill="F2F2F2"/>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Critères de second rang</w:t>
            </w:r>
          </w:p>
        </w:tc>
      </w:tr>
      <w:tr w:rsidR="009A4DF8" w:rsidRPr="002B2A05" w:rsidTr="00F801C6">
        <w:trPr>
          <w:trHeight w:val="189"/>
          <w:tblHeader/>
        </w:trPr>
        <w:tc>
          <w:tcPr>
            <w:tcW w:w="2255" w:type="pct"/>
            <w:shd w:val="clear" w:color="auto" w:fill="auto"/>
            <w:noWrap/>
            <w:vAlign w:val="center"/>
            <w:hideMark/>
          </w:tcPr>
          <w:p w:rsidR="009A4DF8" w:rsidRPr="002B2A05" w:rsidRDefault="009A4DF8" w:rsidP="009A4DF8">
            <w:pPr>
              <w:spacing w:after="0" w:line="240" w:lineRule="auto"/>
              <w:rPr>
                <w:rFonts w:ascii="Arial" w:hAnsi="Arial" w:cs="Arial"/>
                <w:sz w:val="20"/>
                <w:szCs w:val="20"/>
              </w:rPr>
            </w:pPr>
            <w:r w:rsidRPr="002B2A05">
              <w:rPr>
                <w:rFonts w:ascii="Arial" w:hAnsi="Arial" w:cs="Arial"/>
                <w:sz w:val="20"/>
                <w:szCs w:val="20"/>
              </w:rPr>
              <w:t>Ratio masse salariale sur recettes fiscales (%)</w:t>
            </w:r>
          </w:p>
        </w:tc>
        <w:tc>
          <w:tcPr>
            <w:tcW w:w="459" w:type="pct"/>
            <w:shd w:val="clear" w:color="auto" w:fill="auto"/>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 35%</w:t>
            </w:r>
          </w:p>
        </w:tc>
        <w:tc>
          <w:tcPr>
            <w:tcW w:w="526" w:type="pct"/>
            <w:shd w:val="clear" w:color="auto" w:fill="auto"/>
            <w:noWrap/>
            <w:vAlign w:val="center"/>
            <w:hideMark/>
          </w:tcPr>
          <w:p w:rsidR="009A4DF8" w:rsidRPr="002B2A05" w:rsidRDefault="009A4DF8" w:rsidP="009A4DF8">
            <w:pPr>
              <w:spacing w:after="0" w:line="240" w:lineRule="auto"/>
              <w:jc w:val="center"/>
              <w:rPr>
                <w:rFonts w:ascii="Arial" w:hAnsi="Arial" w:cs="Arial"/>
                <w:sz w:val="20"/>
                <w:szCs w:val="20"/>
              </w:rPr>
            </w:pPr>
            <w:r w:rsidRPr="002B2A05">
              <w:rPr>
                <w:rFonts w:ascii="Arial" w:hAnsi="Arial" w:cs="Arial"/>
                <w:sz w:val="20"/>
                <w:szCs w:val="20"/>
              </w:rPr>
              <w:t>50,4</w:t>
            </w:r>
          </w:p>
        </w:tc>
        <w:tc>
          <w:tcPr>
            <w:tcW w:w="526" w:type="pct"/>
            <w:shd w:val="clear" w:color="auto" w:fill="auto"/>
            <w:noWrap/>
            <w:vAlign w:val="center"/>
            <w:hideMark/>
          </w:tcPr>
          <w:p w:rsidR="009A4DF8" w:rsidRPr="002B2A05" w:rsidRDefault="009A4DF8" w:rsidP="009A4DF8">
            <w:pPr>
              <w:spacing w:after="0"/>
              <w:jc w:val="center"/>
              <w:rPr>
                <w:rFonts w:ascii="Arial" w:hAnsi="Arial" w:cs="Arial"/>
                <w:iCs/>
                <w:sz w:val="20"/>
                <w:szCs w:val="20"/>
              </w:rPr>
            </w:pPr>
            <w:r w:rsidRPr="002B2A05">
              <w:rPr>
                <w:rFonts w:ascii="Arial" w:hAnsi="Arial" w:cs="Arial"/>
                <w:iCs/>
                <w:sz w:val="20"/>
                <w:szCs w:val="20"/>
              </w:rPr>
              <w:t>49,9</w:t>
            </w:r>
          </w:p>
        </w:tc>
        <w:tc>
          <w:tcPr>
            <w:tcW w:w="526" w:type="pct"/>
            <w:vAlign w:val="center"/>
          </w:tcPr>
          <w:p w:rsidR="009A4DF8" w:rsidRPr="002B2A05" w:rsidRDefault="009A4DF8" w:rsidP="009A4DF8">
            <w:pPr>
              <w:spacing w:after="0"/>
              <w:jc w:val="center"/>
              <w:rPr>
                <w:rFonts w:ascii="Arial" w:hAnsi="Arial" w:cs="Arial"/>
                <w:sz w:val="20"/>
                <w:szCs w:val="20"/>
              </w:rPr>
            </w:pPr>
            <w:r w:rsidRPr="002B2A05">
              <w:rPr>
                <w:rFonts w:ascii="Arial" w:hAnsi="Arial" w:cs="Arial"/>
                <w:sz w:val="20"/>
                <w:szCs w:val="20"/>
              </w:rPr>
              <w:t>51,6</w:t>
            </w:r>
          </w:p>
        </w:tc>
        <w:tc>
          <w:tcPr>
            <w:tcW w:w="708" w:type="pct"/>
          </w:tcPr>
          <w:p w:rsidR="009A4DF8" w:rsidRPr="002B2A05" w:rsidRDefault="009A4DF8" w:rsidP="009A4DF8">
            <w:pPr>
              <w:spacing w:after="0"/>
              <w:rPr>
                <w:rFonts w:ascii="Arial" w:hAnsi="Arial" w:cs="Arial"/>
                <w:sz w:val="20"/>
                <w:szCs w:val="20"/>
              </w:rPr>
            </w:pPr>
            <w:r w:rsidRPr="002B2A05">
              <w:rPr>
                <w:rFonts w:ascii="Arial" w:hAnsi="Arial" w:cs="Arial"/>
                <w:iCs/>
                <w:sz w:val="20"/>
                <w:szCs w:val="20"/>
              </w:rPr>
              <w:t>Non Respecté</w:t>
            </w:r>
          </w:p>
        </w:tc>
      </w:tr>
      <w:tr w:rsidR="009A4DF8" w:rsidRPr="002B2A05" w:rsidTr="00F801C6">
        <w:trPr>
          <w:trHeight w:val="189"/>
          <w:tblHeader/>
        </w:trPr>
        <w:tc>
          <w:tcPr>
            <w:tcW w:w="2255" w:type="pct"/>
            <w:shd w:val="clear" w:color="auto" w:fill="auto"/>
            <w:noWrap/>
            <w:vAlign w:val="center"/>
            <w:hideMark/>
          </w:tcPr>
          <w:p w:rsidR="009A4DF8" w:rsidRPr="002B2A05" w:rsidRDefault="009A4DF8" w:rsidP="009A4DF8">
            <w:pPr>
              <w:spacing w:after="0" w:line="240" w:lineRule="auto"/>
              <w:rPr>
                <w:rFonts w:ascii="Arial" w:hAnsi="Arial" w:cs="Arial"/>
                <w:sz w:val="20"/>
                <w:szCs w:val="20"/>
              </w:rPr>
            </w:pPr>
            <w:r w:rsidRPr="002B2A05">
              <w:rPr>
                <w:rFonts w:ascii="Arial" w:hAnsi="Arial" w:cs="Arial"/>
                <w:sz w:val="20"/>
                <w:szCs w:val="20"/>
              </w:rPr>
              <w:t>Taux de pression fiscale (%)</w:t>
            </w:r>
          </w:p>
        </w:tc>
        <w:tc>
          <w:tcPr>
            <w:tcW w:w="459" w:type="pct"/>
            <w:shd w:val="clear" w:color="auto" w:fill="auto"/>
            <w:noWrap/>
            <w:vAlign w:val="center"/>
            <w:hideMark/>
          </w:tcPr>
          <w:p w:rsidR="009A4DF8" w:rsidRPr="002B2A05" w:rsidRDefault="009A4DF8" w:rsidP="009A4DF8">
            <w:pPr>
              <w:spacing w:after="0" w:line="240" w:lineRule="auto"/>
              <w:jc w:val="center"/>
              <w:rPr>
                <w:rFonts w:ascii="Arial" w:hAnsi="Arial" w:cs="Arial"/>
                <w:b/>
                <w:bCs/>
                <w:sz w:val="20"/>
                <w:szCs w:val="20"/>
              </w:rPr>
            </w:pPr>
            <w:r w:rsidRPr="002B2A05">
              <w:rPr>
                <w:rFonts w:ascii="Arial" w:hAnsi="Arial" w:cs="Arial"/>
                <w:b/>
                <w:bCs/>
                <w:sz w:val="20"/>
                <w:szCs w:val="20"/>
              </w:rPr>
              <w:t>≥ 20%</w:t>
            </w:r>
          </w:p>
        </w:tc>
        <w:tc>
          <w:tcPr>
            <w:tcW w:w="526" w:type="pct"/>
            <w:shd w:val="clear" w:color="auto" w:fill="auto"/>
            <w:noWrap/>
            <w:vAlign w:val="center"/>
            <w:hideMark/>
          </w:tcPr>
          <w:p w:rsidR="009A4DF8" w:rsidRPr="002B2A05" w:rsidRDefault="009A4DF8" w:rsidP="009A4DF8">
            <w:pPr>
              <w:spacing w:after="0" w:line="240" w:lineRule="auto"/>
              <w:jc w:val="center"/>
              <w:rPr>
                <w:rFonts w:ascii="Arial" w:hAnsi="Arial" w:cs="Arial"/>
                <w:sz w:val="20"/>
                <w:szCs w:val="20"/>
              </w:rPr>
            </w:pPr>
            <w:r w:rsidRPr="002B2A05">
              <w:rPr>
                <w:rFonts w:ascii="Arial" w:hAnsi="Arial" w:cs="Arial"/>
                <w:sz w:val="20"/>
                <w:szCs w:val="20"/>
              </w:rPr>
              <w:t>14,1</w:t>
            </w:r>
          </w:p>
        </w:tc>
        <w:tc>
          <w:tcPr>
            <w:tcW w:w="526" w:type="pct"/>
            <w:shd w:val="clear" w:color="auto" w:fill="auto"/>
            <w:noWrap/>
            <w:vAlign w:val="center"/>
            <w:hideMark/>
          </w:tcPr>
          <w:p w:rsidR="009A4DF8" w:rsidRPr="002B2A05" w:rsidRDefault="009A4DF8" w:rsidP="009A4DF8">
            <w:pPr>
              <w:spacing w:after="0"/>
              <w:jc w:val="center"/>
              <w:rPr>
                <w:rFonts w:ascii="Arial" w:hAnsi="Arial" w:cs="Arial"/>
                <w:iCs/>
                <w:sz w:val="20"/>
                <w:szCs w:val="20"/>
              </w:rPr>
            </w:pPr>
            <w:r w:rsidRPr="002B2A05">
              <w:rPr>
                <w:rFonts w:ascii="Arial" w:hAnsi="Arial" w:cs="Arial"/>
                <w:iCs/>
                <w:sz w:val="20"/>
                <w:szCs w:val="20"/>
              </w:rPr>
              <w:t>15,2</w:t>
            </w:r>
          </w:p>
        </w:tc>
        <w:tc>
          <w:tcPr>
            <w:tcW w:w="526" w:type="pct"/>
            <w:vAlign w:val="center"/>
          </w:tcPr>
          <w:p w:rsidR="009A4DF8" w:rsidRPr="002B2A05" w:rsidRDefault="009A4DF8" w:rsidP="009A4DF8">
            <w:pPr>
              <w:spacing w:after="0" w:line="240" w:lineRule="auto"/>
              <w:jc w:val="center"/>
              <w:rPr>
                <w:rFonts w:ascii="Arial" w:hAnsi="Arial" w:cs="Arial"/>
                <w:sz w:val="20"/>
                <w:szCs w:val="20"/>
              </w:rPr>
            </w:pPr>
            <w:r w:rsidRPr="002B2A05">
              <w:rPr>
                <w:rFonts w:ascii="Arial" w:hAnsi="Arial" w:cs="Arial"/>
                <w:sz w:val="20"/>
                <w:szCs w:val="20"/>
              </w:rPr>
              <w:t>15,0</w:t>
            </w:r>
          </w:p>
        </w:tc>
        <w:tc>
          <w:tcPr>
            <w:tcW w:w="708" w:type="pct"/>
          </w:tcPr>
          <w:p w:rsidR="009A4DF8" w:rsidRPr="002B2A05" w:rsidRDefault="009A4DF8" w:rsidP="009A4DF8">
            <w:pPr>
              <w:spacing w:after="0"/>
              <w:rPr>
                <w:rFonts w:ascii="Arial" w:hAnsi="Arial" w:cs="Arial"/>
                <w:sz w:val="20"/>
                <w:szCs w:val="20"/>
              </w:rPr>
            </w:pPr>
            <w:r w:rsidRPr="002B2A05">
              <w:rPr>
                <w:rFonts w:ascii="Arial" w:hAnsi="Arial" w:cs="Arial"/>
                <w:iCs/>
                <w:sz w:val="20"/>
                <w:szCs w:val="20"/>
              </w:rPr>
              <w:t>Non Respecté</w:t>
            </w:r>
          </w:p>
        </w:tc>
      </w:tr>
    </w:tbl>
    <w:p w:rsidR="009A4DF8" w:rsidRPr="002B2A05" w:rsidRDefault="009A4DF8" w:rsidP="00F801C6">
      <w:pPr>
        <w:jc w:val="both"/>
        <w:rPr>
          <w:rStyle w:val="Neutre"/>
          <w:rFonts w:ascii="Arial" w:hAnsi="Arial" w:cs="Arial"/>
          <w:b/>
          <w:i/>
          <w:sz w:val="20"/>
          <w:szCs w:val="20"/>
        </w:rPr>
      </w:pPr>
      <w:r w:rsidRPr="002B2A05">
        <w:rPr>
          <w:rFonts w:ascii="Arial" w:hAnsi="Arial" w:cs="Arial"/>
          <w:b/>
          <w:i/>
          <w:sz w:val="20"/>
          <w:szCs w:val="20"/>
          <w:u w:val="single"/>
          <w:shd w:val="clear" w:color="auto" w:fill="FFFFFF"/>
        </w:rPr>
        <w:t>Source</w:t>
      </w:r>
      <w:r w:rsidRPr="002B2A05">
        <w:rPr>
          <w:rFonts w:ascii="Arial" w:hAnsi="Arial" w:cs="Arial"/>
          <w:b/>
          <w:i/>
          <w:sz w:val="20"/>
          <w:szCs w:val="20"/>
          <w:shd w:val="clear" w:color="auto" w:fill="FFFFFF"/>
        </w:rPr>
        <w:t> : MINEFID/Comité de Prévision et de Conjoncture, mars 2017</w:t>
      </w:r>
    </w:p>
    <w:p w:rsidR="009A4DF8" w:rsidRPr="001B4E2D" w:rsidRDefault="009A4DF8" w:rsidP="00F679D8">
      <w:pPr>
        <w:pStyle w:val="Titre3"/>
        <w:numPr>
          <w:ilvl w:val="0"/>
          <w:numId w:val="135"/>
        </w:numPr>
        <w:tabs>
          <w:tab w:val="left" w:pos="1701"/>
        </w:tabs>
        <w:spacing w:line="276" w:lineRule="auto"/>
        <w:ind w:left="1276"/>
      </w:pPr>
      <w:bookmarkStart w:id="81" w:name="_Toc427009707"/>
      <w:bookmarkStart w:id="82" w:name="_Toc459122794"/>
      <w:bookmarkStart w:id="83" w:name="_Toc492972167"/>
      <w:r w:rsidRPr="001B4E2D">
        <w:t>Aperçu de la situation sociale</w:t>
      </w:r>
      <w:bookmarkEnd w:id="43"/>
      <w:bookmarkEnd w:id="44"/>
      <w:bookmarkEnd w:id="81"/>
      <w:bookmarkEnd w:id="82"/>
      <w:bookmarkEnd w:id="83"/>
    </w:p>
    <w:p w:rsidR="009A4DF8" w:rsidRPr="00CC49EE" w:rsidRDefault="009A4DF8" w:rsidP="00F679D8">
      <w:pPr>
        <w:spacing w:after="120"/>
        <w:jc w:val="both"/>
        <w:rPr>
          <w:rFonts w:ascii="Arial" w:hAnsi="Arial" w:cs="Arial"/>
          <w:color w:val="FF0000"/>
        </w:rPr>
      </w:pPr>
      <w:r w:rsidRPr="00CC49EE">
        <w:rPr>
          <w:rFonts w:ascii="Arial" w:hAnsi="Arial" w:cs="Arial"/>
        </w:rPr>
        <w:t>Les secteurs de l’éducation, d</w:t>
      </w:r>
      <w:r>
        <w:rPr>
          <w:rFonts w:ascii="Arial" w:hAnsi="Arial" w:cs="Arial"/>
        </w:rPr>
        <w:t>e la santé, de l’eau potable et</w:t>
      </w:r>
      <w:r w:rsidRPr="00CC49EE">
        <w:rPr>
          <w:rFonts w:ascii="Arial" w:hAnsi="Arial" w:cs="Arial"/>
        </w:rPr>
        <w:t xml:space="preserve"> de l’assainissement ainsi que celui de l’emploi restent des domaines prioritaires qui bénéficient chaque année de l’accompagnement du Gouvernement et  des Partenaires au développement.</w:t>
      </w:r>
    </w:p>
    <w:p w:rsidR="009A4DF8" w:rsidRPr="00CC49EE" w:rsidRDefault="009A4DF8" w:rsidP="00F679D8">
      <w:pPr>
        <w:pStyle w:val="Titre4"/>
        <w:numPr>
          <w:ilvl w:val="0"/>
          <w:numId w:val="138"/>
        </w:numPr>
        <w:spacing w:line="276" w:lineRule="auto"/>
        <w:ind w:left="1701"/>
      </w:pPr>
      <w:bookmarkStart w:id="84" w:name="_Toc399933228"/>
      <w:bookmarkStart w:id="85" w:name="_Toc400643277"/>
      <w:bookmarkStart w:id="86" w:name="_Toc427009708"/>
      <w:bookmarkStart w:id="87" w:name="_Toc459122795"/>
      <w:bookmarkStart w:id="88" w:name="_Toc492972168"/>
      <w:r w:rsidRPr="00CC49EE">
        <w:t>Accès aux services de l’éducation</w:t>
      </w:r>
      <w:bookmarkEnd w:id="84"/>
      <w:bookmarkEnd w:id="85"/>
      <w:bookmarkEnd w:id="86"/>
      <w:bookmarkEnd w:id="87"/>
      <w:bookmarkEnd w:id="88"/>
    </w:p>
    <w:p w:rsidR="009A4DF8" w:rsidRPr="00337A5D" w:rsidRDefault="009A4DF8" w:rsidP="00F679D8">
      <w:pPr>
        <w:spacing w:after="120"/>
        <w:jc w:val="both"/>
        <w:rPr>
          <w:rFonts w:ascii="Arial" w:hAnsi="Arial" w:cs="Arial"/>
        </w:rPr>
      </w:pPr>
      <w:r w:rsidRPr="00337A5D">
        <w:rPr>
          <w:rFonts w:ascii="Arial" w:hAnsi="Arial" w:cs="Arial"/>
        </w:rPr>
        <w:t xml:space="preserve">Des actions ont été entreprises au cours de l’année 2016 par le Gouvernement et visent à accélérer le niveau d’accès des services de l’éducation à travers la mise en œuvre des réformes au niveau de l’éducation formelle et non formelle. </w:t>
      </w:r>
    </w:p>
    <w:p w:rsidR="009A4DF8" w:rsidRPr="00F679D8" w:rsidRDefault="009A4DF8" w:rsidP="00F679D8">
      <w:pPr>
        <w:spacing w:after="120"/>
        <w:jc w:val="both"/>
        <w:rPr>
          <w:rFonts w:ascii="Arial" w:hAnsi="Arial" w:cs="Arial"/>
          <w:b/>
          <w:u w:val="single"/>
        </w:rPr>
      </w:pPr>
      <w:bookmarkStart w:id="89" w:name="_Toc399933229"/>
      <w:bookmarkStart w:id="90" w:name="_Toc424710958"/>
      <w:bookmarkStart w:id="91" w:name="_Toc427009709"/>
      <w:bookmarkStart w:id="92" w:name="_Toc459122796"/>
      <w:r w:rsidRPr="00F679D8">
        <w:rPr>
          <w:rFonts w:ascii="Arial" w:hAnsi="Arial" w:cs="Arial"/>
          <w:b/>
          <w:u w:val="single"/>
        </w:rPr>
        <w:t>L’éducation formelle</w:t>
      </w:r>
      <w:bookmarkEnd w:id="89"/>
      <w:bookmarkEnd w:id="90"/>
      <w:bookmarkEnd w:id="91"/>
      <w:bookmarkEnd w:id="92"/>
    </w:p>
    <w:p w:rsidR="009A4DF8" w:rsidRPr="00337A5D" w:rsidRDefault="009A4DF8" w:rsidP="00F679D8">
      <w:pPr>
        <w:spacing w:after="120"/>
        <w:jc w:val="both"/>
        <w:rPr>
          <w:rFonts w:ascii="Arial" w:hAnsi="Arial" w:cs="Arial"/>
        </w:rPr>
      </w:pPr>
      <w:r w:rsidRPr="00337A5D">
        <w:rPr>
          <w:rFonts w:ascii="Arial" w:hAnsi="Arial" w:cs="Arial"/>
        </w:rPr>
        <w:lastRenderedPageBreak/>
        <w:t>Dans le cadre du renforcement de la promotion de l’éducation formelle, les actions entreprise</w:t>
      </w:r>
      <w:r w:rsidR="00E755F7">
        <w:rPr>
          <w:rFonts w:ascii="Arial" w:hAnsi="Arial" w:cs="Arial"/>
        </w:rPr>
        <w:t xml:space="preserve">s </w:t>
      </w:r>
      <w:r w:rsidRPr="00337A5D">
        <w:rPr>
          <w:rFonts w:ascii="Arial" w:hAnsi="Arial" w:cs="Arial"/>
        </w:rPr>
        <w:t>sont porté sur les différents ordres d’enseignement que sont le préscolaire, le primaire, le post-primaire, le secondaire et le supérieur.</w:t>
      </w:r>
    </w:p>
    <w:p w:rsidR="009A4DF8" w:rsidRPr="00CC49EE" w:rsidRDefault="009A4DF8" w:rsidP="00F679D8">
      <w:pPr>
        <w:spacing w:after="120"/>
        <w:jc w:val="both"/>
        <w:rPr>
          <w:rFonts w:ascii="Arial" w:hAnsi="Arial" w:cs="Arial"/>
        </w:rPr>
      </w:pPr>
      <w:r w:rsidRPr="00CC49EE">
        <w:rPr>
          <w:rFonts w:ascii="Arial" w:hAnsi="Arial" w:cs="Arial"/>
        </w:rPr>
        <w:t>Pour le segment du préscolaire, le taux brut de préscolarisation en 2015-2016, s’est établi à 2,90% contre 4,0% en 2014-2015 soit une baisse de 1,1 point</w:t>
      </w:r>
      <w:r>
        <w:rPr>
          <w:rFonts w:ascii="Arial" w:hAnsi="Arial" w:cs="Arial"/>
        </w:rPr>
        <w:t xml:space="preserve"> </w:t>
      </w:r>
      <w:r w:rsidRPr="00CC49EE">
        <w:rPr>
          <w:rFonts w:ascii="Arial" w:hAnsi="Arial" w:cs="Arial"/>
        </w:rPr>
        <w:t>de pourcentage. .Le nombre d’enfants inscrits en 2015-2016est de 73 081dont49,6% de filles. Le nombre de salles de classe se chiffre à 2 216 et le nombre total du personnel d’encadrement est de 3 237 dont1 776 encadreurs pour le compte du privé.</w:t>
      </w:r>
    </w:p>
    <w:p w:rsidR="009A4DF8" w:rsidRPr="00EB24FE" w:rsidRDefault="009A4DF8" w:rsidP="00F679D8">
      <w:pPr>
        <w:spacing w:after="120"/>
        <w:jc w:val="both"/>
        <w:rPr>
          <w:rFonts w:ascii="Arial" w:hAnsi="Arial" w:cs="Arial"/>
        </w:rPr>
      </w:pPr>
      <w:r w:rsidRPr="00EB24FE">
        <w:rPr>
          <w:rFonts w:ascii="Arial" w:hAnsi="Arial" w:cs="Arial"/>
          <w:b/>
        </w:rPr>
        <w:t>Au niveau du primaire</w:t>
      </w:r>
      <w:r w:rsidRPr="00EB24FE">
        <w:rPr>
          <w:rFonts w:ascii="Arial" w:hAnsi="Arial" w:cs="Arial"/>
        </w:rPr>
        <w:t xml:space="preserve">, l’effectif des élèves au titre de l’année scolaire 2015-2016 se chiffre à 2 873 049 dont 1 395 243 filles contre 2 706 803 pour l’année 2014-2015 soit une hausse de 6,1%. En ce qui concerne les infrastructures éducatives, le nombre d’écoles primaires est passé de 13 831 en 2014-2015 à 14 655 en 2015-2016, soit un accroissement de 6,0%. Pendant la même période, le nombre de salles de classe est passé de 55 098 à 59 938, soit une hausse de 8,8%. </w:t>
      </w:r>
    </w:p>
    <w:p w:rsidR="009A4DF8" w:rsidRPr="00CC49EE" w:rsidRDefault="009A4DF8" w:rsidP="00F679D8">
      <w:pPr>
        <w:spacing w:after="120"/>
        <w:jc w:val="both"/>
        <w:rPr>
          <w:rFonts w:ascii="Arial" w:hAnsi="Arial" w:cs="Arial"/>
        </w:rPr>
      </w:pPr>
      <w:r w:rsidRPr="00CC49EE">
        <w:rPr>
          <w:rFonts w:ascii="Arial" w:hAnsi="Arial" w:cs="Arial"/>
        </w:rPr>
        <w:t>Le taux d’achèvement au primaire est de 58,2% contre 58,4% en 2015. Le taux brut d’Admission au primaire est  passé</w:t>
      </w:r>
      <w:r>
        <w:rPr>
          <w:rFonts w:ascii="Arial" w:hAnsi="Arial" w:cs="Arial"/>
        </w:rPr>
        <w:t xml:space="preserve"> de 98,8% en 2014-2015 à 100,1%</w:t>
      </w:r>
      <w:r w:rsidRPr="00CC49EE">
        <w:rPr>
          <w:rFonts w:ascii="Arial" w:hAnsi="Arial" w:cs="Arial"/>
        </w:rPr>
        <w:t xml:space="preserve"> en 2015-2016. Quant au taux brut de scolarisation, il s’est affiché  à 86,1% en 2015-2016 contre 83,7% en 2014-2015.Sur la même période, le taux brut de scolarisation des filles est passé de 83,9%à 86,4%, soit un accroissement de 2,5%.</w:t>
      </w:r>
    </w:p>
    <w:p w:rsidR="009A4DF8" w:rsidRPr="00CC49EE" w:rsidRDefault="009A4DF8" w:rsidP="00F679D8">
      <w:pPr>
        <w:spacing w:after="120"/>
        <w:jc w:val="both"/>
        <w:rPr>
          <w:rFonts w:ascii="Arial" w:hAnsi="Arial" w:cs="Arial"/>
        </w:rPr>
      </w:pPr>
      <w:r w:rsidRPr="00CC49EE">
        <w:rPr>
          <w:rFonts w:ascii="Arial" w:hAnsi="Arial" w:cs="Arial"/>
        </w:rPr>
        <w:t>L’effectif des enseignants est passé de 64 177 en 2014-2015 à 59 001 en 2015-2016, soit une baisse de 8,1%.</w:t>
      </w:r>
      <w:r>
        <w:rPr>
          <w:rFonts w:ascii="Arial" w:hAnsi="Arial" w:cs="Arial"/>
        </w:rPr>
        <w:t xml:space="preserve"> </w:t>
      </w:r>
      <w:r w:rsidRPr="00CC49EE">
        <w:rPr>
          <w:rFonts w:ascii="Arial" w:hAnsi="Arial" w:cs="Arial"/>
        </w:rPr>
        <w:t>Le ratio élèves/maitre a connu une amélioration de 0,9 point de pourcentage en 2015-2016, passant de 49,6 en 2014-2015  à 48,7 en 2015-2016.</w:t>
      </w:r>
    </w:p>
    <w:p w:rsidR="009A4DF8" w:rsidRPr="00CC49EE" w:rsidRDefault="009A4DF8" w:rsidP="00F679D8">
      <w:pPr>
        <w:spacing w:after="120"/>
        <w:jc w:val="both"/>
        <w:rPr>
          <w:rFonts w:ascii="Arial" w:hAnsi="Arial" w:cs="Arial"/>
        </w:rPr>
      </w:pPr>
      <w:r w:rsidRPr="002D4B78">
        <w:rPr>
          <w:rFonts w:ascii="Arial" w:hAnsi="Arial" w:cs="Arial"/>
        </w:rPr>
        <w:t xml:space="preserve">Concernant le post primaire, </w:t>
      </w:r>
      <w:r w:rsidR="002D4B78" w:rsidRPr="002D4B78">
        <w:rPr>
          <w:rFonts w:ascii="Arial" w:hAnsi="Arial" w:cs="Arial"/>
        </w:rPr>
        <w:t>l</w:t>
      </w:r>
      <w:r w:rsidRPr="00CC49EE">
        <w:rPr>
          <w:rFonts w:ascii="Arial" w:hAnsi="Arial" w:cs="Arial"/>
        </w:rPr>
        <w:t>e taux d’achèvemen</w:t>
      </w:r>
      <w:r>
        <w:rPr>
          <w:rFonts w:ascii="Arial" w:hAnsi="Arial" w:cs="Arial"/>
        </w:rPr>
        <w:t>t est de 29,2%</w:t>
      </w:r>
      <w:r w:rsidRPr="00CC49EE">
        <w:rPr>
          <w:rFonts w:ascii="Arial" w:hAnsi="Arial" w:cs="Arial"/>
        </w:rPr>
        <w:t xml:space="preserve"> en 2015-2016 contre 24,2% un an plus tôt</w:t>
      </w:r>
      <w:r w:rsidRPr="002D4B78">
        <w:rPr>
          <w:rFonts w:ascii="Arial" w:hAnsi="Arial" w:cs="Arial"/>
        </w:rPr>
        <w:t xml:space="preserve">. </w:t>
      </w:r>
      <w:r w:rsidRPr="00CC49EE">
        <w:rPr>
          <w:rFonts w:ascii="Arial" w:hAnsi="Arial" w:cs="Arial"/>
        </w:rPr>
        <w:t>L’indice de</w:t>
      </w:r>
      <w:r>
        <w:rPr>
          <w:rFonts w:ascii="Arial" w:hAnsi="Arial" w:cs="Arial"/>
        </w:rPr>
        <w:t xml:space="preserve"> parité du TBA au post-primaire</w:t>
      </w:r>
      <w:r w:rsidRPr="00CC49EE">
        <w:rPr>
          <w:rFonts w:ascii="Arial" w:hAnsi="Arial" w:cs="Arial"/>
        </w:rPr>
        <w:t xml:space="preserve"> se situe à 1,05 en 2016 comme en 2015.</w:t>
      </w:r>
    </w:p>
    <w:p w:rsidR="009A4DF8" w:rsidRPr="00EB24FE" w:rsidRDefault="009A4DF8" w:rsidP="00F679D8">
      <w:pPr>
        <w:spacing w:after="120"/>
        <w:jc w:val="both"/>
        <w:rPr>
          <w:rFonts w:ascii="Arial" w:hAnsi="Arial" w:cs="Arial"/>
        </w:rPr>
      </w:pPr>
      <w:bookmarkStart w:id="93" w:name="_Toc448386906"/>
      <w:bookmarkStart w:id="94" w:name="_Toc449526017"/>
      <w:r w:rsidRPr="00F679D8">
        <w:rPr>
          <w:rFonts w:ascii="Arial" w:hAnsi="Arial" w:cs="Arial"/>
          <w:b/>
        </w:rPr>
        <w:t>Au niveau des</w:t>
      </w:r>
      <w:r w:rsidRPr="00EB24FE">
        <w:rPr>
          <w:rFonts w:ascii="Arial" w:hAnsi="Arial" w:cs="Arial"/>
        </w:rPr>
        <w:t xml:space="preserve"> </w:t>
      </w:r>
      <w:r w:rsidRPr="00F679D8">
        <w:rPr>
          <w:rFonts w:ascii="Arial" w:hAnsi="Arial" w:cs="Arial"/>
          <w:b/>
        </w:rPr>
        <w:t>formations technique et professionnelle</w:t>
      </w:r>
      <w:bookmarkEnd w:id="93"/>
      <w:bookmarkEnd w:id="94"/>
      <w:r w:rsidRPr="00EB24FE">
        <w:rPr>
          <w:rFonts w:ascii="Arial" w:hAnsi="Arial" w:cs="Arial"/>
        </w:rPr>
        <w:t>, l’année 2016 a été consacrée aux études architecturales en vue de la réalisation des 20 lycées professionnels. La réalisation de ces infrastructures a été différée en 2017 au reg</w:t>
      </w:r>
      <w:r>
        <w:rPr>
          <w:rFonts w:ascii="Arial" w:hAnsi="Arial" w:cs="Arial"/>
        </w:rPr>
        <w:t>ard de la nécessité de boucler c</w:t>
      </w:r>
      <w:r w:rsidRPr="00EB24FE">
        <w:rPr>
          <w:rFonts w:ascii="Arial" w:hAnsi="Arial" w:cs="Arial"/>
        </w:rPr>
        <w:t>es études avant d’entreprendre les constructions. Des appels à manifestations d’intérêt ont été lancés à cet effet. De même, les études architecturales pour la construction du centre de formation professionnelle de Bagré ont été réalisées.</w:t>
      </w:r>
    </w:p>
    <w:p w:rsidR="009A4DF8" w:rsidRPr="00F679D8" w:rsidRDefault="009A4DF8" w:rsidP="00F679D8">
      <w:pPr>
        <w:spacing w:after="120"/>
        <w:jc w:val="both"/>
        <w:rPr>
          <w:rFonts w:ascii="Arial" w:hAnsi="Arial" w:cs="Arial"/>
          <w:b/>
        </w:rPr>
      </w:pPr>
      <w:bookmarkStart w:id="95" w:name="_Toc448386913"/>
      <w:bookmarkStart w:id="96" w:name="_Toc449526026"/>
      <w:r w:rsidRPr="00F679D8">
        <w:rPr>
          <w:rFonts w:ascii="Arial" w:hAnsi="Arial" w:cs="Arial"/>
          <w:b/>
        </w:rPr>
        <w:t>Au niveau de l'enseignement supérieur</w:t>
      </w:r>
      <w:bookmarkEnd w:id="95"/>
      <w:bookmarkEnd w:id="96"/>
      <w:r w:rsidR="00F679D8" w:rsidRPr="00F679D8">
        <w:rPr>
          <w:rFonts w:ascii="Arial" w:hAnsi="Arial" w:cs="Arial"/>
        </w:rPr>
        <w:t>, a</w:t>
      </w:r>
      <w:r w:rsidRPr="00CC49EE">
        <w:rPr>
          <w:rFonts w:ascii="Arial" w:hAnsi="Arial" w:cs="Arial"/>
        </w:rPr>
        <w:t>u cours de l’année 2016, le Ministère de l’Enseignement Supérieur, de la Recherche Scientifique et de l’Innovation a réalisé diverses activités allant dans l’amélioration de la gouvernance du secteur et dans la valorisation des produits de recherche qui ont connu leur mise en œuvre effective.</w:t>
      </w:r>
    </w:p>
    <w:p w:rsidR="009A4DF8" w:rsidRPr="00CC49EE" w:rsidRDefault="009A4DF8" w:rsidP="00F679D8">
      <w:pPr>
        <w:spacing w:after="120"/>
        <w:jc w:val="both"/>
        <w:rPr>
          <w:rFonts w:ascii="Arial" w:hAnsi="Arial" w:cs="Arial"/>
        </w:rPr>
      </w:pPr>
      <w:r w:rsidRPr="00CC49EE">
        <w:rPr>
          <w:rFonts w:ascii="Arial" w:hAnsi="Arial" w:cs="Arial"/>
        </w:rPr>
        <w:t>Au niveau de l’amélioration de la gouvernance, on note entre autres, la relecture du cadre juridique des institutions d’enseignement supérieur (IES) ainsi que les textes y relatifs, l’élaboration</w:t>
      </w:r>
      <w:r>
        <w:rPr>
          <w:rFonts w:ascii="Arial" w:hAnsi="Arial" w:cs="Arial"/>
        </w:rPr>
        <w:t xml:space="preserve"> </w:t>
      </w:r>
      <w:r w:rsidRPr="00CC49EE">
        <w:rPr>
          <w:rFonts w:ascii="Arial" w:hAnsi="Arial" w:cs="Arial"/>
        </w:rPr>
        <w:t>de la politique sectorielle de l’enseignement supérieur, de la recherche scientifique et de l’innovation, l’élaboration du plan d’actions annuel 2017 et triennal 2017-2019 du secteur.</w:t>
      </w:r>
    </w:p>
    <w:p w:rsidR="009A4DF8" w:rsidRPr="00CC49EE" w:rsidRDefault="009A4DF8" w:rsidP="00F679D8">
      <w:pPr>
        <w:spacing w:after="120"/>
        <w:jc w:val="both"/>
        <w:rPr>
          <w:rFonts w:ascii="Arial" w:hAnsi="Arial" w:cs="Arial"/>
        </w:rPr>
      </w:pPr>
      <w:r w:rsidRPr="00CC49EE">
        <w:rPr>
          <w:rFonts w:ascii="Arial" w:hAnsi="Arial" w:cs="Arial"/>
        </w:rPr>
        <w:t>Pour améliorer l</w:t>
      </w:r>
      <w:r>
        <w:rPr>
          <w:rFonts w:ascii="Arial" w:hAnsi="Arial" w:cs="Arial"/>
        </w:rPr>
        <w:t>’accès et l</w:t>
      </w:r>
      <w:r w:rsidRPr="00CC49EE">
        <w:rPr>
          <w:rFonts w:ascii="Arial" w:hAnsi="Arial" w:cs="Arial"/>
        </w:rPr>
        <w:t xml:space="preserve">a qualité de l’enseignement supérieur et promouvoir les services sociaux aux étudiants, plusieurs activités ont été réalisées au cours de l’année 2016 parmi lesquelles </w:t>
      </w:r>
      <w:r>
        <w:rPr>
          <w:rFonts w:ascii="Arial" w:hAnsi="Arial" w:cs="Arial"/>
        </w:rPr>
        <w:t>il</w:t>
      </w:r>
      <w:r w:rsidRPr="00CC49EE">
        <w:rPr>
          <w:rFonts w:ascii="Arial" w:hAnsi="Arial" w:cs="Arial"/>
        </w:rPr>
        <w:t xml:space="preserve"> </w:t>
      </w:r>
      <w:r>
        <w:rPr>
          <w:rFonts w:ascii="Arial" w:hAnsi="Arial" w:cs="Arial"/>
        </w:rPr>
        <w:t xml:space="preserve">faut </w:t>
      </w:r>
      <w:r w:rsidRPr="00CC49EE">
        <w:rPr>
          <w:rFonts w:ascii="Arial" w:hAnsi="Arial" w:cs="Arial"/>
        </w:rPr>
        <w:t>ret</w:t>
      </w:r>
      <w:r>
        <w:rPr>
          <w:rFonts w:ascii="Arial" w:hAnsi="Arial" w:cs="Arial"/>
        </w:rPr>
        <w:t>enir</w:t>
      </w:r>
      <w:r w:rsidRPr="00CC49EE">
        <w:rPr>
          <w:rFonts w:ascii="Arial" w:hAnsi="Arial" w:cs="Arial"/>
        </w:rPr>
        <w:t> : l’achèvement de la construction et de l’équipement de bâtiments pédagogiques dans les C</w:t>
      </w:r>
      <w:r>
        <w:rPr>
          <w:rFonts w:ascii="Arial" w:hAnsi="Arial" w:cs="Arial"/>
        </w:rPr>
        <w:t xml:space="preserve">entres </w:t>
      </w:r>
      <w:r w:rsidRPr="00CC49EE">
        <w:rPr>
          <w:rFonts w:ascii="Arial" w:hAnsi="Arial" w:cs="Arial"/>
        </w:rPr>
        <w:t>U</w:t>
      </w:r>
      <w:r>
        <w:rPr>
          <w:rFonts w:ascii="Arial" w:hAnsi="Arial" w:cs="Arial"/>
        </w:rPr>
        <w:t xml:space="preserve">niversitaires </w:t>
      </w:r>
      <w:r w:rsidRPr="00CC49EE">
        <w:rPr>
          <w:rFonts w:ascii="Arial" w:hAnsi="Arial" w:cs="Arial"/>
        </w:rPr>
        <w:t>P</w:t>
      </w:r>
      <w:r>
        <w:rPr>
          <w:rFonts w:ascii="Arial" w:hAnsi="Arial" w:cs="Arial"/>
        </w:rPr>
        <w:t>olytechniques (CUP)</w:t>
      </w:r>
      <w:r w:rsidRPr="00CC49EE">
        <w:rPr>
          <w:rFonts w:ascii="Arial" w:hAnsi="Arial" w:cs="Arial"/>
        </w:rPr>
        <w:t xml:space="preserve"> de Ouahigouya et de Fada N’Gourma, l’achèvement d’un amphithéâtre de 700 places à l’Institut des Sciences (IDS), l’équipement d’un bâtiment pédagogique à Dédougou, la relecture des curricula, l’attribution de 50 000 aides et 10 000 prêts et 8100 bourses aux étudiants ainsi que l’hébergement de 4 612 étudiants. </w:t>
      </w:r>
    </w:p>
    <w:p w:rsidR="009A4DF8" w:rsidRPr="00CC49EE" w:rsidRDefault="009A4DF8" w:rsidP="00F679D8">
      <w:pPr>
        <w:spacing w:after="120"/>
        <w:jc w:val="both"/>
        <w:rPr>
          <w:rFonts w:ascii="Arial" w:hAnsi="Arial" w:cs="Arial"/>
        </w:rPr>
      </w:pPr>
      <w:r w:rsidRPr="00CC49EE">
        <w:rPr>
          <w:rFonts w:ascii="Arial" w:hAnsi="Arial" w:cs="Arial"/>
        </w:rPr>
        <w:t>En 2016, le taux de transition du secondaire au supérieur</w:t>
      </w:r>
      <w:r>
        <w:rPr>
          <w:rFonts w:ascii="Arial" w:hAnsi="Arial" w:cs="Arial"/>
        </w:rPr>
        <w:t xml:space="preserve"> </w:t>
      </w:r>
      <w:r w:rsidRPr="00CC49EE">
        <w:rPr>
          <w:rFonts w:ascii="Arial" w:hAnsi="Arial" w:cs="Arial"/>
        </w:rPr>
        <w:t xml:space="preserve">est de 63,2% contre 72,4% en 2015. Ce taux est de 68,8% pour les garçons et 54,8% pour les filles. L’effectif total des étudiants en 2016 est de </w:t>
      </w:r>
      <w:r w:rsidRPr="00CC49EE">
        <w:rPr>
          <w:rFonts w:ascii="Arial" w:hAnsi="Arial" w:cs="Arial"/>
        </w:rPr>
        <w:lastRenderedPageBreak/>
        <w:t>94 728 contre 83 598 en 2015.</w:t>
      </w:r>
      <w:r>
        <w:rPr>
          <w:rFonts w:ascii="Arial" w:hAnsi="Arial" w:cs="Arial"/>
        </w:rPr>
        <w:t xml:space="preserve"> </w:t>
      </w:r>
      <w:r w:rsidRPr="00CC49EE">
        <w:rPr>
          <w:rFonts w:ascii="Arial" w:hAnsi="Arial" w:cs="Arial"/>
        </w:rPr>
        <w:t>Parmi ce nombre, le public totalise 71 501 étudiants et le privé, 23 227. Le nombre d’étudiants pour 100 000 habitants est de 515 contre 468 en 2015. Le nombre d’institutions supérieures est passé de 91 en 2015 à 85 en 2016. S’agissant des établissements d’enseignement supérieur, ils ont baissé de 124 en 2015 à 120 en 2016 dont 34 pour le public et 86 pour le privé.</w:t>
      </w:r>
    </w:p>
    <w:p w:rsidR="009A4DF8" w:rsidRPr="00F801C6" w:rsidRDefault="00F801C6" w:rsidP="00F801C6">
      <w:pPr>
        <w:pStyle w:val="Lgende"/>
        <w:rPr>
          <w:color w:val="auto"/>
        </w:rPr>
      </w:pPr>
      <w:bookmarkStart w:id="97" w:name="_Toc492895471"/>
      <w:r w:rsidRPr="00F801C6">
        <w:rPr>
          <w:color w:val="auto"/>
        </w:rPr>
        <w:t xml:space="preserve">Tableau </w:t>
      </w:r>
      <w:r w:rsidRPr="00F801C6">
        <w:rPr>
          <w:color w:val="auto"/>
        </w:rPr>
        <w:fldChar w:fldCharType="begin"/>
      </w:r>
      <w:r w:rsidRPr="00F801C6">
        <w:rPr>
          <w:color w:val="auto"/>
        </w:rPr>
        <w:instrText xml:space="preserve"> SEQ Tableau \* ARABIC </w:instrText>
      </w:r>
      <w:r w:rsidRPr="00F801C6">
        <w:rPr>
          <w:color w:val="auto"/>
        </w:rPr>
        <w:fldChar w:fldCharType="separate"/>
      </w:r>
      <w:r w:rsidR="009A1402">
        <w:rPr>
          <w:noProof/>
          <w:color w:val="auto"/>
        </w:rPr>
        <w:t>3</w:t>
      </w:r>
      <w:r w:rsidRPr="00F801C6">
        <w:rPr>
          <w:color w:val="auto"/>
        </w:rPr>
        <w:fldChar w:fldCharType="end"/>
      </w:r>
      <w:r w:rsidRPr="00F801C6">
        <w:rPr>
          <w:color w:val="auto"/>
        </w:rPr>
        <w:t> :</w:t>
      </w:r>
      <w:r w:rsidR="009A4DF8" w:rsidRPr="00F801C6">
        <w:rPr>
          <w:color w:val="auto"/>
        </w:rPr>
        <w:t xml:space="preserve"> </w:t>
      </w:r>
      <w:r w:rsidR="009A4DF8" w:rsidRPr="00F801C6">
        <w:rPr>
          <w:color w:val="auto"/>
          <w:u w:val="none"/>
        </w:rPr>
        <w:t>Evolution des principaux indicateurs de l’enseignement supérieur</w:t>
      </w:r>
      <w:bookmarkEnd w:id="97"/>
    </w:p>
    <w:tbl>
      <w:tblPr>
        <w:tblStyle w:val="Grilledutableau"/>
        <w:tblW w:w="10131" w:type="dxa"/>
        <w:tblInd w:w="108" w:type="dxa"/>
        <w:tblLook w:val="04A0" w:firstRow="1" w:lastRow="0" w:firstColumn="1" w:lastColumn="0" w:noHBand="0" w:noVBand="1"/>
      </w:tblPr>
      <w:tblGrid>
        <w:gridCol w:w="3228"/>
        <w:gridCol w:w="3170"/>
        <w:gridCol w:w="3733"/>
      </w:tblGrid>
      <w:tr w:rsidR="009A4DF8" w:rsidRPr="003D6B2B" w:rsidTr="00F801C6">
        <w:trPr>
          <w:trHeight w:val="238"/>
        </w:trPr>
        <w:tc>
          <w:tcPr>
            <w:tcW w:w="3228" w:type="dxa"/>
          </w:tcPr>
          <w:p w:rsidR="009A4DF8" w:rsidRPr="003D6B2B" w:rsidRDefault="009A4DF8" w:rsidP="001B4E2D">
            <w:pPr>
              <w:spacing w:after="0" w:line="240" w:lineRule="auto"/>
              <w:rPr>
                <w:rFonts w:ascii="Arial" w:hAnsi="Arial" w:cs="Arial"/>
                <w:b/>
              </w:rPr>
            </w:pPr>
            <w:r w:rsidRPr="003D6B2B">
              <w:rPr>
                <w:rFonts w:ascii="Arial" w:hAnsi="Arial" w:cs="Arial"/>
                <w:b/>
              </w:rPr>
              <w:t>ANNEE</w:t>
            </w:r>
          </w:p>
        </w:tc>
        <w:tc>
          <w:tcPr>
            <w:tcW w:w="3170" w:type="dxa"/>
          </w:tcPr>
          <w:p w:rsidR="009A4DF8" w:rsidRPr="003D6B2B" w:rsidRDefault="009A4DF8" w:rsidP="001B4E2D">
            <w:pPr>
              <w:spacing w:after="0" w:line="240" w:lineRule="auto"/>
              <w:rPr>
                <w:rFonts w:ascii="Arial" w:hAnsi="Arial" w:cs="Arial"/>
                <w:b/>
              </w:rPr>
            </w:pPr>
            <w:r w:rsidRPr="003D6B2B">
              <w:rPr>
                <w:rFonts w:ascii="Arial" w:hAnsi="Arial" w:cs="Arial"/>
                <w:b/>
              </w:rPr>
              <w:t>2014/2015</w:t>
            </w:r>
          </w:p>
        </w:tc>
        <w:tc>
          <w:tcPr>
            <w:tcW w:w="3732" w:type="dxa"/>
          </w:tcPr>
          <w:p w:rsidR="009A4DF8" w:rsidRPr="003D6B2B" w:rsidRDefault="009A4DF8" w:rsidP="001B4E2D">
            <w:pPr>
              <w:spacing w:after="0" w:line="240" w:lineRule="auto"/>
              <w:rPr>
                <w:rFonts w:ascii="Arial" w:hAnsi="Arial" w:cs="Arial"/>
                <w:b/>
              </w:rPr>
            </w:pPr>
            <w:r w:rsidRPr="003D6B2B">
              <w:rPr>
                <w:rFonts w:ascii="Arial" w:hAnsi="Arial" w:cs="Arial"/>
                <w:b/>
              </w:rPr>
              <w:t>2015/2016</w:t>
            </w:r>
          </w:p>
        </w:tc>
      </w:tr>
      <w:tr w:rsidR="009A4DF8" w:rsidRPr="003D6B2B" w:rsidTr="00F801C6">
        <w:trPr>
          <w:trHeight w:val="238"/>
        </w:trPr>
        <w:tc>
          <w:tcPr>
            <w:tcW w:w="10131" w:type="dxa"/>
            <w:gridSpan w:val="3"/>
            <w:shd w:val="clear" w:color="auto" w:fill="D9D9D9" w:themeFill="background1" w:themeFillShade="D9"/>
          </w:tcPr>
          <w:p w:rsidR="009A4DF8" w:rsidRPr="003D6B2B" w:rsidRDefault="009A4DF8" w:rsidP="001B4E2D">
            <w:pPr>
              <w:spacing w:after="0" w:line="240" w:lineRule="auto"/>
              <w:jc w:val="center"/>
              <w:rPr>
                <w:rFonts w:ascii="Arial" w:hAnsi="Arial" w:cs="Arial"/>
                <w:b/>
              </w:rPr>
            </w:pPr>
            <w:r w:rsidRPr="003D6B2B">
              <w:rPr>
                <w:rFonts w:ascii="Arial" w:hAnsi="Arial" w:cs="Arial"/>
                <w:b/>
              </w:rPr>
              <w:t>Taux de transition (%) du secondaire au supérieur</w:t>
            </w:r>
          </w:p>
        </w:tc>
      </w:tr>
      <w:tr w:rsidR="009A4DF8" w:rsidRPr="003D6B2B" w:rsidTr="00F801C6">
        <w:trPr>
          <w:trHeight w:val="238"/>
        </w:trPr>
        <w:tc>
          <w:tcPr>
            <w:tcW w:w="3228" w:type="dxa"/>
          </w:tcPr>
          <w:p w:rsidR="009A4DF8" w:rsidRPr="003D6B2B" w:rsidRDefault="009A4DF8" w:rsidP="001B4E2D">
            <w:pPr>
              <w:spacing w:after="0" w:line="240" w:lineRule="auto"/>
              <w:rPr>
                <w:rFonts w:ascii="Arial" w:hAnsi="Arial" w:cs="Arial"/>
                <w:b/>
              </w:rPr>
            </w:pPr>
            <w:r w:rsidRPr="003D6B2B">
              <w:rPr>
                <w:rFonts w:ascii="Arial" w:hAnsi="Arial" w:cs="Arial"/>
                <w:b/>
              </w:rPr>
              <w:t xml:space="preserve">Filles </w:t>
            </w:r>
          </w:p>
        </w:tc>
        <w:tc>
          <w:tcPr>
            <w:tcW w:w="3170" w:type="dxa"/>
          </w:tcPr>
          <w:p w:rsidR="009A4DF8" w:rsidRPr="00F801C6" w:rsidRDefault="009A4DF8" w:rsidP="001B4E2D">
            <w:pPr>
              <w:spacing w:after="0" w:line="240" w:lineRule="auto"/>
              <w:rPr>
                <w:rFonts w:ascii="Arial" w:hAnsi="Arial" w:cs="Arial"/>
              </w:rPr>
            </w:pPr>
            <w:r w:rsidRPr="00F801C6">
              <w:rPr>
                <w:rFonts w:ascii="Arial" w:hAnsi="Arial" w:cs="Arial"/>
              </w:rPr>
              <w:t>64,5</w:t>
            </w:r>
          </w:p>
        </w:tc>
        <w:tc>
          <w:tcPr>
            <w:tcW w:w="3732" w:type="dxa"/>
          </w:tcPr>
          <w:p w:rsidR="009A4DF8" w:rsidRPr="00F801C6" w:rsidRDefault="009A4DF8" w:rsidP="001B4E2D">
            <w:pPr>
              <w:spacing w:after="0" w:line="240" w:lineRule="auto"/>
              <w:rPr>
                <w:rFonts w:ascii="Arial" w:hAnsi="Arial" w:cs="Arial"/>
              </w:rPr>
            </w:pPr>
            <w:r w:rsidRPr="00F801C6">
              <w:rPr>
                <w:rFonts w:ascii="Arial" w:hAnsi="Arial" w:cs="Arial"/>
              </w:rPr>
              <w:t>54,8</w:t>
            </w:r>
          </w:p>
        </w:tc>
      </w:tr>
      <w:tr w:rsidR="009A4DF8" w:rsidRPr="003D6B2B" w:rsidTr="00F801C6">
        <w:trPr>
          <w:trHeight w:val="224"/>
        </w:trPr>
        <w:tc>
          <w:tcPr>
            <w:tcW w:w="3228" w:type="dxa"/>
          </w:tcPr>
          <w:p w:rsidR="009A4DF8" w:rsidRPr="003D6B2B" w:rsidRDefault="009A4DF8" w:rsidP="001B4E2D">
            <w:pPr>
              <w:spacing w:after="0" w:line="240" w:lineRule="auto"/>
              <w:rPr>
                <w:rFonts w:ascii="Arial" w:hAnsi="Arial" w:cs="Arial"/>
                <w:b/>
              </w:rPr>
            </w:pPr>
            <w:r w:rsidRPr="003D6B2B">
              <w:rPr>
                <w:rFonts w:ascii="Arial" w:hAnsi="Arial" w:cs="Arial"/>
                <w:b/>
              </w:rPr>
              <w:t>Garçons</w:t>
            </w:r>
          </w:p>
        </w:tc>
        <w:tc>
          <w:tcPr>
            <w:tcW w:w="3170" w:type="dxa"/>
          </w:tcPr>
          <w:p w:rsidR="009A4DF8" w:rsidRPr="00F801C6" w:rsidRDefault="009A4DF8" w:rsidP="001B4E2D">
            <w:pPr>
              <w:spacing w:after="0" w:line="240" w:lineRule="auto"/>
              <w:rPr>
                <w:rFonts w:ascii="Arial" w:hAnsi="Arial" w:cs="Arial"/>
              </w:rPr>
            </w:pPr>
            <w:r w:rsidRPr="00F801C6">
              <w:rPr>
                <w:rFonts w:ascii="Arial" w:hAnsi="Arial" w:cs="Arial"/>
              </w:rPr>
              <w:t>77,4</w:t>
            </w:r>
          </w:p>
        </w:tc>
        <w:tc>
          <w:tcPr>
            <w:tcW w:w="3732" w:type="dxa"/>
          </w:tcPr>
          <w:p w:rsidR="009A4DF8" w:rsidRPr="00F801C6" w:rsidRDefault="009A4DF8" w:rsidP="001B4E2D">
            <w:pPr>
              <w:spacing w:after="0" w:line="240" w:lineRule="auto"/>
              <w:rPr>
                <w:rFonts w:ascii="Arial" w:hAnsi="Arial" w:cs="Arial"/>
              </w:rPr>
            </w:pPr>
            <w:r w:rsidRPr="00F801C6">
              <w:rPr>
                <w:rFonts w:ascii="Arial" w:hAnsi="Arial" w:cs="Arial"/>
              </w:rPr>
              <w:t>68,8</w:t>
            </w:r>
          </w:p>
        </w:tc>
      </w:tr>
      <w:tr w:rsidR="009A4DF8" w:rsidRPr="00F801C6" w:rsidTr="00F801C6">
        <w:trPr>
          <w:trHeight w:val="238"/>
        </w:trPr>
        <w:tc>
          <w:tcPr>
            <w:tcW w:w="3228" w:type="dxa"/>
            <w:shd w:val="clear" w:color="auto" w:fill="808080" w:themeFill="background1" w:themeFillShade="80"/>
          </w:tcPr>
          <w:p w:rsidR="009A4DF8" w:rsidRPr="00F801C6" w:rsidRDefault="009A4DF8" w:rsidP="001B4E2D">
            <w:pPr>
              <w:spacing w:after="0" w:line="240" w:lineRule="auto"/>
              <w:rPr>
                <w:rFonts w:ascii="Arial" w:hAnsi="Arial" w:cs="Arial"/>
                <w:b/>
              </w:rPr>
            </w:pPr>
            <w:r w:rsidRPr="00F801C6">
              <w:rPr>
                <w:rFonts w:ascii="Arial" w:hAnsi="Arial" w:cs="Arial"/>
                <w:b/>
              </w:rPr>
              <w:t>Ensemble</w:t>
            </w:r>
          </w:p>
        </w:tc>
        <w:tc>
          <w:tcPr>
            <w:tcW w:w="3170" w:type="dxa"/>
            <w:shd w:val="clear" w:color="auto" w:fill="808080" w:themeFill="background1" w:themeFillShade="80"/>
          </w:tcPr>
          <w:p w:rsidR="009A4DF8" w:rsidRPr="00F801C6" w:rsidRDefault="009A4DF8" w:rsidP="001B4E2D">
            <w:pPr>
              <w:spacing w:after="0" w:line="240" w:lineRule="auto"/>
              <w:rPr>
                <w:rFonts w:ascii="Arial" w:hAnsi="Arial" w:cs="Arial"/>
                <w:b/>
              </w:rPr>
            </w:pPr>
            <w:r w:rsidRPr="00F801C6">
              <w:rPr>
                <w:rFonts w:ascii="Arial" w:hAnsi="Arial" w:cs="Arial"/>
                <w:b/>
              </w:rPr>
              <w:t>72,4</w:t>
            </w:r>
          </w:p>
        </w:tc>
        <w:tc>
          <w:tcPr>
            <w:tcW w:w="3732" w:type="dxa"/>
            <w:shd w:val="clear" w:color="auto" w:fill="808080" w:themeFill="background1" w:themeFillShade="80"/>
          </w:tcPr>
          <w:p w:rsidR="009A4DF8" w:rsidRPr="00F801C6" w:rsidRDefault="009A4DF8" w:rsidP="001B4E2D">
            <w:pPr>
              <w:spacing w:after="0" w:line="240" w:lineRule="auto"/>
              <w:rPr>
                <w:rFonts w:ascii="Arial" w:hAnsi="Arial" w:cs="Arial"/>
                <w:b/>
              </w:rPr>
            </w:pPr>
            <w:r w:rsidRPr="00F801C6">
              <w:rPr>
                <w:rFonts w:ascii="Arial" w:hAnsi="Arial" w:cs="Arial"/>
                <w:b/>
              </w:rPr>
              <w:t>63,2</w:t>
            </w:r>
          </w:p>
        </w:tc>
      </w:tr>
      <w:tr w:rsidR="009A4DF8" w:rsidRPr="00F801C6" w:rsidTr="00F801C6">
        <w:trPr>
          <w:trHeight w:val="238"/>
        </w:trPr>
        <w:tc>
          <w:tcPr>
            <w:tcW w:w="10131" w:type="dxa"/>
            <w:gridSpan w:val="3"/>
            <w:shd w:val="clear" w:color="auto" w:fill="D9D9D9" w:themeFill="background1" w:themeFillShade="D9"/>
          </w:tcPr>
          <w:p w:rsidR="009A4DF8" w:rsidRPr="003D6B2B" w:rsidRDefault="009A4DF8" w:rsidP="001B4E2D">
            <w:pPr>
              <w:spacing w:after="0" w:line="240" w:lineRule="auto"/>
              <w:jc w:val="center"/>
              <w:rPr>
                <w:rFonts w:ascii="Arial" w:hAnsi="Arial" w:cs="Arial"/>
                <w:b/>
              </w:rPr>
            </w:pPr>
            <w:r w:rsidRPr="003D6B2B">
              <w:rPr>
                <w:rFonts w:ascii="Arial" w:hAnsi="Arial" w:cs="Arial"/>
                <w:b/>
              </w:rPr>
              <w:t>Effectif des étudiants par sexe et par statut</w:t>
            </w:r>
          </w:p>
        </w:tc>
      </w:tr>
      <w:tr w:rsidR="009A4DF8" w:rsidRPr="003D6B2B" w:rsidTr="00F801C6">
        <w:trPr>
          <w:trHeight w:val="238"/>
        </w:trPr>
        <w:tc>
          <w:tcPr>
            <w:tcW w:w="3228" w:type="dxa"/>
          </w:tcPr>
          <w:p w:rsidR="009A4DF8" w:rsidRPr="003D6B2B" w:rsidRDefault="009A4DF8" w:rsidP="001B4E2D">
            <w:pPr>
              <w:spacing w:after="0" w:line="240" w:lineRule="auto"/>
              <w:rPr>
                <w:rFonts w:ascii="Arial" w:hAnsi="Arial" w:cs="Arial"/>
                <w:b/>
              </w:rPr>
            </w:pPr>
            <w:r w:rsidRPr="003D6B2B">
              <w:rPr>
                <w:rFonts w:ascii="Arial" w:hAnsi="Arial" w:cs="Arial"/>
                <w:b/>
              </w:rPr>
              <w:t xml:space="preserve">Filles </w:t>
            </w:r>
          </w:p>
        </w:tc>
        <w:tc>
          <w:tcPr>
            <w:tcW w:w="3170" w:type="dxa"/>
          </w:tcPr>
          <w:p w:rsidR="009A4DF8" w:rsidRPr="00F801C6" w:rsidRDefault="009A4DF8" w:rsidP="001B4E2D">
            <w:pPr>
              <w:spacing w:after="0" w:line="240" w:lineRule="auto"/>
              <w:rPr>
                <w:rFonts w:ascii="Arial" w:hAnsi="Arial" w:cs="Arial"/>
              </w:rPr>
            </w:pPr>
            <w:r w:rsidRPr="00F801C6">
              <w:rPr>
                <w:rFonts w:ascii="Arial" w:hAnsi="Arial" w:cs="Arial"/>
              </w:rPr>
              <w:t>28 166</w:t>
            </w:r>
          </w:p>
        </w:tc>
        <w:tc>
          <w:tcPr>
            <w:tcW w:w="3732" w:type="dxa"/>
          </w:tcPr>
          <w:p w:rsidR="009A4DF8" w:rsidRPr="00F801C6" w:rsidRDefault="009A4DF8" w:rsidP="001B4E2D">
            <w:pPr>
              <w:spacing w:after="0" w:line="240" w:lineRule="auto"/>
              <w:rPr>
                <w:rFonts w:ascii="Arial" w:hAnsi="Arial" w:cs="Arial"/>
              </w:rPr>
            </w:pPr>
            <w:r w:rsidRPr="00F801C6">
              <w:rPr>
                <w:rFonts w:ascii="Arial" w:hAnsi="Arial" w:cs="Arial"/>
              </w:rPr>
              <w:t>31 468</w:t>
            </w:r>
          </w:p>
        </w:tc>
      </w:tr>
      <w:tr w:rsidR="009A4DF8" w:rsidRPr="003D6B2B" w:rsidTr="00F801C6">
        <w:trPr>
          <w:trHeight w:val="238"/>
        </w:trPr>
        <w:tc>
          <w:tcPr>
            <w:tcW w:w="3228" w:type="dxa"/>
          </w:tcPr>
          <w:p w:rsidR="009A4DF8" w:rsidRPr="003D6B2B" w:rsidRDefault="009A4DF8" w:rsidP="001B4E2D">
            <w:pPr>
              <w:spacing w:after="0" w:line="240" w:lineRule="auto"/>
              <w:rPr>
                <w:rFonts w:ascii="Arial" w:hAnsi="Arial" w:cs="Arial"/>
                <w:b/>
              </w:rPr>
            </w:pPr>
            <w:r w:rsidRPr="003D6B2B">
              <w:rPr>
                <w:rFonts w:ascii="Arial" w:hAnsi="Arial" w:cs="Arial"/>
                <w:b/>
              </w:rPr>
              <w:t>Garçons</w:t>
            </w:r>
          </w:p>
        </w:tc>
        <w:tc>
          <w:tcPr>
            <w:tcW w:w="3170" w:type="dxa"/>
          </w:tcPr>
          <w:p w:rsidR="009A4DF8" w:rsidRPr="00F801C6" w:rsidRDefault="009A4DF8" w:rsidP="001B4E2D">
            <w:pPr>
              <w:spacing w:after="0" w:line="240" w:lineRule="auto"/>
              <w:rPr>
                <w:rFonts w:ascii="Arial" w:hAnsi="Arial" w:cs="Arial"/>
              </w:rPr>
            </w:pPr>
            <w:r w:rsidRPr="00F801C6">
              <w:rPr>
                <w:rFonts w:ascii="Arial" w:hAnsi="Arial" w:cs="Arial"/>
              </w:rPr>
              <w:t>55 432</w:t>
            </w:r>
          </w:p>
        </w:tc>
        <w:tc>
          <w:tcPr>
            <w:tcW w:w="3732" w:type="dxa"/>
          </w:tcPr>
          <w:p w:rsidR="009A4DF8" w:rsidRPr="00F801C6" w:rsidRDefault="009A4DF8" w:rsidP="001B4E2D">
            <w:pPr>
              <w:spacing w:after="0" w:line="240" w:lineRule="auto"/>
              <w:rPr>
                <w:rFonts w:ascii="Arial" w:hAnsi="Arial" w:cs="Arial"/>
              </w:rPr>
            </w:pPr>
            <w:r w:rsidRPr="00F801C6">
              <w:rPr>
                <w:rFonts w:ascii="Arial" w:hAnsi="Arial" w:cs="Arial"/>
              </w:rPr>
              <w:t>63 260</w:t>
            </w:r>
          </w:p>
        </w:tc>
      </w:tr>
      <w:tr w:rsidR="009A4DF8" w:rsidRPr="00F801C6" w:rsidTr="00F801C6">
        <w:trPr>
          <w:trHeight w:val="224"/>
        </w:trPr>
        <w:tc>
          <w:tcPr>
            <w:tcW w:w="3228" w:type="dxa"/>
            <w:shd w:val="clear" w:color="auto" w:fill="808080" w:themeFill="background1" w:themeFillShade="80"/>
          </w:tcPr>
          <w:p w:rsidR="009A4DF8" w:rsidRPr="00F801C6" w:rsidRDefault="009A4DF8" w:rsidP="001B4E2D">
            <w:pPr>
              <w:spacing w:after="0" w:line="240" w:lineRule="auto"/>
              <w:rPr>
                <w:rFonts w:ascii="Arial" w:hAnsi="Arial" w:cs="Arial"/>
                <w:b/>
              </w:rPr>
            </w:pPr>
            <w:r w:rsidRPr="00F801C6">
              <w:rPr>
                <w:rFonts w:ascii="Arial" w:hAnsi="Arial" w:cs="Arial"/>
                <w:b/>
              </w:rPr>
              <w:t>Ensemble</w:t>
            </w:r>
          </w:p>
        </w:tc>
        <w:tc>
          <w:tcPr>
            <w:tcW w:w="3170" w:type="dxa"/>
            <w:shd w:val="clear" w:color="auto" w:fill="808080" w:themeFill="background1" w:themeFillShade="80"/>
          </w:tcPr>
          <w:p w:rsidR="009A4DF8" w:rsidRPr="00F801C6" w:rsidRDefault="009A4DF8" w:rsidP="001B4E2D">
            <w:pPr>
              <w:spacing w:after="0" w:line="240" w:lineRule="auto"/>
              <w:rPr>
                <w:rFonts w:ascii="Arial" w:hAnsi="Arial" w:cs="Arial"/>
                <w:b/>
              </w:rPr>
            </w:pPr>
            <w:r w:rsidRPr="00F801C6">
              <w:rPr>
                <w:rFonts w:ascii="Arial" w:hAnsi="Arial" w:cs="Arial"/>
                <w:b/>
              </w:rPr>
              <w:t>83 598</w:t>
            </w:r>
          </w:p>
        </w:tc>
        <w:tc>
          <w:tcPr>
            <w:tcW w:w="3732" w:type="dxa"/>
            <w:shd w:val="clear" w:color="auto" w:fill="808080" w:themeFill="background1" w:themeFillShade="80"/>
          </w:tcPr>
          <w:p w:rsidR="009A4DF8" w:rsidRPr="00F801C6" w:rsidRDefault="009A4DF8" w:rsidP="001B4E2D">
            <w:pPr>
              <w:spacing w:after="0" w:line="240" w:lineRule="auto"/>
              <w:rPr>
                <w:rFonts w:ascii="Arial" w:hAnsi="Arial" w:cs="Arial"/>
                <w:b/>
              </w:rPr>
            </w:pPr>
            <w:r w:rsidRPr="00F801C6">
              <w:rPr>
                <w:rFonts w:ascii="Arial" w:hAnsi="Arial" w:cs="Arial"/>
                <w:b/>
              </w:rPr>
              <w:t>94 728</w:t>
            </w:r>
          </w:p>
        </w:tc>
      </w:tr>
      <w:tr w:rsidR="009A4DF8" w:rsidRPr="003D6B2B" w:rsidTr="00F801C6">
        <w:trPr>
          <w:trHeight w:val="238"/>
        </w:trPr>
        <w:tc>
          <w:tcPr>
            <w:tcW w:w="3228" w:type="dxa"/>
          </w:tcPr>
          <w:p w:rsidR="009A4DF8" w:rsidRPr="003D6B2B" w:rsidRDefault="009A4DF8" w:rsidP="001B4E2D">
            <w:pPr>
              <w:spacing w:after="0" w:line="240" w:lineRule="auto"/>
              <w:rPr>
                <w:rFonts w:ascii="Arial" w:hAnsi="Arial" w:cs="Arial"/>
                <w:b/>
              </w:rPr>
            </w:pPr>
            <w:r w:rsidRPr="003D6B2B">
              <w:rPr>
                <w:rFonts w:ascii="Arial" w:hAnsi="Arial" w:cs="Arial"/>
                <w:b/>
              </w:rPr>
              <w:t>Public</w:t>
            </w:r>
          </w:p>
        </w:tc>
        <w:tc>
          <w:tcPr>
            <w:tcW w:w="3170" w:type="dxa"/>
          </w:tcPr>
          <w:p w:rsidR="009A4DF8" w:rsidRPr="00F801C6" w:rsidRDefault="009A4DF8" w:rsidP="001B4E2D">
            <w:pPr>
              <w:spacing w:after="0" w:line="240" w:lineRule="auto"/>
              <w:rPr>
                <w:rFonts w:ascii="Arial" w:hAnsi="Arial" w:cs="Arial"/>
              </w:rPr>
            </w:pPr>
            <w:r w:rsidRPr="00F801C6">
              <w:rPr>
                <w:rFonts w:ascii="Arial" w:hAnsi="Arial" w:cs="Arial"/>
              </w:rPr>
              <w:t>64 477</w:t>
            </w:r>
          </w:p>
        </w:tc>
        <w:tc>
          <w:tcPr>
            <w:tcW w:w="3732" w:type="dxa"/>
          </w:tcPr>
          <w:p w:rsidR="009A4DF8" w:rsidRPr="00F801C6" w:rsidRDefault="009A4DF8" w:rsidP="001B4E2D">
            <w:pPr>
              <w:spacing w:after="0" w:line="240" w:lineRule="auto"/>
              <w:rPr>
                <w:rFonts w:ascii="Arial" w:hAnsi="Arial" w:cs="Arial"/>
              </w:rPr>
            </w:pPr>
            <w:r w:rsidRPr="00F801C6">
              <w:rPr>
                <w:rFonts w:ascii="Arial" w:hAnsi="Arial" w:cs="Arial"/>
              </w:rPr>
              <w:t>71 501</w:t>
            </w:r>
          </w:p>
        </w:tc>
      </w:tr>
      <w:tr w:rsidR="009A4DF8" w:rsidRPr="003D6B2B" w:rsidTr="00F801C6">
        <w:trPr>
          <w:trHeight w:val="224"/>
        </w:trPr>
        <w:tc>
          <w:tcPr>
            <w:tcW w:w="3228" w:type="dxa"/>
          </w:tcPr>
          <w:p w:rsidR="009A4DF8" w:rsidRPr="003D6B2B" w:rsidRDefault="009A4DF8" w:rsidP="001B4E2D">
            <w:pPr>
              <w:spacing w:after="0" w:line="240" w:lineRule="auto"/>
              <w:rPr>
                <w:rFonts w:ascii="Arial" w:hAnsi="Arial" w:cs="Arial"/>
                <w:b/>
              </w:rPr>
            </w:pPr>
            <w:r w:rsidRPr="003D6B2B">
              <w:rPr>
                <w:rFonts w:ascii="Arial" w:hAnsi="Arial" w:cs="Arial"/>
                <w:b/>
              </w:rPr>
              <w:t>Privé</w:t>
            </w:r>
          </w:p>
        </w:tc>
        <w:tc>
          <w:tcPr>
            <w:tcW w:w="3170" w:type="dxa"/>
          </w:tcPr>
          <w:p w:rsidR="009A4DF8" w:rsidRPr="00F801C6" w:rsidRDefault="009A4DF8" w:rsidP="001B4E2D">
            <w:pPr>
              <w:spacing w:after="0" w:line="240" w:lineRule="auto"/>
              <w:rPr>
                <w:rFonts w:ascii="Arial" w:hAnsi="Arial" w:cs="Arial"/>
              </w:rPr>
            </w:pPr>
            <w:r w:rsidRPr="00F801C6">
              <w:rPr>
                <w:rFonts w:ascii="Arial" w:hAnsi="Arial" w:cs="Arial"/>
              </w:rPr>
              <w:t>19 121</w:t>
            </w:r>
          </w:p>
        </w:tc>
        <w:tc>
          <w:tcPr>
            <w:tcW w:w="3732" w:type="dxa"/>
          </w:tcPr>
          <w:p w:rsidR="009A4DF8" w:rsidRPr="00F801C6" w:rsidRDefault="009A4DF8" w:rsidP="001B4E2D">
            <w:pPr>
              <w:spacing w:after="0" w:line="240" w:lineRule="auto"/>
              <w:rPr>
                <w:rFonts w:ascii="Arial" w:hAnsi="Arial" w:cs="Arial"/>
              </w:rPr>
            </w:pPr>
            <w:r w:rsidRPr="00F801C6">
              <w:rPr>
                <w:rFonts w:ascii="Arial" w:hAnsi="Arial" w:cs="Arial"/>
              </w:rPr>
              <w:t>23 227</w:t>
            </w:r>
          </w:p>
        </w:tc>
      </w:tr>
      <w:tr w:rsidR="009A4DF8" w:rsidRPr="00F801C6" w:rsidTr="00F801C6">
        <w:trPr>
          <w:trHeight w:val="224"/>
        </w:trPr>
        <w:tc>
          <w:tcPr>
            <w:tcW w:w="10131" w:type="dxa"/>
            <w:gridSpan w:val="3"/>
            <w:shd w:val="clear" w:color="auto" w:fill="D9D9D9" w:themeFill="background1" w:themeFillShade="D9"/>
          </w:tcPr>
          <w:p w:rsidR="009A4DF8" w:rsidRPr="003D6B2B" w:rsidRDefault="009A4DF8" w:rsidP="001B4E2D">
            <w:pPr>
              <w:spacing w:after="0" w:line="240" w:lineRule="auto"/>
              <w:jc w:val="center"/>
              <w:rPr>
                <w:rFonts w:ascii="Arial" w:hAnsi="Arial" w:cs="Arial"/>
                <w:b/>
              </w:rPr>
            </w:pPr>
            <w:r w:rsidRPr="003D6B2B">
              <w:rPr>
                <w:rFonts w:ascii="Arial" w:hAnsi="Arial" w:cs="Arial"/>
                <w:b/>
              </w:rPr>
              <w:t>Nombre d’étudiants pour cent mille habitants</w:t>
            </w:r>
          </w:p>
        </w:tc>
      </w:tr>
      <w:tr w:rsidR="009A4DF8" w:rsidRPr="003D6B2B" w:rsidTr="00F801C6">
        <w:trPr>
          <w:trHeight w:val="224"/>
        </w:trPr>
        <w:tc>
          <w:tcPr>
            <w:tcW w:w="3228" w:type="dxa"/>
          </w:tcPr>
          <w:p w:rsidR="009A4DF8" w:rsidRPr="003D6B2B" w:rsidRDefault="009A4DF8" w:rsidP="001B4E2D">
            <w:pPr>
              <w:spacing w:after="0" w:line="240" w:lineRule="auto"/>
              <w:rPr>
                <w:rFonts w:ascii="Arial" w:hAnsi="Arial" w:cs="Arial"/>
                <w:b/>
              </w:rPr>
            </w:pPr>
            <w:r w:rsidRPr="003D6B2B">
              <w:rPr>
                <w:rFonts w:ascii="Arial" w:hAnsi="Arial" w:cs="Arial"/>
                <w:b/>
              </w:rPr>
              <w:t>Féminin</w:t>
            </w:r>
          </w:p>
        </w:tc>
        <w:tc>
          <w:tcPr>
            <w:tcW w:w="3170" w:type="dxa"/>
          </w:tcPr>
          <w:p w:rsidR="009A4DF8" w:rsidRPr="00F801C6" w:rsidRDefault="009A4DF8" w:rsidP="001B4E2D">
            <w:pPr>
              <w:spacing w:after="0" w:line="240" w:lineRule="auto"/>
              <w:rPr>
                <w:rFonts w:ascii="Arial" w:hAnsi="Arial" w:cs="Arial"/>
              </w:rPr>
            </w:pPr>
            <w:r w:rsidRPr="00F801C6">
              <w:rPr>
                <w:rFonts w:ascii="Arial" w:hAnsi="Arial" w:cs="Arial"/>
              </w:rPr>
              <w:t>304</w:t>
            </w:r>
          </w:p>
        </w:tc>
        <w:tc>
          <w:tcPr>
            <w:tcW w:w="3732" w:type="dxa"/>
          </w:tcPr>
          <w:p w:rsidR="009A4DF8" w:rsidRPr="00F801C6" w:rsidRDefault="009A4DF8" w:rsidP="001B4E2D">
            <w:pPr>
              <w:spacing w:after="0" w:line="240" w:lineRule="auto"/>
              <w:rPr>
                <w:rFonts w:ascii="Arial" w:hAnsi="Arial" w:cs="Arial"/>
              </w:rPr>
            </w:pPr>
            <w:r w:rsidRPr="00F801C6">
              <w:rPr>
                <w:rFonts w:ascii="Arial" w:hAnsi="Arial" w:cs="Arial"/>
              </w:rPr>
              <w:t>330</w:t>
            </w:r>
          </w:p>
        </w:tc>
      </w:tr>
      <w:tr w:rsidR="009A4DF8" w:rsidRPr="003D6B2B" w:rsidTr="00F801C6">
        <w:trPr>
          <w:trHeight w:val="238"/>
        </w:trPr>
        <w:tc>
          <w:tcPr>
            <w:tcW w:w="3228" w:type="dxa"/>
          </w:tcPr>
          <w:p w:rsidR="009A4DF8" w:rsidRPr="003D6B2B" w:rsidRDefault="009A4DF8" w:rsidP="001B4E2D">
            <w:pPr>
              <w:spacing w:after="0" w:line="240" w:lineRule="auto"/>
              <w:rPr>
                <w:rFonts w:ascii="Arial" w:hAnsi="Arial" w:cs="Arial"/>
                <w:b/>
              </w:rPr>
            </w:pPr>
            <w:r w:rsidRPr="003D6B2B">
              <w:rPr>
                <w:rFonts w:ascii="Arial" w:hAnsi="Arial" w:cs="Arial"/>
                <w:b/>
              </w:rPr>
              <w:t>Masculin</w:t>
            </w:r>
          </w:p>
        </w:tc>
        <w:tc>
          <w:tcPr>
            <w:tcW w:w="3170" w:type="dxa"/>
          </w:tcPr>
          <w:p w:rsidR="009A4DF8" w:rsidRPr="00F801C6" w:rsidRDefault="009A4DF8" w:rsidP="001B4E2D">
            <w:pPr>
              <w:spacing w:after="0" w:line="240" w:lineRule="auto"/>
              <w:rPr>
                <w:rFonts w:ascii="Arial" w:hAnsi="Arial" w:cs="Arial"/>
              </w:rPr>
            </w:pPr>
            <w:r w:rsidRPr="00F801C6">
              <w:rPr>
                <w:rFonts w:ascii="Arial" w:hAnsi="Arial" w:cs="Arial"/>
              </w:rPr>
              <w:t>642</w:t>
            </w:r>
          </w:p>
        </w:tc>
        <w:tc>
          <w:tcPr>
            <w:tcW w:w="3732" w:type="dxa"/>
          </w:tcPr>
          <w:p w:rsidR="009A4DF8" w:rsidRPr="00F801C6" w:rsidRDefault="009A4DF8" w:rsidP="001B4E2D">
            <w:pPr>
              <w:spacing w:after="0" w:line="240" w:lineRule="auto"/>
              <w:rPr>
                <w:rFonts w:ascii="Arial" w:hAnsi="Arial" w:cs="Arial"/>
              </w:rPr>
            </w:pPr>
            <w:r w:rsidRPr="00F801C6">
              <w:rPr>
                <w:rFonts w:ascii="Arial" w:hAnsi="Arial" w:cs="Arial"/>
              </w:rPr>
              <w:t>710</w:t>
            </w:r>
          </w:p>
        </w:tc>
      </w:tr>
      <w:tr w:rsidR="009A4DF8" w:rsidRPr="003D6B2B" w:rsidTr="00F801C6">
        <w:trPr>
          <w:trHeight w:val="238"/>
        </w:trPr>
        <w:tc>
          <w:tcPr>
            <w:tcW w:w="3228" w:type="dxa"/>
            <w:shd w:val="clear" w:color="auto" w:fill="808080" w:themeFill="background1" w:themeFillShade="80"/>
          </w:tcPr>
          <w:p w:rsidR="009A4DF8" w:rsidRPr="003D6B2B" w:rsidRDefault="009A4DF8" w:rsidP="001B4E2D">
            <w:pPr>
              <w:spacing w:after="0" w:line="240" w:lineRule="auto"/>
              <w:rPr>
                <w:rFonts w:ascii="Arial" w:hAnsi="Arial" w:cs="Arial"/>
                <w:b/>
              </w:rPr>
            </w:pPr>
            <w:r w:rsidRPr="003D6B2B">
              <w:rPr>
                <w:rFonts w:ascii="Arial" w:hAnsi="Arial" w:cs="Arial"/>
                <w:b/>
              </w:rPr>
              <w:t>Ensemble</w:t>
            </w:r>
          </w:p>
        </w:tc>
        <w:tc>
          <w:tcPr>
            <w:tcW w:w="3170" w:type="dxa"/>
            <w:shd w:val="clear" w:color="auto" w:fill="808080" w:themeFill="background1" w:themeFillShade="80"/>
          </w:tcPr>
          <w:p w:rsidR="009A4DF8" w:rsidRPr="003D6B2B" w:rsidRDefault="009A4DF8" w:rsidP="001B4E2D">
            <w:pPr>
              <w:spacing w:after="0" w:line="240" w:lineRule="auto"/>
              <w:rPr>
                <w:rFonts w:ascii="Arial" w:hAnsi="Arial" w:cs="Arial"/>
                <w:b/>
              </w:rPr>
            </w:pPr>
            <w:r w:rsidRPr="003D6B2B">
              <w:rPr>
                <w:rFonts w:ascii="Arial" w:hAnsi="Arial" w:cs="Arial"/>
                <w:b/>
              </w:rPr>
              <w:t>468</w:t>
            </w:r>
          </w:p>
        </w:tc>
        <w:tc>
          <w:tcPr>
            <w:tcW w:w="3732" w:type="dxa"/>
            <w:shd w:val="clear" w:color="auto" w:fill="808080" w:themeFill="background1" w:themeFillShade="80"/>
          </w:tcPr>
          <w:p w:rsidR="009A4DF8" w:rsidRPr="003D6B2B" w:rsidRDefault="009A4DF8" w:rsidP="001B4E2D">
            <w:pPr>
              <w:spacing w:after="0" w:line="240" w:lineRule="auto"/>
              <w:rPr>
                <w:rFonts w:ascii="Arial" w:hAnsi="Arial" w:cs="Arial"/>
                <w:b/>
              </w:rPr>
            </w:pPr>
            <w:r w:rsidRPr="003D6B2B">
              <w:rPr>
                <w:rFonts w:ascii="Arial" w:hAnsi="Arial" w:cs="Arial"/>
                <w:b/>
              </w:rPr>
              <w:t>513</w:t>
            </w:r>
          </w:p>
        </w:tc>
      </w:tr>
    </w:tbl>
    <w:p w:rsidR="009A4DF8" w:rsidRPr="00FE1D6A" w:rsidRDefault="009A4DF8" w:rsidP="00F679D8">
      <w:pPr>
        <w:tabs>
          <w:tab w:val="left" w:pos="2715"/>
        </w:tabs>
        <w:jc w:val="both"/>
        <w:rPr>
          <w:rFonts w:ascii="Arial" w:hAnsi="Arial" w:cs="Arial"/>
          <w:b/>
          <w:i/>
          <w:sz w:val="20"/>
          <w:szCs w:val="20"/>
        </w:rPr>
      </w:pPr>
      <w:r w:rsidRPr="00D76F44">
        <w:rPr>
          <w:rFonts w:ascii="Arial" w:hAnsi="Arial" w:cs="Arial"/>
          <w:b/>
          <w:i/>
          <w:sz w:val="20"/>
          <w:szCs w:val="20"/>
          <w:u w:val="single"/>
        </w:rPr>
        <w:t>Source :</w:t>
      </w:r>
      <w:r w:rsidRPr="00FE1D6A">
        <w:rPr>
          <w:rFonts w:ascii="Arial" w:hAnsi="Arial" w:cs="Arial"/>
          <w:b/>
          <w:i/>
          <w:sz w:val="20"/>
          <w:szCs w:val="20"/>
        </w:rPr>
        <w:t xml:space="preserve"> MERSI/DGESS, mars 2017</w:t>
      </w:r>
    </w:p>
    <w:p w:rsidR="009A4DF8" w:rsidRPr="00F679D8" w:rsidRDefault="009A4DF8" w:rsidP="00F679D8">
      <w:pPr>
        <w:spacing w:after="120"/>
        <w:jc w:val="both"/>
        <w:rPr>
          <w:rFonts w:ascii="Arial" w:hAnsi="Arial" w:cs="Arial"/>
          <w:b/>
          <w:u w:val="single"/>
        </w:rPr>
      </w:pPr>
      <w:bookmarkStart w:id="98" w:name="_Toc399933230"/>
      <w:bookmarkStart w:id="99" w:name="_Toc424710959"/>
      <w:bookmarkStart w:id="100" w:name="_Toc427009710"/>
      <w:bookmarkStart w:id="101" w:name="_Toc459122797"/>
      <w:r w:rsidRPr="00F679D8">
        <w:rPr>
          <w:rFonts w:ascii="Arial" w:hAnsi="Arial" w:cs="Arial"/>
          <w:b/>
          <w:u w:val="single"/>
        </w:rPr>
        <w:t>L’éducation non formelle</w:t>
      </w:r>
      <w:bookmarkEnd w:id="98"/>
      <w:bookmarkEnd w:id="99"/>
      <w:bookmarkEnd w:id="100"/>
      <w:bookmarkEnd w:id="101"/>
    </w:p>
    <w:p w:rsidR="009A4DF8" w:rsidRPr="00CC49EE" w:rsidRDefault="009A4DF8" w:rsidP="00F679D8">
      <w:pPr>
        <w:spacing w:after="120"/>
        <w:jc w:val="both"/>
        <w:rPr>
          <w:rFonts w:ascii="Arial" w:hAnsi="Arial" w:cs="Arial"/>
        </w:rPr>
      </w:pPr>
      <w:r w:rsidRPr="00CC49EE">
        <w:rPr>
          <w:rFonts w:ascii="Arial" w:hAnsi="Arial" w:cs="Arial"/>
        </w:rPr>
        <w:t xml:space="preserve">En 2016, </w:t>
      </w:r>
      <w:r>
        <w:rPr>
          <w:rFonts w:ascii="Arial" w:hAnsi="Arial" w:cs="Arial"/>
        </w:rPr>
        <w:t xml:space="preserve">on dénombrait </w:t>
      </w:r>
      <w:r w:rsidRPr="00CC49EE">
        <w:rPr>
          <w:rFonts w:ascii="Arial" w:hAnsi="Arial" w:cs="Arial"/>
        </w:rPr>
        <w:t>3</w:t>
      </w:r>
      <w:r>
        <w:rPr>
          <w:rFonts w:ascii="Arial" w:hAnsi="Arial" w:cs="Arial"/>
        </w:rPr>
        <w:t xml:space="preserve"> </w:t>
      </w:r>
      <w:r w:rsidRPr="00CC49EE">
        <w:rPr>
          <w:rFonts w:ascii="Arial" w:hAnsi="Arial" w:cs="Arial"/>
        </w:rPr>
        <w:t>249 centres pour adultes et 209 centres pour adolescents ouverts dans le but d’alphabét</w:t>
      </w:r>
      <w:r>
        <w:rPr>
          <w:rFonts w:ascii="Arial" w:hAnsi="Arial" w:cs="Arial"/>
        </w:rPr>
        <w:t xml:space="preserve">iser les adolescents de 9 à 15 ans </w:t>
      </w:r>
      <w:r w:rsidRPr="00CC49EE">
        <w:rPr>
          <w:rFonts w:ascii="Arial" w:hAnsi="Arial" w:cs="Arial"/>
        </w:rPr>
        <w:t>et les adultes de 16 à 34 ans. Ce nombre est en baisse par rapport à celui de 2015 et de 2014 qui était respectivement de 6</w:t>
      </w:r>
      <w:r>
        <w:rPr>
          <w:rFonts w:ascii="Arial" w:hAnsi="Arial" w:cs="Arial"/>
        </w:rPr>
        <w:t xml:space="preserve"> </w:t>
      </w:r>
      <w:r w:rsidRPr="00CC49EE">
        <w:rPr>
          <w:rFonts w:ascii="Arial" w:hAnsi="Arial" w:cs="Arial"/>
        </w:rPr>
        <w:t>478 et 15</w:t>
      </w:r>
      <w:r>
        <w:rPr>
          <w:rFonts w:ascii="Arial" w:hAnsi="Arial" w:cs="Arial"/>
        </w:rPr>
        <w:t xml:space="preserve"> </w:t>
      </w:r>
      <w:r w:rsidRPr="00CC49EE">
        <w:rPr>
          <w:rFonts w:ascii="Arial" w:hAnsi="Arial" w:cs="Arial"/>
        </w:rPr>
        <w:t xml:space="preserve">332. </w:t>
      </w:r>
    </w:p>
    <w:p w:rsidR="009A4DF8" w:rsidRPr="001B4E2D" w:rsidRDefault="009A4DF8" w:rsidP="00F679D8">
      <w:pPr>
        <w:pStyle w:val="Titre4"/>
        <w:numPr>
          <w:ilvl w:val="0"/>
          <w:numId w:val="138"/>
        </w:numPr>
        <w:spacing w:line="276" w:lineRule="auto"/>
        <w:ind w:left="1701"/>
      </w:pPr>
      <w:bookmarkStart w:id="102" w:name="_Toc492972169"/>
      <w:r w:rsidRPr="001B4E2D">
        <w:t>L’accès aux services de santé</w:t>
      </w:r>
      <w:bookmarkEnd w:id="102"/>
    </w:p>
    <w:p w:rsidR="009A4DF8" w:rsidRPr="00CC49EE" w:rsidRDefault="009A4DF8" w:rsidP="00F679D8">
      <w:pPr>
        <w:spacing w:after="120"/>
        <w:jc w:val="both"/>
        <w:rPr>
          <w:rFonts w:ascii="Arial" w:hAnsi="Arial" w:cs="Arial"/>
        </w:rPr>
      </w:pPr>
      <w:r w:rsidRPr="00CC49EE">
        <w:rPr>
          <w:rFonts w:ascii="Arial" w:hAnsi="Arial" w:cs="Arial"/>
        </w:rPr>
        <w:t xml:space="preserve">En 2016, plusieurs réformes stratégiques et investissements structurants ont été réalisés pour la promotion de la santé des populations et le déclenchement du dividende démographique. </w:t>
      </w:r>
    </w:p>
    <w:p w:rsidR="009A4DF8" w:rsidRPr="00CC49EE" w:rsidRDefault="009A4DF8" w:rsidP="00F679D8">
      <w:pPr>
        <w:spacing w:after="120"/>
        <w:jc w:val="both"/>
        <w:rPr>
          <w:rFonts w:ascii="Arial" w:hAnsi="Arial" w:cs="Arial"/>
        </w:rPr>
      </w:pPr>
      <w:r w:rsidRPr="00CC49EE">
        <w:rPr>
          <w:rFonts w:ascii="Arial" w:hAnsi="Arial" w:cs="Arial"/>
        </w:rPr>
        <w:t>Au niveau des infrastructures et équipements : 24 CSPS ont été transformés en CM ainsi que 4 autres sites en cours de réalisation, 59 CSP</w:t>
      </w:r>
      <w:r>
        <w:rPr>
          <w:rFonts w:ascii="Arial" w:hAnsi="Arial" w:cs="Arial"/>
        </w:rPr>
        <w:t>S ont été construits et équipés,</w:t>
      </w:r>
      <w:r w:rsidRPr="00CC49EE">
        <w:rPr>
          <w:rFonts w:ascii="Arial" w:hAnsi="Arial" w:cs="Arial"/>
        </w:rPr>
        <w:t xml:space="preserve"> 14 CSPS ont été normalisés (913 millions transférés aux communes pour la normalisation) et un centre d’hémodialyse a été construit à Bobo-Dioulasso. De même, les travaux sont en cours pour la construction du centre de cancérologie de Ouagadougou, du Centre de Médecine traditionnelle, des CHR de Ziniaré et de Manga, du CRTS Ouaga. Les dépôts de distribution de produits sanguins (DPD/PS) de Tenkodogo, Ouahigouya, Kaya, Gaoua et Dédougou sont achevés et l’hôpital de district de Bogodogo est ouvert.</w:t>
      </w:r>
    </w:p>
    <w:p w:rsidR="009A4DF8" w:rsidRPr="00CC49EE" w:rsidRDefault="009A4DF8" w:rsidP="00F679D8">
      <w:pPr>
        <w:spacing w:after="120"/>
        <w:jc w:val="both"/>
        <w:rPr>
          <w:rFonts w:ascii="Arial" w:hAnsi="Arial" w:cs="Arial"/>
        </w:rPr>
      </w:pPr>
      <w:r w:rsidRPr="00CC49EE">
        <w:rPr>
          <w:rFonts w:ascii="Arial" w:hAnsi="Arial" w:cs="Arial"/>
        </w:rPr>
        <w:t>En plus des structures publiques, le Burkina Faso compte des structures privées concentrées dans les villes de Ouagadougou et de Bobo-Dioulasso. En 2016, on dénombre 450 structures privées de soins.</w:t>
      </w:r>
    </w:p>
    <w:p w:rsidR="009A4DF8" w:rsidRPr="00CC49EE" w:rsidRDefault="009A4DF8" w:rsidP="00F679D8">
      <w:pPr>
        <w:spacing w:after="120"/>
        <w:jc w:val="both"/>
        <w:rPr>
          <w:rFonts w:ascii="Arial" w:hAnsi="Arial" w:cs="Arial"/>
        </w:rPr>
      </w:pPr>
      <w:r w:rsidRPr="00CC49EE">
        <w:rPr>
          <w:rFonts w:ascii="Arial" w:hAnsi="Arial" w:cs="Arial"/>
        </w:rPr>
        <w:t xml:space="preserve">Les actions entreprises pour la réduction de la mortalité maternelle ont concerné la poursuite des activités contributives à la maternité à moindre risque, la réalisation des consultations prénatales, l’assistance des accouchements par du personnel qualifié, la réalisation des césariennes. Ainsi, le taux d’accouchements assistés par du personnel qualifié est de 80,9% en 2016 contre 83,4% en 2015. Le taux de césarienne a évolué de 2,4% en 2015 à 3,5% en 2016. Concernant les consultations prénatales, le taux de couverture en CPN4 est de 34,5% en 2016 contre 34,1% en 2015. </w:t>
      </w:r>
    </w:p>
    <w:p w:rsidR="009A4DF8" w:rsidRPr="00CC49EE" w:rsidRDefault="009A4DF8" w:rsidP="00F679D8">
      <w:pPr>
        <w:spacing w:after="120"/>
        <w:jc w:val="both"/>
        <w:rPr>
          <w:rFonts w:ascii="Arial" w:hAnsi="Arial" w:cs="Arial"/>
        </w:rPr>
      </w:pPr>
      <w:r w:rsidRPr="00CC49EE">
        <w:rPr>
          <w:rFonts w:ascii="Arial" w:hAnsi="Arial" w:cs="Arial"/>
        </w:rPr>
        <w:t xml:space="preserve">Au niveau du personnel de santé, un accroissement des effectifs </w:t>
      </w:r>
      <w:r>
        <w:rPr>
          <w:rFonts w:ascii="Arial" w:hAnsi="Arial" w:cs="Arial"/>
        </w:rPr>
        <w:t xml:space="preserve">a été </w:t>
      </w:r>
      <w:r w:rsidRPr="00CC49EE">
        <w:rPr>
          <w:rFonts w:ascii="Arial" w:hAnsi="Arial" w:cs="Arial"/>
        </w:rPr>
        <w:t>constaté</w:t>
      </w:r>
      <w:r w:rsidRPr="00E329CB">
        <w:rPr>
          <w:rFonts w:ascii="Arial" w:hAnsi="Arial" w:cs="Arial"/>
        </w:rPr>
        <w:t xml:space="preserve"> </w:t>
      </w:r>
      <w:r w:rsidRPr="00CC49EE">
        <w:rPr>
          <w:rFonts w:ascii="Arial" w:hAnsi="Arial" w:cs="Arial"/>
        </w:rPr>
        <w:t>en 2016. En effet, le nombre de méde</w:t>
      </w:r>
      <w:r>
        <w:rPr>
          <w:rFonts w:ascii="Arial" w:hAnsi="Arial" w:cs="Arial"/>
        </w:rPr>
        <w:t xml:space="preserve">cins généralistes est passé de </w:t>
      </w:r>
      <w:r w:rsidRPr="00CC49EE">
        <w:rPr>
          <w:rFonts w:ascii="Arial" w:hAnsi="Arial" w:cs="Arial"/>
        </w:rPr>
        <w:t>857 à 1</w:t>
      </w:r>
      <w:r>
        <w:rPr>
          <w:rFonts w:ascii="Arial" w:hAnsi="Arial" w:cs="Arial"/>
        </w:rPr>
        <w:t> 202,</w:t>
      </w:r>
      <w:r w:rsidRPr="00CC49EE">
        <w:rPr>
          <w:rFonts w:ascii="Arial" w:hAnsi="Arial" w:cs="Arial"/>
        </w:rPr>
        <w:t xml:space="preserve"> le nombre des Infirmiers diplômés d’Etat a</w:t>
      </w:r>
      <w:r>
        <w:rPr>
          <w:rFonts w:ascii="Arial" w:hAnsi="Arial" w:cs="Arial"/>
        </w:rPr>
        <w:t xml:space="preserve"> </w:t>
      </w:r>
      <w:r w:rsidRPr="00CC49EE">
        <w:rPr>
          <w:rFonts w:ascii="Arial" w:hAnsi="Arial" w:cs="Arial"/>
        </w:rPr>
        <w:t>augmenté de 915 de même que celui des pharmaciens généralistes qui s’est accru de 18.</w:t>
      </w:r>
    </w:p>
    <w:p w:rsidR="009A4DF8" w:rsidRPr="00CC49EE" w:rsidRDefault="009A4DF8" w:rsidP="00F679D8">
      <w:pPr>
        <w:spacing w:after="120"/>
        <w:jc w:val="both"/>
        <w:rPr>
          <w:rFonts w:ascii="Arial" w:hAnsi="Arial" w:cs="Arial"/>
        </w:rPr>
      </w:pPr>
      <w:r w:rsidRPr="00CC49EE">
        <w:rPr>
          <w:rFonts w:ascii="Arial" w:hAnsi="Arial" w:cs="Arial"/>
        </w:rPr>
        <w:lastRenderedPageBreak/>
        <w:t xml:space="preserve">En 2016, les actions en matière de lutte contre le VIH ont permis une baisse de cette prévalence de 0,1 point par rapport au niveau de 2015 qui était de 0,9. La séroprévalence de l’infection a également connu une baisse de 0,1 point en passant de 1,3% à 1,2% en 2016. Paradoxalement, le taux de transmission résiduelle du VIH de la mère à l’enfant a connu une hausse de 5,9% en 2015 à 8,1% en 2016. Pourtant, il n’y a pas un relâchement dans la stratégie de lutte comme le mentionne les indicateurs. </w:t>
      </w:r>
    </w:p>
    <w:p w:rsidR="009A4DF8" w:rsidRPr="00CC49EE" w:rsidRDefault="009A4DF8" w:rsidP="00F679D8">
      <w:pPr>
        <w:widowControl w:val="0"/>
        <w:spacing w:after="120"/>
        <w:jc w:val="both"/>
        <w:rPr>
          <w:rFonts w:ascii="Arial" w:hAnsi="Arial" w:cs="Arial"/>
        </w:rPr>
      </w:pPr>
      <w:r w:rsidRPr="00CC49EE">
        <w:rPr>
          <w:rFonts w:ascii="Arial" w:hAnsi="Arial" w:cs="Arial"/>
        </w:rPr>
        <w:t>Pour l’année 2016, les quantités de prestations de soins ayant été couvertes par la gratuité se répartissent comme suit : 656 422 prestations de soins réalisées au titre des accouchements et des interventions obstétricales ; 2 568 522 de prestations de soins curatifs et préventifs offerts aux femmes enceintes ; 7 068 370 d’épisodes de maladies ont été pris en charge gratuitement à l’endroit des enfants de 0-5 ans ; 8 349 dépistages de lésions précancéreuses du col de l’utérus ont été effectués gratuitement.</w:t>
      </w:r>
      <w:r>
        <w:rPr>
          <w:rFonts w:ascii="Arial" w:hAnsi="Arial" w:cs="Arial"/>
        </w:rPr>
        <w:t xml:space="preserve"> </w:t>
      </w:r>
      <w:r w:rsidRPr="00CC49EE">
        <w:rPr>
          <w:rFonts w:ascii="Arial" w:hAnsi="Arial" w:cs="Arial"/>
        </w:rPr>
        <w:t>La mise en œuvre de cette gratuité a couté au budget de l’Etat environ 22 milliards. A cela s’ajoute les apports financiers, en nature (TDR pour le paludisme, ACT, MILDA) et sous forme d’appui technique (supervisions et suivi sur le terrain) des partenaires.</w:t>
      </w:r>
    </w:p>
    <w:p w:rsidR="009A4DF8" w:rsidRPr="00CC49EE" w:rsidRDefault="009A4DF8" w:rsidP="00F679D8">
      <w:pPr>
        <w:spacing w:after="120"/>
        <w:jc w:val="both"/>
        <w:rPr>
          <w:rFonts w:ascii="Arial" w:hAnsi="Arial" w:cs="Arial"/>
        </w:rPr>
      </w:pPr>
      <w:r w:rsidRPr="00CC49EE">
        <w:rPr>
          <w:rFonts w:ascii="Arial" w:hAnsi="Arial" w:cs="Arial"/>
        </w:rPr>
        <w:t>Les actions entreprises ont permis de faire baisser le taux de létalité du paludisme grave chez les enfants de moins de 5 ans de 0,6 point ; la létalité en 2016 est de 1,4%.</w:t>
      </w:r>
    </w:p>
    <w:p w:rsidR="009A4DF8" w:rsidRPr="00F801C6" w:rsidRDefault="00F801C6" w:rsidP="00F801C6">
      <w:pPr>
        <w:pStyle w:val="Lgende"/>
        <w:rPr>
          <w:color w:val="auto"/>
        </w:rPr>
      </w:pPr>
      <w:bookmarkStart w:id="103" w:name="_Toc492895472"/>
      <w:r w:rsidRPr="00F801C6">
        <w:rPr>
          <w:color w:val="auto"/>
        </w:rPr>
        <w:t xml:space="preserve">Tableau </w:t>
      </w:r>
      <w:r w:rsidRPr="00F801C6">
        <w:rPr>
          <w:color w:val="auto"/>
        </w:rPr>
        <w:fldChar w:fldCharType="begin"/>
      </w:r>
      <w:r w:rsidRPr="00F801C6">
        <w:rPr>
          <w:color w:val="auto"/>
        </w:rPr>
        <w:instrText xml:space="preserve"> SEQ Tableau \* ARABIC </w:instrText>
      </w:r>
      <w:r w:rsidRPr="00F801C6">
        <w:rPr>
          <w:color w:val="auto"/>
        </w:rPr>
        <w:fldChar w:fldCharType="separate"/>
      </w:r>
      <w:r w:rsidR="009A1402">
        <w:rPr>
          <w:noProof/>
          <w:color w:val="auto"/>
        </w:rPr>
        <w:t>4</w:t>
      </w:r>
      <w:r w:rsidRPr="00F801C6">
        <w:rPr>
          <w:color w:val="auto"/>
        </w:rPr>
        <w:fldChar w:fldCharType="end"/>
      </w:r>
      <w:r w:rsidR="009A4DF8" w:rsidRPr="00F801C6">
        <w:rPr>
          <w:color w:val="auto"/>
        </w:rPr>
        <w:t xml:space="preserve"> : </w:t>
      </w:r>
      <w:r w:rsidR="009A4DF8" w:rsidRPr="00F801C6">
        <w:rPr>
          <w:color w:val="auto"/>
          <w:u w:val="none"/>
        </w:rPr>
        <w:t>Principales données statistiques du secteur de la santé en 2015 et 2016</w:t>
      </w:r>
      <w:bookmarkEnd w:id="103"/>
    </w:p>
    <w:tbl>
      <w:tblPr>
        <w:tblW w:w="1006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10" w:type="dxa"/>
          <w:right w:w="10" w:type="dxa"/>
        </w:tblCellMar>
        <w:tblLook w:val="04A0" w:firstRow="1" w:lastRow="0" w:firstColumn="1" w:lastColumn="0" w:noHBand="0" w:noVBand="1"/>
      </w:tblPr>
      <w:tblGrid>
        <w:gridCol w:w="7029"/>
        <w:gridCol w:w="1519"/>
        <w:gridCol w:w="1520"/>
      </w:tblGrid>
      <w:tr w:rsidR="009A4DF8" w:rsidRPr="00E329CB" w:rsidTr="00F679D8">
        <w:trPr>
          <w:trHeight w:val="353"/>
          <w:tblHeader/>
        </w:trPr>
        <w:tc>
          <w:tcPr>
            <w:tcW w:w="7029" w:type="dxa"/>
            <w:tcBorders>
              <w:bottom w:val="nil"/>
              <w:right w:val="single" w:sz="4" w:space="0" w:color="auto"/>
            </w:tcBorders>
            <w:shd w:val="clear" w:color="auto" w:fill="D9D9D9" w:themeFill="background1" w:themeFillShade="D9"/>
          </w:tcPr>
          <w:p w:rsidR="009A4DF8" w:rsidRPr="00E329CB" w:rsidRDefault="009A4DF8" w:rsidP="00742715">
            <w:pPr>
              <w:spacing w:after="0"/>
              <w:jc w:val="both"/>
              <w:rPr>
                <w:rFonts w:ascii="Arial" w:hAnsi="Arial" w:cs="Arial"/>
                <w:sz w:val="20"/>
                <w:szCs w:val="20"/>
              </w:rPr>
            </w:pPr>
          </w:p>
        </w:tc>
        <w:tc>
          <w:tcPr>
            <w:tcW w:w="303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A4DF8" w:rsidRPr="00E329CB" w:rsidRDefault="009A4DF8" w:rsidP="00742715">
            <w:pPr>
              <w:spacing w:after="0"/>
              <w:jc w:val="center"/>
              <w:rPr>
                <w:rFonts w:ascii="Arial" w:hAnsi="Arial" w:cs="Arial"/>
                <w:sz w:val="20"/>
                <w:szCs w:val="20"/>
              </w:rPr>
            </w:pPr>
            <w:r>
              <w:rPr>
                <w:rFonts w:ascii="Arial" w:hAnsi="Arial" w:cs="Arial"/>
                <w:sz w:val="20"/>
                <w:szCs w:val="20"/>
              </w:rPr>
              <w:t xml:space="preserve">Années </w:t>
            </w:r>
          </w:p>
        </w:tc>
      </w:tr>
      <w:tr w:rsidR="009A4DF8" w:rsidRPr="00E329CB" w:rsidTr="00F679D8">
        <w:trPr>
          <w:trHeight w:val="175"/>
          <w:tblHeader/>
        </w:trPr>
        <w:tc>
          <w:tcPr>
            <w:tcW w:w="7029" w:type="dxa"/>
            <w:tcBorders>
              <w:top w:val="nil"/>
            </w:tcBorders>
            <w:shd w:val="clear" w:color="auto" w:fill="D9D9D9" w:themeFill="background1" w:themeFillShade="D9"/>
          </w:tcPr>
          <w:p w:rsidR="009A4DF8" w:rsidRPr="00E329CB" w:rsidRDefault="009A4DF8" w:rsidP="00742715">
            <w:pPr>
              <w:spacing w:after="0"/>
              <w:jc w:val="center"/>
              <w:rPr>
                <w:rFonts w:ascii="Arial" w:hAnsi="Arial" w:cs="Arial"/>
                <w:sz w:val="20"/>
                <w:szCs w:val="20"/>
              </w:rPr>
            </w:pPr>
            <w:r w:rsidRPr="00E329CB">
              <w:rPr>
                <w:rFonts w:ascii="Arial" w:hAnsi="Arial" w:cs="Arial"/>
                <w:sz w:val="20"/>
                <w:szCs w:val="20"/>
              </w:rPr>
              <w:t>Indicateurs</w:t>
            </w:r>
          </w:p>
        </w:tc>
        <w:tc>
          <w:tcPr>
            <w:tcW w:w="1519" w:type="dxa"/>
            <w:tcBorders>
              <w:top w:val="single" w:sz="4" w:space="0" w:color="auto"/>
            </w:tcBorders>
            <w:shd w:val="clear" w:color="auto" w:fill="FFFFFF"/>
          </w:tcPr>
          <w:p w:rsidR="009A4DF8" w:rsidRPr="00E329CB" w:rsidRDefault="009A4DF8" w:rsidP="00742715">
            <w:pPr>
              <w:spacing w:after="0"/>
              <w:jc w:val="both"/>
              <w:rPr>
                <w:rFonts w:ascii="Arial" w:hAnsi="Arial" w:cs="Arial"/>
                <w:b/>
                <w:sz w:val="20"/>
                <w:szCs w:val="20"/>
              </w:rPr>
            </w:pPr>
            <w:r w:rsidRPr="00E329CB">
              <w:rPr>
                <w:rFonts w:ascii="Arial" w:hAnsi="Arial" w:cs="Arial"/>
                <w:b/>
                <w:sz w:val="20"/>
                <w:szCs w:val="20"/>
              </w:rPr>
              <w:t>2015</w:t>
            </w:r>
          </w:p>
        </w:tc>
        <w:tc>
          <w:tcPr>
            <w:tcW w:w="1520" w:type="dxa"/>
            <w:tcBorders>
              <w:top w:val="single" w:sz="4" w:space="0" w:color="auto"/>
            </w:tcBorders>
            <w:shd w:val="clear" w:color="auto" w:fill="FFFFFF"/>
          </w:tcPr>
          <w:p w:rsidR="009A4DF8" w:rsidRPr="00E329CB" w:rsidRDefault="009A4DF8" w:rsidP="00742715">
            <w:pPr>
              <w:spacing w:after="0"/>
              <w:jc w:val="both"/>
              <w:rPr>
                <w:rFonts w:ascii="Arial" w:hAnsi="Arial" w:cs="Arial"/>
                <w:b/>
                <w:sz w:val="20"/>
                <w:szCs w:val="20"/>
              </w:rPr>
            </w:pPr>
            <w:r w:rsidRPr="00E329CB">
              <w:rPr>
                <w:rFonts w:ascii="Arial" w:hAnsi="Arial" w:cs="Arial"/>
                <w:b/>
                <w:sz w:val="20"/>
                <w:szCs w:val="20"/>
              </w:rPr>
              <w:t>2016</w:t>
            </w:r>
          </w:p>
        </w:tc>
      </w:tr>
      <w:tr w:rsidR="009A4DF8" w:rsidRPr="00E329CB" w:rsidTr="00F679D8">
        <w:trPr>
          <w:trHeight w:val="229"/>
        </w:trPr>
        <w:tc>
          <w:tcPr>
            <w:tcW w:w="7029" w:type="dxa"/>
            <w:shd w:val="clear" w:color="auto" w:fill="FFFFFF"/>
          </w:tcPr>
          <w:p w:rsidR="009A4DF8" w:rsidRPr="00E329CB" w:rsidRDefault="009A4DF8" w:rsidP="00742715">
            <w:pPr>
              <w:spacing w:after="0"/>
              <w:jc w:val="both"/>
              <w:rPr>
                <w:rFonts w:ascii="Arial" w:hAnsi="Arial" w:cs="Arial"/>
                <w:sz w:val="20"/>
                <w:szCs w:val="20"/>
              </w:rPr>
            </w:pPr>
            <w:r>
              <w:rPr>
                <w:rFonts w:ascii="Arial" w:hAnsi="Arial" w:cs="Arial"/>
                <w:sz w:val="20"/>
                <w:szCs w:val="20"/>
              </w:rPr>
              <w:t>Nombre d’i</w:t>
            </w:r>
            <w:r w:rsidRPr="00E329CB">
              <w:rPr>
                <w:rFonts w:ascii="Arial" w:hAnsi="Arial" w:cs="Arial"/>
                <w:sz w:val="20"/>
                <w:szCs w:val="20"/>
              </w:rPr>
              <w:t>nfirmiers brevetés</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2 640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2 516</w:t>
            </w:r>
          </w:p>
        </w:tc>
      </w:tr>
      <w:tr w:rsidR="009A4DF8" w:rsidRPr="00E329CB" w:rsidTr="00F679D8">
        <w:trPr>
          <w:trHeight w:val="217"/>
        </w:trPr>
        <w:tc>
          <w:tcPr>
            <w:tcW w:w="7029" w:type="dxa"/>
            <w:shd w:val="clear" w:color="auto" w:fill="FFFFFF"/>
          </w:tcPr>
          <w:p w:rsidR="009A4DF8" w:rsidRPr="00E329CB" w:rsidRDefault="009A4DF8" w:rsidP="00742715">
            <w:pPr>
              <w:spacing w:after="0"/>
              <w:jc w:val="both"/>
              <w:rPr>
                <w:rFonts w:ascii="Arial" w:hAnsi="Arial" w:cs="Arial"/>
                <w:sz w:val="20"/>
                <w:szCs w:val="20"/>
              </w:rPr>
            </w:pPr>
            <w:r>
              <w:rPr>
                <w:rFonts w:ascii="Arial" w:hAnsi="Arial" w:cs="Arial"/>
                <w:sz w:val="20"/>
                <w:szCs w:val="20"/>
              </w:rPr>
              <w:t>Nombre d’i</w:t>
            </w:r>
            <w:r w:rsidRPr="00E329CB">
              <w:rPr>
                <w:rFonts w:ascii="Arial" w:hAnsi="Arial" w:cs="Arial"/>
                <w:sz w:val="20"/>
                <w:szCs w:val="20"/>
              </w:rPr>
              <w:t>nfirmiers diplômés d’Etat</w:t>
            </w:r>
            <w:r w:rsidRPr="00E329CB">
              <w:rPr>
                <w:rFonts w:ascii="Arial" w:hAnsi="Arial" w:cs="Arial"/>
                <w:sz w:val="20"/>
                <w:szCs w:val="20"/>
              </w:rPr>
              <w:tab/>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3 718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4 633</w:t>
            </w:r>
          </w:p>
        </w:tc>
      </w:tr>
      <w:tr w:rsidR="009A4DF8" w:rsidRPr="00E329CB" w:rsidTr="00F679D8">
        <w:trPr>
          <w:trHeight w:val="217"/>
        </w:trPr>
        <w:tc>
          <w:tcPr>
            <w:tcW w:w="7029" w:type="dxa"/>
            <w:shd w:val="clear" w:color="auto" w:fill="FFFFFF"/>
          </w:tcPr>
          <w:p w:rsidR="009A4DF8" w:rsidRPr="00E329CB" w:rsidRDefault="009A4DF8" w:rsidP="00742715">
            <w:pPr>
              <w:spacing w:after="0"/>
              <w:jc w:val="both"/>
              <w:rPr>
                <w:rFonts w:ascii="Arial" w:hAnsi="Arial" w:cs="Arial"/>
                <w:sz w:val="20"/>
                <w:szCs w:val="20"/>
              </w:rPr>
            </w:pPr>
            <w:r>
              <w:rPr>
                <w:rFonts w:ascii="Arial" w:hAnsi="Arial" w:cs="Arial"/>
                <w:sz w:val="20"/>
                <w:szCs w:val="20"/>
              </w:rPr>
              <w:t>Nombre de m</w:t>
            </w:r>
            <w:r w:rsidRPr="00E329CB">
              <w:rPr>
                <w:rFonts w:ascii="Arial" w:hAnsi="Arial" w:cs="Arial"/>
                <w:sz w:val="20"/>
                <w:szCs w:val="20"/>
              </w:rPr>
              <w:t>édecins généralistes</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857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1 202</w:t>
            </w:r>
          </w:p>
        </w:tc>
      </w:tr>
      <w:tr w:rsidR="009A4DF8" w:rsidRPr="00E329CB" w:rsidTr="00F679D8">
        <w:trPr>
          <w:trHeight w:val="217"/>
        </w:trPr>
        <w:tc>
          <w:tcPr>
            <w:tcW w:w="7029" w:type="dxa"/>
            <w:shd w:val="clear" w:color="auto" w:fill="FFFFFF"/>
          </w:tcPr>
          <w:p w:rsidR="009A4DF8" w:rsidRPr="00E329CB" w:rsidRDefault="009A4DF8" w:rsidP="00742715">
            <w:pPr>
              <w:spacing w:after="0"/>
              <w:jc w:val="both"/>
              <w:rPr>
                <w:rFonts w:ascii="Arial" w:hAnsi="Arial" w:cs="Arial"/>
                <w:sz w:val="20"/>
                <w:szCs w:val="20"/>
              </w:rPr>
            </w:pPr>
            <w:r>
              <w:rPr>
                <w:rFonts w:ascii="Arial" w:hAnsi="Arial" w:cs="Arial"/>
                <w:sz w:val="20"/>
                <w:szCs w:val="20"/>
              </w:rPr>
              <w:t>Nombre de pharmaciens</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217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235</w:t>
            </w:r>
          </w:p>
        </w:tc>
      </w:tr>
      <w:tr w:rsidR="009A4DF8" w:rsidRPr="00E329CB" w:rsidTr="00F679D8">
        <w:trPr>
          <w:trHeight w:val="217"/>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Rayon moyen d’action théorique (km)</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6,8</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6,7</w:t>
            </w:r>
          </w:p>
        </w:tc>
      </w:tr>
      <w:tr w:rsidR="009A4DF8" w:rsidRPr="00E329CB" w:rsidTr="00F679D8">
        <w:trPr>
          <w:trHeight w:val="217"/>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Ratio habitants par CSPS</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10 883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9 731</w:t>
            </w:r>
          </w:p>
        </w:tc>
      </w:tr>
      <w:tr w:rsidR="009A4DF8" w:rsidRPr="00E329CB" w:rsidTr="00F679D8">
        <w:trPr>
          <w:trHeight w:val="557"/>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Pourcentage de dépôt de médicaments essentiels génériques n’ayant pas connu de rupture des 20 médicaments traceurs</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77,0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28,0</w:t>
            </w:r>
          </w:p>
        </w:tc>
      </w:tr>
      <w:tr w:rsidR="009A4DF8" w:rsidRPr="00E329CB" w:rsidTr="00F679D8">
        <w:trPr>
          <w:trHeight w:val="217"/>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Taux d’occupation des lits au niveau des hôpitaux</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46,3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50,5</w:t>
            </w:r>
          </w:p>
        </w:tc>
      </w:tr>
      <w:tr w:rsidR="009A4DF8" w:rsidRPr="00E329CB" w:rsidTr="00F679D8">
        <w:trPr>
          <w:trHeight w:val="315"/>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Taux d’accouchement assisté par le personnel qualifié (y compris les hôpitaux)</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83,4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80,9</w:t>
            </w:r>
          </w:p>
        </w:tc>
      </w:tr>
      <w:tr w:rsidR="009A4DF8" w:rsidRPr="00E329CB" w:rsidTr="00F679D8">
        <w:trPr>
          <w:trHeight w:val="217"/>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Taux d’utilisation des méthodes contraceptives</w:t>
            </w:r>
          </w:p>
        </w:tc>
        <w:tc>
          <w:tcPr>
            <w:tcW w:w="1519" w:type="dxa"/>
            <w:shd w:val="clear" w:color="auto" w:fill="FFFFFF"/>
          </w:tcPr>
          <w:p w:rsidR="009A4DF8" w:rsidRPr="00E329CB" w:rsidRDefault="009A4DF8" w:rsidP="00742715">
            <w:pPr>
              <w:spacing w:after="0"/>
              <w:rPr>
                <w:rFonts w:ascii="Arial" w:hAnsi="Arial" w:cs="Arial"/>
                <w:sz w:val="20"/>
                <w:szCs w:val="20"/>
              </w:rPr>
            </w:pPr>
            <w:r w:rsidRPr="00E329CB">
              <w:rPr>
                <w:rFonts w:ascii="Arial" w:hAnsi="Arial" w:cs="Arial"/>
                <w:sz w:val="20"/>
                <w:szCs w:val="20"/>
              </w:rPr>
              <w:t>34,3</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34,3</w:t>
            </w:r>
          </w:p>
        </w:tc>
      </w:tr>
      <w:tr w:rsidR="009A4DF8" w:rsidRPr="00E329CB" w:rsidTr="00F679D8">
        <w:trPr>
          <w:trHeight w:val="217"/>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Létalité palustre chez les enfants de moins de 5 ans (%)</w:t>
            </w:r>
          </w:p>
        </w:tc>
        <w:tc>
          <w:tcPr>
            <w:tcW w:w="1519" w:type="dxa"/>
            <w:shd w:val="clear" w:color="auto" w:fill="FFFFFF"/>
          </w:tcPr>
          <w:p w:rsidR="009A4DF8" w:rsidRPr="00E329CB" w:rsidRDefault="009A4DF8" w:rsidP="00742715">
            <w:pPr>
              <w:spacing w:after="0"/>
              <w:rPr>
                <w:rFonts w:ascii="Arial" w:hAnsi="Arial" w:cs="Arial"/>
                <w:sz w:val="20"/>
                <w:szCs w:val="20"/>
              </w:rPr>
            </w:pPr>
            <w:r w:rsidRPr="00E329CB">
              <w:rPr>
                <w:rFonts w:ascii="Arial" w:hAnsi="Arial" w:cs="Arial"/>
                <w:sz w:val="20"/>
                <w:szCs w:val="20"/>
              </w:rPr>
              <w:t xml:space="preserve">2,0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1,5</w:t>
            </w:r>
          </w:p>
        </w:tc>
      </w:tr>
      <w:tr w:rsidR="009A4DF8" w:rsidRPr="00E329CB" w:rsidTr="00F679D8">
        <w:trPr>
          <w:trHeight w:val="229"/>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Létalité palustre chez les femmes enceintes (%)</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0,2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0,1</w:t>
            </w:r>
          </w:p>
        </w:tc>
      </w:tr>
      <w:tr w:rsidR="009A4DF8" w:rsidRPr="00E329CB" w:rsidTr="00F679D8">
        <w:trPr>
          <w:trHeight w:val="217"/>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Taux de couverture en CPN2</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0,2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0,1</w:t>
            </w:r>
          </w:p>
        </w:tc>
      </w:tr>
      <w:tr w:rsidR="009A4DF8" w:rsidRPr="00E329CB" w:rsidTr="00F679D8">
        <w:trPr>
          <w:trHeight w:val="229"/>
        </w:trPr>
        <w:tc>
          <w:tcPr>
            <w:tcW w:w="702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Taux de couverture en CPN4</w:t>
            </w:r>
          </w:p>
        </w:tc>
        <w:tc>
          <w:tcPr>
            <w:tcW w:w="1519"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 xml:space="preserve">34,1 </w:t>
            </w:r>
          </w:p>
        </w:tc>
        <w:tc>
          <w:tcPr>
            <w:tcW w:w="1520" w:type="dxa"/>
            <w:shd w:val="clear" w:color="auto" w:fill="FFFFFF"/>
          </w:tcPr>
          <w:p w:rsidR="009A4DF8" w:rsidRPr="00E329CB" w:rsidRDefault="009A4DF8" w:rsidP="00742715">
            <w:pPr>
              <w:spacing w:after="0"/>
              <w:jc w:val="both"/>
              <w:rPr>
                <w:rFonts w:ascii="Arial" w:hAnsi="Arial" w:cs="Arial"/>
                <w:sz w:val="20"/>
                <w:szCs w:val="20"/>
              </w:rPr>
            </w:pPr>
            <w:r w:rsidRPr="00E329CB">
              <w:rPr>
                <w:rFonts w:ascii="Arial" w:hAnsi="Arial" w:cs="Arial"/>
                <w:sz w:val="20"/>
                <w:szCs w:val="20"/>
              </w:rPr>
              <w:t>34,5</w:t>
            </w:r>
          </w:p>
        </w:tc>
      </w:tr>
    </w:tbl>
    <w:p w:rsidR="009A4DF8" w:rsidRPr="009C4D1D" w:rsidRDefault="009A4DF8" w:rsidP="00F679D8">
      <w:pPr>
        <w:jc w:val="both"/>
        <w:rPr>
          <w:rFonts w:ascii="Arial" w:hAnsi="Arial" w:cs="Arial"/>
          <w:b/>
          <w:i/>
          <w:sz w:val="20"/>
          <w:szCs w:val="20"/>
        </w:rPr>
      </w:pPr>
      <w:r w:rsidRPr="00D76F44">
        <w:rPr>
          <w:rFonts w:ascii="Arial" w:hAnsi="Arial" w:cs="Arial"/>
          <w:b/>
          <w:i/>
          <w:sz w:val="20"/>
          <w:szCs w:val="20"/>
          <w:u w:val="single"/>
        </w:rPr>
        <w:t>Source </w:t>
      </w:r>
      <w:r w:rsidRPr="009C4D1D">
        <w:rPr>
          <w:rFonts w:ascii="Arial" w:hAnsi="Arial" w:cs="Arial"/>
          <w:b/>
          <w:i/>
          <w:sz w:val="20"/>
          <w:szCs w:val="20"/>
        </w:rPr>
        <w:t>: MS/Annuaires statistiques 2016</w:t>
      </w:r>
    </w:p>
    <w:p w:rsidR="009A4DF8" w:rsidRPr="001B4E2D" w:rsidRDefault="009A4DF8" w:rsidP="008D7758">
      <w:pPr>
        <w:pStyle w:val="Titre4"/>
        <w:numPr>
          <w:ilvl w:val="0"/>
          <w:numId w:val="138"/>
        </w:numPr>
        <w:ind w:left="1701"/>
      </w:pPr>
      <w:bookmarkStart w:id="104" w:name="_Toc459122799"/>
      <w:bookmarkStart w:id="105" w:name="_Toc492972170"/>
      <w:r w:rsidRPr="001B4E2D">
        <w:t>L’accès à l’eau potable et à l’assainissement</w:t>
      </w:r>
      <w:bookmarkEnd w:id="104"/>
      <w:bookmarkEnd w:id="105"/>
    </w:p>
    <w:p w:rsidR="009A4DF8" w:rsidRPr="00CC49EE" w:rsidRDefault="009A4DF8" w:rsidP="00242F00">
      <w:pPr>
        <w:spacing w:after="120"/>
        <w:jc w:val="both"/>
        <w:rPr>
          <w:rFonts w:ascii="Arial" w:hAnsi="Arial" w:cs="Arial"/>
        </w:rPr>
      </w:pPr>
      <w:r>
        <w:rPr>
          <w:rFonts w:ascii="Arial" w:hAnsi="Arial" w:cs="Arial"/>
        </w:rPr>
        <w:t>L</w:t>
      </w:r>
      <w:r w:rsidRPr="00CC49EE">
        <w:rPr>
          <w:rFonts w:ascii="Arial" w:hAnsi="Arial" w:cs="Arial"/>
        </w:rPr>
        <w:t>a réalisation et la réhabilitation de points d’eau modernes et d’adductions d’eau potable simplifiées (AEPS) d’une part et d’autre part</w:t>
      </w:r>
      <w:r>
        <w:rPr>
          <w:rFonts w:ascii="Arial" w:hAnsi="Arial" w:cs="Arial"/>
        </w:rPr>
        <w:t xml:space="preserve"> </w:t>
      </w:r>
      <w:r w:rsidRPr="00CC49EE">
        <w:rPr>
          <w:rFonts w:ascii="Arial" w:hAnsi="Arial" w:cs="Arial"/>
        </w:rPr>
        <w:t xml:space="preserve">la </w:t>
      </w:r>
      <w:r>
        <w:rPr>
          <w:rFonts w:ascii="Arial" w:hAnsi="Arial" w:cs="Arial"/>
        </w:rPr>
        <w:t>construction</w:t>
      </w:r>
      <w:r w:rsidRPr="00CC49EE">
        <w:rPr>
          <w:rFonts w:ascii="Arial" w:hAnsi="Arial" w:cs="Arial"/>
        </w:rPr>
        <w:t xml:space="preserve"> de latrines améliorées ainsi que la réhabilitation de latrines traditionnelles ont caractérisé les actions menées pour l’amélioration de l’accès à l’eau et à l’assainissement en 2016.</w:t>
      </w:r>
      <w:r>
        <w:rPr>
          <w:rFonts w:ascii="Arial" w:hAnsi="Arial" w:cs="Arial"/>
        </w:rPr>
        <w:t xml:space="preserve"> </w:t>
      </w:r>
      <w:r w:rsidRPr="00CC49EE">
        <w:rPr>
          <w:rFonts w:ascii="Arial" w:hAnsi="Arial" w:cs="Arial"/>
        </w:rPr>
        <w:t xml:space="preserve">Ainsi, </w:t>
      </w:r>
      <w:r>
        <w:rPr>
          <w:rFonts w:ascii="Arial" w:hAnsi="Arial" w:cs="Arial"/>
        </w:rPr>
        <w:t>83 AEPS ont été réalisées et 32</w:t>
      </w:r>
      <w:r w:rsidRPr="00CC49EE">
        <w:rPr>
          <w:rFonts w:ascii="Arial" w:hAnsi="Arial" w:cs="Arial"/>
        </w:rPr>
        <w:t xml:space="preserve"> réhabilité</w:t>
      </w:r>
      <w:r>
        <w:rPr>
          <w:rFonts w:ascii="Arial" w:hAnsi="Arial" w:cs="Arial"/>
        </w:rPr>
        <w:t>e</w:t>
      </w:r>
      <w:r w:rsidRPr="00CC49EE">
        <w:rPr>
          <w:rFonts w:ascii="Arial" w:hAnsi="Arial" w:cs="Arial"/>
        </w:rPr>
        <w:t>s. En plus, 1 619 forages neufs et 549 réhabilitations ont été réalisés.</w:t>
      </w:r>
    </w:p>
    <w:p w:rsidR="009A4DF8" w:rsidRPr="00CC49EE" w:rsidRDefault="009A4DF8" w:rsidP="00242F00">
      <w:pPr>
        <w:spacing w:after="120"/>
        <w:jc w:val="both"/>
        <w:rPr>
          <w:rFonts w:ascii="Arial" w:hAnsi="Arial" w:cs="Arial"/>
        </w:rPr>
      </w:pPr>
      <w:r w:rsidRPr="00CC49EE">
        <w:rPr>
          <w:rFonts w:ascii="Arial" w:hAnsi="Arial" w:cs="Arial"/>
        </w:rPr>
        <w:t xml:space="preserve">Ces actions ont </w:t>
      </w:r>
      <w:r>
        <w:rPr>
          <w:rFonts w:ascii="Arial" w:hAnsi="Arial" w:cs="Arial"/>
        </w:rPr>
        <w:t>contribué</w:t>
      </w:r>
      <w:r w:rsidRPr="00CC49EE">
        <w:rPr>
          <w:rFonts w:ascii="Arial" w:hAnsi="Arial" w:cs="Arial"/>
        </w:rPr>
        <w:t xml:space="preserve"> </w:t>
      </w:r>
      <w:r>
        <w:rPr>
          <w:rFonts w:ascii="Arial" w:hAnsi="Arial" w:cs="Arial"/>
        </w:rPr>
        <w:t>à</w:t>
      </w:r>
      <w:r w:rsidRPr="00CC49EE">
        <w:rPr>
          <w:rFonts w:ascii="Arial" w:hAnsi="Arial" w:cs="Arial"/>
        </w:rPr>
        <w:t xml:space="preserve"> faire passer le taux d’accès à l’eau potable de 71,9% en 2015</w:t>
      </w:r>
      <w:r>
        <w:rPr>
          <w:rFonts w:ascii="Arial" w:hAnsi="Arial" w:cs="Arial"/>
        </w:rPr>
        <w:t xml:space="preserve"> </w:t>
      </w:r>
      <w:r w:rsidRPr="00CC49EE">
        <w:rPr>
          <w:rFonts w:ascii="Arial" w:hAnsi="Arial" w:cs="Arial"/>
        </w:rPr>
        <w:t>à 72,4% en 2016</w:t>
      </w:r>
      <w:r>
        <w:rPr>
          <w:rFonts w:ascii="Arial" w:hAnsi="Arial" w:cs="Arial"/>
        </w:rPr>
        <w:t xml:space="preserve"> </w:t>
      </w:r>
      <w:r w:rsidRPr="00CC49EE">
        <w:rPr>
          <w:rFonts w:ascii="Arial" w:hAnsi="Arial" w:cs="Arial"/>
        </w:rPr>
        <w:t>soit une progression de 0,5</w:t>
      </w:r>
      <w:r>
        <w:rPr>
          <w:rFonts w:ascii="Arial" w:hAnsi="Arial" w:cs="Arial"/>
        </w:rPr>
        <w:t xml:space="preserve"> </w:t>
      </w:r>
      <w:r w:rsidRPr="00CC49EE">
        <w:rPr>
          <w:rFonts w:ascii="Arial" w:hAnsi="Arial" w:cs="Arial"/>
        </w:rPr>
        <w:t>point.</w:t>
      </w:r>
      <w:r>
        <w:rPr>
          <w:rFonts w:ascii="Arial" w:hAnsi="Arial" w:cs="Arial"/>
        </w:rPr>
        <w:t xml:space="preserve"> La population totale desservie</w:t>
      </w:r>
      <w:r w:rsidRPr="00CC49EE">
        <w:rPr>
          <w:rFonts w:ascii="Arial" w:hAnsi="Arial" w:cs="Arial"/>
        </w:rPr>
        <w:t xml:space="preserve"> est de 13 473 755 personnes sur une population de 1</w:t>
      </w:r>
      <w:r>
        <w:rPr>
          <w:rFonts w:ascii="Arial" w:hAnsi="Arial" w:cs="Arial"/>
        </w:rPr>
        <w:t> </w:t>
      </w:r>
      <w:r w:rsidRPr="00CC49EE">
        <w:rPr>
          <w:rFonts w:ascii="Arial" w:hAnsi="Arial" w:cs="Arial"/>
        </w:rPr>
        <w:t>862</w:t>
      </w:r>
      <w:r>
        <w:rPr>
          <w:rFonts w:ascii="Arial" w:hAnsi="Arial" w:cs="Arial"/>
        </w:rPr>
        <w:t xml:space="preserve"> </w:t>
      </w:r>
      <w:r w:rsidRPr="00CC49EE">
        <w:rPr>
          <w:rFonts w:ascii="Arial" w:hAnsi="Arial" w:cs="Arial"/>
        </w:rPr>
        <w:t>0427</w:t>
      </w:r>
      <w:r>
        <w:rPr>
          <w:rFonts w:ascii="Arial" w:hAnsi="Arial" w:cs="Arial"/>
        </w:rPr>
        <w:t xml:space="preserve"> </w:t>
      </w:r>
      <w:r w:rsidRPr="00CC49EE">
        <w:rPr>
          <w:rFonts w:ascii="Arial" w:hAnsi="Arial" w:cs="Arial"/>
        </w:rPr>
        <w:t>personnes</w:t>
      </w:r>
      <w:r>
        <w:rPr>
          <w:rFonts w:ascii="Arial" w:hAnsi="Arial" w:cs="Arial"/>
        </w:rPr>
        <w:t>.</w:t>
      </w:r>
      <w:r w:rsidRPr="00CC49EE">
        <w:rPr>
          <w:rFonts w:ascii="Arial" w:hAnsi="Arial" w:cs="Arial"/>
        </w:rPr>
        <w:t xml:space="preserve"> </w:t>
      </w:r>
    </w:p>
    <w:p w:rsidR="009A4DF8" w:rsidRPr="00CC49EE" w:rsidRDefault="009A4DF8" w:rsidP="00242F00">
      <w:pPr>
        <w:spacing w:after="120"/>
        <w:jc w:val="both"/>
        <w:rPr>
          <w:rFonts w:ascii="Arial" w:hAnsi="Arial" w:cs="Arial"/>
        </w:rPr>
      </w:pPr>
      <w:r w:rsidRPr="00CC49EE">
        <w:rPr>
          <w:rFonts w:ascii="Arial" w:hAnsi="Arial" w:cs="Arial"/>
        </w:rPr>
        <w:t>En milieu urbain, le taux d’accès à l’eau potable en 2016 est de 91%, soit une amélioration de 1,1 point par rapport à 2015 qui était de 89,9%. La population</w:t>
      </w:r>
      <w:r>
        <w:rPr>
          <w:rFonts w:ascii="Arial" w:hAnsi="Arial" w:cs="Arial"/>
        </w:rPr>
        <w:t xml:space="preserve"> additionnelle desservie est de</w:t>
      </w:r>
      <w:r w:rsidRPr="00CC49EE">
        <w:rPr>
          <w:rFonts w:ascii="Arial" w:hAnsi="Arial" w:cs="Arial"/>
        </w:rPr>
        <w:t xml:space="preserve"> 467 359 personnes. Au total,  4 658 691 personnes sont desservies sur une population de 5 126 222 personnes en milieu </w:t>
      </w:r>
      <w:r w:rsidRPr="00CC49EE">
        <w:rPr>
          <w:rFonts w:ascii="Arial" w:hAnsi="Arial" w:cs="Arial"/>
        </w:rPr>
        <w:lastRenderedPageBreak/>
        <w:t>urbain.</w:t>
      </w:r>
      <w:r>
        <w:rPr>
          <w:rFonts w:ascii="Arial" w:hAnsi="Arial" w:cs="Arial"/>
        </w:rPr>
        <w:t xml:space="preserve"> </w:t>
      </w:r>
      <w:r w:rsidRPr="00CC49EE">
        <w:rPr>
          <w:rFonts w:ascii="Arial" w:hAnsi="Arial" w:cs="Arial"/>
        </w:rPr>
        <w:t>En milieu rural, le taux d’accès à</w:t>
      </w:r>
      <w:r>
        <w:rPr>
          <w:rFonts w:ascii="Arial" w:hAnsi="Arial" w:cs="Arial"/>
        </w:rPr>
        <w:t xml:space="preserve"> l’eau potable est passé de 65%</w:t>
      </w:r>
      <w:r w:rsidRPr="00CC49EE">
        <w:rPr>
          <w:rFonts w:ascii="Arial" w:hAnsi="Arial" w:cs="Arial"/>
        </w:rPr>
        <w:t xml:space="preserve"> en 2015 à 65,3% en 2016, cette progression a permis de desservir 251 311 personnes additionnelles. </w:t>
      </w:r>
    </w:p>
    <w:p w:rsidR="009A4DF8" w:rsidRPr="00653E13" w:rsidRDefault="009A4DF8" w:rsidP="00242F00">
      <w:pPr>
        <w:spacing w:after="120"/>
        <w:jc w:val="both"/>
        <w:rPr>
          <w:rFonts w:ascii="Arial" w:hAnsi="Arial" w:cs="Arial"/>
        </w:rPr>
      </w:pPr>
      <w:r>
        <w:rPr>
          <w:rFonts w:ascii="Arial" w:hAnsi="Arial" w:cs="Arial"/>
        </w:rPr>
        <w:t>Concernant l’assainissement</w:t>
      </w:r>
      <w:r w:rsidRPr="00CC49EE">
        <w:rPr>
          <w:rFonts w:ascii="Arial" w:hAnsi="Arial" w:cs="Arial"/>
        </w:rPr>
        <w:t>, 49 027 latrines familiales et 1337 latrines institutionnelles et publiques</w:t>
      </w:r>
      <w:r>
        <w:rPr>
          <w:rFonts w:ascii="Arial" w:hAnsi="Arial" w:cs="Arial"/>
        </w:rPr>
        <w:t xml:space="preserve"> </w:t>
      </w:r>
      <w:r w:rsidRPr="00CC49EE">
        <w:rPr>
          <w:rFonts w:ascii="Arial" w:hAnsi="Arial" w:cs="Arial"/>
        </w:rPr>
        <w:t>ont été réalisées</w:t>
      </w:r>
      <w:r>
        <w:rPr>
          <w:rFonts w:ascii="Arial" w:hAnsi="Arial" w:cs="Arial"/>
        </w:rPr>
        <w:t xml:space="preserve"> portant ainsi l</w:t>
      </w:r>
      <w:r w:rsidRPr="00653E13">
        <w:rPr>
          <w:rFonts w:ascii="Arial" w:hAnsi="Arial" w:cs="Arial"/>
        </w:rPr>
        <w:t>e taux d’accès à l’assainissemen</w:t>
      </w:r>
      <w:r>
        <w:rPr>
          <w:rFonts w:ascii="Arial" w:hAnsi="Arial" w:cs="Arial"/>
        </w:rPr>
        <w:t>t est de 19,8 %</w:t>
      </w:r>
      <w:r w:rsidRPr="00653E13">
        <w:rPr>
          <w:rFonts w:ascii="Arial" w:hAnsi="Arial" w:cs="Arial"/>
        </w:rPr>
        <w:t>. Le nombre additionnel de personnes desservies en 2016 est de 520 301.</w:t>
      </w:r>
    </w:p>
    <w:p w:rsidR="009A4DF8" w:rsidRPr="00CC49EE" w:rsidRDefault="009A4DF8" w:rsidP="00242F00">
      <w:pPr>
        <w:spacing w:after="120"/>
        <w:jc w:val="both"/>
        <w:rPr>
          <w:rFonts w:ascii="Arial" w:hAnsi="Arial" w:cs="Arial"/>
          <w:b/>
          <w:color w:val="FF0000"/>
        </w:rPr>
      </w:pPr>
      <w:r w:rsidRPr="00CC49EE">
        <w:rPr>
          <w:rFonts w:ascii="Arial" w:hAnsi="Arial" w:cs="Arial"/>
        </w:rPr>
        <w:t>En milieu rural,  25 302 nouvelles latrines familiales ont été réalisées par l’ensemble des acteurs, ce qui a permis de faire passer le taux d’accès à l’assainissement de 12% en 2015 à 13,4% en 2016. Cela a permis de desservir 285 350 personnes additionnelles. En milieu urbain, le taux d’accès à l’ass</w:t>
      </w:r>
      <w:r>
        <w:rPr>
          <w:rFonts w:ascii="Arial" w:hAnsi="Arial" w:cs="Arial"/>
        </w:rPr>
        <w:t>ainissement en 2016 est de 36,8</w:t>
      </w:r>
      <w:r w:rsidRPr="00CC49EE">
        <w:rPr>
          <w:rFonts w:ascii="Arial" w:hAnsi="Arial" w:cs="Arial"/>
        </w:rPr>
        <w:t>% contre 34,2 en 2015. La population additionnelle ayant accès à un service d’assainissement adéquat en 2016 est de 234 951 personnes.</w:t>
      </w:r>
    </w:p>
    <w:p w:rsidR="009A4DF8" w:rsidRPr="001B4E2D" w:rsidRDefault="009A4DF8" w:rsidP="008D7758">
      <w:pPr>
        <w:pStyle w:val="Titre4"/>
        <w:numPr>
          <w:ilvl w:val="0"/>
          <w:numId w:val="138"/>
        </w:numPr>
        <w:ind w:left="1701"/>
      </w:pPr>
      <w:bookmarkStart w:id="106" w:name="_Toc492972171"/>
      <w:r w:rsidRPr="001B4E2D">
        <w:t>La promotion et la création d’emplois</w:t>
      </w:r>
      <w:bookmarkEnd w:id="106"/>
    </w:p>
    <w:p w:rsidR="009A4DF8" w:rsidRPr="00CC49EE" w:rsidRDefault="009A4DF8" w:rsidP="00242F00">
      <w:pPr>
        <w:spacing w:after="120"/>
        <w:jc w:val="both"/>
        <w:rPr>
          <w:rFonts w:ascii="Arial" w:hAnsi="Arial" w:cs="Arial"/>
        </w:rPr>
      </w:pPr>
      <w:r w:rsidRPr="00CC49EE">
        <w:rPr>
          <w:rFonts w:ascii="Arial" w:hAnsi="Arial" w:cs="Arial"/>
        </w:rPr>
        <w:t xml:space="preserve">Dans le cadre de la promotion et </w:t>
      </w:r>
      <w:r>
        <w:rPr>
          <w:rFonts w:ascii="Arial" w:hAnsi="Arial" w:cs="Arial"/>
        </w:rPr>
        <w:t xml:space="preserve">de </w:t>
      </w:r>
      <w:r w:rsidRPr="00CC49EE">
        <w:rPr>
          <w:rFonts w:ascii="Arial" w:hAnsi="Arial" w:cs="Arial"/>
        </w:rPr>
        <w:t xml:space="preserve">la création d’emplois plusieurs actions ont été réalisées au cours de l’année 2016. </w:t>
      </w:r>
      <w:r>
        <w:rPr>
          <w:rFonts w:ascii="Arial" w:hAnsi="Arial" w:cs="Arial"/>
        </w:rPr>
        <w:t>Il s’agit de</w:t>
      </w:r>
      <w:r w:rsidRPr="00CC49EE">
        <w:rPr>
          <w:rFonts w:ascii="Arial" w:hAnsi="Arial" w:cs="Arial"/>
        </w:rPr>
        <w:t>:</w:t>
      </w:r>
    </w:p>
    <w:p w:rsidR="009A4DF8" w:rsidRPr="003D697A" w:rsidRDefault="009A4DF8" w:rsidP="00B92B11">
      <w:pPr>
        <w:pStyle w:val="Paragraphedeliste"/>
        <w:numPr>
          <w:ilvl w:val="0"/>
          <w:numId w:val="70"/>
        </w:numPr>
        <w:jc w:val="both"/>
        <w:rPr>
          <w:rFonts w:ascii="Arial" w:hAnsi="Arial" w:cs="Arial"/>
        </w:rPr>
      </w:pPr>
      <w:r>
        <w:rPr>
          <w:rFonts w:ascii="Arial" w:hAnsi="Arial" w:cs="Arial"/>
        </w:rPr>
        <w:t>la tenue d’</w:t>
      </w:r>
      <w:r w:rsidRPr="003D697A">
        <w:rPr>
          <w:rFonts w:ascii="Arial" w:hAnsi="Arial" w:cs="Arial"/>
        </w:rPr>
        <w:t>un atelier de formation sur l'intégration des questions de genre dans les politiques natio</w:t>
      </w:r>
      <w:r>
        <w:rPr>
          <w:rFonts w:ascii="Arial" w:hAnsi="Arial" w:cs="Arial"/>
        </w:rPr>
        <w:t>nales de l'emploi ;</w:t>
      </w:r>
    </w:p>
    <w:p w:rsidR="009A4DF8" w:rsidRDefault="009A4DF8" w:rsidP="00B92B11">
      <w:pPr>
        <w:pStyle w:val="Paragraphedeliste"/>
        <w:numPr>
          <w:ilvl w:val="0"/>
          <w:numId w:val="70"/>
        </w:numPr>
        <w:jc w:val="both"/>
        <w:rPr>
          <w:rFonts w:ascii="Arial" w:hAnsi="Arial" w:cs="Arial"/>
        </w:rPr>
      </w:pPr>
      <w:r w:rsidRPr="003D697A">
        <w:rPr>
          <w:rFonts w:ascii="Arial" w:hAnsi="Arial" w:cs="Arial"/>
        </w:rPr>
        <w:t>l’installation de</w:t>
      </w:r>
      <w:r>
        <w:rPr>
          <w:rFonts w:ascii="Arial" w:hAnsi="Arial" w:cs="Arial"/>
        </w:rPr>
        <w:t xml:space="preserve"> </w:t>
      </w:r>
      <w:r w:rsidRPr="003D697A">
        <w:rPr>
          <w:rFonts w:ascii="Arial" w:hAnsi="Arial" w:cs="Arial"/>
        </w:rPr>
        <w:t>1179 jeunes formés aux métiers de restauration, de mécanique, de menuiserie métallique et bois, de coupe-couture, de coiffure</w:t>
      </w:r>
      <w:r>
        <w:rPr>
          <w:rFonts w:ascii="Arial" w:hAnsi="Arial" w:cs="Arial"/>
        </w:rPr>
        <w:t>, etc ;</w:t>
      </w:r>
    </w:p>
    <w:p w:rsidR="009A4DF8" w:rsidRDefault="009A4DF8" w:rsidP="00B92B11">
      <w:pPr>
        <w:pStyle w:val="Paragraphedeliste"/>
        <w:numPr>
          <w:ilvl w:val="0"/>
          <w:numId w:val="70"/>
        </w:numPr>
        <w:jc w:val="both"/>
        <w:rPr>
          <w:rFonts w:ascii="Arial" w:hAnsi="Arial" w:cs="Arial"/>
        </w:rPr>
      </w:pPr>
      <w:r>
        <w:rPr>
          <w:rFonts w:ascii="Arial" w:hAnsi="Arial" w:cs="Arial"/>
        </w:rPr>
        <w:t xml:space="preserve">l’acquisition de </w:t>
      </w:r>
      <w:r w:rsidRPr="003D697A">
        <w:rPr>
          <w:rFonts w:ascii="Arial" w:hAnsi="Arial" w:cs="Arial"/>
        </w:rPr>
        <w:t xml:space="preserve">1769 kits pour </w:t>
      </w:r>
      <w:r>
        <w:rPr>
          <w:rFonts w:ascii="Arial" w:hAnsi="Arial" w:cs="Arial"/>
        </w:rPr>
        <w:t>l</w:t>
      </w:r>
      <w:r w:rsidRPr="003D697A">
        <w:rPr>
          <w:rFonts w:ascii="Arial" w:hAnsi="Arial" w:cs="Arial"/>
        </w:rPr>
        <w:t>es jeunes formés</w:t>
      </w:r>
      <w:r>
        <w:rPr>
          <w:rFonts w:ascii="Arial" w:hAnsi="Arial" w:cs="Arial"/>
        </w:rPr>
        <w:t xml:space="preserve"> aux métiers ;</w:t>
      </w:r>
    </w:p>
    <w:p w:rsidR="009A4DF8" w:rsidRDefault="009A4DF8" w:rsidP="00B92B11">
      <w:pPr>
        <w:pStyle w:val="Paragraphedeliste"/>
        <w:numPr>
          <w:ilvl w:val="0"/>
          <w:numId w:val="70"/>
        </w:numPr>
        <w:jc w:val="both"/>
        <w:rPr>
          <w:rFonts w:ascii="Arial" w:hAnsi="Arial" w:cs="Arial"/>
        </w:rPr>
      </w:pPr>
      <w:r w:rsidRPr="00FB601D">
        <w:rPr>
          <w:rFonts w:ascii="Arial" w:hAnsi="Arial" w:cs="Arial"/>
        </w:rPr>
        <w:t>le recrutement de 5000 jeunes pour des travaux à h</w:t>
      </w:r>
      <w:r>
        <w:rPr>
          <w:rFonts w:ascii="Arial" w:hAnsi="Arial" w:cs="Arial"/>
        </w:rPr>
        <w:t>aute intensité de main d’œuvre ;</w:t>
      </w:r>
    </w:p>
    <w:p w:rsidR="009A4DF8" w:rsidRDefault="009A4DF8" w:rsidP="00B92B11">
      <w:pPr>
        <w:pStyle w:val="Paragraphedeliste"/>
        <w:numPr>
          <w:ilvl w:val="0"/>
          <w:numId w:val="70"/>
        </w:numPr>
        <w:jc w:val="both"/>
        <w:rPr>
          <w:rFonts w:ascii="Arial" w:hAnsi="Arial" w:cs="Arial"/>
        </w:rPr>
      </w:pPr>
      <w:r>
        <w:rPr>
          <w:rFonts w:ascii="Arial" w:hAnsi="Arial" w:cs="Arial"/>
        </w:rPr>
        <w:t>l’opérationnalisation d’</w:t>
      </w:r>
      <w:r w:rsidRPr="00FB601D">
        <w:rPr>
          <w:rFonts w:ascii="Arial" w:hAnsi="Arial" w:cs="Arial"/>
        </w:rPr>
        <w:t>une plateforme de service aux demandeurs d’emploi;</w:t>
      </w:r>
    </w:p>
    <w:p w:rsidR="009A4DF8" w:rsidRDefault="009A4DF8" w:rsidP="00B92B11">
      <w:pPr>
        <w:pStyle w:val="Paragraphedeliste"/>
        <w:numPr>
          <w:ilvl w:val="0"/>
          <w:numId w:val="70"/>
        </w:numPr>
        <w:jc w:val="both"/>
        <w:rPr>
          <w:rFonts w:ascii="Arial" w:hAnsi="Arial" w:cs="Arial"/>
        </w:rPr>
      </w:pPr>
      <w:r w:rsidRPr="00FB601D">
        <w:rPr>
          <w:rFonts w:ascii="Arial" w:hAnsi="Arial" w:cs="Arial"/>
        </w:rPr>
        <w:t xml:space="preserve">le renforcement de l’organisation et le fonctionnement du marché de l’emploi </w:t>
      </w:r>
    </w:p>
    <w:p w:rsidR="009A4DF8" w:rsidRPr="00FB601D" w:rsidRDefault="009A4DF8" w:rsidP="00B92B11">
      <w:pPr>
        <w:pStyle w:val="Paragraphedeliste"/>
        <w:numPr>
          <w:ilvl w:val="0"/>
          <w:numId w:val="70"/>
        </w:numPr>
        <w:jc w:val="both"/>
        <w:rPr>
          <w:rFonts w:ascii="Arial" w:hAnsi="Arial" w:cs="Arial"/>
        </w:rPr>
      </w:pPr>
      <w:r>
        <w:rPr>
          <w:rFonts w:ascii="Arial" w:hAnsi="Arial" w:cs="Arial"/>
        </w:rPr>
        <w:t xml:space="preserve">le recrutement et la formation de </w:t>
      </w:r>
      <w:r w:rsidRPr="00FB601D">
        <w:rPr>
          <w:rFonts w:ascii="Arial" w:hAnsi="Arial" w:cs="Arial"/>
        </w:rPr>
        <w:t>4200 jeunes diplômés.</w:t>
      </w:r>
    </w:p>
    <w:p w:rsidR="009A4DF8" w:rsidRDefault="009A4DF8" w:rsidP="00242F00">
      <w:pPr>
        <w:spacing w:after="120"/>
        <w:jc w:val="both"/>
        <w:rPr>
          <w:rFonts w:ascii="Arial" w:hAnsi="Arial" w:cs="Arial"/>
        </w:rPr>
      </w:pPr>
      <w:r w:rsidRPr="00CC49EE">
        <w:rPr>
          <w:rFonts w:ascii="Arial" w:hAnsi="Arial" w:cs="Arial"/>
        </w:rPr>
        <w:t>Dans le domaine du financement et la création d’emplois à travers</w:t>
      </w:r>
      <w:r>
        <w:rPr>
          <w:rFonts w:ascii="Arial" w:hAnsi="Arial" w:cs="Arial"/>
        </w:rPr>
        <w:t xml:space="preserve"> les micro-projets, le Fonds d’a</w:t>
      </w:r>
      <w:r w:rsidRPr="00CC49EE">
        <w:rPr>
          <w:rFonts w:ascii="Arial" w:hAnsi="Arial" w:cs="Arial"/>
        </w:rPr>
        <w:t xml:space="preserve">ppui à la Promotion de l’Emploi (FAPE) a permis de créer 745 emplois directs et 1314 emplois indirects pour un montant </w:t>
      </w:r>
      <w:r>
        <w:rPr>
          <w:rFonts w:ascii="Arial" w:hAnsi="Arial" w:cs="Arial"/>
        </w:rPr>
        <w:t xml:space="preserve">de </w:t>
      </w:r>
      <w:r w:rsidRPr="00CC49EE">
        <w:rPr>
          <w:rFonts w:ascii="Arial" w:hAnsi="Arial" w:cs="Arial"/>
        </w:rPr>
        <w:t>803</w:t>
      </w:r>
      <w:r>
        <w:rPr>
          <w:rFonts w:ascii="Arial" w:hAnsi="Arial" w:cs="Arial"/>
        </w:rPr>
        <w:t>,</w:t>
      </w:r>
      <w:r w:rsidRPr="00CC49EE">
        <w:rPr>
          <w:rFonts w:ascii="Arial" w:hAnsi="Arial" w:cs="Arial"/>
        </w:rPr>
        <w:t>6</w:t>
      </w:r>
      <w:r>
        <w:rPr>
          <w:rFonts w:ascii="Arial" w:hAnsi="Arial" w:cs="Arial"/>
        </w:rPr>
        <w:t xml:space="preserve">2 millions de </w:t>
      </w:r>
      <w:r w:rsidRPr="00CC49EE">
        <w:rPr>
          <w:rFonts w:ascii="Arial" w:hAnsi="Arial" w:cs="Arial"/>
        </w:rPr>
        <w:t>FCFA. Quant au</w:t>
      </w:r>
      <w:r>
        <w:rPr>
          <w:rFonts w:ascii="Arial" w:hAnsi="Arial" w:cs="Arial"/>
        </w:rPr>
        <w:t xml:space="preserve"> Fonds d’appui au secteur i</w:t>
      </w:r>
      <w:r w:rsidRPr="00CC49EE">
        <w:rPr>
          <w:rFonts w:ascii="Arial" w:hAnsi="Arial" w:cs="Arial"/>
        </w:rPr>
        <w:t>nforme</w:t>
      </w:r>
      <w:r>
        <w:rPr>
          <w:rFonts w:ascii="Arial" w:hAnsi="Arial" w:cs="Arial"/>
        </w:rPr>
        <w:t>l (FASI), financé à hauteur de 297,75 millions de</w:t>
      </w:r>
      <w:r w:rsidRPr="00CC49EE">
        <w:rPr>
          <w:rFonts w:ascii="Arial" w:hAnsi="Arial" w:cs="Arial"/>
        </w:rPr>
        <w:t xml:space="preserve"> FCFA, il a facilité la création au tot</w:t>
      </w:r>
      <w:r>
        <w:rPr>
          <w:rFonts w:ascii="Arial" w:hAnsi="Arial" w:cs="Arial"/>
        </w:rPr>
        <w:t>al de 4 8</w:t>
      </w:r>
      <w:r w:rsidRPr="00CC49EE">
        <w:rPr>
          <w:rFonts w:ascii="Arial" w:hAnsi="Arial" w:cs="Arial"/>
        </w:rPr>
        <w:t>77 emplois, soit 4 453 emplois directs et 424 emplois indirects.</w:t>
      </w:r>
    </w:p>
    <w:p w:rsidR="009A4DF8" w:rsidRPr="003F5ED3" w:rsidRDefault="009A4DF8" w:rsidP="00242F00">
      <w:pPr>
        <w:spacing w:after="120"/>
        <w:jc w:val="both"/>
        <w:rPr>
          <w:rFonts w:ascii="Arial" w:hAnsi="Arial" w:cs="Arial"/>
        </w:rPr>
      </w:pPr>
      <w:r w:rsidRPr="003F5ED3">
        <w:rPr>
          <w:rFonts w:ascii="Arial" w:hAnsi="Arial" w:cs="Arial"/>
        </w:rPr>
        <w:t xml:space="preserve">En ce qui concerne le Fonds d’appui à la formation professionnelle et à l’apprentissage (FAFPA) ,6742 jeunes ont été formés en 2016 pour un montant de </w:t>
      </w:r>
      <w:r w:rsidRPr="003F5ED3">
        <w:rPr>
          <w:rFonts w:ascii="Arial" w:hAnsi="Arial" w:cs="Arial"/>
          <w:sz w:val="24"/>
          <w:szCs w:val="24"/>
        </w:rPr>
        <w:t>744 millions.</w:t>
      </w:r>
    </w:p>
    <w:p w:rsidR="009A4DF8" w:rsidRPr="002C7316" w:rsidRDefault="00F801C6" w:rsidP="00F801C6">
      <w:pPr>
        <w:pStyle w:val="Lgende"/>
        <w:rPr>
          <w:color w:val="auto"/>
          <w:szCs w:val="24"/>
        </w:rPr>
      </w:pPr>
      <w:bookmarkStart w:id="107" w:name="_Toc400657410"/>
      <w:bookmarkStart w:id="108" w:name="_Toc400657494"/>
      <w:bookmarkStart w:id="109" w:name="_Toc400703514"/>
      <w:bookmarkStart w:id="110" w:name="_Toc424705030"/>
      <w:bookmarkStart w:id="111" w:name="_Toc492895473"/>
      <w:r w:rsidRPr="002C7316">
        <w:rPr>
          <w:color w:val="auto"/>
        </w:rPr>
        <w:t xml:space="preserve">Tableau </w:t>
      </w:r>
      <w:r w:rsidRPr="002C7316">
        <w:rPr>
          <w:color w:val="auto"/>
        </w:rPr>
        <w:fldChar w:fldCharType="begin"/>
      </w:r>
      <w:r w:rsidRPr="002C7316">
        <w:rPr>
          <w:color w:val="auto"/>
        </w:rPr>
        <w:instrText xml:space="preserve"> SEQ Tableau \* ARABIC </w:instrText>
      </w:r>
      <w:r w:rsidRPr="002C7316">
        <w:rPr>
          <w:color w:val="auto"/>
        </w:rPr>
        <w:fldChar w:fldCharType="separate"/>
      </w:r>
      <w:r w:rsidR="009A1402">
        <w:rPr>
          <w:noProof/>
          <w:color w:val="auto"/>
        </w:rPr>
        <w:t>5</w:t>
      </w:r>
      <w:r w:rsidRPr="002C7316">
        <w:rPr>
          <w:color w:val="auto"/>
        </w:rPr>
        <w:fldChar w:fldCharType="end"/>
      </w:r>
      <w:r w:rsidR="002C7316" w:rsidRPr="002C7316">
        <w:rPr>
          <w:color w:val="auto"/>
        </w:rPr>
        <w:t xml:space="preserve"> : </w:t>
      </w:r>
      <w:r w:rsidR="009A4DF8" w:rsidRPr="002C7316">
        <w:rPr>
          <w:color w:val="auto"/>
          <w:szCs w:val="24"/>
          <w:u w:val="none"/>
        </w:rPr>
        <w:t xml:space="preserve">Situation des Fonds nationaux pour l’emploi en </w:t>
      </w:r>
      <w:bookmarkEnd w:id="107"/>
      <w:bookmarkEnd w:id="108"/>
      <w:bookmarkEnd w:id="109"/>
      <w:bookmarkEnd w:id="110"/>
      <w:r w:rsidR="009A4DF8" w:rsidRPr="002C7316">
        <w:rPr>
          <w:color w:val="auto"/>
          <w:szCs w:val="24"/>
          <w:u w:val="none"/>
        </w:rPr>
        <w:t>2016</w:t>
      </w:r>
      <w:bookmarkEnd w:id="111"/>
    </w:p>
    <w:tbl>
      <w:tblPr>
        <w:tblW w:w="452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A0" w:firstRow="1" w:lastRow="0" w:firstColumn="1" w:lastColumn="0" w:noHBand="0" w:noVBand="0"/>
      </w:tblPr>
      <w:tblGrid>
        <w:gridCol w:w="2511"/>
        <w:gridCol w:w="2735"/>
        <w:gridCol w:w="2026"/>
        <w:gridCol w:w="1980"/>
      </w:tblGrid>
      <w:tr w:rsidR="009A4DF8" w:rsidRPr="00742715" w:rsidTr="00742715">
        <w:trPr>
          <w:trHeight w:val="283"/>
        </w:trPr>
        <w:tc>
          <w:tcPr>
            <w:tcW w:w="1357" w:type="pct"/>
            <w:shd w:val="clear" w:color="auto" w:fill="D9D9D9" w:themeFill="background1" w:themeFillShade="D9"/>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 xml:space="preserve">Dénomination </w:t>
            </w:r>
          </w:p>
        </w:tc>
        <w:tc>
          <w:tcPr>
            <w:tcW w:w="1478" w:type="pct"/>
            <w:shd w:val="clear" w:color="auto" w:fill="D9D9D9" w:themeFill="background1" w:themeFillShade="D9"/>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Financement (en FCFA)</w:t>
            </w:r>
          </w:p>
        </w:tc>
        <w:tc>
          <w:tcPr>
            <w:tcW w:w="1095" w:type="pct"/>
            <w:shd w:val="clear" w:color="auto" w:fill="D9D9D9" w:themeFill="background1" w:themeFillShade="D9"/>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 xml:space="preserve">Emplois directs </w:t>
            </w:r>
          </w:p>
        </w:tc>
        <w:tc>
          <w:tcPr>
            <w:tcW w:w="1070" w:type="pct"/>
            <w:shd w:val="clear" w:color="auto" w:fill="D9D9D9" w:themeFill="background1" w:themeFillShade="D9"/>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 xml:space="preserve">Emplois indirects </w:t>
            </w:r>
          </w:p>
        </w:tc>
      </w:tr>
      <w:tr w:rsidR="009A4DF8" w:rsidRPr="00742715" w:rsidTr="00742715">
        <w:trPr>
          <w:trHeight w:hRule="exact" w:val="308"/>
        </w:trPr>
        <w:tc>
          <w:tcPr>
            <w:tcW w:w="1357"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FASI</w:t>
            </w:r>
          </w:p>
        </w:tc>
        <w:tc>
          <w:tcPr>
            <w:tcW w:w="1478"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297 746 000</w:t>
            </w:r>
          </w:p>
        </w:tc>
        <w:tc>
          <w:tcPr>
            <w:tcW w:w="1095"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4 453</w:t>
            </w:r>
          </w:p>
        </w:tc>
        <w:tc>
          <w:tcPr>
            <w:tcW w:w="1070"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424</w:t>
            </w:r>
          </w:p>
        </w:tc>
      </w:tr>
      <w:tr w:rsidR="009A4DF8" w:rsidRPr="00742715" w:rsidTr="00742715">
        <w:trPr>
          <w:trHeight w:hRule="exact" w:val="308"/>
        </w:trPr>
        <w:tc>
          <w:tcPr>
            <w:tcW w:w="1357"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FAPE</w:t>
            </w:r>
          </w:p>
        </w:tc>
        <w:tc>
          <w:tcPr>
            <w:tcW w:w="1478"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803 618 738</w:t>
            </w:r>
          </w:p>
        </w:tc>
        <w:tc>
          <w:tcPr>
            <w:tcW w:w="1095"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745</w:t>
            </w:r>
          </w:p>
        </w:tc>
        <w:tc>
          <w:tcPr>
            <w:tcW w:w="1070"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1314</w:t>
            </w:r>
          </w:p>
        </w:tc>
      </w:tr>
      <w:tr w:rsidR="009A4DF8" w:rsidRPr="00742715" w:rsidTr="00742715">
        <w:trPr>
          <w:trHeight w:hRule="exact" w:val="308"/>
        </w:trPr>
        <w:tc>
          <w:tcPr>
            <w:tcW w:w="1357"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FAFPA</w:t>
            </w:r>
          </w:p>
        </w:tc>
        <w:tc>
          <w:tcPr>
            <w:tcW w:w="1478"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744 000 000</w:t>
            </w:r>
          </w:p>
        </w:tc>
        <w:tc>
          <w:tcPr>
            <w:tcW w:w="1095"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w:t>
            </w:r>
          </w:p>
        </w:tc>
        <w:tc>
          <w:tcPr>
            <w:tcW w:w="1070"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w:t>
            </w:r>
          </w:p>
        </w:tc>
      </w:tr>
      <w:tr w:rsidR="009A4DF8" w:rsidRPr="00742715" w:rsidTr="00742715">
        <w:trPr>
          <w:trHeight w:hRule="exact" w:val="308"/>
        </w:trPr>
        <w:tc>
          <w:tcPr>
            <w:tcW w:w="1357"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Total</w:t>
            </w:r>
          </w:p>
        </w:tc>
        <w:tc>
          <w:tcPr>
            <w:tcW w:w="1478"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1 845 364 738</w:t>
            </w:r>
          </w:p>
        </w:tc>
        <w:tc>
          <w:tcPr>
            <w:tcW w:w="1095"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5 198</w:t>
            </w:r>
          </w:p>
        </w:tc>
        <w:tc>
          <w:tcPr>
            <w:tcW w:w="1070" w:type="pct"/>
            <w:vAlign w:val="center"/>
          </w:tcPr>
          <w:p w:rsidR="009A4DF8" w:rsidRPr="00742715" w:rsidRDefault="009A4DF8" w:rsidP="00742715">
            <w:pPr>
              <w:spacing w:after="0" w:line="240" w:lineRule="auto"/>
              <w:jc w:val="both"/>
              <w:rPr>
                <w:rFonts w:ascii="Arial" w:hAnsi="Arial" w:cs="Arial"/>
              </w:rPr>
            </w:pPr>
            <w:r w:rsidRPr="00742715">
              <w:rPr>
                <w:rFonts w:ascii="Arial" w:hAnsi="Arial" w:cs="Arial"/>
              </w:rPr>
              <w:t xml:space="preserve">1 738 </w:t>
            </w:r>
          </w:p>
        </w:tc>
      </w:tr>
    </w:tbl>
    <w:p w:rsidR="009A4DF8" w:rsidRPr="00242F00" w:rsidRDefault="009A4DF8" w:rsidP="00242F00">
      <w:pPr>
        <w:tabs>
          <w:tab w:val="left" w:pos="3165"/>
        </w:tabs>
        <w:spacing w:after="240"/>
        <w:rPr>
          <w:rFonts w:ascii="Arial" w:hAnsi="Arial" w:cs="Arial"/>
          <w:b/>
          <w:i/>
          <w:sz w:val="20"/>
          <w:szCs w:val="20"/>
        </w:rPr>
      </w:pPr>
      <w:r w:rsidRPr="00242F00">
        <w:rPr>
          <w:rFonts w:ascii="Arial" w:hAnsi="Arial" w:cs="Arial"/>
          <w:b/>
          <w:i/>
          <w:sz w:val="20"/>
          <w:szCs w:val="20"/>
          <w:u w:val="single"/>
        </w:rPr>
        <w:t>Source </w:t>
      </w:r>
      <w:r w:rsidRPr="00242F00">
        <w:rPr>
          <w:rFonts w:ascii="Arial" w:hAnsi="Arial" w:cs="Arial"/>
          <w:b/>
          <w:i/>
          <w:sz w:val="20"/>
          <w:szCs w:val="20"/>
        </w:rPr>
        <w:t>: tableau reconstitué à partir des données du MJFIP mars 2017</w:t>
      </w:r>
    </w:p>
    <w:p w:rsidR="009A4DF8" w:rsidRPr="001B4E2D" w:rsidRDefault="009A4DF8" w:rsidP="008D7758">
      <w:pPr>
        <w:pStyle w:val="Titre4"/>
        <w:numPr>
          <w:ilvl w:val="0"/>
          <w:numId w:val="138"/>
        </w:numPr>
        <w:ind w:left="1701"/>
      </w:pPr>
      <w:bookmarkStart w:id="112" w:name="_Toc399933234"/>
      <w:bookmarkStart w:id="113" w:name="_Toc400643281"/>
      <w:bookmarkStart w:id="114" w:name="_Toc427009714"/>
      <w:bookmarkStart w:id="115" w:name="_Toc459122801"/>
      <w:bookmarkStart w:id="116" w:name="_Toc492972172"/>
      <w:r w:rsidRPr="001B4E2D">
        <w:t>La réduction des inégalités de genre</w:t>
      </w:r>
      <w:bookmarkEnd w:id="112"/>
      <w:bookmarkEnd w:id="113"/>
      <w:bookmarkEnd w:id="114"/>
      <w:bookmarkEnd w:id="115"/>
      <w:bookmarkEnd w:id="116"/>
    </w:p>
    <w:p w:rsidR="009A4DF8" w:rsidRPr="000A0B09" w:rsidRDefault="009A4DF8" w:rsidP="0025555D">
      <w:pPr>
        <w:spacing w:after="120"/>
        <w:jc w:val="both"/>
        <w:rPr>
          <w:rFonts w:ascii="Arial" w:hAnsi="Arial" w:cs="Arial"/>
          <w:szCs w:val="24"/>
        </w:rPr>
      </w:pPr>
      <w:r w:rsidRPr="000A0B09">
        <w:rPr>
          <w:rFonts w:ascii="Arial" w:hAnsi="Arial" w:cs="Arial"/>
          <w:szCs w:val="24"/>
        </w:rPr>
        <w:t xml:space="preserve">En 2016, plusieurs activités ont contribué au renforcement de l’éducation et la promotion de la jeune fille, à la promotion de l’entreprenariat féminin, à l’amélioration de l'accès et du contrôle des femmes aux superficies aménagées par l'Etat, à la promotion de la femme rurale et à la </w:t>
      </w:r>
      <w:bookmarkStart w:id="117" w:name="_Hlk482109349"/>
      <w:r w:rsidRPr="000A0B09">
        <w:rPr>
          <w:rFonts w:ascii="Arial" w:hAnsi="Arial" w:cs="Arial"/>
          <w:szCs w:val="24"/>
        </w:rPr>
        <w:t>formation des femmes dans les filières principales de production</w:t>
      </w:r>
      <w:r>
        <w:rPr>
          <w:rFonts w:ascii="Arial" w:hAnsi="Arial" w:cs="Arial"/>
          <w:szCs w:val="24"/>
        </w:rPr>
        <w:t>.</w:t>
      </w:r>
    </w:p>
    <w:bookmarkEnd w:id="117"/>
    <w:p w:rsidR="009A4DF8" w:rsidRPr="00782561" w:rsidRDefault="009A4DF8" w:rsidP="0025555D">
      <w:pPr>
        <w:spacing w:after="120"/>
        <w:rPr>
          <w:rFonts w:ascii="Arial" w:hAnsi="Arial" w:cs="Arial"/>
          <w:szCs w:val="24"/>
        </w:rPr>
      </w:pPr>
      <w:r w:rsidRPr="00782561">
        <w:rPr>
          <w:rFonts w:ascii="Arial" w:hAnsi="Arial" w:cs="Arial"/>
          <w:szCs w:val="24"/>
        </w:rPr>
        <w:lastRenderedPageBreak/>
        <w:t>Ainsi, 5</w:t>
      </w:r>
      <w:r>
        <w:rPr>
          <w:rFonts w:ascii="Arial" w:hAnsi="Arial" w:cs="Arial"/>
          <w:szCs w:val="24"/>
        </w:rPr>
        <w:t xml:space="preserve"> </w:t>
      </w:r>
      <w:r w:rsidRPr="00782561">
        <w:rPr>
          <w:rFonts w:ascii="Arial" w:hAnsi="Arial" w:cs="Arial"/>
          <w:szCs w:val="24"/>
        </w:rPr>
        <w:t>990 filles ont bénéficié d’un appui scolaire pour la prise en charge des frais de scolarité, de cantine ainsi que l’achat des fournitures et tenues scolaires. Cet appui a permis aux bénéficiaires de poursuivre normalement leur cursus scolaire.</w:t>
      </w:r>
    </w:p>
    <w:p w:rsidR="009A4DF8" w:rsidRPr="00AF17ED" w:rsidRDefault="009A4DF8" w:rsidP="0025555D">
      <w:pPr>
        <w:spacing w:after="120"/>
        <w:jc w:val="both"/>
        <w:rPr>
          <w:rFonts w:ascii="Arial" w:hAnsi="Arial" w:cs="Arial"/>
          <w:szCs w:val="24"/>
        </w:rPr>
      </w:pPr>
      <w:r w:rsidRPr="00AF17ED">
        <w:rPr>
          <w:rFonts w:ascii="Arial" w:hAnsi="Arial" w:cs="Arial"/>
          <w:szCs w:val="24"/>
        </w:rPr>
        <w:t>Le rapport de l’étude sur la problématique de l'accès et du contrôle des femmes aux superficies aménagées par l'Etat a été produit et sera soumis à validation lors d’un atelier national.</w:t>
      </w:r>
    </w:p>
    <w:p w:rsidR="009A4DF8" w:rsidRPr="00AF17ED" w:rsidRDefault="009A4DF8" w:rsidP="0025555D">
      <w:pPr>
        <w:spacing w:after="120"/>
        <w:jc w:val="both"/>
        <w:rPr>
          <w:rFonts w:ascii="Arial" w:hAnsi="Arial" w:cs="Arial"/>
          <w:szCs w:val="24"/>
        </w:rPr>
      </w:pPr>
      <w:r w:rsidRPr="00AF17ED">
        <w:rPr>
          <w:rFonts w:ascii="Arial" w:hAnsi="Arial" w:cs="Arial"/>
          <w:szCs w:val="24"/>
        </w:rPr>
        <w:t xml:space="preserve">La célébration de la journée internationale de la femme rurale dans la commune rurale de Tchériba a permis </w:t>
      </w:r>
      <w:r>
        <w:rPr>
          <w:rFonts w:ascii="Arial" w:hAnsi="Arial" w:cs="Arial"/>
          <w:szCs w:val="24"/>
        </w:rPr>
        <w:t xml:space="preserve">de former une soixantaine de </w:t>
      </w:r>
      <w:r w:rsidRPr="00AF17ED">
        <w:rPr>
          <w:rFonts w:ascii="Arial" w:hAnsi="Arial" w:cs="Arial"/>
          <w:szCs w:val="24"/>
        </w:rPr>
        <w:t xml:space="preserve">femmes artisanes de la Région de la Boucle du Mouhoun; </w:t>
      </w:r>
      <w:r>
        <w:rPr>
          <w:rFonts w:ascii="Arial" w:hAnsi="Arial" w:cs="Arial"/>
          <w:szCs w:val="24"/>
        </w:rPr>
        <w:t>d’</w:t>
      </w:r>
      <w:r w:rsidRPr="00AF17ED">
        <w:rPr>
          <w:rFonts w:ascii="Arial" w:hAnsi="Arial" w:cs="Arial"/>
          <w:szCs w:val="24"/>
        </w:rPr>
        <w:t>organis</w:t>
      </w:r>
      <w:r>
        <w:rPr>
          <w:rFonts w:ascii="Arial" w:hAnsi="Arial" w:cs="Arial"/>
          <w:szCs w:val="24"/>
        </w:rPr>
        <w:t xml:space="preserve">er </w:t>
      </w:r>
      <w:r w:rsidRPr="00AF17ED">
        <w:rPr>
          <w:rFonts w:ascii="Arial" w:hAnsi="Arial" w:cs="Arial"/>
          <w:szCs w:val="24"/>
        </w:rPr>
        <w:t>une exposition vente des</w:t>
      </w:r>
      <w:r>
        <w:rPr>
          <w:rFonts w:ascii="Arial" w:hAnsi="Arial" w:cs="Arial"/>
          <w:szCs w:val="24"/>
        </w:rPr>
        <w:t xml:space="preserve"> produits artisanaux des femmes</w:t>
      </w:r>
      <w:r w:rsidRPr="00AF17ED">
        <w:rPr>
          <w:rFonts w:ascii="Arial" w:hAnsi="Arial" w:cs="Arial"/>
          <w:szCs w:val="24"/>
        </w:rPr>
        <w:t xml:space="preserve">; </w:t>
      </w:r>
      <w:r>
        <w:rPr>
          <w:rFonts w:ascii="Arial" w:hAnsi="Arial" w:cs="Arial"/>
          <w:szCs w:val="24"/>
        </w:rPr>
        <w:t xml:space="preserve">de remettre </w:t>
      </w:r>
      <w:r w:rsidRPr="00AF17ED">
        <w:rPr>
          <w:rFonts w:ascii="Arial" w:hAnsi="Arial" w:cs="Arial"/>
          <w:szCs w:val="24"/>
        </w:rPr>
        <w:t>de</w:t>
      </w:r>
      <w:r>
        <w:rPr>
          <w:rFonts w:ascii="Arial" w:hAnsi="Arial" w:cs="Arial"/>
          <w:szCs w:val="24"/>
        </w:rPr>
        <w:t>s</w:t>
      </w:r>
      <w:r w:rsidRPr="00AF17ED">
        <w:rPr>
          <w:rFonts w:ascii="Arial" w:hAnsi="Arial" w:cs="Arial"/>
          <w:szCs w:val="24"/>
        </w:rPr>
        <w:t xml:space="preserve"> prix aux meilleures femmes entrepreneures de la localité et à la meilleure exposante.</w:t>
      </w:r>
    </w:p>
    <w:p w:rsidR="009A4DF8" w:rsidRDefault="009A4DF8" w:rsidP="0025555D">
      <w:pPr>
        <w:spacing w:after="120"/>
        <w:jc w:val="both"/>
        <w:rPr>
          <w:rFonts w:ascii="Arial" w:hAnsi="Arial" w:cs="Arial"/>
          <w:szCs w:val="24"/>
        </w:rPr>
      </w:pPr>
      <w:r>
        <w:rPr>
          <w:rFonts w:ascii="Arial" w:hAnsi="Arial" w:cs="Arial"/>
          <w:szCs w:val="24"/>
        </w:rPr>
        <w:t xml:space="preserve">Dans le cadre de la formation de 500 femmes </w:t>
      </w:r>
      <w:r w:rsidRPr="00A869B0">
        <w:rPr>
          <w:rFonts w:ascii="Arial" w:hAnsi="Arial" w:cs="Arial"/>
          <w:szCs w:val="24"/>
        </w:rPr>
        <w:t>dans les filières principales de production</w:t>
      </w:r>
      <w:r>
        <w:rPr>
          <w:rFonts w:ascii="Arial" w:hAnsi="Arial" w:cs="Arial"/>
          <w:szCs w:val="24"/>
        </w:rPr>
        <w:t>, l</w:t>
      </w:r>
      <w:r w:rsidRPr="00A869B0">
        <w:rPr>
          <w:rFonts w:ascii="Arial" w:hAnsi="Arial" w:cs="Arial"/>
          <w:szCs w:val="24"/>
        </w:rPr>
        <w:t>es sessions organisées ont permis de renforcer le</w:t>
      </w:r>
      <w:r>
        <w:rPr>
          <w:rFonts w:ascii="Arial" w:hAnsi="Arial" w:cs="Arial"/>
          <w:szCs w:val="24"/>
        </w:rPr>
        <w:t>ur</w:t>
      </w:r>
      <w:r w:rsidRPr="00A869B0">
        <w:rPr>
          <w:rFonts w:ascii="Arial" w:hAnsi="Arial" w:cs="Arial"/>
          <w:szCs w:val="24"/>
        </w:rPr>
        <w:t>s compétences en techniques de production, de transformation, de conservation et de commercialisation.</w:t>
      </w:r>
      <w:r>
        <w:rPr>
          <w:rFonts w:ascii="Arial" w:hAnsi="Arial" w:cs="Arial"/>
          <w:szCs w:val="24"/>
        </w:rPr>
        <w:t xml:space="preserve"> Quant aux </w:t>
      </w:r>
      <w:r w:rsidRPr="006E7F77">
        <w:rPr>
          <w:rFonts w:ascii="Arial" w:hAnsi="Arial" w:cs="Arial"/>
          <w:szCs w:val="24"/>
        </w:rPr>
        <w:t>sessions en entreprenariat</w:t>
      </w:r>
      <w:r>
        <w:rPr>
          <w:rFonts w:ascii="Arial" w:hAnsi="Arial" w:cs="Arial"/>
          <w:szCs w:val="24"/>
        </w:rPr>
        <w:t>, elles</w:t>
      </w:r>
      <w:r w:rsidRPr="006E7F77">
        <w:rPr>
          <w:rFonts w:ascii="Arial" w:hAnsi="Arial" w:cs="Arial"/>
          <w:szCs w:val="24"/>
        </w:rPr>
        <w:t xml:space="preserve"> ont permis de renforcer les connaissances et les compétences de 200 filles en esprit d’entreprise, en matière de création </w:t>
      </w:r>
      <w:r>
        <w:rPr>
          <w:rFonts w:ascii="Arial" w:hAnsi="Arial" w:cs="Arial"/>
          <w:szCs w:val="24"/>
        </w:rPr>
        <w:t>et gestion de micro-entreprises.</w:t>
      </w:r>
    </w:p>
    <w:p w:rsidR="009A4DF8" w:rsidRPr="00A869B0" w:rsidRDefault="009A4DF8" w:rsidP="0025555D">
      <w:pPr>
        <w:spacing w:after="120"/>
        <w:jc w:val="both"/>
        <w:rPr>
          <w:rFonts w:ascii="Arial" w:hAnsi="Arial" w:cs="Arial"/>
          <w:szCs w:val="24"/>
        </w:rPr>
      </w:pPr>
      <w:r>
        <w:rPr>
          <w:rFonts w:ascii="Arial" w:hAnsi="Arial" w:cs="Arial"/>
          <w:szCs w:val="24"/>
        </w:rPr>
        <w:t xml:space="preserve">Toutes ces actions ont contribué d’améliorer sensiblement les indicateurs suivants : </w:t>
      </w:r>
    </w:p>
    <w:p w:rsidR="009A4DF8" w:rsidRPr="00405D30" w:rsidRDefault="009A4DF8" w:rsidP="0025555D">
      <w:pPr>
        <w:pStyle w:val="Paragraphedeliste"/>
        <w:numPr>
          <w:ilvl w:val="0"/>
          <w:numId w:val="64"/>
        </w:numPr>
        <w:spacing w:after="120"/>
        <w:contextualSpacing w:val="0"/>
        <w:jc w:val="both"/>
        <w:rPr>
          <w:rFonts w:ascii="Arial" w:hAnsi="Arial" w:cs="Arial"/>
          <w:szCs w:val="24"/>
        </w:rPr>
      </w:pPr>
      <w:r w:rsidRPr="00405D30">
        <w:rPr>
          <w:rFonts w:ascii="Arial" w:hAnsi="Arial" w:cs="Arial"/>
          <w:szCs w:val="24"/>
        </w:rPr>
        <w:t xml:space="preserve">la parité fille/garçon (primaire, formation professionnelle et alphabétisation) </w:t>
      </w:r>
      <w:r>
        <w:rPr>
          <w:rFonts w:ascii="Arial" w:hAnsi="Arial" w:cs="Arial"/>
          <w:szCs w:val="24"/>
        </w:rPr>
        <w:t xml:space="preserve">qui </w:t>
      </w:r>
      <w:r w:rsidRPr="00405D30">
        <w:rPr>
          <w:rFonts w:ascii="Arial" w:hAnsi="Arial" w:cs="Arial"/>
          <w:szCs w:val="24"/>
        </w:rPr>
        <w:t>s’est établie à 0,95 cont</w:t>
      </w:r>
      <w:r>
        <w:rPr>
          <w:rFonts w:ascii="Arial" w:hAnsi="Arial" w:cs="Arial"/>
          <w:szCs w:val="24"/>
        </w:rPr>
        <w:t>re une valeur attendue de 0,94 ;</w:t>
      </w:r>
    </w:p>
    <w:p w:rsidR="009A4DF8" w:rsidRPr="00405D30" w:rsidRDefault="009A4DF8" w:rsidP="0025555D">
      <w:pPr>
        <w:pStyle w:val="Paragraphedeliste"/>
        <w:numPr>
          <w:ilvl w:val="0"/>
          <w:numId w:val="64"/>
        </w:numPr>
        <w:spacing w:after="120"/>
        <w:contextualSpacing w:val="0"/>
        <w:jc w:val="both"/>
        <w:rPr>
          <w:rFonts w:ascii="Arial" w:hAnsi="Arial" w:cs="Arial"/>
          <w:szCs w:val="24"/>
        </w:rPr>
      </w:pPr>
      <w:r>
        <w:rPr>
          <w:rFonts w:ascii="Arial" w:hAnsi="Arial" w:cs="Arial"/>
          <w:szCs w:val="24"/>
        </w:rPr>
        <w:t>l</w:t>
      </w:r>
      <w:r w:rsidRPr="00405D30">
        <w:rPr>
          <w:rFonts w:ascii="Arial" w:hAnsi="Arial" w:cs="Arial"/>
          <w:szCs w:val="24"/>
        </w:rPr>
        <w:t xml:space="preserve">a proportion des femmes propriétaires d'entreprises parmi les entrepreneurs et </w:t>
      </w:r>
      <w:r>
        <w:rPr>
          <w:rFonts w:ascii="Arial" w:hAnsi="Arial" w:cs="Arial"/>
          <w:szCs w:val="24"/>
        </w:rPr>
        <w:t xml:space="preserve">celle </w:t>
      </w:r>
      <w:r w:rsidRPr="00405D30">
        <w:rPr>
          <w:rFonts w:ascii="Arial" w:hAnsi="Arial" w:cs="Arial"/>
          <w:szCs w:val="24"/>
        </w:rPr>
        <w:t xml:space="preserve">des superficies nouvellement aménagées attribuées aux femmes </w:t>
      </w:r>
      <w:r>
        <w:rPr>
          <w:rFonts w:ascii="Arial" w:hAnsi="Arial" w:cs="Arial"/>
          <w:szCs w:val="24"/>
        </w:rPr>
        <w:t xml:space="preserve">qui </w:t>
      </w:r>
      <w:r w:rsidRPr="00405D30">
        <w:rPr>
          <w:rFonts w:ascii="Arial" w:hAnsi="Arial" w:cs="Arial"/>
          <w:szCs w:val="24"/>
        </w:rPr>
        <w:t>affichent en 2016 des valeurs respectives de 21% et 46% contre de</w:t>
      </w:r>
      <w:r>
        <w:rPr>
          <w:rFonts w:ascii="Arial" w:hAnsi="Arial" w:cs="Arial"/>
          <w:szCs w:val="24"/>
        </w:rPr>
        <w:t>s cibles attendues de 21% et 30</w:t>
      </w:r>
      <w:r w:rsidRPr="00405D30">
        <w:rPr>
          <w:rFonts w:ascii="Arial" w:hAnsi="Arial" w:cs="Arial"/>
          <w:szCs w:val="24"/>
        </w:rPr>
        <w:t xml:space="preserve">%. </w:t>
      </w:r>
    </w:p>
    <w:p w:rsidR="009A4DF8" w:rsidRPr="006D20AF" w:rsidRDefault="009A4DF8" w:rsidP="0025555D">
      <w:pPr>
        <w:pStyle w:val="Paragraphedeliste"/>
        <w:numPr>
          <w:ilvl w:val="0"/>
          <w:numId w:val="64"/>
        </w:numPr>
        <w:spacing w:after="120"/>
        <w:contextualSpacing w:val="0"/>
        <w:jc w:val="both"/>
        <w:rPr>
          <w:rFonts w:ascii="Arial" w:hAnsi="Arial" w:cs="Arial"/>
          <w:szCs w:val="24"/>
        </w:rPr>
      </w:pPr>
      <w:r w:rsidRPr="006D20AF">
        <w:rPr>
          <w:rFonts w:ascii="Arial" w:hAnsi="Arial" w:cs="Arial"/>
          <w:szCs w:val="24"/>
        </w:rPr>
        <w:t xml:space="preserve">la proportion des femmes aux postes nominatifs et électifs </w:t>
      </w:r>
      <w:r>
        <w:rPr>
          <w:rFonts w:ascii="Arial" w:hAnsi="Arial" w:cs="Arial"/>
          <w:szCs w:val="24"/>
        </w:rPr>
        <w:t xml:space="preserve">qui </w:t>
      </w:r>
      <w:r w:rsidRPr="006D20AF">
        <w:rPr>
          <w:rFonts w:ascii="Arial" w:hAnsi="Arial" w:cs="Arial"/>
          <w:szCs w:val="24"/>
        </w:rPr>
        <w:t>s’est établie à 21% contre une prévision de 30%. Parmi les raisons de cette contre-performance, on peut citer les insuffisances de la loi actuelle sur le quota genre (en cours de révision) et l’absence de texte sur la prise en compte du genre dans les postes nominatifs.</w:t>
      </w:r>
    </w:p>
    <w:p w:rsidR="009A4DF8" w:rsidRDefault="009A4DF8" w:rsidP="009A4DF8">
      <w:pPr>
        <w:spacing w:after="0" w:line="240" w:lineRule="auto"/>
        <w:rPr>
          <w:rFonts w:ascii="Arial" w:eastAsiaTheme="majorEastAsia" w:hAnsi="Arial" w:cs="Arial"/>
          <w:b/>
          <w:bCs/>
        </w:rPr>
      </w:pPr>
      <w:r>
        <w:rPr>
          <w:rFonts w:ascii="Arial" w:hAnsi="Arial" w:cs="Arial"/>
        </w:rPr>
        <w:br w:type="page"/>
      </w:r>
    </w:p>
    <w:p w:rsidR="009A4DF8" w:rsidRPr="009016A3" w:rsidRDefault="009A4DF8" w:rsidP="009016A3">
      <w:pPr>
        <w:pStyle w:val="Titre1"/>
        <w:jc w:val="center"/>
        <w:rPr>
          <w:lang w:eastAsia="fr-FR"/>
        </w:rPr>
      </w:pPr>
      <w:bookmarkStart w:id="118" w:name="_Toc492972173"/>
      <w:r w:rsidRPr="009016A3">
        <w:rPr>
          <w:lang w:eastAsia="fr-FR"/>
        </w:rPr>
        <w:lastRenderedPageBreak/>
        <w:t>CHAPITRE 2: PLANIFICATION DU DEVELOPPEMENT ET COORDINATION DE L’AIDE</w:t>
      </w:r>
      <w:bookmarkEnd w:id="38"/>
      <w:bookmarkEnd w:id="39"/>
      <w:bookmarkEnd w:id="40"/>
      <w:bookmarkEnd w:id="41"/>
      <w:bookmarkEnd w:id="118"/>
      <w:r w:rsidRPr="009016A3">
        <w:rPr>
          <w:lang w:eastAsia="fr-FR"/>
        </w:rPr>
        <w:t xml:space="preserve"> </w:t>
      </w:r>
    </w:p>
    <w:p w:rsidR="009A4DF8" w:rsidRPr="009C134A" w:rsidRDefault="009A4DF8" w:rsidP="0025555D">
      <w:pPr>
        <w:shd w:val="clear" w:color="auto" w:fill="FFFFFF"/>
        <w:spacing w:after="120"/>
        <w:ind w:left="6"/>
        <w:jc w:val="both"/>
        <w:rPr>
          <w:rFonts w:ascii="Arial" w:hAnsi="Arial" w:cs="Arial"/>
          <w:spacing w:val="1"/>
        </w:rPr>
      </w:pPr>
      <w:bookmarkStart w:id="119" w:name="_Toc399933236"/>
      <w:bookmarkStart w:id="120" w:name="_Toc400638569"/>
      <w:bookmarkStart w:id="121" w:name="_Toc400643283"/>
      <w:bookmarkStart w:id="122" w:name="_Toc424550988"/>
      <w:bookmarkStart w:id="123" w:name="_Toc424552494"/>
      <w:bookmarkStart w:id="124" w:name="_Toc427009716"/>
      <w:bookmarkStart w:id="125" w:name="_Toc459122803"/>
      <w:r w:rsidRPr="009C134A">
        <w:rPr>
          <w:rFonts w:ascii="Arial" w:hAnsi="Arial" w:cs="Arial"/>
          <w:spacing w:val="1"/>
        </w:rPr>
        <w:t>Le cadre d’orientation du développement pour la période 2016-2020 du Burkina Faso est le Plan national de développement économique et social (PNDES). Adopté le 20 juillet 2016 par le gouvernement, le PNDES a été élaboré suivant un processus inclusif et participatif et selon les règles de la Gestion axée sur les résultats (GAR).</w:t>
      </w:r>
    </w:p>
    <w:p w:rsidR="009A4DF8" w:rsidRPr="009C134A" w:rsidRDefault="009A4DF8" w:rsidP="0025555D">
      <w:pPr>
        <w:shd w:val="clear" w:color="auto" w:fill="FFFFFF"/>
        <w:spacing w:after="120"/>
        <w:ind w:left="6"/>
        <w:jc w:val="both"/>
        <w:rPr>
          <w:rFonts w:ascii="Arial" w:hAnsi="Arial" w:cs="Arial"/>
          <w:spacing w:val="1"/>
        </w:rPr>
      </w:pPr>
      <w:r w:rsidRPr="009C134A">
        <w:rPr>
          <w:rFonts w:ascii="Arial" w:hAnsi="Arial" w:cs="Arial"/>
          <w:spacing w:val="1"/>
        </w:rPr>
        <w:t>Il est fondé sur le programme présidentiel, la vision Burkina 2025 et les agendas internationaux de développement durable (Agenda 2063 de l'Union africaine, ODD 2030 des Nations Unies) et part du constat de l'insuffisance des résultats induits par la mise en œuvre de la SCADD sur la période 2011-2015.</w:t>
      </w:r>
    </w:p>
    <w:p w:rsidR="009A4DF8" w:rsidRPr="009C134A" w:rsidRDefault="009A4DF8" w:rsidP="0025555D">
      <w:pPr>
        <w:shd w:val="clear" w:color="auto" w:fill="FFFFFF"/>
        <w:spacing w:after="120"/>
        <w:ind w:left="6"/>
        <w:jc w:val="both"/>
        <w:rPr>
          <w:rFonts w:ascii="Arial" w:hAnsi="Arial" w:cs="Arial"/>
          <w:spacing w:val="1"/>
        </w:rPr>
      </w:pPr>
      <w:r w:rsidRPr="009C134A">
        <w:rPr>
          <w:rFonts w:ascii="Arial" w:hAnsi="Arial" w:cs="Arial"/>
          <w:spacing w:val="1"/>
        </w:rPr>
        <w:t>Tout en s’inscrivant dans une dynamique d’amélioration du bien-être des populations, le PNDES a pour objectif de « Transformer structurellement l'économie burkinabè, pour une croissance forte, durable, résiliente, inclusive et créatrice d'emplois décents pour tous et induisant l'amélioration du bien-être social ».</w:t>
      </w:r>
    </w:p>
    <w:p w:rsidR="009A4DF8" w:rsidRPr="009C134A" w:rsidRDefault="009A4DF8" w:rsidP="0025555D">
      <w:pPr>
        <w:shd w:val="clear" w:color="auto" w:fill="FFFFFF"/>
        <w:spacing w:after="120"/>
        <w:ind w:left="6"/>
        <w:jc w:val="both"/>
        <w:rPr>
          <w:rFonts w:ascii="Arial" w:hAnsi="Arial" w:cs="Arial"/>
          <w:spacing w:val="1"/>
        </w:rPr>
      </w:pPr>
      <w:r w:rsidRPr="009C134A">
        <w:rPr>
          <w:rFonts w:ascii="Arial" w:hAnsi="Arial" w:cs="Arial"/>
          <w:spacing w:val="1"/>
        </w:rPr>
        <w:t>Les paragraphes suivants traitent des outils de planification du développement et de la coordination de l’aide.</w:t>
      </w:r>
    </w:p>
    <w:p w:rsidR="009A4DF8" w:rsidRPr="00136C2A" w:rsidRDefault="009A4DF8" w:rsidP="008D7758">
      <w:pPr>
        <w:pStyle w:val="Titre2"/>
        <w:numPr>
          <w:ilvl w:val="0"/>
          <w:numId w:val="139"/>
        </w:numPr>
        <w:tabs>
          <w:tab w:val="left" w:pos="1134"/>
        </w:tabs>
        <w:ind w:left="1276"/>
      </w:pPr>
      <w:bookmarkStart w:id="126" w:name="_Toc492972174"/>
      <w:r w:rsidRPr="00136C2A">
        <w:t xml:space="preserve">Planification du </w:t>
      </w:r>
      <w:bookmarkEnd w:id="119"/>
      <w:bookmarkEnd w:id="120"/>
      <w:bookmarkEnd w:id="121"/>
      <w:bookmarkEnd w:id="122"/>
      <w:bookmarkEnd w:id="123"/>
      <w:r w:rsidRPr="00136C2A">
        <w:t>développement</w:t>
      </w:r>
      <w:bookmarkEnd w:id="124"/>
      <w:bookmarkEnd w:id="125"/>
      <w:bookmarkEnd w:id="126"/>
    </w:p>
    <w:p w:rsidR="009A4DF8" w:rsidRPr="009C134A" w:rsidRDefault="009A4DF8" w:rsidP="0025555D">
      <w:pPr>
        <w:spacing w:after="120"/>
        <w:jc w:val="both"/>
        <w:rPr>
          <w:rFonts w:ascii="Arial" w:hAnsi="Arial" w:cs="Arial"/>
        </w:rPr>
      </w:pPr>
      <w:r w:rsidRPr="009C134A">
        <w:rPr>
          <w:rFonts w:ascii="Arial" w:hAnsi="Arial" w:cs="Arial"/>
        </w:rPr>
        <w:t>La planification du développement se fonde sur les objectifs définis dans le PNDES. Sur la base d’un cadrage macroéconomique, il est procédé, annuellement, à l’élaboration d’une note technique sur les tendances et les perspectives de l’économie du Burkina Faso, qui sert de base notamment pour :(i) orienter l’élaboration de la circulaire budgétaire, (ii) préparer le document de programmation budgétaire économique pluriannuel (DPBEP) et (iii) le Programme d’Investissements Publics (PIP); ces deux derniers, étant des instruments de mise en œuvre du PNDES.</w:t>
      </w:r>
    </w:p>
    <w:p w:rsidR="009A4DF8" w:rsidRPr="00A16F58" w:rsidRDefault="009A4DF8" w:rsidP="008D7758">
      <w:pPr>
        <w:pStyle w:val="Titre3"/>
        <w:numPr>
          <w:ilvl w:val="0"/>
          <w:numId w:val="140"/>
        </w:numPr>
        <w:tabs>
          <w:tab w:val="left" w:pos="1418"/>
        </w:tabs>
        <w:ind w:left="1701"/>
      </w:pPr>
      <w:bookmarkStart w:id="127" w:name="_Toc459122804"/>
      <w:bookmarkStart w:id="128" w:name="_Toc492972175"/>
      <w:r w:rsidRPr="00A16F58">
        <w:t xml:space="preserve">Les instruments de suivi-évaluation du </w:t>
      </w:r>
      <w:bookmarkEnd w:id="127"/>
      <w:r w:rsidRPr="00A16F58">
        <w:t>PNDES</w:t>
      </w:r>
      <w:bookmarkEnd w:id="128"/>
    </w:p>
    <w:p w:rsidR="009A4DF8" w:rsidRPr="009C134A" w:rsidRDefault="009A4DF8" w:rsidP="0025555D">
      <w:pPr>
        <w:shd w:val="clear" w:color="auto" w:fill="FFFFFF"/>
        <w:spacing w:after="120"/>
        <w:ind w:left="11" w:right="23"/>
        <w:jc w:val="both"/>
        <w:rPr>
          <w:rFonts w:ascii="Arial" w:hAnsi="Arial" w:cs="Arial"/>
          <w:spacing w:val="-1"/>
        </w:rPr>
      </w:pPr>
      <w:r w:rsidRPr="009C134A">
        <w:rPr>
          <w:rFonts w:ascii="Arial" w:hAnsi="Arial" w:cs="Arial"/>
          <w:spacing w:val="4"/>
        </w:rPr>
        <w:t xml:space="preserve">Les principaux instruments retenus pour le suivi et l'évaluation de la mise en œuvre du PNDES </w:t>
      </w:r>
      <w:r w:rsidRPr="009C134A">
        <w:rPr>
          <w:rFonts w:ascii="Arial" w:hAnsi="Arial" w:cs="Arial"/>
          <w:spacing w:val="-1"/>
        </w:rPr>
        <w:t>sont la matrice des réformes stratégiques et des investissements structurants, le rapport de performance, le rapport d’évaluation environnementale stratégique, le rapport d'évaluation à mi-parcours et le rapport d’évaluation finale.</w:t>
      </w:r>
    </w:p>
    <w:p w:rsidR="009A4DF8" w:rsidRPr="009951F6" w:rsidRDefault="009A4DF8" w:rsidP="00A16F58">
      <w:pPr>
        <w:pStyle w:val="Titre4"/>
        <w:ind w:left="1560" w:hanging="220"/>
      </w:pPr>
      <w:bookmarkStart w:id="129" w:name="_Toc492972176"/>
      <w:bookmarkStart w:id="130" w:name="_Toc421224900"/>
      <w:bookmarkStart w:id="131" w:name="_Toc448386986"/>
      <w:bookmarkStart w:id="132" w:name="_Toc459122806"/>
      <w:r w:rsidRPr="009951F6">
        <w:t>2.</w:t>
      </w:r>
      <w:r>
        <w:t>1</w:t>
      </w:r>
      <w:r w:rsidRPr="009951F6">
        <w:t>.1.1. La matrice des réformes stratégiques et des investissements structurants</w:t>
      </w:r>
      <w:bookmarkEnd w:id="129"/>
    </w:p>
    <w:p w:rsidR="00CA349E" w:rsidRPr="00CA0DB9" w:rsidRDefault="00CA349E" w:rsidP="0025555D">
      <w:pPr>
        <w:shd w:val="clear" w:color="auto" w:fill="FFFFFF"/>
        <w:spacing w:after="120"/>
        <w:ind w:left="11" w:right="23"/>
        <w:jc w:val="both"/>
        <w:rPr>
          <w:rFonts w:ascii="Arial" w:hAnsi="Arial" w:cs="Arial"/>
          <w:spacing w:val="4"/>
        </w:rPr>
      </w:pPr>
      <w:r w:rsidRPr="00CA0DB9">
        <w:rPr>
          <w:rFonts w:ascii="Arial" w:hAnsi="Arial" w:cs="Arial"/>
          <w:spacing w:val="4"/>
        </w:rPr>
        <w:t>L’élaboration de la matrice des réformes stratégiques et des investissements structurants a été entamée concomitamment avec la rédaction du document de PNDES. Au total, ce sont 398 réformes stratégiques et investissements structurants qui ont été identifiés pour l’ensemble des secteurs de planification. Après arbitrage par le ministère en charge de l’économie, 83 projets structurants d’un montant total de 6 916,59 milliards de FCFA ont été identifiés pour être proposé</w:t>
      </w:r>
      <w:r w:rsidR="00040C1D" w:rsidRPr="00CA0DB9">
        <w:rPr>
          <w:rFonts w:ascii="Arial" w:hAnsi="Arial" w:cs="Arial"/>
          <w:spacing w:val="4"/>
        </w:rPr>
        <w:t>s</w:t>
      </w:r>
      <w:r w:rsidRPr="00CA0DB9">
        <w:rPr>
          <w:rFonts w:ascii="Arial" w:hAnsi="Arial" w:cs="Arial"/>
          <w:spacing w:val="4"/>
        </w:rPr>
        <w:t xml:space="preserve"> à la Conférence des partenaires du Burkina Faso sur le financement du PNDES. </w:t>
      </w:r>
    </w:p>
    <w:p w:rsidR="00CA349E" w:rsidRPr="00CA0DB9" w:rsidRDefault="00CA349E" w:rsidP="0025555D">
      <w:pPr>
        <w:shd w:val="clear" w:color="auto" w:fill="FFFFFF"/>
        <w:spacing w:after="120"/>
        <w:ind w:left="11" w:right="23"/>
        <w:jc w:val="both"/>
        <w:rPr>
          <w:rFonts w:ascii="Arial" w:hAnsi="Arial" w:cs="Arial"/>
          <w:spacing w:val="4"/>
        </w:rPr>
      </w:pPr>
      <w:r w:rsidRPr="00CA0DB9">
        <w:rPr>
          <w:rFonts w:ascii="Arial" w:hAnsi="Arial" w:cs="Arial"/>
          <w:spacing w:val="4"/>
        </w:rPr>
        <w:t xml:space="preserve">Les critères qui ont prévalu au choix de ces projets sont les suivants : </w:t>
      </w:r>
    </w:p>
    <w:p w:rsidR="00CA349E" w:rsidRPr="00CA0DB9" w:rsidRDefault="00CA349E" w:rsidP="008D7758">
      <w:pPr>
        <w:pStyle w:val="Paragraphedeliste"/>
        <w:numPr>
          <w:ilvl w:val="0"/>
          <w:numId w:val="112"/>
        </w:numPr>
        <w:shd w:val="clear" w:color="auto" w:fill="FFFFFF"/>
        <w:ind w:right="24"/>
        <w:jc w:val="both"/>
        <w:rPr>
          <w:rFonts w:ascii="Arial" w:hAnsi="Arial" w:cs="Arial"/>
          <w:spacing w:val="4"/>
        </w:rPr>
      </w:pPr>
      <w:r w:rsidRPr="00CA0DB9">
        <w:rPr>
          <w:rFonts w:ascii="Arial" w:hAnsi="Arial" w:cs="Arial"/>
          <w:spacing w:val="4"/>
        </w:rPr>
        <w:t>être stratégique et structurant (de portée nationale ou ayant des effets induits sur d’autres secteurs d’activités, des montants relativement élevés pour just</w:t>
      </w:r>
      <w:r w:rsidR="009E3B6D">
        <w:rPr>
          <w:rFonts w:ascii="Arial" w:hAnsi="Arial" w:cs="Arial"/>
          <w:spacing w:val="4"/>
        </w:rPr>
        <w:t>ifier le besoin de partenariat)</w:t>
      </w:r>
      <w:r w:rsidRPr="00CA0DB9">
        <w:rPr>
          <w:rFonts w:ascii="Arial" w:hAnsi="Arial" w:cs="Arial"/>
          <w:spacing w:val="4"/>
        </w:rPr>
        <w:t>;</w:t>
      </w:r>
    </w:p>
    <w:p w:rsidR="00CA349E" w:rsidRPr="00CA0DB9" w:rsidRDefault="00CA349E" w:rsidP="008D7758">
      <w:pPr>
        <w:pStyle w:val="Paragraphedeliste"/>
        <w:numPr>
          <w:ilvl w:val="0"/>
          <w:numId w:val="112"/>
        </w:numPr>
        <w:shd w:val="clear" w:color="auto" w:fill="FFFFFF"/>
        <w:ind w:right="24"/>
        <w:jc w:val="both"/>
        <w:rPr>
          <w:rFonts w:ascii="Arial" w:hAnsi="Arial" w:cs="Arial"/>
          <w:spacing w:val="4"/>
        </w:rPr>
      </w:pPr>
      <w:r w:rsidRPr="00CA0DB9">
        <w:rPr>
          <w:rFonts w:ascii="Arial" w:hAnsi="Arial" w:cs="Arial"/>
          <w:spacing w:val="4"/>
        </w:rPr>
        <w:t>avoir des objectifs bien définis ;</w:t>
      </w:r>
    </w:p>
    <w:p w:rsidR="00CA349E" w:rsidRPr="00CA0DB9" w:rsidRDefault="00CA349E" w:rsidP="008D7758">
      <w:pPr>
        <w:pStyle w:val="Paragraphedeliste"/>
        <w:numPr>
          <w:ilvl w:val="0"/>
          <w:numId w:val="112"/>
        </w:numPr>
        <w:shd w:val="clear" w:color="auto" w:fill="FFFFFF"/>
        <w:ind w:right="24"/>
        <w:jc w:val="both"/>
        <w:rPr>
          <w:rFonts w:ascii="Arial" w:hAnsi="Arial" w:cs="Arial"/>
          <w:spacing w:val="4"/>
        </w:rPr>
      </w:pPr>
      <w:r w:rsidRPr="00CA0DB9">
        <w:rPr>
          <w:rFonts w:ascii="Arial" w:hAnsi="Arial" w:cs="Arial"/>
          <w:spacing w:val="4"/>
        </w:rPr>
        <w:t>être en situation de recherche de financement ;</w:t>
      </w:r>
    </w:p>
    <w:p w:rsidR="00CA349E" w:rsidRPr="00CA0DB9" w:rsidRDefault="00CA349E" w:rsidP="008D7758">
      <w:pPr>
        <w:pStyle w:val="Paragraphedeliste"/>
        <w:numPr>
          <w:ilvl w:val="0"/>
          <w:numId w:val="112"/>
        </w:numPr>
        <w:shd w:val="clear" w:color="auto" w:fill="FFFFFF"/>
        <w:ind w:right="24"/>
        <w:jc w:val="both"/>
        <w:rPr>
          <w:rFonts w:ascii="Arial" w:hAnsi="Arial" w:cs="Arial"/>
          <w:spacing w:val="4"/>
        </w:rPr>
      </w:pPr>
      <w:r w:rsidRPr="00CA0DB9">
        <w:rPr>
          <w:rFonts w:ascii="Arial" w:hAnsi="Arial" w:cs="Arial"/>
          <w:spacing w:val="4"/>
        </w:rPr>
        <w:t>être en cours d’exécution et nécessitant des financements complémentaires ;</w:t>
      </w:r>
    </w:p>
    <w:p w:rsidR="00CA349E" w:rsidRPr="00CA0DB9" w:rsidRDefault="00CA349E" w:rsidP="008D7758">
      <w:pPr>
        <w:pStyle w:val="Paragraphedeliste"/>
        <w:numPr>
          <w:ilvl w:val="0"/>
          <w:numId w:val="112"/>
        </w:numPr>
        <w:shd w:val="clear" w:color="auto" w:fill="FFFFFF"/>
        <w:ind w:right="24"/>
        <w:jc w:val="both"/>
        <w:rPr>
          <w:rFonts w:ascii="Arial" w:hAnsi="Arial" w:cs="Arial"/>
          <w:spacing w:val="4"/>
        </w:rPr>
      </w:pPr>
      <w:r w:rsidRPr="00CA0DB9">
        <w:rPr>
          <w:rFonts w:ascii="Arial" w:hAnsi="Arial" w:cs="Arial"/>
          <w:spacing w:val="4"/>
        </w:rPr>
        <w:t>avoir au moins une étude de faisabilité.</w:t>
      </w:r>
    </w:p>
    <w:p w:rsidR="009A4DF8" w:rsidRPr="009951F6" w:rsidRDefault="009A4DF8" w:rsidP="009E3B6D">
      <w:pPr>
        <w:pStyle w:val="Titre4"/>
        <w:ind w:left="1560" w:hanging="220"/>
      </w:pPr>
      <w:bookmarkStart w:id="133" w:name="_Toc492972177"/>
      <w:r w:rsidRPr="009951F6">
        <w:lastRenderedPageBreak/>
        <w:t>2.</w:t>
      </w:r>
      <w:r>
        <w:t>1</w:t>
      </w:r>
      <w:r w:rsidRPr="009951F6">
        <w:t>.1.2. Rapport annuel de performance du PNDES</w:t>
      </w:r>
      <w:bookmarkEnd w:id="130"/>
      <w:bookmarkEnd w:id="131"/>
      <w:bookmarkEnd w:id="132"/>
      <w:bookmarkEnd w:id="133"/>
    </w:p>
    <w:p w:rsidR="009A4DF8" w:rsidRPr="009C134A" w:rsidRDefault="009A4DF8" w:rsidP="0025555D">
      <w:pPr>
        <w:shd w:val="clear" w:color="auto" w:fill="FFFFFF"/>
        <w:spacing w:after="120"/>
        <w:ind w:left="11" w:right="11"/>
        <w:jc w:val="both"/>
        <w:rPr>
          <w:rFonts w:ascii="Arial" w:hAnsi="Arial" w:cs="Arial"/>
        </w:rPr>
      </w:pPr>
      <w:r w:rsidRPr="009C134A">
        <w:rPr>
          <w:rFonts w:ascii="Arial" w:hAnsi="Arial" w:cs="Arial"/>
        </w:rPr>
        <w:t xml:space="preserve">Le rapport de performance 2016 rend compte de l'état de mise en œuvre de la matrice des réformes stratégiques et des investissements structurants. Il est élaboré à partir des rapports des revues sectorielles focalisées sur les objectifs stratégiques et effets attendus du PNDES. </w:t>
      </w:r>
    </w:p>
    <w:p w:rsidR="009A4DF8" w:rsidRPr="009C134A" w:rsidRDefault="009A4DF8" w:rsidP="0025555D">
      <w:pPr>
        <w:shd w:val="clear" w:color="auto" w:fill="FFFFFF"/>
        <w:spacing w:after="120"/>
        <w:ind w:left="11" w:right="11"/>
        <w:jc w:val="both"/>
        <w:rPr>
          <w:rFonts w:ascii="Arial" w:hAnsi="Arial" w:cs="Arial"/>
        </w:rPr>
      </w:pPr>
      <w:r w:rsidRPr="009C134A">
        <w:rPr>
          <w:rFonts w:ascii="Arial" w:hAnsi="Arial" w:cs="Arial"/>
        </w:rPr>
        <w:t xml:space="preserve">Par ailleurs, le cadre de mesure de la performance globale de la mise en œuvre du PNDES résume le niveau de réalisation en 2016 des indicateurs d’effet et d’impact retenus pour son suivi et évaluation. </w:t>
      </w:r>
    </w:p>
    <w:p w:rsidR="000B078D" w:rsidRPr="00CA0DB9" w:rsidRDefault="000B078D" w:rsidP="0025555D">
      <w:pPr>
        <w:shd w:val="clear" w:color="auto" w:fill="FFFFFF"/>
        <w:spacing w:after="120"/>
        <w:ind w:left="11" w:right="11"/>
        <w:jc w:val="both"/>
        <w:rPr>
          <w:rFonts w:ascii="Arial" w:hAnsi="Arial" w:cs="Arial"/>
        </w:rPr>
      </w:pPr>
      <w:r w:rsidRPr="000B078D">
        <w:rPr>
          <w:rFonts w:ascii="Arial" w:hAnsi="Arial" w:cs="Arial"/>
        </w:rPr>
        <w:t>Le bilan provisoire du rapport de performance 2016 du PNDES apprécié  à partir des données disponibles issues des rapports sectoriels de performance, fait ressortir un taux d’exécution physique globale provisoire de 54,48% pour un taux d’exécution financière de 61,14%. En dédit du niveau globalement satisfaisant de la performance, il reste que des efforts doivent être fournir en matière de renforcement de l’appareil statistique pour disposer d’informations nécessaires à l’évaluation des politiques.</w:t>
      </w:r>
    </w:p>
    <w:p w:rsidR="009A4DF8" w:rsidRDefault="009A4DF8" w:rsidP="009E3B6D">
      <w:pPr>
        <w:pStyle w:val="Titre4"/>
        <w:ind w:left="1560" w:hanging="220"/>
      </w:pPr>
      <w:bookmarkStart w:id="134" w:name="_Toc492972178"/>
      <w:r w:rsidRPr="000A6E68">
        <w:t>2.1.1.3. Les évaluations prévues dans le PNDES</w:t>
      </w:r>
      <w:bookmarkEnd w:id="134"/>
    </w:p>
    <w:p w:rsidR="009A4DF8" w:rsidRPr="009C134A" w:rsidRDefault="009A4DF8" w:rsidP="0025555D">
      <w:pPr>
        <w:shd w:val="clear" w:color="auto" w:fill="FFFFFF"/>
        <w:spacing w:after="120"/>
        <w:ind w:left="11" w:right="11"/>
        <w:jc w:val="both"/>
        <w:rPr>
          <w:rFonts w:ascii="Arial" w:hAnsi="Arial" w:cs="Arial"/>
        </w:rPr>
      </w:pPr>
      <w:r w:rsidRPr="009C134A">
        <w:rPr>
          <w:rFonts w:ascii="Arial" w:hAnsi="Arial" w:cs="Arial"/>
        </w:rPr>
        <w:t>Le dispositif de suivi et d'évaluation du PNDES prévoit 3 types d’évaluations indépendantes à mener sous la responsabilité du SP-PNDES. Il s’agit de :</w:t>
      </w:r>
    </w:p>
    <w:p w:rsidR="009A4DF8" w:rsidRPr="009C134A" w:rsidRDefault="009A4DF8" w:rsidP="00B92B11">
      <w:pPr>
        <w:pStyle w:val="Paragraphedeliste"/>
        <w:numPr>
          <w:ilvl w:val="0"/>
          <w:numId w:val="52"/>
        </w:numPr>
        <w:shd w:val="clear" w:color="auto" w:fill="FFFFFF"/>
        <w:ind w:right="14"/>
        <w:jc w:val="both"/>
        <w:rPr>
          <w:rFonts w:ascii="Arial" w:hAnsi="Arial" w:cs="Arial"/>
        </w:rPr>
      </w:pPr>
      <w:r w:rsidRPr="009C134A">
        <w:rPr>
          <w:rFonts w:ascii="Arial" w:hAnsi="Arial" w:cs="Arial"/>
        </w:rPr>
        <w:t>l’évaluation environnementale stratégique pour laquelle aucune activité n’a été menée en 2016 en raison du retard accusé dans la mise en place du dispositif de suivi et d’évaluation ;</w:t>
      </w:r>
    </w:p>
    <w:p w:rsidR="009A4DF8" w:rsidRPr="009C134A" w:rsidRDefault="009A4DF8" w:rsidP="00B92B11">
      <w:pPr>
        <w:pStyle w:val="Paragraphedeliste"/>
        <w:numPr>
          <w:ilvl w:val="0"/>
          <w:numId w:val="52"/>
        </w:numPr>
        <w:shd w:val="clear" w:color="auto" w:fill="FFFFFF"/>
        <w:ind w:right="14"/>
        <w:jc w:val="both"/>
        <w:rPr>
          <w:rFonts w:ascii="Arial" w:hAnsi="Arial" w:cs="Arial"/>
        </w:rPr>
      </w:pPr>
      <w:r w:rsidRPr="009C134A">
        <w:rPr>
          <w:rFonts w:ascii="Arial" w:hAnsi="Arial" w:cs="Arial"/>
        </w:rPr>
        <w:t>l’évaluation à mi-parcours qui est prévue pour 2018 ;</w:t>
      </w:r>
    </w:p>
    <w:p w:rsidR="009A4DF8" w:rsidRPr="009C134A" w:rsidRDefault="009A4DF8" w:rsidP="00B92B11">
      <w:pPr>
        <w:pStyle w:val="Paragraphedeliste"/>
        <w:numPr>
          <w:ilvl w:val="0"/>
          <w:numId w:val="52"/>
        </w:numPr>
        <w:shd w:val="clear" w:color="auto" w:fill="FFFFFF"/>
        <w:ind w:right="14"/>
        <w:jc w:val="both"/>
        <w:rPr>
          <w:rFonts w:ascii="Arial" w:hAnsi="Arial" w:cs="Arial"/>
        </w:rPr>
      </w:pPr>
      <w:r w:rsidRPr="009C134A">
        <w:rPr>
          <w:rFonts w:ascii="Arial" w:hAnsi="Arial" w:cs="Arial"/>
        </w:rPr>
        <w:t xml:space="preserve">l’évaluation  finale à réaliser en 2021. </w:t>
      </w:r>
    </w:p>
    <w:p w:rsidR="009A4DF8" w:rsidRPr="00A16F58" w:rsidRDefault="009A4DF8" w:rsidP="008D7758">
      <w:pPr>
        <w:pStyle w:val="Titre3"/>
        <w:numPr>
          <w:ilvl w:val="0"/>
          <w:numId w:val="140"/>
        </w:numPr>
        <w:tabs>
          <w:tab w:val="left" w:pos="1418"/>
        </w:tabs>
        <w:ind w:left="1701"/>
      </w:pPr>
      <w:bookmarkStart w:id="135" w:name="_Toc492972179"/>
      <w:bookmarkStart w:id="136" w:name="_Toc399933240"/>
      <w:bookmarkStart w:id="137" w:name="_Toc400643285"/>
      <w:bookmarkStart w:id="138" w:name="_Toc427009722"/>
      <w:bookmarkStart w:id="139" w:name="_Toc459122808"/>
      <w:r w:rsidRPr="00A16F58">
        <w:t>Le Cadre Budgétaire à Moyen Terme (CBMT) 2017-2019</w:t>
      </w:r>
      <w:bookmarkEnd w:id="135"/>
      <w:r w:rsidRPr="00A16F58">
        <w:t xml:space="preserve"> </w:t>
      </w:r>
    </w:p>
    <w:p w:rsidR="009A4DF8" w:rsidRPr="009C134A" w:rsidRDefault="009A4DF8" w:rsidP="0025555D">
      <w:pPr>
        <w:spacing w:after="120"/>
        <w:jc w:val="both"/>
        <w:rPr>
          <w:rFonts w:ascii="Arial" w:hAnsi="Arial" w:cs="Arial"/>
        </w:rPr>
      </w:pPr>
      <w:r w:rsidRPr="009C134A">
        <w:rPr>
          <w:rFonts w:ascii="Arial" w:hAnsi="Arial" w:cs="Arial"/>
        </w:rPr>
        <w:t>Le CBMT 2017-2019, élaboré sur la base des hypothèses macroéconomiques, a permis de projeter les perspectives en termes de mobilisation de ressources et d’affecter ces ressources aux différentes natures de dépenses compte tenu des priorités du Gouvernement et des engagements financiers de l’Etat. En effet, il tient compte d’une part, des capacités réelles des régies de recettes dans la mobilisation de ressources et d’autre part, des objectifs d’investissement du Plan National de Développement Economique et Social (PNDES). En outre, le cadrage s’est effectué dans le respect des grands équilibres macroéconomiques et des engagements du Burkina Faso dans le cadre du pacte de convergence de l’UEMOA.</w:t>
      </w:r>
    </w:p>
    <w:p w:rsidR="009A4DF8" w:rsidRPr="009C134A" w:rsidRDefault="009A4DF8" w:rsidP="0025555D">
      <w:pPr>
        <w:spacing w:after="120"/>
        <w:jc w:val="both"/>
        <w:rPr>
          <w:rFonts w:ascii="Arial" w:hAnsi="Arial" w:cs="Arial"/>
        </w:rPr>
      </w:pPr>
      <w:r w:rsidRPr="009C134A">
        <w:rPr>
          <w:rFonts w:ascii="Arial" w:hAnsi="Arial" w:cs="Arial"/>
        </w:rPr>
        <w:t xml:space="preserve">Le CBMT 2017-2019 a été élaboré sur la base du cadrage macroéconomique, des priorités et choix stratégiques budgétaires adoptés par le Gouvernement. </w:t>
      </w:r>
    </w:p>
    <w:p w:rsidR="009A4DF8" w:rsidRPr="009C134A" w:rsidRDefault="009A4DF8" w:rsidP="0025555D">
      <w:pPr>
        <w:spacing w:after="120"/>
        <w:jc w:val="both"/>
        <w:rPr>
          <w:rFonts w:ascii="Arial" w:hAnsi="Arial" w:cs="Arial"/>
        </w:rPr>
      </w:pPr>
      <w:r w:rsidRPr="009C134A">
        <w:rPr>
          <w:rFonts w:ascii="Arial" w:hAnsi="Arial" w:cs="Arial"/>
        </w:rPr>
        <w:t>Les CBMT 2015-2017 et 2016-2018 ont par ailleurs, été actualisés pour leurs tranches 2017 sur la base de l’évolution des hypothèses et pour tenir compte des engagements souscrits dans le</w:t>
      </w:r>
      <w:r w:rsidRPr="000E65DC">
        <w:rPr>
          <w:rFonts w:ascii="Arial" w:hAnsi="Arial" w:cs="Arial"/>
          <w:sz w:val="24"/>
          <w:szCs w:val="24"/>
        </w:rPr>
        <w:t xml:space="preserve"> </w:t>
      </w:r>
      <w:r w:rsidRPr="009C134A">
        <w:rPr>
          <w:rFonts w:ascii="Arial" w:hAnsi="Arial" w:cs="Arial"/>
        </w:rPr>
        <w:t>cadre des</w:t>
      </w:r>
      <w:r w:rsidRPr="000E65DC">
        <w:rPr>
          <w:rFonts w:ascii="Arial" w:hAnsi="Arial" w:cs="Arial"/>
          <w:sz w:val="24"/>
          <w:szCs w:val="24"/>
        </w:rPr>
        <w:t xml:space="preserve"> </w:t>
      </w:r>
      <w:r w:rsidRPr="009C134A">
        <w:rPr>
          <w:rFonts w:ascii="Arial" w:hAnsi="Arial" w:cs="Arial"/>
        </w:rPr>
        <w:t>programmes financiers et au niveau communautaire. Ainsi, les projections issues du CBMT 2017-2019 se présentent comme suit :</w:t>
      </w:r>
    </w:p>
    <w:p w:rsidR="009A4DF8" w:rsidRPr="000E65DC" w:rsidRDefault="009A4DF8" w:rsidP="0025555D">
      <w:pPr>
        <w:spacing w:after="120"/>
        <w:jc w:val="both"/>
        <w:rPr>
          <w:rFonts w:ascii="Arial" w:hAnsi="Arial" w:cs="Arial"/>
          <w:sz w:val="24"/>
          <w:szCs w:val="24"/>
        </w:rPr>
        <w:sectPr w:rsidR="009A4DF8" w:rsidRPr="000E65DC" w:rsidSect="00FC726D">
          <w:pgSz w:w="11906" w:h="16838"/>
          <w:pgMar w:top="851" w:right="849" w:bottom="1417" w:left="851" w:header="708" w:footer="708" w:gutter="0"/>
          <w:pgNumType w:start="1"/>
          <w:cols w:space="708"/>
          <w:titlePg/>
          <w:docGrid w:linePitch="360"/>
        </w:sectPr>
      </w:pPr>
    </w:p>
    <w:p w:rsidR="009A4DF8" w:rsidRPr="002C7316" w:rsidRDefault="002C7316" w:rsidP="002C7316">
      <w:pPr>
        <w:pStyle w:val="Lgende"/>
        <w:rPr>
          <w:rFonts w:ascii="Maiandra GD" w:hAnsi="Maiandra GD"/>
          <w:color w:val="auto"/>
          <w:u w:val="none"/>
        </w:rPr>
      </w:pPr>
      <w:bookmarkStart w:id="140" w:name="_Toc492895474"/>
      <w:r w:rsidRPr="002C7316">
        <w:rPr>
          <w:color w:val="auto"/>
        </w:rPr>
        <w:lastRenderedPageBreak/>
        <w:t xml:space="preserve">Tableau </w:t>
      </w:r>
      <w:r w:rsidRPr="002C7316">
        <w:rPr>
          <w:color w:val="auto"/>
        </w:rPr>
        <w:fldChar w:fldCharType="begin"/>
      </w:r>
      <w:r w:rsidRPr="002C7316">
        <w:rPr>
          <w:color w:val="auto"/>
        </w:rPr>
        <w:instrText xml:space="preserve"> SEQ Tableau \* ARABIC </w:instrText>
      </w:r>
      <w:r w:rsidRPr="002C7316">
        <w:rPr>
          <w:color w:val="auto"/>
        </w:rPr>
        <w:fldChar w:fldCharType="separate"/>
      </w:r>
      <w:r w:rsidR="009A1402">
        <w:rPr>
          <w:noProof/>
          <w:color w:val="auto"/>
        </w:rPr>
        <w:t>6</w:t>
      </w:r>
      <w:r w:rsidRPr="002C7316">
        <w:rPr>
          <w:color w:val="auto"/>
        </w:rPr>
        <w:fldChar w:fldCharType="end"/>
      </w:r>
      <w:r w:rsidRPr="002C7316">
        <w:rPr>
          <w:color w:val="auto"/>
        </w:rPr>
        <w:t> :</w:t>
      </w:r>
      <w:r w:rsidR="009A4DF8" w:rsidRPr="002C7316">
        <w:rPr>
          <w:rFonts w:ascii="Maiandra GD" w:hAnsi="Maiandra GD"/>
          <w:color w:val="auto"/>
          <w:u w:val="none"/>
        </w:rPr>
        <w:t xml:space="preserve"> CADRE BUDGETAIRE A MOYEN TERME 2017-2019</w:t>
      </w:r>
      <w:bookmarkEnd w:id="140"/>
    </w:p>
    <w:p w:rsidR="009A4DF8" w:rsidRPr="00CD521B" w:rsidRDefault="009A4DF8" w:rsidP="00371649">
      <w:pPr>
        <w:spacing w:after="120"/>
        <w:jc w:val="both"/>
        <w:rPr>
          <w:rFonts w:ascii="Maiandra GD" w:hAnsi="Maiandra GD" w:cs="Arial"/>
          <w:sz w:val="24"/>
          <w:szCs w:val="24"/>
        </w:rPr>
      </w:pPr>
      <w:r w:rsidRPr="004167AC">
        <w:rPr>
          <w:rFonts w:ascii="Maiandra GD" w:hAnsi="Maiandra GD" w:cs="Arial"/>
          <w:b/>
          <w:sz w:val="28"/>
          <w:szCs w:val="28"/>
          <w:u w:val="single"/>
        </w:rPr>
        <w:object w:dxaOrig="18059" w:dyaOrig="12002">
          <v:shape id="_x0000_i1025" type="#_x0000_t75" style="width:727.8pt;height:388.2pt" o:ole="">
            <v:imagedata r:id="rId15" o:title=""/>
          </v:shape>
          <o:OLEObject Type="Embed" ProgID="Excel.Sheet.8" ShapeID="_x0000_i1025" DrawAspect="Content" ObjectID="_1567511401" r:id="rId16"/>
        </w:object>
      </w:r>
      <w:r w:rsidRPr="00D76F44">
        <w:rPr>
          <w:rFonts w:ascii="Maiandra GD" w:hAnsi="Maiandra GD" w:cs="Arial"/>
          <w:b/>
          <w:szCs w:val="24"/>
          <w:u w:val="single"/>
        </w:rPr>
        <w:t>Source :</w:t>
      </w:r>
      <w:r w:rsidRPr="00CD521B">
        <w:rPr>
          <w:rFonts w:ascii="Maiandra GD" w:hAnsi="Maiandra GD" w:cs="Arial"/>
          <w:szCs w:val="24"/>
        </w:rPr>
        <w:t xml:space="preserve"> DGB/MEF, avril 2016</w:t>
      </w:r>
    </w:p>
    <w:p w:rsidR="009A4DF8" w:rsidRPr="00CD521B" w:rsidRDefault="009A4DF8" w:rsidP="00371649">
      <w:pPr>
        <w:spacing w:after="120"/>
        <w:jc w:val="both"/>
        <w:rPr>
          <w:rFonts w:ascii="Maiandra GD" w:hAnsi="Maiandra GD" w:cs="Arial"/>
          <w:sz w:val="24"/>
          <w:szCs w:val="24"/>
          <w:highlight w:val="yellow"/>
        </w:rPr>
        <w:sectPr w:rsidR="009A4DF8" w:rsidRPr="00CD521B" w:rsidSect="009A4DF8">
          <w:footerReference w:type="default" r:id="rId17"/>
          <w:pgSz w:w="16838" w:h="11906" w:orient="landscape"/>
          <w:pgMar w:top="1417" w:right="849" w:bottom="1417" w:left="851" w:header="708" w:footer="708" w:gutter="0"/>
          <w:cols w:space="708"/>
          <w:docGrid w:linePitch="360"/>
        </w:sectPr>
      </w:pPr>
    </w:p>
    <w:p w:rsidR="009A4DF8" w:rsidRPr="009C134A" w:rsidRDefault="009A4DF8" w:rsidP="00371649">
      <w:pPr>
        <w:spacing w:after="120"/>
        <w:jc w:val="both"/>
        <w:rPr>
          <w:rFonts w:ascii="Arial" w:hAnsi="Arial" w:cs="Arial"/>
        </w:rPr>
      </w:pPr>
      <w:r w:rsidRPr="009C134A">
        <w:rPr>
          <w:rFonts w:ascii="Arial" w:hAnsi="Arial" w:cs="Arial"/>
        </w:rPr>
        <w:lastRenderedPageBreak/>
        <w:t>Les recettes propres se situeraient à 1 438,23 milliards de FCFA en 2017 ; 1 660,9 milliards de FCFA en 2018 et 2 002,8 milliards de FCFA en 2019 soit un taux de progression annuel moyen de 16,83%. Les recettes fiscales passeraient de 1 294,34 milliards de FCFA en 2017 à 1 501,57 milliards de FCFA en 2018 et 1 831,31 milliards de FCFA en 2019 correspondant à un taux d’a</w:t>
      </w:r>
      <w:r w:rsidR="00371649">
        <w:rPr>
          <w:rFonts w:ascii="Arial" w:hAnsi="Arial" w:cs="Arial"/>
        </w:rPr>
        <w:t>ccroissement moyen de 19% l’an.</w:t>
      </w:r>
    </w:p>
    <w:p w:rsidR="009A4DF8" w:rsidRPr="009C134A" w:rsidRDefault="009A4DF8" w:rsidP="00371649">
      <w:pPr>
        <w:spacing w:after="120"/>
        <w:jc w:val="both"/>
        <w:rPr>
          <w:rFonts w:ascii="Arial" w:hAnsi="Arial" w:cs="Arial"/>
        </w:rPr>
      </w:pPr>
      <w:r w:rsidRPr="009C134A">
        <w:rPr>
          <w:rFonts w:ascii="Arial" w:hAnsi="Arial" w:cs="Arial"/>
        </w:rPr>
        <w:t xml:space="preserve">Les dépenses budgétaires totales se chiffrent à 2487,54 milliards de FCFA en 2017 ; 2 734,69 milliards de FCFA en 2018 et 2 969,47 milliards de FCFA en 2019, soit un taux moyen de progression de 9,26%. Les dépenses d’investissements sur ressources propres ressortiraient à 993,96 milliards de FCFA, 1 088,96 milliards de FCFA et 1 205,02 milliards de FCFA respectivement en 2017, 2018 et 2019, soit un taux d’accroissement moyen de 10,11%. Ils représentent en moyenne 40,1% des dépenses totales d’investissements et 64,95% </w:t>
      </w:r>
      <w:r w:rsidR="00371649">
        <w:rPr>
          <w:rFonts w:ascii="Arial" w:hAnsi="Arial" w:cs="Arial"/>
        </w:rPr>
        <w:t>des recettes propres de l’Etat.</w:t>
      </w:r>
    </w:p>
    <w:p w:rsidR="009A4DF8" w:rsidRPr="00742715" w:rsidRDefault="009A4DF8" w:rsidP="00371649">
      <w:pPr>
        <w:spacing w:after="120"/>
        <w:jc w:val="both"/>
        <w:rPr>
          <w:rFonts w:ascii="Arial" w:hAnsi="Arial" w:cs="Arial"/>
        </w:rPr>
      </w:pPr>
      <w:r w:rsidRPr="009C134A">
        <w:rPr>
          <w:rFonts w:ascii="Arial" w:hAnsi="Arial" w:cs="Arial"/>
        </w:rPr>
        <w:t>Les investissements sur ressources extérieures seraient de 304,40 milliards de FCFA; 354,20 milliards de FCFA et 373,6 milliards de FCFA respectivement en 2017, 2018 et 2019. L’épargne budgétaire qui se dégage se chiffrerait à 261,26 milliards de FCFA en 2017 ; 381,88 milliards de FCFA en 2018 et 624,45 milliards de FCFA en 2019. Cette épargne permettrait de prendre en charge en partie les investis</w:t>
      </w:r>
      <w:r w:rsidR="00742715">
        <w:rPr>
          <w:rFonts w:ascii="Arial" w:hAnsi="Arial" w:cs="Arial"/>
        </w:rPr>
        <w:t>sements sur ressources propres.</w:t>
      </w:r>
    </w:p>
    <w:p w:rsidR="009A4DF8" w:rsidRPr="00A16F58" w:rsidRDefault="009A4DF8" w:rsidP="008D7758">
      <w:pPr>
        <w:pStyle w:val="Titre3"/>
        <w:numPr>
          <w:ilvl w:val="0"/>
          <w:numId w:val="140"/>
        </w:numPr>
        <w:tabs>
          <w:tab w:val="left" w:pos="1418"/>
        </w:tabs>
        <w:ind w:left="1701"/>
      </w:pPr>
      <w:bookmarkStart w:id="141" w:name="_Toc492972180"/>
      <w:r w:rsidRPr="00A16F58">
        <w:t>Le Programme d’Investissements Publics (PIP)</w:t>
      </w:r>
      <w:bookmarkEnd w:id="141"/>
    </w:p>
    <w:p w:rsidR="009A4DF8" w:rsidRPr="00DA1348" w:rsidRDefault="009A4DF8" w:rsidP="00371649">
      <w:pPr>
        <w:spacing w:after="120"/>
        <w:jc w:val="both"/>
        <w:rPr>
          <w:rFonts w:ascii="Arial" w:hAnsi="Arial" w:cs="Arial"/>
        </w:rPr>
      </w:pPr>
      <w:r w:rsidRPr="00DA1348">
        <w:rPr>
          <w:rFonts w:ascii="Arial" w:hAnsi="Arial" w:cs="Arial"/>
        </w:rPr>
        <w:t>Le PIP qui représente l’ensemble des dépenses d’« investissements exécutés par l’Etat » regroupe les projets et programmes orientés vers des investissements structurants ayant des effets d’entrainements suffisamment importants pour impacter le reste de l’économie.</w:t>
      </w:r>
    </w:p>
    <w:p w:rsidR="009A4DF8" w:rsidRPr="00DA1348" w:rsidRDefault="009A4DF8" w:rsidP="00371649">
      <w:pPr>
        <w:spacing w:after="120"/>
        <w:jc w:val="both"/>
        <w:rPr>
          <w:rFonts w:ascii="Arial" w:hAnsi="Arial" w:cs="Arial"/>
          <w:color w:val="000000"/>
        </w:rPr>
      </w:pPr>
      <w:r w:rsidRPr="00DA1348">
        <w:rPr>
          <w:rFonts w:ascii="Arial" w:hAnsi="Arial" w:cs="Arial"/>
        </w:rPr>
        <w:t>La programmation des projets et programmes nationaux se fait dans le respect des enveloppes sectorielles et globales dégagées par le Cadre Budgétaire à Moyen Terme. Ainsi, l’enveloppe globale des dépenses publiques d’investissements de l’année budgétaire 2016 s’est établie à 725,50milliards de FCFA contre 676,16 milliards de FCFA en 2015, soit une hausse  de 49,34 milliards de FCFA représentant a</w:t>
      </w:r>
      <w:r w:rsidR="00742715">
        <w:rPr>
          <w:rFonts w:ascii="Arial" w:hAnsi="Arial" w:cs="Arial"/>
        </w:rPr>
        <w:t xml:space="preserve"> </w:t>
      </w:r>
      <w:r w:rsidRPr="00DA1348">
        <w:rPr>
          <w:rFonts w:ascii="Arial" w:hAnsi="Arial" w:cs="Arial"/>
        </w:rPr>
        <w:t>7,30%.</w:t>
      </w:r>
    </w:p>
    <w:p w:rsidR="009A4DF8" w:rsidRPr="002C7316" w:rsidRDefault="002C7316" w:rsidP="002C7316">
      <w:pPr>
        <w:pStyle w:val="Lgende"/>
        <w:rPr>
          <w:color w:val="auto"/>
        </w:rPr>
      </w:pPr>
      <w:bookmarkStart w:id="142" w:name="_Toc401476948"/>
      <w:bookmarkStart w:id="143" w:name="_Toc446939717"/>
      <w:bookmarkStart w:id="144" w:name="_Toc492895475"/>
      <w:r w:rsidRPr="002C7316">
        <w:rPr>
          <w:color w:val="auto"/>
        </w:rPr>
        <w:t xml:space="preserve">Tableau </w:t>
      </w:r>
      <w:r w:rsidRPr="002C7316">
        <w:rPr>
          <w:color w:val="auto"/>
        </w:rPr>
        <w:fldChar w:fldCharType="begin"/>
      </w:r>
      <w:r w:rsidRPr="002C7316">
        <w:rPr>
          <w:color w:val="auto"/>
        </w:rPr>
        <w:instrText xml:space="preserve"> SEQ Tableau \* ARABIC </w:instrText>
      </w:r>
      <w:r w:rsidRPr="002C7316">
        <w:rPr>
          <w:color w:val="auto"/>
        </w:rPr>
        <w:fldChar w:fldCharType="separate"/>
      </w:r>
      <w:r w:rsidR="009A1402">
        <w:rPr>
          <w:noProof/>
          <w:color w:val="auto"/>
        </w:rPr>
        <w:t>7</w:t>
      </w:r>
      <w:r w:rsidRPr="002C7316">
        <w:rPr>
          <w:color w:val="auto"/>
        </w:rPr>
        <w:fldChar w:fldCharType="end"/>
      </w:r>
      <w:r w:rsidR="009A4DF8" w:rsidRPr="002C7316">
        <w:rPr>
          <w:color w:val="auto"/>
        </w:rPr>
        <w:t xml:space="preserve"> : </w:t>
      </w:r>
      <w:r w:rsidR="009A4DF8" w:rsidRPr="002C7316">
        <w:rPr>
          <w:color w:val="auto"/>
          <w:u w:val="none"/>
        </w:rPr>
        <w:t>PIP 2016 révisé par type et mode de financement</w:t>
      </w:r>
      <w:bookmarkEnd w:id="142"/>
      <w:bookmarkEnd w:id="143"/>
      <w:bookmarkEnd w:id="144"/>
    </w:p>
    <w:tbl>
      <w:tblPr>
        <w:tblW w:w="49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42"/>
        <w:gridCol w:w="2003"/>
        <w:gridCol w:w="2138"/>
        <w:gridCol w:w="1982"/>
        <w:gridCol w:w="1677"/>
      </w:tblGrid>
      <w:tr w:rsidR="00473D42" w:rsidRPr="00473D42" w:rsidTr="002C7316">
        <w:trPr>
          <w:trHeight w:val="703"/>
        </w:trPr>
        <w:tc>
          <w:tcPr>
            <w:tcW w:w="1037" w:type="pct"/>
            <w:shd w:val="clear" w:color="auto" w:fill="auto"/>
            <w:noWrap/>
            <w:vAlign w:val="center"/>
            <w:hideMark/>
          </w:tcPr>
          <w:p w:rsidR="009A4DF8" w:rsidRPr="00473D42" w:rsidRDefault="009A4DF8" w:rsidP="00473D42">
            <w:pPr>
              <w:spacing w:after="0" w:line="240" w:lineRule="auto"/>
              <w:jc w:val="center"/>
              <w:rPr>
                <w:rFonts w:ascii="Arial" w:hAnsi="Arial" w:cs="Arial"/>
                <w:b/>
                <w:color w:val="000000"/>
                <w:sz w:val="20"/>
                <w:szCs w:val="20"/>
              </w:rPr>
            </w:pPr>
            <w:r w:rsidRPr="00473D42">
              <w:rPr>
                <w:rFonts w:ascii="Arial" w:hAnsi="Arial" w:cs="Arial"/>
                <w:b/>
                <w:color w:val="000000"/>
                <w:sz w:val="20"/>
                <w:szCs w:val="20"/>
              </w:rPr>
              <w:t>Mode de financement</w:t>
            </w:r>
          </w:p>
        </w:tc>
        <w:tc>
          <w:tcPr>
            <w:tcW w:w="1017" w:type="pct"/>
            <w:shd w:val="clear" w:color="auto" w:fill="auto"/>
            <w:vAlign w:val="center"/>
            <w:hideMark/>
          </w:tcPr>
          <w:p w:rsidR="009A4DF8" w:rsidRPr="00473D42" w:rsidRDefault="009A4DF8" w:rsidP="00473D42">
            <w:pPr>
              <w:spacing w:after="0" w:line="240" w:lineRule="auto"/>
              <w:jc w:val="center"/>
              <w:rPr>
                <w:rFonts w:ascii="Arial" w:hAnsi="Arial" w:cs="Arial"/>
                <w:b/>
                <w:color w:val="000000"/>
                <w:sz w:val="20"/>
                <w:szCs w:val="20"/>
              </w:rPr>
            </w:pPr>
            <w:r w:rsidRPr="00473D42">
              <w:rPr>
                <w:rFonts w:ascii="Arial" w:hAnsi="Arial" w:cs="Arial"/>
                <w:b/>
                <w:color w:val="000000"/>
                <w:sz w:val="20"/>
                <w:szCs w:val="20"/>
              </w:rPr>
              <w:t>Dotation loi de finances initiale (A)</w:t>
            </w:r>
          </w:p>
        </w:tc>
        <w:tc>
          <w:tcPr>
            <w:tcW w:w="1086" w:type="pct"/>
            <w:shd w:val="clear" w:color="auto" w:fill="auto"/>
            <w:noWrap/>
            <w:vAlign w:val="center"/>
            <w:hideMark/>
          </w:tcPr>
          <w:p w:rsidR="009A4DF8" w:rsidRPr="00473D42" w:rsidRDefault="009A4DF8" w:rsidP="00473D42">
            <w:pPr>
              <w:spacing w:after="0" w:line="240" w:lineRule="auto"/>
              <w:jc w:val="center"/>
              <w:rPr>
                <w:rFonts w:ascii="Arial" w:hAnsi="Arial" w:cs="Arial"/>
                <w:b/>
                <w:color w:val="000000"/>
                <w:sz w:val="20"/>
                <w:szCs w:val="20"/>
              </w:rPr>
            </w:pPr>
            <w:r w:rsidRPr="00473D42">
              <w:rPr>
                <w:rFonts w:ascii="Arial" w:hAnsi="Arial" w:cs="Arial"/>
                <w:b/>
                <w:color w:val="000000"/>
                <w:sz w:val="20"/>
                <w:szCs w:val="20"/>
              </w:rPr>
              <w:t>Dotation révisée (B)</w:t>
            </w:r>
          </w:p>
        </w:tc>
        <w:tc>
          <w:tcPr>
            <w:tcW w:w="1007" w:type="pct"/>
            <w:shd w:val="clear" w:color="auto" w:fill="auto"/>
            <w:noWrap/>
            <w:vAlign w:val="center"/>
            <w:hideMark/>
          </w:tcPr>
          <w:p w:rsidR="009A4DF8" w:rsidRPr="00473D42" w:rsidRDefault="009A4DF8" w:rsidP="00473D42">
            <w:pPr>
              <w:spacing w:after="0" w:line="240" w:lineRule="auto"/>
              <w:jc w:val="center"/>
              <w:rPr>
                <w:rFonts w:ascii="Arial" w:hAnsi="Arial" w:cs="Arial"/>
                <w:b/>
                <w:color w:val="000000"/>
                <w:sz w:val="20"/>
                <w:szCs w:val="20"/>
              </w:rPr>
            </w:pPr>
            <w:r w:rsidRPr="00473D42">
              <w:rPr>
                <w:rFonts w:ascii="Arial" w:hAnsi="Arial" w:cs="Arial"/>
                <w:b/>
                <w:color w:val="000000"/>
                <w:sz w:val="20"/>
                <w:szCs w:val="20"/>
              </w:rPr>
              <w:t>Variation (C=B-A)</w:t>
            </w:r>
          </w:p>
        </w:tc>
        <w:tc>
          <w:tcPr>
            <w:tcW w:w="852" w:type="pct"/>
            <w:shd w:val="clear" w:color="auto" w:fill="auto"/>
            <w:vAlign w:val="center"/>
          </w:tcPr>
          <w:p w:rsidR="009A4DF8" w:rsidRPr="00473D42" w:rsidRDefault="00473D42" w:rsidP="00473D42">
            <w:pPr>
              <w:spacing w:after="0"/>
              <w:jc w:val="center"/>
              <w:rPr>
                <w:rFonts w:ascii="Arial" w:hAnsi="Arial" w:cs="Arial"/>
                <w:b/>
                <w:bCs/>
                <w:color w:val="000000"/>
                <w:sz w:val="20"/>
                <w:szCs w:val="20"/>
              </w:rPr>
            </w:pPr>
            <w:r w:rsidRPr="00473D42">
              <w:rPr>
                <w:rFonts w:ascii="Arial" w:hAnsi="Arial" w:cs="Arial"/>
                <w:b/>
                <w:bCs/>
                <w:color w:val="000000"/>
                <w:sz w:val="20"/>
                <w:szCs w:val="20"/>
              </w:rPr>
              <w:t>Part par mode de financement</w:t>
            </w:r>
          </w:p>
        </w:tc>
      </w:tr>
      <w:tr w:rsidR="00473D42" w:rsidRPr="00473D42" w:rsidTr="00473D42">
        <w:trPr>
          <w:trHeight w:val="240"/>
        </w:trPr>
        <w:tc>
          <w:tcPr>
            <w:tcW w:w="1037" w:type="pct"/>
            <w:shd w:val="clear" w:color="000000" w:fill="AEAAAA"/>
            <w:noWrap/>
            <w:vAlign w:val="center"/>
            <w:hideMark/>
          </w:tcPr>
          <w:p w:rsidR="009A4DF8" w:rsidRPr="00473D42" w:rsidRDefault="009A4DF8" w:rsidP="00473D42">
            <w:pPr>
              <w:spacing w:after="0" w:line="240" w:lineRule="auto"/>
              <w:rPr>
                <w:rFonts w:ascii="Arial" w:hAnsi="Arial" w:cs="Arial"/>
                <w:b/>
                <w:color w:val="000000"/>
                <w:sz w:val="20"/>
                <w:szCs w:val="20"/>
              </w:rPr>
            </w:pPr>
            <w:r w:rsidRPr="00473D42">
              <w:rPr>
                <w:rFonts w:ascii="Arial" w:hAnsi="Arial" w:cs="Arial"/>
                <w:b/>
                <w:color w:val="000000"/>
                <w:sz w:val="20"/>
                <w:szCs w:val="20"/>
              </w:rPr>
              <w:t>Ressources internes</w:t>
            </w:r>
          </w:p>
        </w:tc>
        <w:tc>
          <w:tcPr>
            <w:tcW w:w="1017" w:type="pct"/>
            <w:shd w:val="clear" w:color="000000" w:fill="AEAAAA"/>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345 284 709 000</w:t>
            </w:r>
          </w:p>
        </w:tc>
        <w:tc>
          <w:tcPr>
            <w:tcW w:w="1086" w:type="pct"/>
            <w:shd w:val="clear" w:color="000000" w:fill="AEAAAA"/>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370 419 101 000</w:t>
            </w:r>
          </w:p>
        </w:tc>
        <w:tc>
          <w:tcPr>
            <w:tcW w:w="1007" w:type="pct"/>
            <w:shd w:val="clear" w:color="000000" w:fill="AEAAAA"/>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25 134 392 000</w:t>
            </w:r>
          </w:p>
        </w:tc>
        <w:tc>
          <w:tcPr>
            <w:tcW w:w="852" w:type="pct"/>
            <w:shd w:val="clear" w:color="000000" w:fill="AEAAAA"/>
            <w:vAlign w:val="center"/>
          </w:tcPr>
          <w:p w:rsidR="009A4DF8" w:rsidRPr="00473D42" w:rsidRDefault="009A4DF8" w:rsidP="00473D42">
            <w:pPr>
              <w:spacing w:after="0"/>
              <w:jc w:val="center"/>
              <w:rPr>
                <w:rFonts w:ascii="Arial" w:hAnsi="Arial" w:cs="Arial"/>
                <w:b/>
                <w:bCs/>
                <w:color w:val="000000"/>
                <w:sz w:val="20"/>
                <w:szCs w:val="20"/>
              </w:rPr>
            </w:pPr>
            <w:r w:rsidRPr="00473D42">
              <w:rPr>
                <w:rFonts w:ascii="Arial" w:hAnsi="Arial" w:cs="Arial"/>
                <w:b/>
                <w:bCs/>
                <w:color w:val="000000"/>
                <w:sz w:val="20"/>
                <w:szCs w:val="20"/>
              </w:rPr>
              <w:t>51,06%</w:t>
            </w:r>
          </w:p>
        </w:tc>
      </w:tr>
      <w:tr w:rsidR="00473D42" w:rsidRPr="00473D42" w:rsidTr="00473D42">
        <w:trPr>
          <w:trHeight w:val="296"/>
        </w:trPr>
        <w:tc>
          <w:tcPr>
            <w:tcW w:w="1037" w:type="pct"/>
            <w:shd w:val="clear" w:color="auto" w:fill="auto"/>
            <w:noWrap/>
            <w:vAlign w:val="center"/>
            <w:hideMark/>
          </w:tcPr>
          <w:p w:rsidR="009A4DF8" w:rsidRPr="00473D42" w:rsidRDefault="009A4DF8" w:rsidP="00473D42">
            <w:pPr>
              <w:spacing w:after="0" w:line="240" w:lineRule="auto"/>
              <w:rPr>
                <w:rFonts w:ascii="Arial" w:hAnsi="Arial" w:cs="Arial"/>
                <w:b/>
                <w:color w:val="000000"/>
                <w:sz w:val="20"/>
                <w:szCs w:val="20"/>
              </w:rPr>
            </w:pPr>
            <w:r w:rsidRPr="00473D42">
              <w:rPr>
                <w:rFonts w:ascii="Arial" w:hAnsi="Arial" w:cs="Arial"/>
                <w:b/>
                <w:color w:val="000000"/>
                <w:sz w:val="20"/>
                <w:szCs w:val="20"/>
              </w:rPr>
              <w:t>Projets nationaux</w:t>
            </w:r>
          </w:p>
        </w:tc>
        <w:tc>
          <w:tcPr>
            <w:tcW w:w="1017"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302 476 9560 00</w:t>
            </w:r>
            <w:r w:rsidR="00473D42">
              <w:rPr>
                <w:rFonts w:ascii="Arial" w:hAnsi="Arial" w:cs="Arial"/>
                <w:color w:val="000000"/>
                <w:sz w:val="20"/>
                <w:szCs w:val="20"/>
              </w:rPr>
              <w:t>0</w:t>
            </w:r>
          </w:p>
        </w:tc>
        <w:tc>
          <w:tcPr>
            <w:tcW w:w="1086" w:type="pct"/>
            <w:shd w:val="clear" w:color="auto" w:fill="auto"/>
            <w:noWrap/>
            <w:vAlign w:val="center"/>
            <w:hideMark/>
          </w:tcPr>
          <w:p w:rsidR="009A4DF8" w:rsidRPr="00473D42" w:rsidRDefault="009A4DF8" w:rsidP="00473D42">
            <w:pPr>
              <w:spacing w:after="0" w:line="240" w:lineRule="auto"/>
              <w:jc w:val="center"/>
              <w:rPr>
                <w:rFonts w:ascii="Arial" w:hAnsi="Arial" w:cs="Arial"/>
                <w:bCs/>
                <w:sz w:val="20"/>
                <w:szCs w:val="20"/>
              </w:rPr>
            </w:pPr>
            <w:r w:rsidRPr="00473D42">
              <w:rPr>
                <w:rFonts w:ascii="Arial" w:hAnsi="Arial" w:cs="Arial"/>
                <w:bCs/>
                <w:sz w:val="20"/>
                <w:szCs w:val="20"/>
              </w:rPr>
              <w:t>331 143 785 000</w:t>
            </w:r>
          </w:p>
        </w:tc>
        <w:tc>
          <w:tcPr>
            <w:tcW w:w="1007"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28 666 829 000</w:t>
            </w:r>
          </w:p>
        </w:tc>
        <w:tc>
          <w:tcPr>
            <w:tcW w:w="852" w:type="pct"/>
            <w:vAlign w:val="center"/>
          </w:tcPr>
          <w:p w:rsidR="009A4DF8" w:rsidRPr="00473D42" w:rsidRDefault="009A4DF8" w:rsidP="00473D42">
            <w:pPr>
              <w:spacing w:after="0"/>
              <w:jc w:val="center"/>
              <w:rPr>
                <w:rFonts w:ascii="Arial" w:hAnsi="Arial" w:cs="Arial"/>
                <w:color w:val="000000"/>
                <w:sz w:val="20"/>
                <w:szCs w:val="20"/>
              </w:rPr>
            </w:pPr>
            <w:r w:rsidRPr="00473D42">
              <w:rPr>
                <w:rFonts w:ascii="Arial" w:hAnsi="Arial" w:cs="Arial"/>
                <w:color w:val="000000"/>
                <w:sz w:val="20"/>
                <w:szCs w:val="20"/>
              </w:rPr>
              <w:t>45,64%</w:t>
            </w:r>
          </w:p>
        </w:tc>
      </w:tr>
      <w:tr w:rsidR="00473D42" w:rsidRPr="00473D42" w:rsidTr="00473D42">
        <w:trPr>
          <w:trHeight w:val="240"/>
        </w:trPr>
        <w:tc>
          <w:tcPr>
            <w:tcW w:w="1037" w:type="pct"/>
            <w:shd w:val="clear" w:color="auto" w:fill="auto"/>
            <w:noWrap/>
            <w:vAlign w:val="center"/>
            <w:hideMark/>
          </w:tcPr>
          <w:p w:rsidR="009A4DF8" w:rsidRPr="00473D42" w:rsidRDefault="009A4DF8" w:rsidP="00473D42">
            <w:pPr>
              <w:spacing w:after="0" w:line="240" w:lineRule="auto"/>
              <w:rPr>
                <w:rFonts w:ascii="Arial" w:hAnsi="Arial" w:cs="Arial"/>
                <w:b/>
                <w:color w:val="000000"/>
                <w:sz w:val="20"/>
                <w:szCs w:val="20"/>
              </w:rPr>
            </w:pPr>
            <w:r w:rsidRPr="00473D42">
              <w:rPr>
                <w:rFonts w:ascii="Arial" w:hAnsi="Arial" w:cs="Arial"/>
                <w:b/>
                <w:color w:val="000000"/>
                <w:sz w:val="20"/>
                <w:szCs w:val="20"/>
              </w:rPr>
              <w:t>Contrepartie</w:t>
            </w:r>
          </w:p>
        </w:tc>
        <w:tc>
          <w:tcPr>
            <w:tcW w:w="1017"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42 807 753 00</w:t>
            </w:r>
            <w:r w:rsidR="00473D42">
              <w:rPr>
                <w:rFonts w:ascii="Arial" w:hAnsi="Arial" w:cs="Arial"/>
                <w:color w:val="000000"/>
                <w:sz w:val="20"/>
                <w:szCs w:val="20"/>
              </w:rPr>
              <w:t>0</w:t>
            </w:r>
          </w:p>
        </w:tc>
        <w:tc>
          <w:tcPr>
            <w:tcW w:w="1086"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39 275 316 000</w:t>
            </w:r>
          </w:p>
        </w:tc>
        <w:tc>
          <w:tcPr>
            <w:tcW w:w="1007"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-3 532 437 000</w:t>
            </w:r>
          </w:p>
        </w:tc>
        <w:tc>
          <w:tcPr>
            <w:tcW w:w="852" w:type="pct"/>
            <w:vAlign w:val="center"/>
          </w:tcPr>
          <w:p w:rsidR="009A4DF8" w:rsidRPr="00473D42" w:rsidRDefault="009A4DF8" w:rsidP="00473D42">
            <w:pPr>
              <w:spacing w:after="0"/>
              <w:jc w:val="center"/>
              <w:rPr>
                <w:rFonts w:ascii="Arial" w:hAnsi="Arial" w:cs="Arial"/>
                <w:color w:val="000000"/>
                <w:sz w:val="20"/>
                <w:szCs w:val="20"/>
              </w:rPr>
            </w:pPr>
            <w:r w:rsidRPr="00473D42">
              <w:rPr>
                <w:rFonts w:ascii="Arial" w:hAnsi="Arial" w:cs="Arial"/>
                <w:color w:val="000000"/>
                <w:sz w:val="20"/>
                <w:szCs w:val="20"/>
              </w:rPr>
              <w:t>5,41%</w:t>
            </w:r>
          </w:p>
        </w:tc>
      </w:tr>
      <w:tr w:rsidR="00473D42" w:rsidRPr="00473D42" w:rsidTr="00473D42">
        <w:trPr>
          <w:trHeight w:val="240"/>
        </w:trPr>
        <w:tc>
          <w:tcPr>
            <w:tcW w:w="1037" w:type="pct"/>
            <w:shd w:val="clear" w:color="000000" w:fill="AEAAAA"/>
            <w:noWrap/>
            <w:vAlign w:val="center"/>
            <w:hideMark/>
          </w:tcPr>
          <w:p w:rsidR="009A4DF8" w:rsidRPr="00473D42" w:rsidRDefault="009A4DF8" w:rsidP="00473D42">
            <w:pPr>
              <w:spacing w:after="0" w:line="240" w:lineRule="auto"/>
              <w:rPr>
                <w:rFonts w:ascii="Arial" w:hAnsi="Arial" w:cs="Arial"/>
                <w:b/>
                <w:color w:val="000000"/>
                <w:sz w:val="20"/>
                <w:szCs w:val="20"/>
              </w:rPr>
            </w:pPr>
            <w:r w:rsidRPr="00473D42">
              <w:rPr>
                <w:rFonts w:ascii="Arial" w:hAnsi="Arial" w:cs="Arial"/>
                <w:b/>
                <w:color w:val="000000"/>
                <w:sz w:val="20"/>
                <w:szCs w:val="20"/>
              </w:rPr>
              <w:t>Ressources extérieures</w:t>
            </w:r>
          </w:p>
        </w:tc>
        <w:tc>
          <w:tcPr>
            <w:tcW w:w="1017" w:type="pct"/>
            <w:shd w:val="clear" w:color="000000" w:fill="AEAAAA"/>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400 676 018 000</w:t>
            </w:r>
          </w:p>
        </w:tc>
        <w:tc>
          <w:tcPr>
            <w:tcW w:w="1086" w:type="pct"/>
            <w:shd w:val="clear" w:color="000000" w:fill="AEAAAA"/>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355 078 518 000</w:t>
            </w:r>
          </w:p>
        </w:tc>
        <w:tc>
          <w:tcPr>
            <w:tcW w:w="1007" w:type="pct"/>
            <w:shd w:val="clear" w:color="000000" w:fill="AEAAAA"/>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-45 597 500000</w:t>
            </w:r>
          </w:p>
        </w:tc>
        <w:tc>
          <w:tcPr>
            <w:tcW w:w="852" w:type="pct"/>
            <w:shd w:val="clear" w:color="000000" w:fill="AEAAAA"/>
            <w:vAlign w:val="center"/>
          </w:tcPr>
          <w:p w:rsidR="009A4DF8" w:rsidRPr="00473D42" w:rsidRDefault="009A4DF8" w:rsidP="00473D42">
            <w:pPr>
              <w:spacing w:after="0"/>
              <w:jc w:val="center"/>
              <w:rPr>
                <w:rFonts w:ascii="Arial" w:hAnsi="Arial" w:cs="Arial"/>
                <w:b/>
                <w:bCs/>
                <w:color w:val="000000"/>
                <w:sz w:val="20"/>
                <w:szCs w:val="20"/>
              </w:rPr>
            </w:pPr>
            <w:r w:rsidRPr="00473D42">
              <w:rPr>
                <w:rFonts w:ascii="Arial" w:hAnsi="Arial" w:cs="Arial"/>
                <w:b/>
                <w:bCs/>
                <w:color w:val="000000"/>
                <w:sz w:val="20"/>
                <w:szCs w:val="20"/>
              </w:rPr>
              <w:t>48,94%</w:t>
            </w:r>
          </w:p>
        </w:tc>
      </w:tr>
      <w:tr w:rsidR="00473D42" w:rsidRPr="00473D42" w:rsidTr="00473D42">
        <w:trPr>
          <w:trHeight w:val="240"/>
        </w:trPr>
        <w:tc>
          <w:tcPr>
            <w:tcW w:w="1037" w:type="pct"/>
            <w:shd w:val="clear" w:color="auto" w:fill="auto"/>
            <w:noWrap/>
            <w:vAlign w:val="center"/>
            <w:hideMark/>
          </w:tcPr>
          <w:p w:rsidR="009A4DF8" w:rsidRPr="00473D42" w:rsidRDefault="009A4DF8" w:rsidP="00473D42">
            <w:pPr>
              <w:spacing w:after="0" w:line="240" w:lineRule="auto"/>
              <w:rPr>
                <w:rFonts w:ascii="Arial" w:hAnsi="Arial" w:cs="Arial"/>
                <w:b/>
                <w:color w:val="000000"/>
                <w:sz w:val="20"/>
                <w:szCs w:val="20"/>
              </w:rPr>
            </w:pPr>
            <w:r w:rsidRPr="00473D42">
              <w:rPr>
                <w:rFonts w:ascii="Arial" w:hAnsi="Arial" w:cs="Arial"/>
                <w:b/>
                <w:color w:val="000000"/>
                <w:sz w:val="20"/>
                <w:szCs w:val="20"/>
              </w:rPr>
              <w:t>Prêts</w:t>
            </w:r>
          </w:p>
        </w:tc>
        <w:tc>
          <w:tcPr>
            <w:tcW w:w="1017"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186 904 499 000</w:t>
            </w:r>
          </w:p>
        </w:tc>
        <w:tc>
          <w:tcPr>
            <w:tcW w:w="1086"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141 306 999 000</w:t>
            </w:r>
          </w:p>
        </w:tc>
        <w:tc>
          <w:tcPr>
            <w:tcW w:w="1007"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-45 597 500 000</w:t>
            </w:r>
          </w:p>
        </w:tc>
        <w:tc>
          <w:tcPr>
            <w:tcW w:w="852" w:type="pct"/>
            <w:vAlign w:val="center"/>
          </w:tcPr>
          <w:p w:rsidR="009A4DF8" w:rsidRPr="00473D42" w:rsidRDefault="009A4DF8" w:rsidP="00473D42">
            <w:pPr>
              <w:spacing w:after="0"/>
              <w:jc w:val="center"/>
              <w:rPr>
                <w:rFonts w:ascii="Arial" w:hAnsi="Arial" w:cs="Arial"/>
                <w:color w:val="000000"/>
                <w:sz w:val="20"/>
                <w:szCs w:val="20"/>
              </w:rPr>
            </w:pPr>
            <w:r w:rsidRPr="00473D42">
              <w:rPr>
                <w:rFonts w:ascii="Arial" w:hAnsi="Arial" w:cs="Arial"/>
                <w:color w:val="000000"/>
                <w:sz w:val="20"/>
                <w:szCs w:val="20"/>
              </w:rPr>
              <w:t>19,48%</w:t>
            </w:r>
          </w:p>
        </w:tc>
      </w:tr>
      <w:tr w:rsidR="00473D42" w:rsidRPr="00473D42" w:rsidTr="00473D42">
        <w:trPr>
          <w:trHeight w:val="240"/>
        </w:trPr>
        <w:tc>
          <w:tcPr>
            <w:tcW w:w="1037" w:type="pct"/>
            <w:shd w:val="clear" w:color="auto" w:fill="auto"/>
            <w:noWrap/>
            <w:vAlign w:val="center"/>
            <w:hideMark/>
          </w:tcPr>
          <w:p w:rsidR="009A4DF8" w:rsidRPr="00473D42" w:rsidRDefault="009A4DF8" w:rsidP="00473D42">
            <w:pPr>
              <w:spacing w:after="0" w:line="240" w:lineRule="auto"/>
              <w:rPr>
                <w:rFonts w:ascii="Arial" w:hAnsi="Arial" w:cs="Arial"/>
                <w:b/>
                <w:color w:val="000000"/>
                <w:sz w:val="20"/>
                <w:szCs w:val="20"/>
              </w:rPr>
            </w:pPr>
            <w:r w:rsidRPr="00473D42">
              <w:rPr>
                <w:rFonts w:ascii="Arial" w:hAnsi="Arial" w:cs="Arial"/>
                <w:b/>
                <w:color w:val="000000"/>
                <w:sz w:val="20"/>
                <w:szCs w:val="20"/>
              </w:rPr>
              <w:t>Subventions</w:t>
            </w:r>
          </w:p>
        </w:tc>
        <w:tc>
          <w:tcPr>
            <w:tcW w:w="1017"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213 771 519 000</w:t>
            </w:r>
          </w:p>
        </w:tc>
        <w:tc>
          <w:tcPr>
            <w:tcW w:w="1086"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213 771 519 000</w:t>
            </w:r>
          </w:p>
        </w:tc>
        <w:tc>
          <w:tcPr>
            <w:tcW w:w="1007" w:type="pct"/>
            <w:shd w:val="clear" w:color="auto" w:fill="auto"/>
            <w:noWrap/>
            <w:vAlign w:val="center"/>
            <w:hideMark/>
          </w:tcPr>
          <w:p w:rsidR="009A4DF8" w:rsidRPr="00473D42" w:rsidRDefault="009A4DF8" w:rsidP="00473D42">
            <w:pPr>
              <w:spacing w:after="0" w:line="240" w:lineRule="auto"/>
              <w:jc w:val="center"/>
              <w:rPr>
                <w:rFonts w:ascii="Arial" w:hAnsi="Arial" w:cs="Arial"/>
                <w:color w:val="000000"/>
                <w:sz w:val="20"/>
                <w:szCs w:val="20"/>
              </w:rPr>
            </w:pPr>
            <w:r w:rsidRPr="00473D42">
              <w:rPr>
                <w:rFonts w:ascii="Arial" w:hAnsi="Arial" w:cs="Arial"/>
                <w:color w:val="000000"/>
                <w:sz w:val="20"/>
                <w:szCs w:val="20"/>
              </w:rPr>
              <w:t>0</w:t>
            </w:r>
          </w:p>
        </w:tc>
        <w:tc>
          <w:tcPr>
            <w:tcW w:w="852" w:type="pct"/>
            <w:vAlign w:val="center"/>
          </w:tcPr>
          <w:p w:rsidR="009A4DF8" w:rsidRPr="00473D42" w:rsidRDefault="009A4DF8" w:rsidP="00473D42">
            <w:pPr>
              <w:spacing w:after="0"/>
              <w:jc w:val="center"/>
              <w:rPr>
                <w:rFonts w:ascii="Arial" w:hAnsi="Arial" w:cs="Arial"/>
                <w:color w:val="000000"/>
                <w:sz w:val="20"/>
                <w:szCs w:val="20"/>
              </w:rPr>
            </w:pPr>
            <w:r w:rsidRPr="00473D42">
              <w:rPr>
                <w:rFonts w:ascii="Arial" w:hAnsi="Arial" w:cs="Arial"/>
                <w:color w:val="000000"/>
                <w:sz w:val="20"/>
                <w:szCs w:val="20"/>
              </w:rPr>
              <w:t>29,47%</w:t>
            </w:r>
          </w:p>
        </w:tc>
      </w:tr>
      <w:tr w:rsidR="00473D42" w:rsidRPr="002C7316" w:rsidTr="002C7316">
        <w:trPr>
          <w:trHeight w:val="240"/>
        </w:trPr>
        <w:tc>
          <w:tcPr>
            <w:tcW w:w="1037" w:type="pct"/>
            <w:shd w:val="clear" w:color="auto" w:fill="A6A6A6" w:themeFill="background1" w:themeFillShade="A6"/>
            <w:noWrap/>
            <w:vAlign w:val="center"/>
            <w:hideMark/>
          </w:tcPr>
          <w:p w:rsidR="009A4DF8" w:rsidRPr="002C7316" w:rsidRDefault="009A4DF8" w:rsidP="00473D42">
            <w:pPr>
              <w:spacing w:after="0" w:line="240" w:lineRule="auto"/>
              <w:rPr>
                <w:rFonts w:ascii="Arial" w:hAnsi="Arial" w:cs="Arial"/>
                <w:b/>
                <w:color w:val="000000"/>
                <w:sz w:val="20"/>
                <w:szCs w:val="20"/>
              </w:rPr>
            </w:pPr>
            <w:r w:rsidRPr="002C7316">
              <w:rPr>
                <w:rFonts w:ascii="Arial" w:hAnsi="Arial" w:cs="Arial"/>
                <w:b/>
                <w:color w:val="000000"/>
                <w:sz w:val="20"/>
                <w:szCs w:val="20"/>
              </w:rPr>
              <w:t>Total</w:t>
            </w:r>
          </w:p>
        </w:tc>
        <w:tc>
          <w:tcPr>
            <w:tcW w:w="1017" w:type="pct"/>
            <w:shd w:val="clear" w:color="auto" w:fill="A6A6A6" w:themeFill="background1" w:themeFillShade="A6"/>
            <w:noWrap/>
            <w:vAlign w:val="center"/>
            <w:hideMark/>
          </w:tcPr>
          <w:p w:rsidR="009A4DF8" w:rsidRPr="002C7316" w:rsidRDefault="009A4DF8" w:rsidP="002C7316">
            <w:pPr>
              <w:spacing w:after="0" w:line="240" w:lineRule="auto"/>
              <w:rPr>
                <w:rFonts w:ascii="Arial" w:hAnsi="Arial" w:cs="Arial"/>
                <w:b/>
                <w:color w:val="000000"/>
                <w:sz w:val="20"/>
                <w:szCs w:val="20"/>
              </w:rPr>
            </w:pPr>
            <w:r w:rsidRPr="002C7316">
              <w:rPr>
                <w:rFonts w:ascii="Arial" w:hAnsi="Arial" w:cs="Arial"/>
                <w:b/>
                <w:color w:val="000000"/>
                <w:sz w:val="20"/>
                <w:szCs w:val="20"/>
              </w:rPr>
              <w:t>745 960 727 000</w:t>
            </w:r>
          </w:p>
        </w:tc>
        <w:tc>
          <w:tcPr>
            <w:tcW w:w="1086" w:type="pct"/>
            <w:shd w:val="clear" w:color="auto" w:fill="A6A6A6" w:themeFill="background1" w:themeFillShade="A6"/>
            <w:noWrap/>
            <w:vAlign w:val="center"/>
            <w:hideMark/>
          </w:tcPr>
          <w:p w:rsidR="009A4DF8" w:rsidRPr="002C7316" w:rsidRDefault="009A4DF8" w:rsidP="002C7316">
            <w:pPr>
              <w:spacing w:after="0" w:line="240" w:lineRule="auto"/>
              <w:rPr>
                <w:rFonts w:ascii="Arial" w:hAnsi="Arial" w:cs="Arial"/>
                <w:b/>
                <w:color w:val="000000"/>
                <w:sz w:val="20"/>
                <w:szCs w:val="20"/>
              </w:rPr>
            </w:pPr>
            <w:r w:rsidRPr="002C7316">
              <w:rPr>
                <w:rFonts w:ascii="Arial" w:hAnsi="Arial" w:cs="Arial"/>
                <w:b/>
                <w:color w:val="000000"/>
                <w:sz w:val="20"/>
                <w:szCs w:val="20"/>
              </w:rPr>
              <w:t>725 497 619 000</w:t>
            </w:r>
          </w:p>
        </w:tc>
        <w:tc>
          <w:tcPr>
            <w:tcW w:w="1007" w:type="pct"/>
            <w:shd w:val="clear" w:color="auto" w:fill="A6A6A6" w:themeFill="background1" w:themeFillShade="A6"/>
            <w:noWrap/>
            <w:vAlign w:val="center"/>
            <w:hideMark/>
          </w:tcPr>
          <w:p w:rsidR="009A4DF8" w:rsidRPr="002C7316" w:rsidRDefault="009A4DF8" w:rsidP="002C7316">
            <w:pPr>
              <w:spacing w:after="0" w:line="240" w:lineRule="auto"/>
              <w:rPr>
                <w:rFonts w:ascii="Arial" w:hAnsi="Arial" w:cs="Arial"/>
                <w:b/>
                <w:color w:val="000000"/>
                <w:sz w:val="20"/>
                <w:szCs w:val="20"/>
              </w:rPr>
            </w:pPr>
            <w:r w:rsidRPr="002C7316">
              <w:rPr>
                <w:rFonts w:ascii="Arial" w:hAnsi="Arial" w:cs="Arial"/>
                <w:b/>
                <w:color w:val="000000"/>
                <w:sz w:val="20"/>
                <w:szCs w:val="20"/>
              </w:rPr>
              <w:t>-20 463 108 000</w:t>
            </w:r>
          </w:p>
        </w:tc>
        <w:tc>
          <w:tcPr>
            <w:tcW w:w="852" w:type="pct"/>
            <w:shd w:val="clear" w:color="auto" w:fill="A6A6A6" w:themeFill="background1" w:themeFillShade="A6"/>
            <w:vAlign w:val="center"/>
          </w:tcPr>
          <w:p w:rsidR="009A4DF8" w:rsidRPr="002C7316" w:rsidRDefault="009A4DF8" w:rsidP="002C7316">
            <w:pPr>
              <w:spacing w:after="0" w:line="240" w:lineRule="auto"/>
              <w:rPr>
                <w:rFonts w:ascii="Arial" w:hAnsi="Arial" w:cs="Arial"/>
                <w:b/>
                <w:color w:val="000000"/>
                <w:sz w:val="20"/>
                <w:szCs w:val="20"/>
              </w:rPr>
            </w:pPr>
            <w:r w:rsidRPr="002C7316">
              <w:rPr>
                <w:rFonts w:ascii="Arial" w:hAnsi="Arial" w:cs="Arial"/>
                <w:b/>
                <w:color w:val="000000"/>
                <w:sz w:val="20"/>
                <w:szCs w:val="20"/>
              </w:rPr>
              <w:t>100,00%</w:t>
            </w:r>
          </w:p>
        </w:tc>
      </w:tr>
    </w:tbl>
    <w:p w:rsidR="009A4DF8" w:rsidRPr="00DA1348" w:rsidRDefault="009A4DF8" w:rsidP="009A4DF8">
      <w:pPr>
        <w:jc w:val="both"/>
        <w:rPr>
          <w:rFonts w:ascii="Arial" w:hAnsi="Arial" w:cs="Arial"/>
        </w:rPr>
      </w:pPr>
      <w:r w:rsidRPr="00DA1348">
        <w:rPr>
          <w:rFonts w:ascii="Arial" w:hAnsi="Arial" w:cs="Arial"/>
          <w:b/>
          <w:u w:val="single"/>
        </w:rPr>
        <w:t>Source </w:t>
      </w:r>
      <w:r w:rsidRPr="00DA1348">
        <w:rPr>
          <w:rFonts w:ascii="Arial" w:hAnsi="Arial" w:cs="Arial"/>
        </w:rPr>
        <w:t xml:space="preserve">: </w:t>
      </w:r>
      <w:r w:rsidRPr="00D76F44">
        <w:rPr>
          <w:rFonts w:ascii="Arial" w:hAnsi="Arial" w:cs="Arial"/>
          <w:b/>
        </w:rPr>
        <w:t>DGB/DPB/SPPI</w:t>
      </w:r>
    </w:p>
    <w:p w:rsidR="009A4DF8" w:rsidRPr="00DA1348" w:rsidRDefault="009A4DF8" w:rsidP="00371649">
      <w:pPr>
        <w:spacing w:after="120"/>
        <w:jc w:val="both"/>
        <w:rPr>
          <w:rFonts w:ascii="Arial" w:hAnsi="Arial" w:cs="Arial"/>
        </w:rPr>
      </w:pPr>
      <w:r w:rsidRPr="00DA1348">
        <w:rPr>
          <w:rFonts w:ascii="Arial" w:hAnsi="Arial" w:cs="Arial"/>
        </w:rPr>
        <w:t>Le financement du PIP est assuré d’une part, par l’Etat (projets nationaux et contreparties aux projets du noyau sûr) et d’autre part, par les partenaires techniques et financiers sous forme de subventions et de prêts.</w:t>
      </w:r>
    </w:p>
    <w:p w:rsidR="009A4DF8" w:rsidRPr="00DA1348" w:rsidRDefault="009A4DF8" w:rsidP="00371649">
      <w:pPr>
        <w:spacing w:after="120"/>
        <w:jc w:val="both"/>
        <w:rPr>
          <w:rFonts w:ascii="Arial" w:hAnsi="Arial" w:cs="Arial"/>
        </w:rPr>
      </w:pPr>
      <w:r w:rsidRPr="00DA1348">
        <w:rPr>
          <w:rFonts w:ascii="Arial" w:hAnsi="Arial" w:cs="Arial"/>
        </w:rPr>
        <w:t xml:space="preserve">Au 31 décembre2016, la dotation révisée du PIP s’établit à 725,50 milliards de FCFA. Bien que les ressources internes occupent une place prépondérante dans le financement des investissements (51,06%), la part des ressources extérieures demeure très importante (48,94%). </w:t>
      </w:r>
    </w:p>
    <w:p w:rsidR="009A4DF8" w:rsidRPr="00DA1348" w:rsidRDefault="009A4DF8" w:rsidP="00371649">
      <w:pPr>
        <w:spacing w:after="120"/>
        <w:jc w:val="both"/>
        <w:rPr>
          <w:rFonts w:ascii="Arial" w:hAnsi="Arial" w:cs="Arial"/>
        </w:rPr>
      </w:pPr>
      <w:r w:rsidRPr="00DA1348">
        <w:rPr>
          <w:rFonts w:ascii="Arial" w:hAnsi="Arial" w:cs="Arial"/>
        </w:rPr>
        <w:lastRenderedPageBreak/>
        <w:t>Concernant le financement sur ressources internes, des projets nationaux occupent une place importante avec 89,39% des ressources,  le reste étant destiné à la contrepartie nationale des projets exécutés sur financement extérieur.</w:t>
      </w:r>
    </w:p>
    <w:p w:rsidR="009A4DF8" w:rsidRPr="00DA1348" w:rsidRDefault="009A4DF8" w:rsidP="00371649">
      <w:pPr>
        <w:spacing w:after="120"/>
        <w:jc w:val="both"/>
        <w:rPr>
          <w:rFonts w:ascii="Arial" w:hAnsi="Arial" w:cs="Arial"/>
        </w:rPr>
      </w:pPr>
      <w:r w:rsidRPr="00DA1348">
        <w:rPr>
          <w:rFonts w:ascii="Arial" w:hAnsi="Arial" w:cs="Arial"/>
        </w:rPr>
        <w:t>Quant au financement sur ressources extérieures, il reste t dominé par les subventions qui représentent (60,20%)</w:t>
      </w:r>
      <w:r w:rsidR="00473D42">
        <w:rPr>
          <w:rFonts w:ascii="Arial" w:hAnsi="Arial" w:cs="Arial"/>
        </w:rPr>
        <w:t xml:space="preserve"> </w:t>
      </w:r>
      <w:r w:rsidRPr="00DA1348">
        <w:rPr>
          <w:rFonts w:ascii="Arial" w:hAnsi="Arial" w:cs="Arial"/>
        </w:rPr>
        <w:t>contre (39,80%) pour les prêts.</w:t>
      </w:r>
    </w:p>
    <w:p w:rsidR="009A4DF8" w:rsidRPr="00371649" w:rsidRDefault="009A4DF8" w:rsidP="00371649">
      <w:pPr>
        <w:pStyle w:val="Titre3"/>
        <w:numPr>
          <w:ilvl w:val="0"/>
          <w:numId w:val="140"/>
        </w:numPr>
        <w:tabs>
          <w:tab w:val="left" w:pos="1418"/>
        </w:tabs>
        <w:ind w:left="1701"/>
      </w:pPr>
      <w:bookmarkStart w:id="145" w:name="_Toc492972181"/>
      <w:r w:rsidRPr="00371649">
        <w:t>Les réformes budgétaires</w:t>
      </w:r>
      <w:bookmarkEnd w:id="145"/>
    </w:p>
    <w:p w:rsidR="009A4DF8" w:rsidRPr="00DA1348" w:rsidRDefault="009A4DF8" w:rsidP="00371649">
      <w:pPr>
        <w:spacing w:after="120"/>
        <w:jc w:val="both"/>
        <w:rPr>
          <w:rFonts w:ascii="Arial" w:hAnsi="Arial" w:cs="Arial"/>
        </w:rPr>
      </w:pPr>
      <w:r w:rsidRPr="00DA1348">
        <w:rPr>
          <w:rFonts w:ascii="Arial" w:hAnsi="Arial" w:cs="Arial"/>
        </w:rPr>
        <w:t>Les principales réformes intervenues depuis 2016 sont :</w:t>
      </w:r>
    </w:p>
    <w:p w:rsidR="009A4DF8" w:rsidRPr="00893C07" w:rsidRDefault="009A4DF8" w:rsidP="00B92B11">
      <w:pPr>
        <w:pStyle w:val="Paragraphedeliste"/>
        <w:numPr>
          <w:ilvl w:val="0"/>
          <w:numId w:val="50"/>
        </w:numPr>
        <w:spacing w:before="240" w:after="120"/>
        <w:ind w:left="357" w:hanging="357"/>
        <w:contextualSpacing w:val="0"/>
        <w:jc w:val="both"/>
        <w:rPr>
          <w:rFonts w:ascii="Arial" w:hAnsi="Arial" w:cs="Arial"/>
          <w:b/>
        </w:rPr>
      </w:pPr>
      <w:r w:rsidRPr="00893C07">
        <w:rPr>
          <w:rFonts w:ascii="Arial" w:hAnsi="Arial" w:cs="Arial"/>
          <w:b/>
        </w:rPr>
        <w:t xml:space="preserve">La déconcentration de la gestion salariale </w:t>
      </w:r>
    </w:p>
    <w:p w:rsidR="009A4DF8" w:rsidRPr="00DA1348" w:rsidRDefault="009A4DF8" w:rsidP="00371649">
      <w:pPr>
        <w:spacing w:after="120"/>
        <w:jc w:val="both"/>
        <w:rPr>
          <w:rFonts w:ascii="Arial" w:hAnsi="Arial" w:cs="Arial"/>
        </w:rPr>
      </w:pPr>
      <w:r w:rsidRPr="00DA1348">
        <w:rPr>
          <w:rFonts w:ascii="Arial" w:hAnsi="Arial" w:cs="Arial"/>
        </w:rPr>
        <w:t>En vue de pallier les lourdeurs dans le traitement des salaires des agents de la fonction publique, il a été procédé à la déconcentration de la gestion salariale au niveau des Directions en charge des ressources humaines des Ministères et Institutions. Cette décision vise à assurer une certaine célérité dans le traitement des salaires qui était jusque-là concentré au niveau de la Direction de la Solde au niveau du MINEFID ;</w:t>
      </w:r>
    </w:p>
    <w:p w:rsidR="009A4DF8" w:rsidRPr="00893C07" w:rsidRDefault="009A4DF8" w:rsidP="00371649">
      <w:pPr>
        <w:pStyle w:val="Paragraphedeliste"/>
        <w:numPr>
          <w:ilvl w:val="0"/>
          <w:numId w:val="50"/>
        </w:numPr>
        <w:autoSpaceDE w:val="0"/>
        <w:autoSpaceDN w:val="0"/>
        <w:adjustRightInd w:val="0"/>
        <w:spacing w:after="120"/>
        <w:ind w:left="360"/>
        <w:jc w:val="both"/>
        <w:rPr>
          <w:rFonts w:ascii="Arial" w:hAnsi="Arial" w:cs="Arial"/>
          <w:b/>
        </w:rPr>
      </w:pPr>
      <w:r w:rsidRPr="00893C07">
        <w:rPr>
          <w:rFonts w:ascii="Arial" w:hAnsi="Arial" w:cs="Arial"/>
          <w:b/>
        </w:rPr>
        <w:t>L’introduction du Document de Programmation Budgétaire et Economique Pluriannuelle (DPBEP)</w:t>
      </w:r>
    </w:p>
    <w:p w:rsidR="009A4DF8" w:rsidRPr="00DA1348" w:rsidRDefault="009A4DF8" w:rsidP="00371649">
      <w:pPr>
        <w:autoSpaceDE w:val="0"/>
        <w:autoSpaceDN w:val="0"/>
        <w:adjustRightInd w:val="0"/>
        <w:spacing w:after="120"/>
        <w:jc w:val="both"/>
        <w:rPr>
          <w:rFonts w:ascii="Arial" w:hAnsi="Arial" w:cs="Arial"/>
        </w:rPr>
      </w:pPr>
      <w:r w:rsidRPr="00DA1348">
        <w:rPr>
          <w:rFonts w:ascii="Arial" w:hAnsi="Arial" w:cs="Arial"/>
        </w:rPr>
        <w:t xml:space="preserve">L’adoption de la loi organique N° 073-2015/ CNT du 06 novembre 2015 relative aux lois de finances induite par la Directive 06/2009/CM/UEMOA du 26 juin 2009 portant Lois des Finances dans les pays membres de l’UEMOA  introduit le Document de Programmation Budgétaire et Economique Pluriannuelle (DPBEP) en remplacement du Cadre des Dépenses à Moyen Terme (CDMT) global. </w:t>
      </w:r>
    </w:p>
    <w:p w:rsidR="009A4DF8" w:rsidRPr="00DA1348" w:rsidRDefault="009A4DF8" w:rsidP="00371649">
      <w:pPr>
        <w:spacing w:after="120"/>
        <w:jc w:val="both"/>
        <w:rPr>
          <w:rFonts w:ascii="Arial" w:hAnsi="Arial" w:cs="Arial"/>
        </w:rPr>
      </w:pPr>
      <w:r w:rsidRPr="00DA1348">
        <w:rPr>
          <w:rFonts w:ascii="Arial" w:hAnsi="Arial" w:cs="Arial"/>
        </w:rPr>
        <w:t>Les innovations</w:t>
      </w:r>
      <w:r>
        <w:rPr>
          <w:rFonts w:ascii="Arial" w:hAnsi="Arial" w:cs="Arial"/>
        </w:rPr>
        <w:t xml:space="preserve"> </w:t>
      </w:r>
      <w:r w:rsidRPr="00DA1348">
        <w:rPr>
          <w:rFonts w:ascii="Arial" w:hAnsi="Arial" w:cs="Arial"/>
        </w:rPr>
        <w:t>majeures du DPBEP sont entre autres :</w:t>
      </w:r>
    </w:p>
    <w:p w:rsidR="009A4DF8" w:rsidRPr="00DA1348" w:rsidRDefault="009A4DF8" w:rsidP="00371649">
      <w:pPr>
        <w:pStyle w:val="Paragraphedeliste"/>
        <w:numPr>
          <w:ilvl w:val="0"/>
          <w:numId w:val="63"/>
        </w:numPr>
        <w:spacing w:after="120"/>
        <w:ind w:left="714" w:hanging="357"/>
        <w:contextualSpacing w:val="0"/>
        <w:jc w:val="both"/>
        <w:rPr>
          <w:rFonts w:ascii="Arial" w:hAnsi="Arial" w:cs="Arial"/>
        </w:rPr>
      </w:pPr>
      <w:r w:rsidRPr="00DA1348">
        <w:rPr>
          <w:rFonts w:ascii="Arial" w:hAnsi="Arial" w:cs="Arial"/>
        </w:rPr>
        <w:t xml:space="preserve"> l’extension de son champ aux autres démembrements de l’Etat que sont les Collectivités Territoriales, les Etablissements Publics de l’Etat, les Sociétés d’Etat et les Organismes de protection sociale (CNSS, CARFO) ;</w:t>
      </w:r>
    </w:p>
    <w:p w:rsidR="009A4DF8" w:rsidRPr="00DA1348" w:rsidRDefault="009A4DF8" w:rsidP="00371649">
      <w:pPr>
        <w:pStyle w:val="Paragraphedeliste"/>
        <w:numPr>
          <w:ilvl w:val="0"/>
          <w:numId w:val="63"/>
        </w:numPr>
        <w:spacing w:after="120"/>
        <w:rPr>
          <w:rFonts w:ascii="Arial" w:hAnsi="Arial" w:cs="Arial"/>
        </w:rPr>
      </w:pPr>
      <w:r w:rsidRPr="00DA1348">
        <w:rPr>
          <w:rFonts w:ascii="Arial" w:hAnsi="Arial" w:cs="Arial"/>
        </w:rPr>
        <w:t xml:space="preserve">la tenue d’un Débat d’orientation budgétaire (DOB) au Parlement, sur le DPBEP visant à améliorer l’information des parlementaires sur la politique gouvernementale à moyen terme en vue de faciliter leur rôle de contrôle. </w:t>
      </w:r>
    </w:p>
    <w:p w:rsidR="009A4DF8" w:rsidRPr="00893C07" w:rsidRDefault="009A4DF8" w:rsidP="009A4DF8">
      <w:pPr>
        <w:pStyle w:val="Paragraphedeliste"/>
        <w:spacing w:before="240" w:after="120"/>
        <w:ind w:left="357"/>
        <w:contextualSpacing w:val="0"/>
        <w:jc w:val="both"/>
        <w:rPr>
          <w:rFonts w:ascii="Arial" w:hAnsi="Arial" w:cs="Arial"/>
          <w:b/>
        </w:rPr>
      </w:pPr>
      <w:r w:rsidRPr="00893C07">
        <w:rPr>
          <w:rFonts w:ascii="Arial" w:hAnsi="Arial" w:cs="Arial"/>
          <w:b/>
        </w:rPr>
        <w:t>3. Le passage du budget objet au budget programme</w:t>
      </w:r>
    </w:p>
    <w:p w:rsidR="009A4DF8" w:rsidRPr="00DA1348" w:rsidRDefault="009A4DF8" w:rsidP="009A4DF8">
      <w:pPr>
        <w:pStyle w:val="Paragraphedeliste"/>
        <w:ind w:left="360"/>
        <w:jc w:val="both"/>
        <w:rPr>
          <w:rFonts w:ascii="Arial" w:hAnsi="Arial" w:cs="Arial"/>
        </w:rPr>
      </w:pPr>
      <w:r w:rsidRPr="00DA1348">
        <w:rPr>
          <w:rFonts w:ascii="Arial" w:hAnsi="Arial" w:cs="Arial"/>
        </w:rPr>
        <w:t>Conformément à la LOLF, le Burkina Faso a basculé vers le budget programme pour compter du 1</w:t>
      </w:r>
      <w:r w:rsidRPr="00DA1348">
        <w:rPr>
          <w:rFonts w:ascii="Arial" w:hAnsi="Arial" w:cs="Arial"/>
          <w:vertAlign w:val="superscript"/>
        </w:rPr>
        <w:t>er</w:t>
      </w:r>
      <w:r w:rsidRPr="00DA1348">
        <w:rPr>
          <w:rFonts w:ascii="Arial" w:hAnsi="Arial" w:cs="Arial"/>
        </w:rPr>
        <w:t xml:space="preserve"> janvier 2017. Ainsi, le budget 2017 a été élaboré et adopté sous format budget programme et couvre la période  2017-2019.</w:t>
      </w:r>
    </w:p>
    <w:p w:rsidR="009A4DF8" w:rsidRPr="00DA1348" w:rsidRDefault="009A4DF8" w:rsidP="009A4DF8">
      <w:pPr>
        <w:ind w:left="360"/>
        <w:jc w:val="both"/>
        <w:rPr>
          <w:rFonts w:ascii="Arial" w:hAnsi="Arial" w:cs="Arial"/>
        </w:rPr>
      </w:pPr>
      <w:r w:rsidRPr="00DA1348">
        <w:rPr>
          <w:rFonts w:ascii="Arial" w:hAnsi="Arial" w:cs="Arial"/>
        </w:rPr>
        <w:t>Les principaux enjeux de cette réforme sont entre autres ;</w:t>
      </w:r>
    </w:p>
    <w:p w:rsidR="009A4DF8" w:rsidRPr="00DA1348" w:rsidRDefault="009A4DF8" w:rsidP="00B92B11">
      <w:pPr>
        <w:pStyle w:val="Paragraphedeliste"/>
        <w:numPr>
          <w:ilvl w:val="0"/>
          <w:numId w:val="63"/>
        </w:numPr>
        <w:spacing w:after="120"/>
        <w:ind w:left="714" w:hanging="357"/>
        <w:contextualSpacing w:val="0"/>
        <w:jc w:val="both"/>
        <w:rPr>
          <w:rFonts w:ascii="Arial" w:hAnsi="Arial" w:cs="Arial"/>
        </w:rPr>
      </w:pPr>
      <w:r w:rsidRPr="00DA1348">
        <w:rPr>
          <w:rFonts w:ascii="Arial" w:hAnsi="Arial" w:cs="Arial"/>
        </w:rPr>
        <w:t>le principe d’ordonnateurs multiples qui confère à tous les Ministres et Présidents d’Institution,</w:t>
      </w:r>
      <w:r>
        <w:rPr>
          <w:rFonts w:ascii="Arial" w:hAnsi="Arial" w:cs="Arial"/>
        </w:rPr>
        <w:t xml:space="preserve"> </w:t>
      </w:r>
      <w:r w:rsidRPr="00DA1348">
        <w:rPr>
          <w:rFonts w:ascii="Arial" w:hAnsi="Arial" w:cs="Arial"/>
        </w:rPr>
        <w:t>la qualité d’ordonnateur des dépenses de son département ou de son Institution.  Ce qui a eu pour conséquence, la déconcentration de la fonction d’ordonnancement au niveau des ministères et institutions qui s’est</w:t>
      </w:r>
      <w:r>
        <w:rPr>
          <w:rFonts w:ascii="Arial" w:hAnsi="Arial" w:cs="Arial"/>
        </w:rPr>
        <w:t xml:space="preserve"> </w:t>
      </w:r>
      <w:r w:rsidRPr="00DA1348">
        <w:rPr>
          <w:rFonts w:ascii="Arial" w:hAnsi="Arial" w:cs="Arial"/>
        </w:rPr>
        <w:t>matérialisée par la généralisation et le rattachement des unités de</w:t>
      </w:r>
      <w:r>
        <w:rPr>
          <w:rFonts w:ascii="Arial" w:hAnsi="Arial" w:cs="Arial"/>
        </w:rPr>
        <w:t xml:space="preserve"> </w:t>
      </w:r>
      <w:r w:rsidRPr="00DA1348">
        <w:rPr>
          <w:rFonts w:ascii="Arial" w:hAnsi="Arial" w:cs="Arial"/>
        </w:rPr>
        <w:t>vérification aux ministères et institutions ;</w:t>
      </w:r>
    </w:p>
    <w:p w:rsidR="009A4DF8" w:rsidRPr="00DA1348" w:rsidRDefault="009A4DF8" w:rsidP="00B92B11">
      <w:pPr>
        <w:pStyle w:val="Paragraphedeliste"/>
        <w:numPr>
          <w:ilvl w:val="0"/>
          <w:numId w:val="63"/>
        </w:numPr>
        <w:spacing w:after="120"/>
        <w:ind w:left="714" w:hanging="357"/>
        <w:contextualSpacing w:val="0"/>
        <w:jc w:val="both"/>
        <w:rPr>
          <w:rFonts w:ascii="Arial" w:hAnsi="Arial" w:cs="Arial"/>
        </w:rPr>
      </w:pPr>
      <w:r w:rsidRPr="00DA1348">
        <w:rPr>
          <w:rFonts w:ascii="Arial" w:hAnsi="Arial" w:cs="Arial"/>
        </w:rPr>
        <w:t>la nomination des Responsables de Programmes pour le pilotage des actions de chaque programme budgétaire ;</w:t>
      </w:r>
    </w:p>
    <w:p w:rsidR="009A4DF8" w:rsidRPr="00DA1348" w:rsidRDefault="009A4DF8" w:rsidP="00B92B11">
      <w:pPr>
        <w:pStyle w:val="Paragraphedeliste"/>
        <w:numPr>
          <w:ilvl w:val="0"/>
          <w:numId w:val="63"/>
        </w:numPr>
        <w:ind w:left="714" w:hanging="357"/>
        <w:contextualSpacing w:val="0"/>
        <w:jc w:val="both"/>
        <w:rPr>
          <w:rFonts w:ascii="Arial" w:hAnsi="Arial" w:cs="Arial"/>
        </w:rPr>
      </w:pPr>
      <w:r w:rsidRPr="00DA1348">
        <w:rPr>
          <w:rFonts w:ascii="Arial" w:hAnsi="Arial" w:cs="Arial"/>
        </w:rPr>
        <w:t>l’élaboration des Projets Annuels de Performance (PAP) pour chaque programme budgétaire, fixant les indicateurs et les cibles pour les différents objectifs à atteindre ;</w:t>
      </w:r>
    </w:p>
    <w:p w:rsidR="009A4DF8" w:rsidRPr="00DA1348" w:rsidRDefault="009A4DF8" w:rsidP="00B92B11">
      <w:pPr>
        <w:pStyle w:val="Paragraphedeliste"/>
        <w:numPr>
          <w:ilvl w:val="0"/>
          <w:numId w:val="63"/>
        </w:numPr>
        <w:spacing w:before="120" w:after="120"/>
        <w:ind w:left="714" w:hanging="357"/>
        <w:contextualSpacing w:val="0"/>
        <w:jc w:val="both"/>
        <w:rPr>
          <w:rFonts w:ascii="Arial" w:hAnsi="Arial" w:cs="Arial"/>
        </w:rPr>
      </w:pPr>
      <w:r w:rsidRPr="00DA1348">
        <w:rPr>
          <w:rFonts w:ascii="Arial" w:hAnsi="Arial" w:cs="Arial"/>
        </w:rPr>
        <w:lastRenderedPageBreak/>
        <w:t>la production à terme, des Rapports Annuels de Performance pour rendre compte du niveau de réalisation des PAP.</w:t>
      </w:r>
    </w:p>
    <w:p w:rsidR="009A4DF8" w:rsidRPr="00DA1348" w:rsidRDefault="009A4DF8" w:rsidP="00B92B11">
      <w:pPr>
        <w:pStyle w:val="Paragraphedeliste"/>
        <w:numPr>
          <w:ilvl w:val="0"/>
          <w:numId w:val="50"/>
        </w:numPr>
        <w:ind w:left="360"/>
        <w:jc w:val="both"/>
        <w:rPr>
          <w:rFonts w:ascii="Arial" w:hAnsi="Arial" w:cs="Arial"/>
        </w:rPr>
      </w:pPr>
      <w:r w:rsidRPr="00DA1348">
        <w:rPr>
          <w:rFonts w:ascii="Arial" w:hAnsi="Arial" w:cs="Arial"/>
          <w:b/>
          <w:u w:val="single"/>
        </w:rPr>
        <w:t>L’adaptation des logiciels« métiers »</w:t>
      </w:r>
    </w:p>
    <w:p w:rsidR="009A4DF8" w:rsidRPr="00DA1348" w:rsidRDefault="009A4DF8" w:rsidP="009A4DF8">
      <w:pPr>
        <w:jc w:val="both"/>
        <w:rPr>
          <w:rFonts w:ascii="Arial" w:hAnsi="Arial" w:cs="Arial"/>
        </w:rPr>
      </w:pPr>
      <w:r w:rsidRPr="00DA1348">
        <w:rPr>
          <w:rFonts w:ascii="Arial" w:hAnsi="Arial" w:cs="Arial"/>
        </w:rPr>
        <w:t>En vue de faciliter le passage au budget programme, il a été procédé à la mise à niveau de certains logiciels « métiers » notamment le Circuit Informatisé de la Dépense. A cet effet, des modules « élaboration » et « exécution » du CID ont été élaborés et permettent respectivement l’élaboration et l’exécution des budgets programmes des Ministères et Institutions.</w:t>
      </w:r>
    </w:p>
    <w:p w:rsidR="009A4DF8" w:rsidRPr="00DA1348" w:rsidRDefault="009A4DF8" w:rsidP="00B92B11">
      <w:pPr>
        <w:pStyle w:val="Paragraphedeliste"/>
        <w:numPr>
          <w:ilvl w:val="0"/>
          <w:numId w:val="50"/>
        </w:numPr>
        <w:ind w:left="360"/>
        <w:jc w:val="both"/>
        <w:rPr>
          <w:rFonts w:ascii="Arial" w:hAnsi="Arial" w:cs="Arial"/>
          <w:b/>
          <w:u w:val="single"/>
        </w:rPr>
      </w:pPr>
      <w:r w:rsidRPr="00DA1348">
        <w:rPr>
          <w:rFonts w:ascii="Arial" w:hAnsi="Arial" w:cs="Arial"/>
          <w:b/>
          <w:u w:val="single"/>
        </w:rPr>
        <w:t>L’élaboration d’un guide d’élaboration du budget programme, la définition des modalités pratiques de la déconcentration de l’ordonnancement et l’élaboration d’un guide de réaménagement budgétaire</w:t>
      </w:r>
    </w:p>
    <w:p w:rsidR="009A4DF8" w:rsidRPr="00DA1348" w:rsidRDefault="009A4DF8" w:rsidP="009A4DF8">
      <w:pPr>
        <w:rPr>
          <w:rFonts w:ascii="Arial" w:hAnsi="Arial" w:cs="Arial"/>
        </w:rPr>
      </w:pPr>
      <w:r w:rsidRPr="00DA1348">
        <w:rPr>
          <w:rFonts w:ascii="Arial" w:hAnsi="Arial" w:cs="Arial"/>
        </w:rPr>
        <w:t>La production de ces documents a permis d’établir des règles claires pour la mise en œuvre du budget programme au niveau des Ministères et Institutions en lien avec les orientations de la LOLF et de la loi N° 008-2013 /AN du 23 avril 2013 portant code de transparence dans la gestion des finances publiques.</w:t>
      </w:r>
    </w:p>
    <w:p w:rsidR="009A4DF8" w:rsidRPr="00AE002C" w:rsidRDefault="009A4DF8" w:rsidP="00473D42">
      <w:pPr>
        <w:pStyle w:val="Retraitcorpsdetexte"/>
        <w:spacing w:before="120"/>
        <w:ind w:left="0"/>
        <w:jc w:val="both"/>
        <w:rPr>
          <w:rFonts w:ascii="Arial" w:eastAsiaTheme="majorEastAsia" w:hAnsi="Arial" w:cs="Arial"/>
          <w:b/>
          <w:i/>
          <w:spacing w:val="5"/>
          <w:kern w:val="28"/>
          <w:sz w:val="22"/>
          <w:szCs w:val="22"/>
        </w:rPr>
      </w:pPr>
      <w:r w:rsidRPr="00AE002C">
        <w:rPr>
          <w:rFonts w:ascii="Arial" w:hAnsi="Arial" w:cs="Arial"/>
          <w:b/>
          <w:sz w:val="22"/>
          <w:szCs w:val="22"/>
        </w:rPr>
        <w:t>5. l'adoption de la loi n°020-2016/AN du 22 juillet 2016 portant allègement des conditions d’exécution des projets, programmes et activités de développement</w:t>
      </w:r>
    </w:p>
    <w:p w:rsidR="009A4DF8" w:rsidRPr="009E3B6D" w:rsidRDefault="009A4DF8" w:rsidP="009E3B6D">
      <w:pPr>
        <w:pStyle w:val="Retraitcorpsdetexte"/>
        <w:spacing w:before="120"/>
        <w:ind w:left="0"/>
        <w:jc w:val="both"/>
        <w:rPr>
          <w:rFonts w:ascii="Arial" w:hAnsi="Arial" w:cs="Arial"/>
          <w:b/>
          <w:i/>
          <w:sz w:val="22"/>
          <w:szCs w:val="22"/>
        </w:rPr>
      </w:pPr>
      <w:r w:rsidRPr="00AE002C">
        <w:rPr>
          <w:rFonts w:ascii="Arial" w:eastAsiaTheme="majorEastAsia" w:hAnsi="Arial" w:cs="Arial"/>
          <w:spacing w:val="5"/>
          <w:kern w:val="28"/>
          <w:sz w:val="22"/>
          <w:szCs w:val="22"/>
        </w:rPr>
        <w:t>Ces allègements portent essentiellement sur (i) le rehaussement des seuils de passation des marchés publics, (ii) la réduction des délais de mise en concurrence des soumissionnaires en matière de marchés publics, de délégation de service public et de Partenariat public-privé, (iii) la réduction des délais d’approbation des contrats, (iv) la suppression de la double-revue pour les marchés financés sur ressources extérieures et (v) l’assouplissement des conditions d’approbation des travaux des commissions d’attribution, de sélection des marchés, des délégations du service public et du partenariat public privé.</w:t>
      </w:r>
      <w:bookmarkStart w:id="146" w:name="_MON_1472218832"/>
      <w:bookmarkStart w:id="147" w:name="_Toc326684658"/>
      <w:bookmarkStart w:id="148" w:name="_Toc326744859"/>
      <w:bookmarkStart w:id="149" w:name="_Toc326748098"/>
      <w:bookmarkStart w:id="150" w:name="_Toc365284004"/>
      <w:bookmarkStart w:id="151" w:name="_Toc365675583"/>
      <w:bookmarkStart w:id="152" w:name="_Toc368483789"/>
      <w:bookmarkStart w:id="153" w:name="_Toc368779683"/>
      <w:bookmarkStart w:id="154" w:name="_Toc399933241"/>
      <w:bookmarkStart w:id="155" w:name="_Toc400638570"/>
      <w:bookmarkStart w:id="156" w:name="_Toc400643286"/>
      <w:bookmarkStart w:id="157" w:name="_Toc424550989"/>
      <w:bookmarkStart w:id="158" w:name="_Toc424552495"/>
      <w:bookmarkStart w:id="159" w:name="_Toc427009723"/>
      <w:bookmarkStart w:id="160" w:name="_Toc459122809"/>
      <w:bookmarkEnd w:id="136"/>
      <w:bookmarkEnd w:id="137"/>
      <w:bookmarkEnd w:id="138"/>
      <w:bookmarkEnd w:id="139"/>
      <w:bookmarkEnd w:id="146"/>
    </w:p>
    <w:p w:rsidR="009A4DF8" w:rsidRPr="009C134A" w:rsidRDefault="009A4DF8" w:rsidP="008D7758">
      <w:pPr>
        <w:pStyle w:val="Titre2"/>
        <w:numPr>
          <w:ilvl w:val="0"/>
          <w:numId w:val="139"/>
        </w:numPr>
        <w:tabs>
          <w:tab w:val="left" w:pos="1134"/>
        </w:tabs>
        <w:ind w:left="1276"/>
      </w:pPr>
      <w:bookmarkStart w:id="161" w:name="_Toc492972182"/>
      <w:r w:rsidRPr="009C134A">
        <w:t>Coordination de l’aide</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r w:rsidRPr="009C134A">
        <w:t xml:space="preserve"> </w:t>
      </w:r>
    </w:p>
    <w:p w:rsidR="009A4DF8" w:rsidRPr="009C134A" w:rsidRDefault="009A4DF8" w:rsidP="009A4DF8">
      <w:pPr>
        <w:jc w:val="both"/>
        <w:rPr>
          <w:rFonts w:ascii="Arial" w:hAnsi="Arial" w:cs="Arial"/>
        </w:rPr>
      </w:pPr>
      <w:r w:rsidRPr="009C134A">
        <w:rPr>
          <w:rFonts w:ascii="Arial" w:hAnsi="Arial" w:cs="Arial"/>
        </w:rPr>
        <w:t xml:space="preserve">La coordination de l’aide extérieure est un défi majeur en matière de suivi des actions de la coopération au développement. De ce fait, des dispositifs ont été institués dans l’Administration, au niveau des partenaires techniques et financiers et de cadres mixtes de suivi. La présentation de ces dispositifs et leur fonctionnement sont déclinés dans les paragraphes qui suivent. </w:t>
      </w:r>
    </w:p>
    <w:p w:rsidR="009A4DF8" w:rsidRPr="009E3B6D" w:rsidRDefault="009A4DF8" w:rsidP="008D7758">
      <w:pPr>
        <w:pStyle w:val="Titre3"/>
        <w:numPr>
          <w:ilvl w:val="0"/>
          <w:numId w:val="141"/>
        </w:numPr>
        <w:tabs>
          <w:tab w:val="left" w:pos="1560"/>
        </w:tabs>
        <w:ind w:left="1276" w:hanging="425"/>
      </w:pPr>
      <w:bookmarkStart w:id="162" w:name="_Toc326744860"/>
      <w:bookmarkStart w:id="163" w:name="_Toc326748099"/>
      <w:bookmarkStart w:id="164" w:name="_Toc368483790"/>
      <w:bookmarkStart w:id="165" w:name="_Toc368779684"/>
      <w:bookmarkStart w:id="166" w:name="_Toc399933242"/>
      <w:bookmarkStart w:id="167" w:name="_Toc400643287"/>
      <w:bookmarkStart w:id="168" w:name="_Toc427009724"/>
      <w:bookmarkStart w:id="169" w:name="_Toc459122810"/>
      <w:bookmarkStart w:id="170" w:name="_Toc492972183"/>
      <w:r w:rsidRPr="009E3B6D">
        <w:t>Le cadre de coordination inhérent à l’administration</w:t>
      </w:r>
      <w:bookmarkEnd w:id="162"/>
      <w:bookmarkEnd w:id="163"/>
      <w:bookmarkEnd w:id="164"/>
      <w:bookmarkEnd w:id="165"/>
      <w:bookmarkEnd w:id="166"/>
      <w:bookmarkEnd w:id="167"/>
      <w:bookmarkEnd w:id="168"/>
      <w:bookmarkEnd w:id="169"/>
      <w:bookmarkEnd w:id="170"/>
    </w:p>
    <w:p w:rsidR="009A4DF8" w:rsidRPr="009C134A" w:rsidRDefault="009A4DF8" w:rsidP="009A4DF8">
      <w:pPr>
        <w:jc w:val="both"/>
        <w:rPr>
          <w:rFonts w:ascii="Arial" w:hAnsi="Arial" w:cs="Arial"/>
        </w:rPr>
      </w:pPr>
      <w:r w:rsidRPr="009C134A">
        <w:rPr>
          <w:rFonts w:ascii="Arial" w:hAnsi="Arial" w:cs="Arial"/>
        </w:rPr>
        <w:t>Au niveau de l’Administration publique, le dispositif mis en place pour la coordination des programmes de coopération au développement comprend :</w:t>
      </w:r>
    </w:p>
    <w:p w:rsidR="009A4DF8" w:rsidRPr="009C134A" w:rsidRDefault="009A4DF8" w:rsidP="00B92B11">
      <w:pPr>
        <w:pStyle w:val="Paragraphedeliste"/>
        <w:numPr>
          <w:ilvl w:val="0"/>
          <w:numId w:val="44"/>
        </w:numPr>
        <w:jc w:val="both"/>
        <w:rPr>
          <w:rFonts w:ascii="Arial" w:hAnsi="Arial" w:cs="Arial"/>
        </w:rPr>
      </w:pPr>
      <w:r w:rsidRPr="009C134A">
        <w:rPr>
          <w:rFonts w:ascii="Arial" w:hAnsi="Arial" w:cs="Arial"/>
        </w:rPr>
        <w:t>la Présidence du Faso pour la définition des orientations générales en matière de développement économique et social;</w:t>
      </w:r>
    </w:p>
    <w:p w:rsidR="009A4DF8" w:rsidRPr="009C134A" w:rsidRDefault="009A4DF8" w:rsidP="00B92B11">
      <w:pPr>
        <w:pStyle w:val="Paragraphedeliste"/>
        <w:numPr>
          <w:ilvl w:val="0"/>
          <w:numId w:val="44"/>
        </w:numPr>
        <w:jc w:val="both"/>
        <w:rPr>
          <w:rFonts w:ascii="Arial" w:hAnsi="Arial" w:cs="Arial"/>
        </w:rPr>
      </w:pPr>
      <w:r w:rsidRPr="009C134A">
        <w:rPr>
          <w:rFonts w:ascii="Arial" w:hAnsi="Arial" w:cs="Arial"/>
        </w:rPr>
        <w:t>la Primature pour la coordination du suivi de la mise en œuvre du Plan national de développement économique et social ;</w:t>
      </w:r>
    </w:p>
    <w:p w:rsidR="009A4DF8" w:rsidRPr="009C134A" w:rsidRDefault="009A4DF8" w:rsidP="00B92B11">
      <w:pPr>
        <w:pStyle w:val="Paragraphedeliste"/>
        <w:numPr>
          <w:ilvl w:val="0"/>
          <w:numId w:val="44"/>
        </w:numPr>
        <w:jc w:val="both"/>
        <w:rPr>
          <w:rFonts w:ascii="Arial" w:hAnsi="Arial" w:cs="Arial"/>
        </w:rPr>
      </w:pPr>
      <w:r w:rsidRPr="009C134A">
        <w:rPr>
          <w:rFonts w:ascii="Arial" w:hAnsi="Arial" w:cs="Arial"/>
        </w:rPr>
        <w:t>le Ministère en charge des affaires étrangères pour la négociation, la signature et le suivi des accords cadres de coopération internationale;</w:t>
      </w:r>
    </w:p>
    <w:p w:rsidR="009A4DF8" w:rsidRPr="009C134A" w:rsidRDefault="009A4DF8" w:rsidP="00B92B11">
      <w:pPr>
        <w:pStyle w:val="Paragraphedeliste"/>
        <w:numPr>
          <w:ilvl w:val="0"/>
          <w:numId w:val="44"/>
        </w:numPr>
        <w:jc w:val="both"/>
        <w:rPr>
          <w:rFonts w:ascii="Arial" w:hAnsi="Arial" w:cs="Arial"/>
        </w:rPr>
      </w:pPr>
      <w:r w:rsidRPr="009C134A">
        <w:rPr>
          <w:rFonts w:ascii="Arial" w:hAnsi="Arial" w:cs="Arial"/>
        </w:rPr>
        <w:t>le Ministère en charge de l’économie et des Finances pour la formulation des programmes et stratégies de développement, la mobilisation et la gestion de l’aide publique au développement;</w:t>
      </w:r>
    </w:p>
    <w:p w:rsidR="009A4DF8" w:rsidRPr="009C134A" w:rsidRDefault="009A4DF8" w:rsidP="00B92B11">
      <w:pPr>
        <w:pStyle w:val="Paragraphedeliste"/>
        <w:numPr>
          <w:ilvl w:val="0"/>
          <w:numId w:val="44"/>
        </w:numPr>
        <w:jc w:val="both"/>
        <w:rPr>
          <w:rFonts w:ascii="Arial" w:hAnsi="Arial" w:cs="Arial"/>
        </w:rPr>
      </w:pPr>
      <w:r w:rsidRPr="009C134A">
        <w:rPr>
          <w:rFonts w:ascii="Arial" w:hAnsi="Arial" w:cs="Arial"/>
        </w:rPr>
        <w:lastRenderedPageBreak/>
        <w:t xml:space="preserve">les autres départements ministériels qui assurent la coordination des projets et programmes dans leurs secteurs respectifs à travers les Directions Générales des Etudes et des Statistiques Sectorielles (DGESS). </w:t>
      </w:r>
    </w:p>
    <w:p w:rsidR="009A4DF8" w:rsidRPr="009C134A" w:rsidRDefault="009A4DF8" w:rsidP="009A4DF8">
      <w:pPr>
        <w:jc w:val="both"/>
        <w:rPr>
          <w:rFonts w:ascii="Arial" w:hAnsi="Arial" w:cs="Arial"/>
        </w:rPr>
      </w:pPr>
      <w:r w:rsidRPr="009C134A">
        <w:rPr>
          <w:rFonts w:ascii="Arial" w:hAnsi="Arial" w:cs="Arial"/>
        </w:rPr>
        <w:t>Au sein du Ministère en charge de l’économie et des finances, les structures concernées par la coordination de l’aide sont:</w:t>
      </w:r>
    </w:p>
    <w:p w:rsidR="009A4DF8" w:rsidRPr="009C134A" w:rsidRDefault="009A4DF8" w:rsidP="00B92B11">
      <w:pPr>
        <w:pStyle w:val="Paragraphedeliste"/>
        <w:numPr>
          <w:ilvl w:val="0"/>
          <w:numId w:val="45"/>
        </w:numPr>
        <w:jc w:val="both"/>
        <w:rPr>
          <w:rFonts w:ascii="Arial" w:hAnsi="Arial" w:cs="Arial"/>
        </w:rPr>
      </w:pPr>
      <w:r w:rsidRPr="009C134A">
        <w:rPr>
          <w:rFonts w:ascii="Arial" w:hAnsi="Arial" w:cs="Arial"/>
        </w:rPr>
        <w:t>la Direction en charge de l’Economie et de la Planification qui s’occupe des questions liées à la formulation, du suivi évaluation des projets et programmes prioritaires et de la mise en œuvre de la règlementation générale des projets et programmes de développement;</w:t>
      </w:r>
    </w:p>
    <w:p w:rsidR="009A4DF8" w:rsidRPr="009C134A" w:rsidRDefault="009A4DF8" w:rsidP="00B92B11">
      <w:pPr>
        <w:pStyle w:val="Paragraphedeliste"/>
        <w:numPr>
          <w:ilvl w:val="0"/>
          <w:numId w:val="45"/>
        </w:numPr>
        <w:jc w:val="both"/>
        <w:rPr>
          <w:rFonts w:ascii="Arial" w:hAnsi="Arial" w:cs="Arial"/>
        </w:rPr>
      </w:pPr>
      <w:r w:rsidRPr="009C134A">
        <w:rPr>
          <w:rFonts w:ascii="Arial" w:hAnsi="Arial" w:cs="Arial"/>
        </w:rPr>
        <w:t>la Direction Générale du Trésor et de la Comptabilité Publique (DGTCP) qui assure la gestion de la dette publique, les demandes d’appel de fonds et le suivi des décaissements des PTF;</w:t>
      </w:r>
    </w:p>
    <w:p w:rsidR="009A4DF8" w:rsidRPr="009C134A" w:rsidRDefault="009A4DF8" w:rsidP="00B92B11">
      <w:pPr>
        <w:pStyle w:val="Paragraphedeliste"/>
        <w:numPr>
          <w:ilvl w:val="0"/>
          <w:numId w:val="45"/>
        </w:numPr>
        <w:jc w:val="both"/>
        <w:rPr>
          <w:rFonts w:ascii="Arial" w:hAnsi="Arial" w:cs="Arial"/>
        </w:rPr>
      </w:pPr>
      <w:r w:rsidRPr="009C134A">
        <w:rPr>
          <w:rFonts w:ascii="Arial" w:hAnsi="Arial" w:cs="Arial"/>
        </w:rPr>
        <w:t>la Direction Générale du Budget (DGB) qui a en charge la budgétisation de l’aide et la contrepartie nationale des Projets et programmes de développement (PPD);</w:t>
      </w:r>
    </w:p>
    <w:p w:rsidR="009A4DF8" w:rsidRPr="009C134A" w:rsidRDefault="009A4DF8" w:rsidP="00B92B11">
      <w:pPr>
        <w:pStyle w:val="Paragraphedeliste"/>
        <w:numPr>
          <w:ilvl w:val="0"/>
          <w:numId w:val="45"/>
        </w:numPr>
        <w:jc w:val="both"/>
        <w:rPr>
          <w:rFonts w:ascii="Arial" w:hAnsi="Arial" w:cs="Arial"/>
        </w:rPr>
      </w:pPr>
      <w:r w:rsidRPr="009C134A">
        <w:rPr>
          <w:rFonts w:ascii="Arial" w:hAnsi="Arial" w:cs="Arial"/>
        </w:rPr>
        <w:t>la Direction Générale de la Coopération (DGCOOP) qui, en plus de la mobilisation des financements extérieurs, assure la coordination permanente de l’aide en collaboration avec les autres structures sus-citées.</w:t>
      </w:r>
    </w:p>
    <w:p w:rsidR="009A4DF8" w:rsidRPr="009C134A" w:rsidRDefault="009A4DF8" w:rsidP="009A4DF8">
      <w:pPr>
        <w:jc w:val="both"/>
        <w:rPr>
          <w:rFonts w:ascii="Arial" w:hAnsi="Arial" w:cs="Arial"/>
        </w:rPr>
      </w:pPr>
      <w:r w:rsidRPr="009C134A">
        <w:rPr>
          <w:rFonts w:ascii="Arial" w:hAnsi="Arial" w:cs="Arial"/>
        </w:rPr>
        <w:t xml:space="preserve">Les activités de coordination et d’efficacité de l’aide réalisées en 2016 ont porté entre autres sur: i) la coordination de l’élaboration du document thématique sur les projets et programmes d’investissements publics utile à la formulation du PNDES 2016-2020, ii) la participation à l’organisation et la tenue de la conférence des partenaires pour le financement du PNDES, iii) l’élaboration du rapport d’évaluation du PANED 2014-2016, iv) l’entame de l’élaboration du document de stratégie pays de la BAD, v) </w:t>
      </w:r>
      <w:r w:rsidRPr="00CF1708">
        <w:rPr>
          <w:rFonts w:ascii="Arial" w:hAnsi="Arial" w:cs="Arial"/>
        </w:rPr>
        <w:t>la signature de quarante quatre (44) accords/conventions de financement avec des partenaires bilatéraux et multilatéraux pour un montant de plus de 6</w:t>
      </w:r>
      <w:r w:rsidR="003B5EF3" w:rsidRPr="00CF1708">
        <w:rPr>
          <w:rFonts w:ascii="Arial" w:hAnsi="Arial" w:cs="Arial"/>
        </w:rPr>
        <w:t>48,97</w:t>
      </w:r>
      <w:r w:rsidRPr="00CF1708">
        <w:rPr>
          <w:rFonts w:ascii="Arial" w:hAnsi="Arial" w:cs="Arial"/>
        </w:rPr>
        <w:t xml:space="preserve"> milliards de FCFA;</w:t>
      </w:r>
      <w:r w:rsidRPr="009C134A">
        <w:rPr>
          <w:rFonts w:ascii="Arial" w:hAnsi="Arial" w:cs="Arial"/>
        </w:rPr>
        <w:t xml:space="preserve"> vi) l’élaboration et la publication du RCD 2015; vii) l’élaboration du rapport diagnostic des interventions des PTF dans le cadre de la division du travail et la complémentarité, viii) l’élaboration de la politique nationale de la coopération au développement 2016-2025; ix) l’élaboration du rapport sur les engagements financiers de 2015, x) la tenue de 3 ateliers régionaux de sensibilisation et d’information sur les engagements internationaux et leur mise en œuvre au Burkina Faso et xi) la tenue des revues avec les Partenaires techniques et financiers y compris le FMI. </w:t>
      </w:r>
    </w:p>
    <w:p w:rsidR="009A4DF8" w:rsidRPr="009C134A" w:rsidRDefault="009A4DF8" w:rsidP="008D7758">
      <w:pPr>
        <w:pStyle w:val="Titre3"/>
        <w:numPr>
          <w:ilvl w:val="0"/>
          <w:numId w:val="141"/>
        </w:numPr>
        <w:tabs>
          <w:tab w:val="left" w:pos="1560"/>
        </w:tabs>
        <w:ind w:left="1276" w:hanging="425"/>
      </w:pPr>
      <w:bookmarkStart w:id="171" w:name="_Toc368483791"/>
      <w:bookmarkStart w:id="172" w:name="_Toc368779685"/>
      <w:bookmarkStart w:id="173" w:name="_Toc399933243"/>
      <w:bookmarkStart w:id="174" w:name="_Toc400643288"/>
      <w:bookmarkStart w:id="175" w:name="_Toc427009725"/>
      <w:bookmarkStart w:id="176" w:name="_Toc459122811"/>
      <w:bookmarkStart w:id="177" w:name="_Toc492972184"/>
      <w:r w:rsidRPr="009C134A">
        <w:t>Le dispositif de coordination propre aux PTF</w:t>
      </w:r>
      <w:bookmarkEnd w:id="171"/>
      <w:bookmarkEnd w:id="172"/>
      <w:bookmarkEnd w:id="173"/>
      <w:bookmarkEnd w:id="174"/>
      <w:bookmarkEnd w:id="175"/>
      <w:bookmarkEnd w:id="176"/>
      <w:bookmarkEnd w:id="177"/>
      <w:r w:rsidRPr="009C134A">
        <w:t xml:space="preserve"> </w:t>
      </w:r>
    </w:p>
    <w:p w:rsidR="009A4DF8" w:rsidRPr="009C134A" w:rsidRDefault="009A4DF8" w:rsidP="009A4DF8">
      <w:pPr>
        <w:jc w:val="both"/>
        <w:rPr>
          <w:rFonts w:ascii="Arial" w:hAnsi="Arial" w:cs="Arial"/>
        </w:rPr>
      </w:pPr>
      <w:r w:rsidRPr="009C134A">
        <w:rPr>
          <w:rFonts w:ascii="Arial" w:hAnsi="Arial" w:cs="Arial"/>
        </w:rPr>
        <w:t xml:space="preserve">Dans l’optique de s’aligner sur le dispositif de mise en œuvre et de suivi de la stratégie nationale de développement du Burkina Faso, les PTF se sont organisés, depuis 2009, au sein d’une coordination dénommée « La troïka des PTF» qui fonctionne avec une équipe ayant rang de chef de mission ou de coopération. Les représentants sont désignés de façon tournante pour un mandat d’un an allant du 1er juillet de l’année n au 30 juin de l’année n+1. La coordination de la Troïka en 2016 est assurée par: </w:t>
      </w:r>
    </w:p>
    <w:p w:rsidR="009A4DF8" w:rsidRPr="009C134A" w:rsidRDefault="009A4DF8" w:rsidP="00B92B11">
      <w:pPr>
        <w:pStyle w:val="Paragraphedeliste"/>
        <w:numPr>
          <w:ilvl w:val="0"/>
          <w:numId w:val="46"/>
        </w:numPr>
        <w:jc w:val="both"/>
        <w:rPr>
          <w:rFonts w:ascii="Arial" w:hAnsi="Arial" w:cs="Arial"/>
        </w:rPr>
      </w:pPr>
      <w:r w:rsidRPr="009C134A">
        <w:rPr>
          <w:rFonts w:ascii="Arial" w:hAnsi="Arial" w:cs="Arial"/>
        </w:rPr>
        <w:t>le Représentant résident de la Banque mondiale, Président.</w:t>
      </w:r>
    </w:p>
    <w:p w:rsidR="009A4DF8" w:rsidRPr="009C134A" w:rsidRDefault="009A4DF8" w:rsidP="00B92B11">
      <w:pPr>
        <w:pStyle w:val="Paragraphedeliste"/>
        <w:numPr>
          <w:ilvl w:val="0"/>
          <w:numId w:val="46"/>
        </w:numPr>
        <w:jc w:val="both"/>
        <w:rPr>
          <w:rFonts w:ascii="Arial" w:hAnsi="Arial" w:cs="Arial"/>
        </w:rPr>
      </w:pPr>
      <w:r w:rsidRPr="009C134A">
        <w:rPr>
          <w:rFonts w:ascii="Arial" w:hAnsi="Arial" w:cs="Arial"/>
        </w:rPr>
        <w:t>le Chef de la Délégation de l’Union Européenne, 1</w:t>
      </w:r>
      <w:r w:rsidRPr="009C134A">
        <w:rPr>
          <w:rFonts w:ascii="Arial" w:hAnsi="Arial" w:cs="Arial"/>
          <w:vertAlign w:val="superscript"/>
        </w:rPr>
        <w:t>er</w:t>
      </w:r>
      <w:r w:rsidRPr="009C134A">
        <w:rPr>
          <w:rFonts w:ascii="Arial" w:hAnsi="Arial" w:cs="Arial"/>
        </w:rPr>
        <w:t xml:space="preserve"> Vice-président; </w:t>
      </w:r>
    </w:p>
    <w:p w:rsidR="009A4DF8" w:rsidRPr="009C134A" w:rsidRDefault="009A4DF8" w:rsidP="00B92B11">
      <w:pPr>
        <w:pStyle w:val="Paragraphedeliste"/>
        <w:numPr>
          <w:ilvl w:val="0"/>
          <w:numId w:val="46"/>
        </w:numPr>
        <w:jc w:val="both"/>
        <w:rPr>
          <w:rFonts w:ascii="Arial" w:hAnsi="Arial" w:cs="Arial"/>
        </w:rPr>
      </w:pPr>
      <w:r w:rsidRPr="009C134A">
        <w:rPr>
          <w:rFonts w:ascii="Arial" w:hAnsi="Arial" w:cs="Arial"/>
        </w:rPr>
        <w:t>le Représentant résident du PNUD, 2</w:t>
      </w:r>
      <w:r w:rsidRPr="009C134A">
        <w:rPr>
          <w:rFonts w:ascii="Arial" w:hAnsi="Arial" w:cs="Arial"/>
          <w:vertAlign w:val="superscript"/>
        </w:rPr>
        <w:t>e</w:t>
      </w:r>
      <w:r w:rsidRPr="009C134A">
        <w:rPr>
          <w:rFonts w:ascii="Arial" w:hAnsi="Arial" w:cs="Arial"/>
        </w:rPr>
        <w:t xml:space="preserve"> Vice-Président;</w:t>
      </w:r>
    </w:p>
    <w:p w:rsidR="009A4DF8" w:rsidRPr="009C134A" w:rsidRDefault="009A4DF8" w:rsidP="00B92B11">
      <w:pPr>
        <w:pStyle w:val="Paragraphedeliste"/>
        <w:numPr>
          <w:ilvl w:val="0"/>
          <w:numId w:val="46"/>
        </w:numPr>
        <w:jc w:val="both"/>
        <w:rPr>
          <w:rFonts w:ascii="Arial" w:hAnsi="Arial" w:cs="Arial"/>
        </w:rPr>
      </w:pPr>
      <w:r w:rsidRPr="009C134A">
        <w:rPr>
          <w:rFonts w:ascii="Arial" w:hAnsi="Arial" w:cs="Arial"/>
        </w:rPr>
        <w:t>le Chef de la coopération française, 3</w:t>
      </w:r>
      <w:r w:rsidRPr="009C134A">
        <w:rPr>
          <w:rFonts w:ascii="Arial" w:hAnsi="Arial" w:cs="Arial"/>
          <w:vertAlign w:val="superscript"/>
        </w:rPr>
        <w:t xml:space="preserve">e </w:t>
      </w:r>
      <w:r w:rsidRPr="009C134A">
        <w:rPr>
          <w:rFonts w:ascii="Arial" w:hAnsi="Arial" w:cs="Arial"/>
        </w:rPr>
        <w:t>Vice-Président.</w:t>
      </w:r>
    </w:p>
    <w:p w:rsidR="009A4DF8" w:rsidRPr="009C134A" w:rsidRDefault="009A4DF8" w:rsidP="009A4DF8">
      <w:pPr>
        <w:jc w:val="both"/>
        <w:rPr>
          <w:rFonts w:ascii="Arial" w:hAnsi="Arial" w:cs="Arial"/>
        </w:rPr>
      </w:pPr>
      <w:r w:rsidRPr="009C134A">
        <w:rPr>
          <w:rFonts w:ascii="Arial" w:hAnsi="Arial" w:cs="Arial"/>
        </w:rPr>
        <w:t>Son président est le porte-parole des partenaires auprès du Gouvernement. Elle dispose d’un secrétariat technique qui l’appuie dans ses travaux.</w:t>
      </w:r>
    </w:p>
    <w:p w:rsidR="009A4DF8" w:rsidRPr="009C134A" w:rsidRDefault="009A4DF8" w:rsidP="009A4DF8">
      <w:pPr>
        <w:jc w:val="both"/>
        <w:rPr>
          <w:rFonts w:ascii="Arial" w:hAnsi="Arial" w:cs="Arial"/>
        </w:rPr>
      </w:pPr>
      <w:r w:rsidRPr="009C134A">
        <w:rPr>
          <w:rFonts w:ascii="Arial" w:hAnsi="Arial" w:cs="Arial"/>
        </w:rPr>
        <w:lastRenderedPageBreak/>
        <w:t>Au cours de l’année 2016, la troïka a coordonné:</w:t>
      </w:r>
    </w:p>
    <w:p w:rsidR="009A4DF8" w:rsidRPr="009C134A" w:rsidRDefault="009A4DF8" w:rsidP="00B92B11">
      <w:pPr>
        <w:pStyle w:val="Paragraphedeliste"/>
        <w:numPr>
          <w:ilvl w:val="0"/>
          <w:numId w:val="47"/>
        </w:numPr>
        <w:jc w:val="both"/>
        <w:rPr>
          <w:rFonts w:ascii="Arial" w:hAnsi="Arial" w:cs="Arial"/>
        </w:rPr>
      </w:pPr>
      <w:r w:rsidRPr="009C134A">
        <w:rPr>
          <w:rFonts w:ascii="Arial" w:hAnsi="Arial" w:cs="Arial"/>
        </w:rPr>
        <w:t xml:space="preserve">la préparation et la participation aux revues techniques et politiques de suivi de la mise en œuvre de la SCADD ; </w:t>
      </w:r>
    </w:p>
    <w:p w:rsidR="009A4DF8" w:rsidRPr="009C134A" w:rsidRDefault="009A4DF8" w:rsidP="00B92B11">
      <w:pPr>
        <w:pStyle w:val="Paragraphedeliste"/>
        <w:numPr>
          <w:ilvl w:val="0"/>
          <w:numId w:val="47"/>
        </w:numPr>
        <w:jc w:val="both"/>
        <w:rPr>
          <w:rFonts w:ascii="Arial" w:hAnsi="Arial" w:cs="Arial"/>
        </w:rPr>
      </w:pPr>
      <w:r w:rsidRPr="009C134A">
        <w:rPr>
          <w:rFonts w:ascii="Arial" w:hAnsi="Arial" w:cs="Arial"/>
        </w:rPr>
        <w:t>la contribution à l’élaboration du Rapport sur la coopération au développement  (RCD) ;</w:t>
      </w:r>
    </w:p>
    <w:p w:rsidR="009A4DF8" w:rsidRPr="009C134A" w:rsidRDefault="009A4DF8" w:rsidP="00B92B11">
      <w:pPr>
        <w:pStyle w:val="Paragraphedeliste"/>
        <w:numPr>
          <w:ilvl w:val="0"/>
          <w:numId w:val="47"/>
        </w:numPr>
        <w:jc w:val="both"/>
        <w:rPr>
          <w:rFonts w:ascii="Arial" w:hAnsi="Arial" w:cs="Arial"/>
        </w:rPr>
      </w:pPr>
      <w:r w:rsidRPr="009C134A">
        <w:rPr>
          <w:rFonts w:ascii="Arial" w:hAnsi="Arial" w:cs="Arial"/>
        </w:rPr>
        <w:t>la contribution à l’élaboration de la Politique nationale de la coopération au développement (PNCD) ;</w:t>
      </w:r>
    </w:p>
    <w:p w:rsidR="009A4DF8" w:rsidRPr="009C134A" w:rsidRDefault="009A4DF8" w:rsidP="00B92B11">
      <w:pPr>
        <w:pStyle w:val="Paragraphedeliste"/>
        <w:numPr>
          <w:ilvl w:val="0"/>
          <w:numId w:val="47"/>
        </w:numPr>
        <w:jc w:val="both"/>
        <w:rPr>
          <w:rFonts w:ascii="Arial" w:hAnsi="Arial" w:cs="Arial"/>
        </w:rPr>
      </w:pPr>
      <w:r w:rsidRPr="009C134A">
        <w:rPr>
          <w:rFonts w:ascii="Arial" w:hAnsi="Arial" w:cs="Arial"/>
        </w:rPr>
        <w:t>la contribution à l’élaboration du Plan national de développement économique et social (PNDES) ;</w:t>
      </w:r>
    </w:p>
    <w:p w:rsidR="009A4DF8" w:rsidRPr="009C134A" w:rsidRDefault="009A4DF8" w:rsidP="00B92B11">
      <w:pPr>
        <w:pStyle w:val="Paragraphedeliste"/>
        <w:numPr>
          <w:ilvl w:val="0"/>
          <w:numId w:val="47"/>
        </w:numPr>
        <w:jc w:val="both"/>
        <w:rPr>
          <w:rFonts w:ascii="Arial" w:hAnsi="Arial" w:cs="Arial"/>
        </w:rPr>
      </w:pPr>
      <w:r w:rsidRPr="009C134A">
        <w:rPr>
          <w:rFonts w:ascii="Arial" w:hAnsi="Arial" w:cs="Arial"/>
        </w:rPr>
        <w:t>la contribution à  la collecte de données pour la réalisation de l’enquête 2016 de la mise en œuvre des engagements de l’accord de partenariat de Busan,</w:t>
      </w:r>
    </w:p>
    <w:p w:rsidR="009A4DF8" w:rsidRPr="009C134A" w:rsidRDefault="009A4DF8" w:rsidP="00B92B11">
      <w:pPr>
        <w:pStyle w:val="Paragraphedeliste"/>
        <w:numPr>
          <w:ilvl w:val="0"/>
          <w:numId w:val="47"/>
        </w:numPr>
        <w:jc w:val="both"/>
        <w:rPr>
          <w:rFonts w:ascii="Arial" w:hAnsi="Arial" w:cs="Arial"/>
        </w:rPr>
      </w:pPr>
      <w:r w:rsidRPr="009C134A">
        <w:rPr>
          <w:rFonts w:ascii="Arial" w:hAnsi="Arial" w:cs="Arial"/>
        </w:rPr>
        <w:t>la tenue de l’atelier d’immersion des PTF et,</w:t>
      </w:r>
    </w:p>
    <w:p w:rsidR="009A4DF8" w:rsidRPr="009C134A" w:rsidRDefault="009A4DF8" w:rsidP="00B92B11">
      <w:pPr>
        <w:pStyle w:val="Paragraphedeliste"/>
        <w:numPr>
          <w:ilvl w:val="0"/>
          <w:numId w:val="47"/>
        </w:numPr>
        <w:jc w:val="both"/>
        <w:rPr>
          <w:rFonts w:ascii="Arial" w:hAnsi="Arial" w:cs="Arial"/>
        </w:rPr>
      </w:pPr>
      <w:r w:rsidRPr="009C134A">
        <w:rPr>
          <w:rFonts w:ascii="Arial" w:hAnsi="Arial" w:cs="Arial"/>
        </w:rPr>
        <w:t xml:space="preserve">la tenue de la réunion des chefs de file sectoriels des PTF. </w:t>
      </w:r>
    </w:p>
    <w:p w:rsidR="009A4DF8" w:rsidRPr="009268C3" w:rsidRDefault="009A4DF8" w:rsidP="008D7758">
      <w:pPr>
        <w:pStyle w:val="Titre3"/>
        <w:numPr>
          <w:ilvl w:val="0"/>
          <w:numId w:val="141"/>
        </w:numPr>
        <w:tabs>
          <w:tab w:val="left" w:pos="1560"/>
        </w:tabs>
        <w:ind w:left="1276" w:hanging="425"/>
      </w:pPr>
      <w:bookmarkStart w:id="178" w:name="_Toc492972185"/>
      <w:bookmarkStart w:id="179" w:name="_Toc368483794"/>
      <w:bookmarkStart w:id="180" w:name="_Toc399933246"/>
      <w:bookmarkStart w:id="181" w:name="_Toc424710977"/>
      <w:bookmarkStart w:id="182" w:name="_Toc427009728"/>
      <w:bookmarkStart w:id="183" w:name="_Toc459122814"/>
      <w:r w:rsidRPr="009268C3">
        <w:t>Les cadres de concertations mixtes</w:t>
      </w:r>
      <w:bookmarkEnd w:id="178"/>
    </w:p>
    <w:p w:rsidR="009A4DF8" w:rsidRPr="009C134A" w:rsidRDefault="009A4DF8" w:rsidP="008D7758">
      <w:pPr>
        <w:pStyle w:val="Titre4"/>
        <w:numPr>
          <w:ilvl w:val="0"/>
          <w:numId w:val="142"/>
        </w:numPr>
        <w:ind w:left="1701"/>
        <w:rPr>
          <w:lang w:eastAsia="fr-FR"/>
        </w:rPr>
      </w:pPr>
      <w:bookmarkStart w:id="184" w:name="_Toc492972186"/>
      <w:r w:rsidRPr="009C134A">
        <w:rPr>
          <w:lang w:eastAsia="fr-FR"/>
        </w:rPr>
        <w:t>Le dispositif de suivi et d’évaluation du PNDES</w:t>
      </w:r>
      <w:bookmarkEnd w:id="184"/>
    </w:p>
    <w:p w:rsidR="009A4DF8" w:rsidRPr="009C134A" w:rsidRDefault="009A4DF8" w:rsidP="009A4DF8">
      <w:pPr>
        <w:spacing w:before="120" w:after="120" w:line="240" w:lineRule="auto"/>
        <w:jc w:val="both"/>
        <w:rPr>
          <w:rFonts w:ascii="Arial" w:hAnsi="Arial" w:cs="Arial"/>
        </w:rPr>
      </w:pPr>
      <w:r w:rsidRPr="009C134A">
        <w:rPr>
          <w:rFonts w:ascii="Arial" w:hAnsi="Arial" w:cs="Arial"/>
        </w:rPr>
        <w:t>Afin de doter le PNDES d’un instrument juridique lui permettant d’atteindre pleinement ses objectifs, le Conseil des ministres en sa séance du 23 novembre 2016 a adopté un décret portant création, attributions, organisation et fonctionnement du dispositif de suivi et d’évaluation du Plan national de développement économique et social (PNDES). Ce décret crée des organes dont le Secrétariat Permanent du PNDES, les Cadres sectoriels de dialogue et les Cadres régionaux de dialogue.</w:t>
      </w:r>
    </w:p>
    <w:p w:rsidR="009A4DF8" w:rsidRPr="009C134A" w:rsidRDefault="009A4DF8" w:rsidP="00B92B11">
      <w:pPr>
        <w:pStyle w:val="Paragraphedeliste"/>
        <w:numPr>
          <w:ilvl w:val="0"/>
          <w:numId w:val="47"/>
        </w:numPr>
        <w:spacing w:before="120" w:after="120" w:line="240" w:lineRule="auto"/>
        <w:jc w:val="both"/>
        <w:rPr>
          <w:rFonts w:ascii="Arial" w:hAnsi="Arial" w:cs="Arial"/>
          <w:b/>
        </w:rPr>
      </w:pPr>
      <w:r w:rsidRPr="009C134A">
        <w:rPr>
          <w:rFonts w:ascii="Arial" w:hAnsi="Arial" w:cs="Arial"/>
          <w:b/>
          <w:i/>
        </w:rPr>
        <w:t>Secrétariat Permanent du PNDES</w:t>
      </w:r>
    </w:p>
    <w:p w:rsidR="009A4DF8" w:rsidRPr="009C134A" w:rsidRDefault="009A4DF8" w:rsidP="009A4DF8">
      <w:pPr>
        <w:spacing w:before="120" w:after="120" w:line="240" w:lineRule="auto"/>
        <w:jc w:val="both"/>
        <w:rPr>
          <w:rFonts w:ascii="Arial" w:hAnsi="Arial" w:cs="Arial"/>
        </w:rPr>
      </w:pPr>
      <w:r w:rsidRPr="009C134A">
        <w:rPr>
          <w:rFonts w:ascii="Arial" w:hAnsi="Arial" w:cs="Arial"/>
        </w:rPr>
        <w:t>Le Secrétariat Permanent du PNDES (SP/PNDES) est l’organe administratif et technique de coordination du suivi et de l’évaluation de la mise en œuvre du PNDES. Au 31 décembre 2016, la structure n’était pas fonctionnelle. Toutefois, au cours de la période de transition entre la SCADD et le PNDES, l’ex STN-SCADD a animé le dispositif de suivi et d’évaluation.</w:t>
      </w:r>
    </w:p>
    <w:p w:rsidR="009A4DF8" w:rsidRPr="009C134A" w:rsidRDefault="009A4DF8" w:rsidP="00B92B11">
      <w:pPr>
        <w:pStyle w:val="Paragraphedeliste"/>
        <w:numPr>
          <w:ilvl w:val="0"/>
          <w:numId w:val="47"/>
        </w:numPr>
        <w:spacing w:before="120" w:after="120" w:line="240" w:lineRule="auto"/>
        <w:jc w:val="both"/>
        <w:rPr>
          <w:rFonts w:ascii="Arial" w:hAnsi="Arial" w:cs="Arial"/>
          <w:b/>
          <w:i/>
        </w:rPr>
      </w:pPr>
      <w:r w:rsidRPr="009C134A">
        <w:rPr>
          <w:rFonts w:ascii="Arial" w:hAnsi="Arial" w:cs="Arial"/>
          <w:b/>
          <w:i/>
        </w:rPr>
        <w:t>Cadres sectoriels de dialogue</w:t>
      </w:r>
    </w:p>
    <w:p w:rsidR="009A4DF8" w:rsidRPr="009C134A" w:rsidRDefault="009A4DF8" w:rsidP="009A4DF8">
      <w:pPr>
        <w:spacing w:before="120" w:after="120" w:line="240" w:lineRule="auto"/>
        <w:jc w:val="both"/>
        <w:rPr>
          <w:rFonts w:ascii="Arial" w:hAnsi="Arial" w:cs="Arial"/>
        </w:rPr>
      </w:pPr>
      <w:r w:rsidRPr="009C134A">
        <w:rPr>
          <w:rFonts w:ascii="Arial" w:hAnsi="Arial" w:cs="Arial"/>
        </w:rPr>
        <w:t xml:space="preserve">Au niveau sectoriel, le suivi et l’évaluation de la mise en œuvre du PNDES est assuré par les Cadres sectoriels de dialogue (CSD) qui correspondent aux secteurs de planification définis dans le PNDES. On compte ainsi 14 CSD avec à leur tête un ministre chef de file du secteur concerné. </w:t>
      </w:r>
    </w:p>
    <w:p w:rsidR="009A4DF8" w:rsidRPr="009C134A" w:rsidRDefault="009A4DF8" w:rsidP="009A4DF8">
      <w:pPr>
        <w:spacing w:before="120" w:after="120" w:line="240" w:lineRule="auto"/>
        <w:jc w:val="both"/>
        <w:rPr>
          <w:rFonts w:ascii="Arial" w:hAnsi="Arial" w:cs="Arial"/>
        </w:rPr>
      </w:pPr>
      <w:r w:rsidRPr="009C134A">
        <w:rPr>
          <w:rFonts w:ascii="Arial" w:hAnsi="Arial" w:cs="Arial"/>
        </w:rPr>
        <w:t>Au cours de l’année 2016, les CSD (format SCADD) ont organisé leur session annuelle d’examen des performances 2015 de la mise en œuvre de la SCADD.</w:t>
      </w:r>
    </w:p>
    <w:p w:rsidR="009A4DF8" w:rsidRPr="009C134A" w:rsidRDefault="009A4DF8" w:rsidP="00B92B11">
      <w:pPr>
        <w:pStyle w:val="Paragraphedeliste"/>
        <w:numPr>
          <w:ilvl w:val="0"/>
          <w:numId w:val="47"/>
        </w:numPr>
        <w:spacing w:before="120" w:after="120" w:line="240" w:lineRule="auto"/>
        <w:jc w:val="both"/>
        <w:rPr>
          <w:rFonts w:ascii="Arial" w:hAnsi="Arial" w:cs="Arial"/>
          <w:b/>
          <w:i/>
        </w:rPr>
      </w:pPr>
      <w:r w:rsidRPr="009C134A">
        <w:rPr>
          <w:rFonts w:ascii="Arial" w:hAnsi="Arial" w:cs="Arial"/>
          <w:b/>
          <w:i/>
        </w:rPr>
        <w:t>Cadres régionaux de dialogue</w:t>
      </w:r>
    </w:p>
    <w:p w:rsidR="009A4DF8" w:rsidRPr="009C134A" w:rsidRDefault="009A4DF8" w:rsidP="009A4DF8">
      <w:pPr>
        <w:spacing w:before="120" w:after="120" w:line="240" w:lineRule="auto"/>
        <w:jc w:val="both"/>
        <w:rPr>
          <w:rFonts w:ascii="Arial" w:hAnsi="Arial" w:cs="Arial"/>
        </w:rPr>
      </w:pPr>
      <w:r w:rsidRPr="009C134A">
        <w:rPr>
          <w:rFonts w:ascii="Arial" w:hAnsi="Arial" w:cs="Arial"/>
        </w:rPr>
        <w:t xml:space="preserve">Au niveau régional, le suivi et l’évaluation de la mise en œuvre du PNDES est assuré par le Cadre régional de dialogue (CRD) qui prend désormais en compte les communes. Au regard de la période de transition de la SCADD au PNDES, aucune revue régionale à mi-parcours en 2016 consacrée au PNDES n’a pu se tenir. Cependant, la plupart des CRD ont tenu leur revue annuelle 2016 de mise en œuvre de la SCADD. </w:t>
      </w:r>
    </w:p>
    <w:p w:rsidR="009A4DF8" w:rsidRPr="00473D42" w:rsidRDefault="009A4DF8" w:rsidP="00B92B11">
      <w:pPr>
        <w:pStyle w:val="Paragraphedeliste"/>
        <w:numPr>
          <w:ilvl w:val="0"/>
          <w:numId w:val="47"/>
        </w:numPr>
        <w:spacing w:before="120" w:after="120" w:line="240" w:lineRule="auto"/>
        <w:jc w:val="both"/>
        <w:rPr>
          <w:rFonts w:ascii="Arial" w:hAnsi="Arial" w:cs="Arial"/>
          <w:b/>
          <w:i/>
        </w:rPr>
      </w:pPr>
      <w:r w:rsidRPr="00473D42">
        <w:rPr>
          <w:rFonts w:ascii="Arial" w:hAnsi="Arial" w:cs="Arial"/>
          <w:b/>
          <w:i/>
        </w:rPr>
        <w:t>Instances du dispositif de suivi et d’évaluation</w:t>
      </w:r>
    </w:p>
    <w:p w:rsidR="009A4DF8" w:rsidRPr="009C134A" w:rsidRDefault="009A4DF8" w:rsidP="009A4DF8">
      <w:pPr>
        <w:spacing w:before="120" w:after="120" w:line="240" w:lineRule="auto"/>
        <w:jc w:val="both"/>
        <w:rPr>
          <w:rFonts w:ascii="Arial" w:hAnsi="Arial" w:cs="Arial"/>
        </w:rPr>
      </w:pPr>
      <w:r w:rsidRPr="009C134A">
        <w:rPr>
          <w:rFonts w:ascii="Arial" w:hAnsi="Arial" w:cs="Arial"/>
        </w:rPr>
        <w:t>En 2016, aucune revue annuelle consacrée au PNDES n’a été organisée au regard de son calendrier d’adoption. Toutefois, on note la tenue le 10 mai 2016 de la dernière revue annuelle consacrée à la SCADD. Celle-ci a examiné et adopté le projet de rapport de performance de la Stratégie de croissance accélérée et de développement durable (SCADD) de l’année 2015, contenant le bilan de sa mise en œuvre sur la période 2011–2015.</w:t>
      </w:r>
    </w:p>
    <w:p w:rsidR="009A4DF8" w:rsidRPr="002D0472" w:rsidRDefault="009A4DF8" w:rsidP="008D7758">
      <w:pPr>
        <w:pStyle w:val="Titre4"/>
        <w:numPr>
          <w:ilvl w:val="0"/>
          <w:numId w:val="142"/>
        </w:numPr>
        <w:ind w:left="1701"/>
        <w:rPr>
          <w:lang w:eastAsia="fr-FR"/>
        </w:rPr>
      </w:pPr>
      <w:bookmarkStart w:id="185" w:name="_Toc492972187"/>
      <w:r w:rsidRPr="002D0472">
        <w:rPr>
          <w:lang w:eastAsia="fr-FR"/>
        </w:rPr>
        <w:lastRenderedPageBreak/>
        <w:t>Les tables rondes de mobilisation des ressources</w:t>
      </w:r>
      <w:bookmarkEnd w:id="179"/>
      <w:bookmarkEnd w:id="180"/>
      <w:bookmarkEnd w:id="181"/>
      <w:bookmarkEnd w:id="182"/>
      <w:bookmarkEnd w:id="183"/>
      <w:bookmarkEnd w:id="185"/>
      <w:r w:rsidRPr="002D0472">
        <w:rPr>
          <w:lang w:eastAsia="fr-FR"/>
        </w:rPr>
        <w:t xml:space="preserve"> </w:t>
      </w:r>
    </w:p>
    <w:p w:rsidR="009A4DF8" w:rsidRPr="009C134A" w:rsidRDefault="009A4DF8" w:rsidP="009A4DF8">
      <w:pPr>
        <w:jc w:val="both"/>
        <w:rPr>
          <w:rFonts w:ascii="Arial" w:hAnsi="Arial" w:cs="Arial"/>
        </w:rPr>
      </w:pPr>
      <w:r w:rsidRPr="009C134A">
        <w:rPr>
          <w:rFonts w:ascii="Arial" w:hAnsi="Arial" w:cs="Arial"/>
        </w:rPr>
        <w:t>En vue de l’élaboration du PNDES et de l’organisation de la 6</w:t>
      </w:r>
      <w:r w:rsidRPr="009C134A">
        <w:rPr>
          <w:rFonts w:ascii="Arial" w:hAnsi="Arial" w:cs="Arial"/>
          <w:vertAlign w:val="superscript"/>
        </w:rPr>
        <w:t>e</w:t>
      </w:r>
      <w:r w:rsidRPr="009C134A">
        <w:rPr>
          <w:rFonts w:ascii="Arial" w:hAnsi="Arial" w:cs="Arial"/>
        </w:rPr>
        <w:t xml:space="preserve"> conférence des partenaires pour son financement, le Gouvernement avait ordonné de sursoir à toutes les tables rondes sectorielles devant se tenir au cours de l’année 2016.</w:t>
      </w:r>
    </w:p>
    <w:p w:rsidR="009A4DF8" w:rsidRPr="009C134A" w:rsidRDefault="009A4DF8" w:rsidP="009A4DF8">
      <w:pPr>
        <w:tabs>
          <w:tab w:val="left" w:pos="360"/>
          <w:tab w:val="left" w:pos="1890"/>
          <w:tab w:val="left" w:pos="7371"/>
        </w:tabs>
        <w:spacing w:after="240"/>
        <w:jc w:val="both"/>
        <w:rPr>
          <w:rFonts w:ascii="Arial" w:hAnsi="Arial" w:cs="Arial"/>
        </w:rPr>
      </w:pPr>
      <w:r w:rsidRPr="009C134A">
        <w:rPr>
          <w:rFonts w:ascii="Arial" w:hAnsi="Arial" w:cs="Arial"/>
        </w:rPr>
        <w:t xml:space="preserve">En rappel, les tables rondes des partenaires constituent pour le Gouvernement des cadres idoines pour présenter ses politiques ou programmes de développement aux Partenaires techniques et financiers afin de solliciter leur adhésion et contribution à leur mise en œuvre. </w:t>
      </w:r>
    </w:p>
    <w:p w:rsidR="009A4DF8" w:rsidRPr="009C134A" w:rsidRDefault="009A4DF8" w:rsidP="009A4DF8">
      <w:pPr>
        <w:jc w:val="both"/>
        <w:rPr>
          <w:rFonts w:ascii="Arial" w:hAnsi="Arial" w:cs="Arial"/>
        </w:rPr>
      </w:pPr>
      <w:r w:rsidRPr="009C134A">
        <w:rPr>
          <w:rFonts w:ascii="Arial" w:hAnsi="Arial" w:cs="Arial"/>
        </w:rPr>
        <w:t>Toutefois, la table ronde pour le financement des activités du 5</w:t>
      </w:r>
      <w:r w:rsidRPr="009C134A">
        <w:rPr>
          <w:rFonts w:ascii="Arial" w:hAnsi="Arial" w:cs="Arial"/>
          <w:vertAlign w:val="superscript"/>
        </w:rPr>
        <w:t>e</w:t>
      </w:r>
      <w:r w:rsidRPr="009C134A">
        <w:rPr>
          <w:rFonts w:ascii="Arial" w:hAnsi="Arial" w:cs="Arial"/>
        </w:rPr>
        <w:t xml:space="preserve"> Recensement général de la population et de l’habitation (RGPH) s’est tenue le 10 mars 2016 à Ouagadougou pour tenir compte de l’échéance décennale recommandée par les Nations Unies pour ce type d’opération.</w:t>
      </w:r>
    </w:p>
    <w:p w:rsidR="009A4DF8" w:rsidRPr="009C134A" w:rsidRDefault="009A4DF8" w:rsidP="009A4DF8">
      <w:pPr>
        <w:shd w:val="clear" w:color="auto" w:fill="FFFFFF"/>
        <w:spacing w:after="0"/>
        <w:ind w:left="23" w:right="40"/>
        <w:jc w:val="both"/>
        <w:rPr>
          <w:rFonts w:ascii="Arial" w:hAnsi="Arial" w:cs="Arial"/>
        </w:rPr>
      </w:pPr>
      <w:r w:rsidRPr="009C134A">
        <w:rPr>
          <w:rFonts w:ascii="Arial" w:hAnsi="Arial" w:cs="Arial"/>
        </w:rPr>
        <w:t xml:space="preserve">Au cours des échanges, les annonces des partenaires et des autres acteurs sont évaluées à environ 9,684 milliards de FCFA. Ces annonces ont été faites par : </w:t>
      </w:r>
    </w:p>
    <w:p w:rsidR="009A4DF8" w:rsidRPr="009C134A" w:rsidRDefault="009A4DF8" w:rsidP="00B92B11">
      <w:pPr>
        <w:pStyle w:val="Corpsdetexte"/>
        <w:numPr>
          <w:ilvl w:val="0"/>
          <w:numId w:val="43"/>
        </w:numPr>
        <w:spacing w:after="0" w:line="276" w:lineRule="auto"/>
        <w:jc w:val="both"/>
        <w:rPr>
          <w:rFonts w:ascii="Arial" w:hAnsi="Arial" w:cs="Arial"/>
          <w:sz w:val="22"/>
          <w:szCs w:val="22"/>
        </w:rPr>
      </w:pPr>
      <w:r w:rsidRPr="009C134A">
        <w:rPr>
          <w:rFonts w:ascii="Arial" w:hAnsi="Arial" w:cs="Arial"/>
          <w:sz w:val="22"/>
          <w:szCs w:val="22"/>
        </w:rPr>
        <w:t xml:space="preserve">la Suède à hauteur de 1,7 milliard de FCFA ; </w:t>
      </w:r>
    </w:p>
    <w:p w:rsidR="009A4DF8" w:rsidRPr="009C134A" w:rsidRDefault="009A4DF8" w:rsidP="00B92B11">
      <w:pPr>
        <w:pStyle w:val="Corpsdetexte"/>
        <w:numPr>
          <w:ilvl w:val="0"/>
          <w:numId w:val="43"/>
        </w:numPr>
        <w:spacing w:after="0" w:line="276" w:lineRule="auto"/>
        <w:jc w:val="both"/>
        <w:rPr>
          <w:rFonts w:ascii="Arial" w:hAnsi="Arial" w:cs="Arial"/>
          <w:sz w:val="22"/>
          <w:szCs w:val="22"/>
        </w:rPr>
      </w:pPr>
      <w:r w:rsidRPr="009C134A">
        <w:rPr>
          <w:rFonts w:ascii="Arial" w:hAnsi="Arial" w:cs="Arial"/>
          <w:sz w:val="22"/>
          <w:szCs w:val="22"/>
        </w:rPr>
        <w:t>l’Italie pour environ 328 millions de FCFA ;</w:t>
      </w:r>
    </w:p>
    <w:p w:rsidR="009A4DF8" w:rsidRPr="009C134A" w:rsidRDefault="009A4DF8" w:rsidP="00B92B11">
      <w:pPr>
        <w:pStyle w:val="Corpsdetexte"/>
        <w:numPr>
          <w:ilvl w:val="0"/>
          <w:numId w:val="43"/>
        </w:numPr>
        <w:spacing w:after="0" w:line="276" w:lineRule="auto"/>
        <w:jc w:val="both"/>
        <w:rPr>
          <w:rFonts w:ascii="Arial" w:hAnsi="Arial" w:cs="Arial"/>
          <w:sz w:val="22"/>
          <w:szCs w:val="22"/>
        </w:rPr>
      </w:pPr>
      <w:r w:rsidRPr="009C134A">
        <w:rPr>
          <w:rFonts w:ascii="Arial" w:hAnsi="Arial" w:cs="Arial"/>
          <w:sz w:val="22"/>
          <w:szCs w:val="22"/>
        </w:rPr>
        <w:t xml:space="preserve">la Banque mondiale à hauteur de 7 milliards de FCFA ; </w:t>
      </w:r>
    </w:p>
    <w:p w:rsidR="009A4DF8" w:rsidRPr="009C134A" w:rsidRDefault="009A4DF8" w:rsidP="00B92B11">
      <w:pPr>
        <w:pStyle w:val="Corpsdetexte"/>
        <w:numPr>
          <w:ilvl w:val="0"/>
          <w:numId w:val="43"/>
        </w:numPr>
        <w:spacing w:after="0" w:line="276" w:lineRule="auto"/>
        <w:jc w:val="both"/>
        <w:rPr>
          <w:rFonts w:ascii="Arial" w:eastAsia="Calibri" w:hAnsi="Arial" w:cs="Arial"/>
          <w:sz w:val="22"/>
          <w:szCs w:val="22"/>
        </w:rPr>
      </w:pPr>
      <w:r w:rsidRPr="009C134A">
        <w:rPr>
          <w:rFonts w:ascii="Arial" w:hAnsi="Arial" w:cs="Arial"/>
          <w:sz w:val="22"/>
          <w:szCs w:val="22"/>
        </w:rPr>
        <w:t>l’Union Européenne pour 656 millions de FCFA</w:t>
      </w:r>
      <w:r w:rsidRPr="009C134A">
        <w:rPr>
          <w:rFonts w:ascii="Arial" w:eastAsia="Calibri" w:hAnsi="Arial" w:cs="Arial"/>
          <w:sz w:val="22"/>
          <w:szCs w:val="22"/>
        </w:rPr>
        <w:t xml:space="preserve">. </w:t>
      </w:r>
    </w:p>
    <w:p w:rsidR="009A4DF8" w:rsidRPr="009C134A" w:rsidRDefault="009A4DF8" w:rsidP="009A4DF8">
      <w:pPr>
        <w:pStyle w:val="Corpsdetexte"/>
        <w:spacing w:after="0" w:line="276" w:lineRule="auto"/>
        <w:ind w:left="720"/>
        <w:jc w:val="both"/>
        <w:rPr>
          <w:rFonts w:ascii="Arial" w:eastAsia="Calibri" w:hAnsi="Arial" w:cs="Arial"/>
          <w:sz w:val="22"/>
          <w:szCs w:val="22"/>
        </w:rPr>
      </w:pPr>
    </w:p>
    <w:p w:rsidR="009A4DF8" w:rsidRPr="009C134A" w:rsidRDefault="009A4DF8" w:rsidP="009A4DF8">
      <w:pPr>
        <w:pStyle w:val="Corpsdetexte"/>
        <w:spacing w:after="0"/>
        <w:jc w:val="both"/>
        <w:rPr>
          <w:rFonts w:ascii="Arial" w:hAnsi="Arial" w:cs="Arial"/>
          <w:sz w:val="22"/>
          <w:szCs w:val="22"/>
        </w:rPr>
      </w:pPr>
      <w:r w:rsidRPr="009C134A">
        <w:rPr>
          <w:rFonts w:ascii="Arial" w:hAnsi="Arial" w:cs="Arial"/>
          <w:sz w:val="22"/>
          <w:szCs w:val="22"/>
        </w:rPr>
        <w:t>La contribution de l’Etat est estimée à environ 9 milliards de FCFA ; ce qui amène le total du financement acquis à environ 18, 68 milliards de FCFA soit 93,97% du coût total du RGPH. Le gap qui se dégage après la table ronde est évalué à 1,2 milliard de FCFA.</w:t>
      </w:r>
    </w:p>
    <w:p w:rsidR="009A4DF8" w:rsidRPr="009C134A" w:rsidRDefault="009A4DF8" w:rsidP="009A4DF8">
      <w:pPr>
        <w:pStyle w:val="Corpsdetexte"/>
        <w:spacing w:after="0"/>
        <w:jc w:val="both"/>
        <w:rPr>
          <w:rFonts w:ascii="Arial" w:eastAsia="Calibri" w:hAnsi="Arial" w:cs="Arial"/>
          <w:sz w:val="22"/>
          <w:szCs w:val="22"/>
        </w:rPr>
      </w:pPr>
    </w:p>
    <w:p w:rsidR="009A4DF8" w:rsidRPr="00742715" w:rsidRDefault="009A4DF8" w:rsidP="00742715">
      <w:pPr>
        <w:pStyle w:val="Corpsdetexte"/>
        <w:spacing w:after="0"/>
        <w:jc w:val="both"/>
        <w:rPr>
          <w:rFonts w:ascii="Arial" w:eastAsia="Calibri" w:hAnsi="Arial" w:cs="Arial"/>
          <w:sz w:val="22"/>
          <w:szCs w:val="22"/>
        </w:rPr>
      </w:pPr>
      <w:r w:rsidRPr="009C134A">
        <w:rPr>
          <w:rFonts w:ascii="Arial" w:eastAsia="Calibri" w:hAnsi="Arial" w:cs="Arial"/>
          <w:sz w:val="22"/>
          <w:szCs w:val="22"/>
        </w:rPr>
        <w:t>En sus de ces annonces, l’Organisation Internationale pour la Migration, l’ambassade de la République fédérale d’Allemagne, l’UNICEF, la BAD, l’ambassade de Belgique, l’ambassade des Etats Unis, l’UNHCR et la LONAB se sont engagés à accompagner le RGPH. Le représentant des opérateurs de téléphonie mobiles au Burkina Faso a manifesté l’intérêt qu’ils portent au recensement et s’engagent à prendre en charge le volet «sensibilisation et communication ». En outre, la Banque mondiale reste flexible pour financer le gap qui ressortirait après la contri</w:t>
      </w:r>
      <w:r w:rsidR="00742715">
        <w:rPr>
          <w:rFonts w:ascii="Arial" w:eastAsia="Calibri" w:hAnsi="Arial" w:cs="Arial"/>
          <w:sz w:val="22"/>
          <w:szCs w:val="22"/>
        </w:rPr>
        <w:t xml:space="preserve">bution des autres partenaires. </w:t>
      </w:r>
    </w:p>
    <w:p w:rsidR="009A4DF8" w:rsidRPr="00D234CC" w:rsidRDefault="009A4DF8" w:rsidP="008D7758">
      <w:pPr>
        <w:pStyle w:val="Titre4"/>
        <w:numPr>
          <w:ilvl w:val="0"/>
          <w:numId w:val="142"/>
        </w:numPr>
        <w:ind w:left="1701"/>
        <w:rPr>
          <w:lang w:eastAsia="fr-FR"/>
        </w:rPr>
      </w:pPr>
      <w:bookmarkStart w:id="186" w:name="_Toc492972188"/>
      <w:bookmarkStart w:id="187" w:name="_Toc459122815"/>
      <w:r w:rsidRPr="00D234CC">
        <w:rPr>
          <w:lang w:eastAsia="fr-FR"/>
        </w:rPr>
        <w:t>Rencontres MINEFID-Troïka des PTF</w:t>
      </w:r>
      <w:bookmarkEnd w:id="186"/>
    </w:p>
    <w:p w:rsidR="009A4DF8" w:rsidRPr="005852C3" w:rsidRDefault="009A4DF8" w:rsidP="009A4DF8">
      <w:pPr>
        <w:spacing w:after="0" w:line="240" w:lineRule="auto"/>
        <w:jc w:val="both"/>
        <w:rPr>
          <w:rFonts w:ascii="Arial" w:hAnsi="Arial" w:cs="Arial"/>
          <w:szCs w:val="24"/>
        </w:rPr>
      </w:pPr>
      <w:r w:rsidRPr="005852C3">
        <w:rPr>
          <w:rFonts w:ascii="Arial" w:hAnsi="Arial" w:cs="Arial"/>
          <w:szCs w:val="24"/>
        </w:rPr>
        <w:t>Instituée à la suite de la mise en place de la Troïka en 2011, les rencontres trimestrielles MINEFID-Troïka, se veulent des cadres d’échanges et d’information entre le Ministre en charge des finances et la Troïka des PTF sur les questions de développement du Burkina Faso en général, et de l’efficacité de la coopération au développement et du suivi du référentiel national en particulier.</w:t>
      </w:r>
    </w:p>
    <w:p w:rsidR="009A4DF8" w:rsidRPr="005852C3" w:rsidRDefault="009A4DF8" w:rsidP="009A4DF8">
      <w:pPr>
        <w:spacing w:after="0" w:line="240" w:lineRule="auto"/>
        <w:jc w:val="both"/>
        <w:rPr>
          <w:rFonts w:ascii="Arial" w:hAnsi="Arial" w:cs="Arial"/>
          <w:szCs w:val="24"/>
        </w:rPr>
      </w:pPr>
    </w:p>
    <w:p w:rsidR="009A4DF8" w:rsidRPr="005852C3" w:rsidRDefault="009A4DF8" w:rsidP="009A4DF8">
      <w:pPr>
        <w:spacing w:after="0" w:line="240" w:lineRule="auto"/>
        <w:jc w:val="both"/>
        <w:rPr>
          <w:rFonts w:ascii="Arial" w:hAnsi="Arial" w:cs="Arial"/>
          <w:szCs w:val="24"/>
        </w:rPr>
      </w:pPr>
      <w:r w:rsidRPr="005852C3">
        <w:rPr>
          <w:rFonts w:ascii="Arial" w:hAnsi="Arial" w:cs="Arial"/>
          <w:szCs w:val="24"/>
        </w:rPr>
        <w:t>Au titre de l’année 2016, trois rencontres se sont tenues respectivement le jeudi 28 janvier, le mardi 06 mai  et le 05 juillet  dans la salle de réunion du cabinet du MINEFID et a permis aux parties prenantes d’échanger sur le processus d’organisation de la table ronde PNDES.</w:t>
      </w:r>
    </w:p>
    <w:p w:rsidR="009A4DF8" w:rsidRPr="005852C3" w:rsidRDefault="009A4DF8" w:rsidP="009A4DF8">
      <w:pPr>
        <w:spacing w:after="0" w:line="240" w:lineRule="auto"/>
        <w:jc w:val="both"/>
        <w:rPr>
          <w:rFonts w:ascii="Arial" w:hAnsi="Arial" w:cs="Arial"/>
          <w:szCs w:val="24"/>
        </w:rPr>
      </w:pPr>
    </w:p>
    <w:p w:rsidR="009A4DF8" w:rsidRPr="005852C3" w:rsidRDefault="009A4DF8" w:rsidP="009A4DF8">
      <w:pPr>
        <w:spacing w:after="0" w:line="240" w:lineRule="auto"/>
        <w:jc w:val="both"/>
        <w:rPr>
          <w:rFonts w:ascii="Arial" w:hAnsi="Arial" w:cs="Arial"/>
          <w:szCs w:val="24"/>
        </w:rPr>
      </w:pPr>
      <w:r w:rsidRPr="005852C3">
        <w:rPr>
          <w:rFonts w:ascii="Arial" w:hAnsi="Arial" w:cs="Arial"/>
          <w:szCs w:val="24"/>
        </w:rPr>
        <w:t>Dans le cadre de la préparation de la conférence des partenaires plusieurs rencontres ont eu lieu pour échanger sur des points qui auraient été les points d’échanges de cette rencontre d’où la capitalisation de la rencontre Premier Ministre –PTF élargie aux ambassades des pays du sud  tenue le vendredi 04 novembre 2016 comme la 4ème rencontre MINEFID -troïka .</w:t>
      </w:r>
    </w:p>
    <w:p w:rsidR="009A4DF8" w:rsidRPr="005852C3" w:rsidRDefault="009A4DF8" w:rsidP="009A4DF8">
      <w:pPr>
        <w:spacing w:after="0" w:line="240" w:lineRule="auto"/>
        <w:jc w:val="both"/>
        <w:rPr>
          <w:rFonts w:ascii="Arial" w:hAnsi="Arial" w:cs="Arial"/>
          <w:szCs w:val="24"/>
        </w:rPr>
      </w:pPr>
    </w:p>
    <w:p w:rsidR="009A4DF8" w:rsidRPr="005852C3" w:rsidRDefault="009A4DF8" w:rsidP="009A4DF8">
      <w:pPr>
        <w:spacing w:after="0" w:line="240" w:lineRule="auto"/>
        <w:jc w:val="both"/>
        <w:rPr>
          <w:rFonts w:ascii="Arial" w:hAnsi="Arial" w:cs="Arial"/>
          <w:szCs w:val="24"/>
        </w:rPr>
      </w:pPr>
      <w:r w:rsidRPr="005852C3">
        <w:rPr>
          <w:rFonts w:ascii="Arial" w:hAnsi="Arial" w:cs="Arial"/>
          <w:szCs w:val="24"/>
        </w:rPr>
        <w:t>En somme, quatre (04) rencontres ont été tenues soit un taux de réalisation de 100% tout comme celui à fin décembre 2015.</w:t>
      </w:r>
    </w:p>
    <w:p w:rsidR="009A4DF8" w:rsidRPr="005A1A15" w:rsidRDefault="009A4DF8" w:rsidP="009A4DF8">
      <w:pPr>
        <w:spacing w:after="0" w:line="240" w:lineRule="auto"/>
        <w:jc w:val="both"/>
        <w:rPr>
          <w:rFonts w:ascii="Arial" w:hAnsi="Arial" w:cs="Arial"/>
          <w:color w:val="0070C0"/>
          <w:sz w:val="24"/>
          <w:szCs w:val="24"/>
        </w:rPr>
      </w:pPr>
    </w:p>
    <w:p w:rsidR="009A4DF8" w:rsidRPr="009E3B6D" w:rsidRDefault="009A4DF8" w:rsidP="008D7758">
      <w:pPr>
        <w:pStyle w:val="Titre4"/>
        <w:numPr>
          <w:ilvl w:val="0"/>
          <w:numId w:val="142"/>
        </w:numPr>
        <w:ind w:left="1701"/>
        <w:rPr>
          <w:lang w:eastAsia="fr-FR"/>
        </w:rPr>
      </w:pPr>
      <w:bookmarkStart w:id="188" w:name="_Toc492972189"/>
      <w:r w:rsidRPr="009E3B6D">
        <w:rPr>
          <w:lang w:eastAsia="fr-FR"/>
        </w:rPr>
        <w:lastRenderedPageBreak/>
        <w:t>Les rencontres internationales sur la coopération au développement</w:t>
      </w:r>
      <w:bookmarkEnd w:id="188"/>
    </w:p>
    <w:p w:rsidR="009A4DF8" w:rsidRPr="009E3B6D" w:rsidRDefault="009A4DF8" w:rsidP="009A4DF8">
      <w:pPr>
        <w:spacing w:after="0" w:line="240" w:lineRule="auto"/>
        <w:jc w:val="both"/>
        <w:rPr>
          <w:rFonts w:ascii="Arial" w:hAnsi="Arial" w:cs="Arial"/>
        </w:rPr>
      </w:pPr>
      <w:r w:rsidRPr="009E3B6D">
        <w:rPr>
          <w:rFonts w:ascii="Arial" w:hAnsi="Arial" w:cs="Arial"/>
        </w:rPr>
        <w:t>Au cours de l’année 2016, le Burkina Faso a participé à des rencontres sur l’efficacité de la coopération au dév</w:t>
      </w:r>
      <w:r w:rsidR="000A22E6">
        <w:rPr>
          <w:rFonts w:ascii="Arial" w:hAnsi="Arial" w:cs="Arial"/>
        </w:rPr>
        <w:t xml:space="preserve">eloppement au titre desquelles </w:t>
      </w:r>
      <w:r w:rsidRPr="009E3B6D">
        <w:rPr>
          <w:rFonts w:ascii="Arial" w:hAnsi="Arial" w:cs="Arial"/>
        </w:rPr>
        <w:t>on peut citer</w:t>
      </w:r>
      <w:r w:rsidR="000A22E6">
        <w:rPr>
          <w:rFonts w:ascii="Arial" w:hAnsi="Arial" w:cs="Arial"/>
        </w:rPr>
        <w:t xml:space="preserve"> entre autres</w:t>
      </w:r>
      <w:r w:rsidRPr="009E3B6D">
        <w:rPr>
          <w:rFonts w:ascii="Arial" w:hAnsi="Arial" w:cs="Arial"/>
        </w:rPr>
        <w:t xml:space="preserve"> :</w:t>
      </w:r>
    </w:p>
    <w:p w:rsidR="009A4DF8" w:rsidRPr="009E3B6D" w:rsidRDefault="009A4DF8" w:rsidP="009A4DF8">
      <w:pPr>
        <w:spacing w:after="0" w:line="240" w:lineRule="auto"/>
        <w:jc w:val="both"/>
        <w:rPr>
          <w:rFonts w:ascii="Arial" w:hAnsi="Arial" w:cs="Arial"/>
        </w:rPr>
      </w:pPr>
    </w:p>
    <w:p w:rsidR="009A4DF8" w:rsidRPr="009E3B6D" w:rsidRDefault="009A4DF8" w:rsidP="00B92B11">
      <w:pPr>
        <w:pStyle w:val="Paragraphedeliste"/>
        <w:numPr>
          <w:ilvl w:val="0"/>
          <w:numId w:val="48"/>
        </w:numPr>
        <w:jc w:val="both"/>
        <w:rPr>
          <w:rFonts w:ascii="Arial" w:hAnsi="Arial" w:cs="Arial"/>
          <w:b/>
          <w:i/>
        </w:rPr>
      </w:pPr>
      <w:r w:rsidRPr="009E3B6D">
        <w:rPr>
          <w:rFonts w:ascii="Arial" w:hAnsi="Arial" w:cs="Arial"/>
          <w:b/>
          <w:i/>
        </w:rPr>
        <w:t>La Réunion annuelle de l’Assemblée des membres de l’Initiative Internationale pour la Transparence de l’Aide (IITA) </w:t>
      </w:r>
    </w:p>
    <w:p w:rsidR="009A4DF8" w:rsidRPr="00473D42" w:rsidRDefault="009A4DF8" w:rsidP="009A4DF8">
      <w:pPr>
        <w:jc w:val="both"/>
        <w:rPr>
          <w:rFonts w:ascii="Arial" w:hAnsi="Arial" w:cs="Arial"/>
        </w:rPr>
      </w:pPr>
      <w:r w:rsidRPr="00473D42">
        <w:rPr>
          <w:rFonts w:ascii="Arial" w:hAnsi="Arial" w:cs="Arial"/>
        </w:rPr>
        <w:t>Cette réunion annuelle tenue à Copenhague (Danemark), du 28 au 30 juin 2016 était une importante occasion pour les membres :</w:t>
      </w:r>
    </w:p>
    <w:p w:rsidR="009A4DF8" w:rsidRPr="00473D42" w:rsidRDefault="009A4DF8" w:rsidP="009E3B6D">
      <w:pPr>
        <w:ind w:left="567" w:hanging="283"/>
        <w:jc w:val="both"/>
        <w:rPr>
          <w:rFonts w:ascii="Arial" w:hAnsi="Arial" w:cs="Arial"/>
        </w:rPr>
      </w:pPr>
      <w:r w:rsidRPr="00473D42">
        <w:rPr>
          <w:rFonts w:ascii="Arial" w:hAnsi="Arial" w:cs="Arial"/>
        </w:rPr>
        <w:t>•</w:t>
      </w:r>
      <w:r w:rsidRPr="00473D42">
        <w:rPr>
          <w:rFonts w:ascii="Arial" w:hAnsi="Arial" w:cs="Arial"/>
        </w:rPr>
        <w:tab/>
        <w:t>d’examiner et d’approuver la nouvelle vision ainsi qu’une nouvelle mission de l’IITA sur la base du travail entrepris par le Conseil d’administration et le Secrétariat ;</w:t>
      </w:r>
    </w:p>
    <w:p w:rsidR="009A4DF8" w:rsidRPr="00473D42" w:rsidRDefault="009A4DF8" w:rsidP="009E3B6D">
      <w:pPr>
        <w:ind w:left="567" w:hanging="283"/>
        <w:jc w:val="both"/>
        <w:rPr>
          <w:rFonts w:ascii="Arial" w:hAnsi="Arial" w:cs="Arial"/>
        </w:rPr>
      </w:pPr>
      <w:r w:rsidRPr="00473D42">
        <w:rPr>
          <w:rFonts w:ascii="Arial" w:hAnsi="Arial" w:cs="Arial"/>
        </w:rPr>
        <w:t>•</w:t>
      </w:r>
      <w:r w:rsidRPr="00473D42">
        <w:rPr>
          <w:rFonts w:ascii="Arial" w:hAnsi="Arial" w:cs="Arial"/>
        </w:rPr>
        <w:tab/>
        <w:t>d’approuver une stratégie conforme à ces nouvelles vison et mission ;</w:t>
      </w:r>
    </w:p>
    <w:p w:rsidR="009A4DF8" w:rsidRPr="00473D42" w:rsidRDefault="009A4DF8" w:rsidP="009E3B6D">
      <w:pPr>
        <w:ind w:left="567" w:hanging="283"/>
        <w:jc w:val="both"/>
        <w:rPr>
          <w:rFonts w:ascii="Arial" w:hAnsi="Arial" w:cs="Arial"/>
        </w:rPr>
      </w:pPr>
      <w:r w:rsidRPr="00473D42">
        <w:rPr>
          <w:rFonts w:ascii="Arial" w:hAnsi="Arial" w:cs="Arial"/>
        </w:rPr>
        <w:t>•</w:t>
      </w:r>
      <w:r w:rsidRPr="00473D42">
        <w:rPr>
          <w:rFonts w:ascii="Arial" w:hAnsi="Arial" w:cs="Arial"/>
        </w:rPr>
        <w:tab/>
        <w:t>d’examiner et approuver le budget et le plan de travail de l’IITA pour les deux prochaines années ;</w:t>
      </w:r>
    </w:p>
    <w:p w:rsidR="009A4DF8" w:rsidRPr="00473D42" w:rsidRDefault="009A4DF8" w:rsidP="009E3B6D">
      <w:pPr>
        <w:ind w:left="567" w:hanging="283"/>
        <w:jc w:val="both"/>
        <w:rPr>
          <w:rFonts w:ascii="Arial" w:hAnsi="Arial" w:cs="Arial"/>
        </w:rPr>
      </w:pPr>
      <w:r w:rsidRPr="00473D42">
        <w:rPr>
          <w:rFonts w:ascii="Arial" w:hAnsi="Arial" w:cs="Arial"/>
        </w:rPr>
        <w:t>•</w:t>
      </w:r>
      <w:r w:rsidRPr="00473D42">
        <w:rPr>
          <w:rFonts w:ascii="Arial" w:hAnsi="Arial" w:cs="Arial"/>
        </w:rPr>
        <w:tab/>
        <w:t>de parfaire la contribution de l’IITA à la prochaine réunion de haut niveau du Partenariat mondial pour l’efficacité de la coopération au développement (GPEDC) qui aura lieu en novembre 2016 à Nairobi au Kenya.</w:t>
      </w:r>
    </w:p>
    <w:p w:rsidR="009A4DF8" w:rsidRPr="00473D42" w:rsidRDefault="009A4DF8" w:rsidP="009A4DF8">
      <w:pPr>
        <w:jc w:val="both"/>
        <w:rPr>
          <w:rFonts w:ascii="Arial" w:hAnsi="Arial" w:cs="Arial"/>
        </w:rPr>
      </w:pPr>
      <w:r w:rsidRPr="00473D42">
        <w:rPr>
          <w:rFonts w:ascii="Arial" w:hAnsi="Arial" w:cs="Arial"/>
        </w:rPr>
        <w:t>Les échanges lors des sessions ont pu parvenir à un consensus sur la nouvelle vision et l’orientation stratégique de l’IITA, le plan de travail, le budget et le financement des années 2016 à 2018, le réaménagement institutionnel de l’initiative ainsi qu’à l’importation et à  l’utilisation des données au niveau des pays :</w:t>
      </w:r>
    </w:p>
    <w:p w:rsidR="009A4DF8" w:rsidRPr="009E3B6D" w:rsidRDefault="009A4DF8" w:rsidP="00B92B11">
      <w:pPr>
        <w:pStyle w:val="Paragraphedeliste"/>
        <w:numPr>
          <w:ilvl w:val="0"/>
          <w:numId w:val="48"/>
        </w:numPr>
        <w:jc w:val="both"/>
        <w:rPr>
          <w:rFonts w:ascii="Arial" w:hAnsi="Arial" w:cs="Arial"/>
          <w:b/>
        </w:rPr>
      </w:pPr>
      <w:r w:rsidRPr="009E3B6D">
        <w:rPr>
          <w:rFonts w:ascii="Arial" w:hAnsi="Arial" w:cs="Arial"/>
          <w:b/>
        </w:rPr>
        <w:t>Le Symposium de haut niveau du Forum de la Coopération au Développement (FCD) </w:t>
      </w:r>
    </w:p>
    <w:p w:rsidR="009A4DF8" w:rsidRPr="009E3B6D" w:rsidRDefault="009A4DF8" w:rsidP="009A4DF8">
      <w:pPr>
        <w:jc w:val="both"/>
        <w:rPr>
          <w:rFonts w:ascii="Arial" w:hAnsi="Arial" w:cs="Arial"/>
        </w:rPr>
      </w:pPr>
      <w:r w:rsidRPr="009E3B6D">
        <w:rPr>
          <w:rFonts w:ascii="Arial" w:hAnsi="Arial" w:cs="Arial"/>
        </w:rPr>
        <w:t>Ce symposium tenu à Bruxelles (Belgique), du 06 au 08 avril 2016, s’est déroulé sous le thème « repenser la coopération au développement pour les ODD : enseignements et perspectives au niveau des pays », avait comme objectifs :</w:t>
      </w:r>
    </w:p>
    <w:p w:rsidR="009A4DF8" w:rsidRPr="009E3B6D" w:rsidRDefault="009A4DF8" w:rsidP="00B1534A">
      <w:pPr>
        <w:ind w:left="709" w:hanging="283"/>
        <w:jc w:val="both"/>
        <w:rPr>
          <w:rFonts w:ascii="Arial" w:hAnsi="Arial" w:cs="Arial"/>
        </w:rPr>
      </w:pPr>
      <w:r w:rsidRPr="009E3B6D">
        <w:rPr>
          <w:rFonts w:ascii="Arial" w:hAnsi="Arial" w:cs="Arial"/>
        </w:rPr>
        <w:t>•</w:t>
      </w:r>
      <w:r w:rsidRPr="009E3B6D">
        <w:rPr>
          <w:rFonts w:ascii="Arial" w:hAnsi="Arial" w:cs="Arial"/>
        </w:rPr>
        <w:tab/>
        <w:t>de partager les enseignements tirés de la mise en œuvre de la coopération au développement dans les pays en voie de développement, en particulier dans les Pays les moins avancés (PMA) et les pays touchés par les conflits ;</w:t>
      </w:r>
    </w:p>
    <w:p w:rsidR="009A4DF8" w:rsidRPr="009E3B6D" w:rsidRDefault="009A4DF8" w:rsidP="00B1534A">
      <w:pPr>
        <w:ind w:left="709" w:hanging="283"/>
        <w:jc w:val="both"/>
        <w:rPr>
          <w:rFonts w:ascii="Arial" w:hAnsi="Arial" w:cs="Arial"/>
        </w:rPr>
      </w:pPr>
      <w:r w:rsidRPr="009E3B6D">
        <w:rPr>
          <w:rFonts w:ascii="Arial" w:hAnsi="Arial" w:cs="Arial"/>
        </w:rPr>
        <w:t>•</w:t>
      </w:r>
      <w:r w:rsidRPr="009E3B6D">
        <w:rPr>
          <w:rFonts w:ascii="Arial" w:hAnsi="Arial" w:cs="Arial"/>
        </w:rPr>
        <w:tab/>
        <w:t>d’examiner la manière dont la coopération au développement devrait être adaptée pour soutenir ces pays afin d’atteindre les ODD ;</w:t>
      </w:r>
    </w:p>
    <w:p w:rsidR="009A4DF8" w:rsidRPr="009E3B6D" w:rsidRDefault="009A4DF8" w:rsidP="00B1534A">
      <w:pPr>
        <w:ind w:left="709" w:hanging="283"/>
        <w:jc w:val="both"/>
        <w:rPr>
          <w:rFonts w:ascii="Arial" w:hAnsi="Arial" w:cs="Arial"/>
        </w:rPr>
      </w:pPr>
      <w:r w:rsidRPr="009E3B6D">
        <w:rPr>
          <w:rFonts w:ascii="Arial" w:hAnsi="Arial" w:cs="Arial"/>
        </w:rPr>
        <w:t>•</w:t>
      </w:r>
      <w:r w:rsidRPr="009E3B6D">
        <w:rPr>
          <w:rFonts w:ascii="Arial" w:hAnsi="Arial" w:cs="Arial"/>
        </w:rPr>
        <w:tab/>
        <w:t>de se pencher sur les opportunités et les défis qui s’offrent aux institutions de développement afin de diligenter leur adaptation à l'ordre du jour 2030 ;</w:t>
      </w:r>
    </w:p>
    <w:p w:rsidR="009A4DF8" w:rsidRPr="009E3B6D" w:rsidRDefault="009A4DF8" w:rsidP="00B1534A">
      <w:pPr>
        <w:ind w:left="709" w:hanging="283"/>
        <w:jc w:val="both"/>
        <w:rPr>
          <w:rFonts w:ascii="Arial" w:hAnsi="Arial" w:cs="Arial"/>
        </w:rPr>
      </w:pPr>
      <w:r w:rsidRPr="009E3B6D">
        <w:rPr>
          <w:rFonts w:ascii="Arial" w:hAnsi="Arial" w:cs="Arial"/>
        </w:rPr>
        <w:t>•</w:t>
      </w:r>
      <w:r w:rsidRPr="009E3B6D">
        <w:rPr>
          <w:rFonts w:ascii="Arial" w:hAnsi="Arial" w:cs="Arial"/>
        </w:rPr>
        <w:tab/>
        <w:t>de faire part de leurs premières expériences dans l'adaptation de leurs institutions et des leçons apprises.</w:t>
      </w:r>
    </w:p>
    <w:p w:rsidR="009A4DF8" w:rsidRPr="009E3B6D" w:rsidRDefault="009A4DF8" w:rsidP="00B1534A">
      <w:pPr>
        <w:ind w:left="709" w:hanging="283"/>
        <w:jc w:val="both"/>
        <w:rPr>
          <w:rFonts w:ascii="Arial" w:hAnsi="Arial" w:cs="Arial"/>
        </w:rPr>
      </w:pPr>
      <w:r w:rsidRPr="009E3B6D">
        <w:rPr>
          <w:rFonts w:ascii="Arial" w:hAnsi="Arial" w:cs="Arial"/>
        </w:rPr>
        <w:t>Des échanges, l’on retiendra entre autres les grandes conclusions suivantes :</w:t>
      </w:r>
    </w:p>
    <w:p w:rsidR="009A4DF8" w:rsidRPr="009E3B6D" w:rsidRDefault="009A4DF8" w:rsidP="00B1534A">
      <w:pPr>
        <w:ind w:left="709" w:hanging="283"/>
        <w:jc w:val="both"/>
        <w:rPr>
          <w:rFonts w:ascii="Arial" w:hAnsi="Arial" w:cs="Arial"/>
        </w:rPr>
      </w:pPr>
      <w:r w:rsidRPr="009E3B6D">
        <w:rPr>
          <w:rFonts w:ascii="Arial" w:hAnsi="Arial" w:cs="Arial"/>
        </w:rPr>
        <w:t>•</w:t>
      </w:r>
      <w:r w:rsidRPr="009E3B6D">
        <w:rPr>
          <w:rFonts w:ascii="Arial" w:hAnsi="Arial" w:cs="Arial"/>
        </w:rPr>
        <w:tab/>
        <w:t>la nécessité de focaliser la coopération au développement sur la réduction de la pauvreté, la sécurité, la santé et sur les Etats fragiles et les PMA ;</w:t>
      </w:r>
    </w:p>
    <w:p w:rsidR="009A4DF8" w:rsidRPr="009E3B6D" w:rsidRDefault="009A4DF8" w:rsidP="00B1534A">
      <w:pPr>
        <w:ind w:left="709" w:hanging="283"/>
        <w:jc w:val="both"/>
        <w:rPr>
          <w:rFonts w:ascii="Arial" w:hAnsi="Arial" w:cs="Arial"/>
        </w:rPr>
      </w:pPr>
      <w:r w:rsidRPr="009E3B6D">
        <w:rPr>
          <w:rFonts w:ascii="Arial" w:hAnsi="Arial" w:cs="Arial"/>
        </w:rPr>
        <w:t>•</w:t>
      </w:r>
      <w:r w:rsidRPr="009E3B6D">
        <w:rPr>
          <w:rFonts w:ascii="Arial" w:hAnsi="Arial" w:cs="Arial"/>
        </w:rPr>
        <w:tab/>
        <w:t>la nécessité d’établir les meilleures règles pour encadrer les PMA et appuyer le renforcement de leurs capacités ;</w:t>
      </w:r>
    </w:p>
    <w:p w:rsidR="009A4DF8" w:rsidRPr="009E3B6D" w:rsidRDefault="009A4DF8" w:rsidP="00B1534A">
      <w:pPr>
        <w:ind w:left="709" w:hanging="283"/>
        <w:jc w:val="both"/>
        <w:rPr>
          <w:rFonts w:ascii="Arial" w:hAnsi="Arial" w:cs="Arial"/>
        </w:rPr>
      </w:pPr>
      <w:r w:rsidRPr="009E3B6D">
        <w:rPr>
          <w:rFonts w:ascii="Arial" w:hAnsi="Arial" w:cs="Arial"/>
        </w:rPr>
        <w:lastRenderedPageBreak/>
        <w:t>•</w:t>
      </w:r>
      <w:r w:rsidRPr="009E3B6D">
        <w:rPr>
          <w:rFonts w:ascii="Arial" w:hAnsi="Arial" w:cs="Arial"/>
        </w:rPr>
        <w:tab/>
        <w:t>l’élargissement de l’assiette fiscale et du renforcement des institutions fiscales;</w:t>
      </w:r>
    </w:p>
    <w:p w:rsidR="009A4DF8" w:rsidRPr="009E3B6D" w:rsidRDefault="00636AEF" w:rsidP="00B1534A">
      <w:pPr>
        <w:ind w:left="709" w:hanging="283"/>
        <w:jc w:val="both"/>
        <w:rPr>
          <w:rFonts w:ascii="Arial" w:hAnsi="Arial" w:cs="Arial"/>
        </w:rPr>
      </w:pPr>
      <w:r w:rsidRPr="009E3B6D">
        <w:rPr>
          <w:rFonts w:ascii="Arial" w:hAnsi="Arial" w:cs="Arial"/>
        </w:rPr>
        <w:t>•</w:t>
      </w:r>
      <w:r w:rsidRPr="009E3B6D">
        <w:rPr>
          <w:rFonts w:ascii="Arial" w:hAnsi="Arial" w:cs="Arial"/>
        </w:rPr>
        <w:tab/>
        <w:t xml:space="preserve">l’intégration des ODD </w:t>
      </w:r>
      <w:r w:rsidR="009A4DF8" w:rsidRPr="009E3B6D">
        <w:rPr>
          <w:rFonts w:ascii="Arial" w:hAnsi="Arial" w:cs="Arial"/>
        </w:rPr>
        <w:t>dans les stratégies gouvernementales et les plans de développement local ;</w:t>
      </w:r>
    </w:p>
    <w:p w:rsidR="009A4DF8" w:rsidRPr="009E3B6D" w:rsidRDefault="009A4DF8" w:rsidP="00B1534A">
      <w:pPr>
        <w:ind w:left="709" w:hanging="283"/>
        <w:jc w:val="both"/>
        <w:rPr>
          <w:rFonts w:ascii="Arial" w:hAnsi="Arial" w:cs="Arial"/>
        </w:rPr>
      </w:pPr>
      <w:r w:rsidRPr="009E3B6D">
        <w:rPr>
          <w:rFonts w:ascii="Arial" w:hAnsi="Arial" w:cs="Arial"/>
        </w:rPr>
        <w:t>•</w:t>
      </w:r>
      <w:r w:rsidRPr="009E3B6D">
        <w:rPr>
          <w:rFonts w:ascii="Arial" w:hAnsi="Arial" w:cs="Arial"/>
        </w:rPr>
        <w:tab/>
        <w:t>l’orientation des partenaires au développement dans le sens voulu grâce à un leadership fort.</w:t>
      </w:r>
    </w:p>
    <w:p w:rsidR="009A4DF8" w:rsidRPr="009E3B6D" w:rsidRDefault="009A4DF8" w:rsidP="00B92B11">
      <w:pPr>
        <w:pStyle w:val="Paragraphedeliste"/>
        <w:numPr>
          <w:ilvl w:val="0"/>
          <w:numId w:val="48"/>
        </w:numPr>
        <w:jc w:val="both"/>
        <w:rPr>
          <w:rFonts w:ascii="Arial" w:hAnsi="Arial" w:cs="Arial"/>
          <w:b/>
          <w:i/>
        </w:rPr>
      </w:pPr>
      <w:r w:rsidRPr="009E3B6D">
        <w:rPr>
          <w:rFonts w:ascii="Arial" w:hAnsi="Arial" w:cs="Arial"/>
          <w:b/>
          <w:i/>
        </w:rPr>
        <w:t>L’Atelier sur les résultats de l'Agenda 2030 pour le développement durable </w:t>
      </w:r>
    </w:p>
    <w:p w:rsidR="009A4DF8" w:rsidRPr="009E3B6D" w:rsidRDefault="009A4DF8" w:rsidP="009A4DF8">
      <w:pPr>
        <w:jc w:val="both"/>
        <w:rPr>
          <w:rFonts w:ascii="Arial" w:hAnsi="Arial" w:cs="Arial"/>
        </w:rPr>
      </w:pPr>
      <w:r w:rsidRPr="009E3B6D">
        <w:rPr>
          <w:rFonts w:ascii="Arial" w:hAnsi="Arial" w:cs="Arial"/>
        </w:rPr>
        <w:t>L'atelier tenu à Paris (France), les 03 et 04 février 2016</w:t>
      </w:r>
      <w:r w:rsidR="004F64E0" w:rsidRPr="009E3B6D">
        <w:rPr>
          <w:rFonts w:ascii="Arial" w:hAnsi="Arial" w:cs="Arial"/>
        </w:rPr>
        <w:t xml:space="preserve"> </w:t>
      </w:r>
      <w:r w:rsidRPr="009E3B6D">
        <w:rPr>
          <w:rFonts w:ascii="Arial" w:hAnsi="Arial" w:cs="Arial"/>
        </w:rPr>
        <w:t>avait pour objectif d’identifier parmi les Objectifs de développement durable (ODD), les objectifs de résultats les plus pertinents en terme de coopération au développement pour les fournisseurs et les partenaires. Il s’est agi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d’examiner la pertinence et l’utilisation des objectifs de résultats des ODD pour suivre les résultats de la coopération au développement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d’explorer les outils dont disposent les pays en développement pour appliquer les objectifs de résultats des ODD comme un cadre commun de résultats pour leur planification nationale et pour l’orientation de la coopération au développement avec les partenaires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d’entrevoir les voies et moyens pour renforcer l'imputabilité et la communication sur les résultats de développement.</w:t>
      </w:r>
    </w:p>
    <w:p w:rsidR="009A4DF8" w:rsidRPr="009E3B6D" w:rsidRDefault="009A4DF8" w:rsidP="00B1534A">
      <w:pPr>
        <w:jc w:val="both"/>
        <w:rPr>
          <w:rFonts w:ascii="Arial" w:hAnsi="Arial" w:cs="Arial"/>
        </w:rPr>
      </w:pPr>
      <w:r w:rsidRPr="009E3B6D">
        <w:rPr>
          <w:rFonts w:ascii="Arial" w:hAnsi="Arial" w:cs="Arial"/>
        </w:rPr>
        <w:t xml:space="preserve">Les échanges lors des sessions plénières et des travaux en groupes ont permis de parvenir aux propositions et suggestions suivantes adressées à l’OCDE: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 xml:space="preserve">la nécessité d’affiner et/ ou de renforcer la méthodologie qui a conduit à retenir que neuf objectifs de résultats sur les dix-sept (17) ODD afin que les objectifs de résultats qui seront finalement retenus soient plus représentatifs de l’ensemble des ODD ;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l’obligation de prendre en compte les priorités des pays en développement en termes de coopération au développement dans la définition de ces objectifs de résultats et promouvoir auprès de ces derniers l’intégration des ODD dans leurs propres politiques de développement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le choix d’indicateurs les plus pertinents pour mesurer les objectifs de résultats;</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 xml:space="preserve">l’intégration du suivi des ODD dans les Cadres Nationaux de Résultats existants au sein des pays ;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la nécessité de disposer d’une plateforme commune de résultats pour la mise en œuvre des ODD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la nécessité d’élaborer un dispositif de suivi évaluation des résultats et de prioriser les indicateurs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l’information générée par le suivi des objectifs de résultats des ODD doit correspondre à l’information sur les résultats requis par les fournisseurs et l</w:t>
      </w:r>
      <w:r w:rsidR="00B1534A">
        <w:rPr>
          <w:rFonts w:ascii="Arial" w:hAnsi="Arial" w:cs="Arial"/>
        </w:rPr>
        <w:t>es partenaires au développement</w:t>
      </w:r>
      <w:r w:rsidRPr="009E3B6D">
        <w:rPr>
          <w:rFonts w:ascii="Arial" w:hAnsi="Arial" w:cs="Arial"/>
        </w:rPr>
        <w:t>;</w:t>
      </w:r>
    </w:p>
    <w:p w:rsidR="009A4DF8" w:rsidRPr="009E3B6D" w:rsidRDefault="009A4DF8" w:rsidP="009E3B6D">
      <w:pPr>
        <w:ind w:left="709" w:hanging="283"/>
        <w:jc w:val="both"/>
        <w:rPr>
          <w:rFonts w:ascii="Arial" w:hAnsi="Arial" w:cs="Arial"/>
        </w:rPr>
      </w:pPr>
      <w:r w:rsidRPr="009E3B6D">
        <w:rPr>
          <w:rFonts w:ascii="Arial" w:hAnsi="Arial" w:cs="Arial"/>
        </w:rPr>
        <w:lastRenderedPageBreak/>
        <w:t>•</w:t>
      </w:r>
      <w:r w:rsidRPr="009E3B6D">
        <w:rPr>
          <w:rFonts w:ascii="Arial" w:hAnsi="Arial" w:cs="Arial"/>
        </w:rPr>
        <w:tab/>
        <w:t>l’établissement d’un dialogue avec les pays et d’autres instances similaires au CAD (UNDCF, ECOSOC, Partenariat mondial) afin d’éviter les activités de reporting supplémentaires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la plupart des données, pour le suivi, doivent provenir des pays et les autres des agences OCDE et des Nations Unies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l’obtention des informations de suivi sur une base régulière est primordiale pour la coopération au développement afin de pouvoir faire des comparaisons réalistes et de mesurer les progrès constatés sur une base tangible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l’implication dans les prochaines réunions à venir, des instances onusiennes et d’un nombre important de pays partenaires afin de parler d’une même voie.</w:t>
      </w:r>
    </w:p>
    <w:p w:rsidR="009A4DF8" w:rsidRPr="009E3B6D" w:rsidRDefault="009A4DF8" w:rsidP="009A4DF8">
      <w:pPr>
        <w:jc w:val="both"/>
        <w:rPr>
          <w:rFonts w:ascii="Arial" w:hAnsi="Arial" w:cs="Arial"/>
        </w:rPr>
      </w:pPr>
      <w:r w:rsidRPr="009E3B6D">
        <w:rPr>
          <w:rFonts w:ascii="Arial" w:hAnsi="Arial" w:cs="Arial"/>
        </w:rPr>
        <w:t xml:space="preserve">Au terme des échanges, il a été convenu </w:t>
      </w:r>
      <w:r w:rsidR="008D03DD">
        <w:rPr>
          <w:rFonts w:ascii="Arial" w:hAnsi="Arial" w:cs="Arial"/>
        </w:rPr>
        <w:t>d</w:t>
      </w:r>
      <w:r w:rsidRPr="009E3B6D">
        <w:rPr>
          <w:rFonts w:ascii="Arial" w:hAnsi="Arial" w:cs="Arial"/>
        </w:rPr>
        <w:t>’un document de travail sur les obje</w:t>
      </w:r>
      <w:r w:rsidR="00000F89">
        <w:rPr>
          <w:rFonts w:ascii="Arial" w:hAnsi="Arial" w:cs="Arial"/>
        </w:rPr>
        <w:t xml:space="preserve">ctifs de résultats des ODD </w:t>
      </w:r>
      <w:r w:rsidR="008D03DD">
        <w:rPr>
          <w:rFonts w:ascii="Arial" w:hAnsi="Arial" w:cs="Arial"/>
        </w:rPr>
        <w:t xml:space="preserve">qui </w:t>
      </w:r>
      <w:r w:rsidR="00000F89">
        <w:rPr>
          <w:rFonts w:ascii="Arial" w:hAnsi="Arial" w:cs="Arial"/>
        </w:rPr>
        <w:t xml:space="preserve">prenne </w:t>
      </w:r>
      <w:r w:rsidRPr="009E3B6D">
        <w:rPr>
          <w:rFonts w:ascii="Arial" w:hAnsi="Arial" w:cs="Arial"/>
        </w:rPr>
        <w:t>en co</w:t>
      </w:r>
      <w:r w:rsidR="00000F89">
        <w:rPr>
          <w:rFonts w:ascii="Arial" w:hAnsi="Arial" w:cs="Arial"/>
        </w:rPr>
        <w:t>mpte les propositions ci-dessus.</w:t>
      </w:r>
    </w:p>
    <w:p w:rsidR="009A4DF8" w:rsidRPr="009E3B6D" w:rsidRDefault="009A4DF8" w:rsidP="00B92B11">
      <w:pPr>
        <w:pStyle w:val="Paragraphedeliste"/>
        <w:numPr>
          <w:ilvl w:val="0"/>
          <w:numId w:val="48"/>
        </w:numPr>
        <w:jc w:val="both"/>
        <w:rPr>
          <w:rFonts w:ascii="Arial" w:hAnsi="Arial" w:cs="Arial"/>
          <w:b/>
          <w:i/>
        </w:rPr>
      </w:pPr>
      <w:r w:rsidRPr="009E3B6D">
        <w:rPr>
          <w:rFonts w:ascii="Arial" w:hAnsi="Arial" w:cs="Arial"/>
          <w:b/>
          <w:i/>
        </w:rPr>
        <w:t>L’Atelier régional africain sur le Partenariat mondial pour une coopération efficace au développement </w:t>
      </w:r>
    </w:p>
    <w:p w:rsidR="009A4DF8" w:rsidRPr="009E3B6D" w:rsidRDefault="009A4DF8" w:rsidP="009A4DF8">
      <w:pPr>
        <w:jc w:val="both"/>
        <w:rPr>
          <w:rFonts w:ascii="Arial" w:hAnsi="Arial" w:cs="Arial"/>
        </w:rPr>
      </w:pPr>
      <w:r w:rsidRPr="009E3B6D">
        <w:rPr>
          <w:rFonts w:ascii="Arial" w:hAnsi="Arial" w:cs="Arial"/>
        </w:rPr>
        <w:t>L’atelier tenu à Addis-Abeba du 14 au 16 septembre 2016 avait les objectifs suivants :</w:t>
      </w:r>
    </w:p>
    <w:p w:rsidR="009A4DF8" w:rsidRPr="009E3B6D" w:rsidRDefault="009A4DF8" w:rsidP="00B92B11">
      <w:pPr>
        <w:pStyle w:val="Paragraphedeliste"/>
        <w:numPr>
          <w:ilvl w:val="0"/>
          <w:numId w:val="65"/>
        </w:numPr>
        <w:jc w:val="both"/>
        <w:rPr>
          <w:rFonts w:ascii="Arial" w:hAnsi="Arial" w:cs="Arial"/>
        </w:rPr>
      </w:pPr>
      <w:r w:rsidRPr="009E3B6D">
        <w:rPr>
          <w:rFonts w:ascii="Arial" w:hAnsi="Arial" w:cs="Arial"/>
        </w:rPr>
        <w:t>examiner les progrès accomplis au niveau de l’implémentation des engagements concernant l’efficacité de la coopération au service du développement et des défis liés aux engagements concernant les principes de l’efficacité du développement ;</w:t>
      </w:r>
    </w:p>
    <w:p w:rsidR="009A4DF8" w:rsidRPr="009E3B6D" w:rsidRDefault="009A4DF8" w:rsidP="00B92B11">
      <w:pPr>
        <w:pStyle w:val="Paragraphedeliste"/>
        <w:numPr>
          <w:ilvl w:val="0"/>
          <w:numId w:val="65"/>
        </w:numPr>
        <w:jc w:val="both"/>
        <w:rPr>
          <w:rFonts w:ascii="Arial" w:hAnsi="Arial" w:cs="Arial"/>
        </w:rPr>
      </w:pPr>
      <w:r w:rsidRPr="009E3B6D">
        <w:rPr>
          <w:rFonts w:ascii="Arial" w:hAnsi="Arial" w:cs="Arial"/>
        </w:rPr>
        <w:t>discuter des paramètres généraux en vue d’affiner le cadre de suivi et,</w:t>
      </w:r>
    </w:p>
    <w:p w:rsidR="009A4DF8" w:rsidRPr="009E3B6D" w:rsidRDefault="009A4DF8" w:rsidP="00B92B11">
      <w:pPr>
        <w:pStyle w:val="Paragraphedeliste"/>
        <w:numPr>
          <w:ilvl w:val="0"/>
          <w:numId w:val="65"/>
        </w:numPr>
        <w:jc w:val="both"/>
        <w:rPr>
          <w:rFonts w:ascii="Arial" w:hAnsi="Arial" w:cs="Arial"/>
        </w:rPr>
      </w:pPr>
      <w:r w:rsidRPr="009E3B6D">
        <w:rPr>
          <w:rFonts w:ascii="Arial" w:hAnsi="Arial" w:cs="Arial"/>
        </w:rPr>
        <w:t>formuler la prise de position commune de l’Afrique et arriver à un consensus concernant les priorités pour un développement efficace.</w:t>
      </w:r>
    </w:p>
    <w:p w:rsidR="009A4DF8" w:rsidRPr="009E3B6D" w:rsidRDefault="009A4DF8" w:rsidP="009A4DF8">
      <w:pPr>
        <w:jc w:val="both"/>
        <w:rPr>
          <w:rFonts w:ascii="Arial" w:hAnsi="Arial" w:cs="Arial"/>
        </w:rPr>
      </w:pPr>
      <w:r w:rsidRPr="009E3B6D">
        <w:rPr>
          <w:rFonts w:ascii="Arial" w:hAnsi="Arial" w:cs="Arial"/>
        </w:rPr>
        <w:t>En raison de la forte dépendance des gouvernements africains à l'APD et dans le souci de renforcer la capacité de mobilisation de ressources internes, particulièrement à travers la lutte contre les flux financiers illicites, les recommandations suivantes ont été faites en vue de la préparation de la 2</w:t>
      </w:r>
      <w:r w:rsidRPr="009E3B6D">
        <w:rPr>
          <w:rFonts w:ascii="Arial" w:hAnsi="Arial" w:cs="Arial"/>
          <w:vertAlign w:val="superscript"/>
        </w:rPr>
        <w:t>ème</w:t>
      </w:r>
      <w:r w:rsidRPr="009E3B6D">
        <w:rPr>
          <w:rFonts w:ascii="Arial" w:hAnsi="Arial" w:cs="Arial"/>
        </w:rPr>
        <w:t>réunion de Haut niveau de Nairobi :</w:t>
      </w:r>
    </w:p>
    <w:p w:rsidR="009A4DF8" w:rsidRPr="009E3B6D" w:rsidRDefault="009A4DF8" w:rsidP="008D7758">
      <w:pPr>
        <w:pStyle w:val="Paragraphedeliste"/>
        <w:numPr>
          <w:ilvl w:val="0"/>
          <w:numId w:val="143"/>
        </w:numPr>
        <w:jc w:val="both"/>
        <w:rPr>
          <w:rFonts w:ascii="Arial" w:hAnsi="Arial" w:cs="Arial"/>
        </w:rPr>
      </w:pPr>
      <w:r w:rsidRPr="009E3B6D">
        <w:rPr>
          <w:rFonts w:ascii="Arial" w:hAnsi="Arial" w:cs="Arial"/>
        </w:rPr>
        <w:t>diversifier les sources de financement et même renforcer ses institutions financières africaines et les organes de régulation par le biais de systèm</w:t>
      </w:r>
      <w:r w:rsidR="008D2BCA">
        <w:rPr>
          <w:rFonts w:ascii="Arial" w:hAnsi="Arial" w:cs="Arial"/>
        </w:rPr>
        <w:t>es et de processus plus solides</w:t>
      </w:r>
      <w:r w:rsidRPr="009E3B6D">
        <w:rPr>
          <w:rFonts w:ascii="Arial" w:hAnsi="Arial" w:cs="Arial"/>
        </w:rPr>
        <w:t>;</w:t>
      </w:r>
    </w:p>
    <w:p w:rsidR="009A4DF8" w:rsidRPr="009E3B6D" w:rsidRDefault="009A4DF8" w:rsidP="008D7758">
      <w:pPr>
        <w:pStyle w:val="Paragraphedeliste"/>
        <w:numPr>
          <w:ilvl w:val="0"/>
          <w:numId w:val="143"/>
        </w:numPr>
        <w:jc w:val="both"/>
        <w:rPr>
          <w:rFonts w:ascii="Arial" w:hAnsi="Arial" w:cs="Arial"/>
        </w:rPr>
      </w:pPr>
      <w:r w:rsidRPr="009E3B6D">
        <w:rPr>
          <w:rFonts w:ascii="Arial" w:hAnsi="Arial" w:cs="Arial"/>
        </w:rPr>
        <w:t>inviter les partenaires au développement à améliorer l'œuvre inachevée de Paris ;</w:t>
      </w:r>
    </w:p>
    <w:p w:rsidR="009A4DF8" w:rsidRPr="009E3B6D" w:rsidRDefault="009A4DF8" w:rsidP="008D7758">
      <w:pPr>
        <w:pStyle w:val="Paragraphedeliste"/>
        <w:numPr>
          <w:ilvl w:val="0"/>
          <w:numId w:val="143"/>
        </w:numPr>
        <w:jc w:val="both"/>
        <w:rPr>
          <w:rFonts w:ascii="Arial" w:hAnsi="Arial" w:cs="Arial"/>
        </w:rPr>
      </w:pPr>
      <w:r w:rsidRPr="009E3B6D">
        <w:rPr>
          <w:rFonts w:ascii="Arial" w:hAnsi="Arial" w:cs="Arial"/>
        </w:rPr>
        <w:t>harmoniser la planification et la budgétisation au niveau national afin d'aligner les périodes de rapport ;</w:t>
      </w:r>
    </w:p>
    <w:p w:rsidR="009A4DF8" w:rsidRPr="009E3B6D" w:rsidRDefault="009A4DF8" w:rsidP="008D7758">
      <w:pPr>
        <w:pStyle w:val="Paragraphedeliste"/>
        <w:numPr>
          <w:ilvl w:val="0"/>
          <w:numId w:val="143"/>
        </w:numPr>
        <w:jc w:val="both"/>
        <w:rPr>
          <w:rFonts w:ascii="Arial" w:hAnsi="Arial" w:cs="Arial"/>
        </w:rPr>
      </w:pPr>
      <w:r w:rsidRPr="009E3B6D">
        <w:rPr>
          <w:rFonts w:ascii="Arial" w:hAnsi="Arial" w:cs="Arial"/>
        </w:rPr>
        <w:t>accroître la transparence et la responsabilité, en particulier l'accès à l'information par les acteurs non étatiques ;</w:t>
      </w:r>
    </w:p>
    <w:p w:rsidR="009A4DF8" w:rsidRPr="009E3B6D" w:rsidRDefault="009A4DF8" w:rsidP="008D7758">
      <w:pPr>
        <w:pStyle w:val="Paragraphedeliste"/>
        <w:numPr>
          <w:ilvl w:val="0"/>
          <w:numId w:val="143"/>
        </w:numPr>
        <w:jc w:val="both"/>
        <w:rPr>
          <w:rFonts w:ascii="Arial" w:hAnsi="Arial" w:cs="Arial"/>
        </w:rPr>
      </w:pPr>
      <w:r w:rsidRPr="009E3B6D">
        <w:rPr>
          <w:rFonts w:ascii="Arial" w:hAnsi="Arial" w:cs="Arial"/>
        </w:rPr>
        <w:t>impliquer et de collaborer avec les Fondations privées et le secteur privé dans le financement du développement durable ;</w:t>
      </w:r>
    </w:p>
    <w:p w:rsidR="009A4DF8" w:rsidRPr="009E3B6D" w:rsidRDefault="009A4DF8" w:rsidP="008D7758">
      <w:pPr>
        <w:pStyle w:val="Paragraphedeliste"/>
        <w:numPr>
          <w:ilvl w:val="0"/>
          <w:numId w:val="143"/>
        </w:numPr>
        <w:jc w:val="both"/>
        <w:rPr>
          <w:rFonts w:ascii="Arial" w:hAnsi="Arial" w:cs="Arial"/>
        </w:rPr>
      </w:pPr>
      <w:r w:rsidRPr="009E3B6D">
        <w:rPr>
          <w:rFonts w:ascii="Arial" w:hAnsi="Arial" w:cs="Arial"/>
        </w:rPr>
        <w:t>mettre en place de solides systèmes et institutions de suivi ;</w:t>
      </w:r>
    </w:p>
    <w:p w:rsidR="009A4DF8" w:rsidRPr="009E3B6D" w:rsidRDefault="009A4DF8" w:rsidP="008D7758">
      <w:pPr>
        <w:pStyle w:val="Paragraphedeliste"/>
        <w:numPr>
          <w:ilvl w:val="0"/>
          <w:numId w:val="143"/>
        </w:numPr>
        <w:ind w:left="714" w:hanging="357"/>
        <w:contextualSpacing w:val="0"/>
        <w:jc w:val="both"/>
        <w:rPr>
          <w:rFonts w:ascii="Arial" w:hAnsi="Arial" w:cs="Arial"/>
        </w:rPr>
      </w:pPr>
      <w:r w:rsidRPr="009E3B6D">
        <w:rPr>
          <w:rFonts w:ascii="Arial" w:hAnsi="Arial" w:cs="Arial"/>
        </w:rPr>
        <w:t>renforcer et élaborer des mécanismes pour la collecte des données fiables et utilisables dans la coopération au développement.</w:t>
      </w:r>
    </w:p>
    <w:p w:rsidR="009A4DF8" w:rsidRPr="009E3B6D" w:rsidRDefault="009A4DF8" w:rsidP="00B92B11">
      <w:pPr>
        <w:pStyle w:val="Paragraphedeliste"/>
        <w:numPr>
          <w:ilvl w:val="0"/>
          <w:numId w:val="48"/>
        </w:numPr>
        <w:jc w:val="both"/>
        <w:rPr>
          <w:rFonts w:ascii="Arial" w:hAnsi="Arial" w:cs="Arial"/>
          <w:b/>
          <w:i/>
        </w:rPr>
      </w:pPr>
      <w:r w:rsidRPr="009E3B6D">
        <w:rPr>
          <w:rFonts w:ascii="Arial" w:hAnsi="Arial" w:cs="Arial"/>
          <w:b/>
          <w:i/>
        </w:rPr>
        <w:t>La 2</w:t>
      </w:r>
      <w:r w:rsidRPr="009E3B6D">
        <w:rPr>
          <w:rFonts w:ascii="Arial" w:hAnsi="Arial" w:cs="Arial"/>
          <w:b/>
          <w:i/>
          <w:vertAlign w:val="superscript"/>
        </w:rPr>
        <w:t xml:space="preserve">ème </w:t>
      </w:r>
      <w:r w:rsidRPr="009E3B6D">
        <w:rPr>
          <w:rFonts w:ascii="Arial" w:hAnsi="Arial" w:cs="Arial"/>
          <w:b/>
          <w:i/>
        </w:rPr>
        <w:t>réunion de haut niveau sur le Partenariat mondial pour une coopération efficace au développement</w:t>
      </w:r>
    </w:p>
    <w:p w:rsidR="009A4DF8" w:rsidRPr="009E3B6D" w:rsidRDefault="009A4DF8" w:rsidP="009A4DF8">
      <w:pPr>
        <w:jc w:val="both"/>
        <w:rPr>
          <w:rFonts w:ascii="Arial" w:hAnsi="Arial" w:cs="Arial"/>
        </w:rPr>
      </w:pPr>
      <w:r w:rsidRPr="009E3B6D">
        <w:rPr>
          <w:rFonts w:ascii="Arial" w:hAnsi="Arial" w:cs="Arial"/>
        </w:rPr>
        <w:t>La deuxième Réunion de haut niveau  (RHN2) du Partenariat mondial pour une coopération efficace au service du développement a eu lieu à Nairobi (Kenya) du 30 novembre au  1er décembre 2016.</w:t>
      </w:r>
    </w:p>
    <w:p w:rsidR="009A4DF8" w:rsidRPr="009E3B6D" w:rsidRDefault="009A4DF8" w:rsidP="008D2BCA">
      <w:pPr>
        <w:spacing w:after="120"/>
        <w:jc w:val="both"/>
        <w:rPr>
          <w:rFonts w:ascii="Arial" w:hAnsi="Arial" w:cs="Arial"/>
        </w:rPr>
      </w:pPr>
      <w:r w:rsidRPr="009E3B6D">
        <w:rPr>
          <w:rFonts w:ascii="Arial" w:hAnsi="Arial" w:cs="Arial"/>
        </w:rPr>
        <w:lastRenderedPageBreak/>
        <w:t>Les principaux points échangés lors de cette rencontre ont porté sur :</w:t>
      </w:r>
    </w:p>
    <w:p w:rsidR="009A4DF8" w:rsidRPr="009E3B6D" w:rsidRDefault="009A4DF8" w:rsidP="008D2BCA">
      <w:pPr>
        <w:spacing w:after="120"/>
        <w:ind w:left="709" w:hanging="283"/>
        <w:jc w:val="both"/>
        <w:rPr>
          <w:rFonts w:ascii="Arial" w:hAnsi="Arial" w:cs="Arial"/>
        </w:rPr>
      </w:pPr>
      <w:r w:rsidRPr="009E3B6D">
        <w:rPr>
          <w:rFonts w:ascii="Arial" w:hAnsi="Arial" w:cs="Arial"/>
        </w:rPr>
        <w:t>•</w:t>
      </w:r>
      <w:r w:rsidRPr="009E3B6D">
        <w:rPr>
          <w:rFonts w:ascii="Arial" w:hAnsi="Arial" w:cs="Arial"/>
        </w:rPr>
        <w:tab/>
        <w:t>la technicité des indicateurs de suivi du cadre ;</w:t>
      </w:r>
    </w:p>
    <w:p w:rsidR="009A4DF8" w:rsidRPr="009E3B6D" w:rsidRDefault="009A4DF8" w:rsidP="008D2BCA">
      <w:pPr>
        <w:spacing w:after="120"/>
        <w:ind w:left="709" w:hanging="283"/>
        <w:jc w:val="both"/>
        <w:rPr>
          <w:rFonts w:ascii="Arial" w:hAnsi="Arial" w:cs="Arial"/>
        </w:rPr>
      </w:pPr>
      <w:r w:rsidRPr="009E3B6D">
        <w:rPr>
          <w:rFonts w:ascii="Arial" w:hAnsi="Arial" w:cs="Arial"/>
        </w:rPr>
        <w:t>•</w:t>
      </w:r>
      <w:r w:rsidRPr="009E3B6D">
        <w:rPr>
          <w:rFonts w:ascii="Arial" w:hAnsi="Arial" w:cs="Arial"/>
        </w:rPr>
        <w:tab/>
        <w:t>la synergie à mettre en place avec l’agenda 2030 et pour les pays de l’UA les objectifs 2063 ;</w:t>
      </w:r>
    </w:p>
    <w:p w:rsidR="009A4DF8" w:rsidRPr="009E3B6D" w:rsidRDefault="009A4DF8" w:rsidP="008D2BCA">
      <w:pPr>
        <w:spacing w:after="120"/>
        <w:ind w:left="709" w:hanging="283"/>
        <w:jc w:val="both"/>
        <w:rPr>
          <w:rFonts w:ascii="Arial" w:hAnsi="Arial" w:cs="Arial"/>
        </w:rPr>
      </w:pPr>
      <w:r w:rsidRPr="009E3B6D">
        <w:rPr>
          <w:rFonts w:ascii="Arial" w:hAnsi="Arial" w:cs="Arial"/>
        </w:rPr>
        <w:t>•</w:t>
      </w:r>
      <w:r w:rsidRPr="009E3B6D">
        <w:rPr>
          <w:rFonts w:ascii="Arial" w:hAnsi="Arial" w:cs="Arial"/>
        </w:rPr>
        <w:tab/>
        <w:t>l’approche holistique de la coopération au développement ;</w:t>
      </w:r>
    </w:p>
    <w:p w:rsidR="009A4DF8" w:rsidRPr="009E3B6D" w:rsidRDefault="009A4DF8" w:rsidP="008D2BCA">
      <w:pPr>
        <w:spacing w:after="120"/>
        <w:ind w:left="709" w:hanging="283"/>
        <w:jc w:val="both"/>
        <w:rPr>
          <w:rFonts w:ascii="Arial" w:hAnsi="Arial" w:cs="Arial"/>
        </w:rPr>
      </w:pPr>
      <w:r w:rsidRPr="009E3B6D">
        <w:rPr>
          <w:rFonts w:ascii="Arial" w:hAnsi="Arial" w:cs="Arial"/>
        </w:rPr>
        <w:t>•</w:t>
      </w:r>
      <w:r w:rsidRPr="009E3B6D">
        <w:rPr>
          <w:rFonts w:ascii="Arial" w:hAnsi="Arial" w:cs="Arial"/>
        </w:rPr>
        <w:tab/>
        <w:t>la facilitation du processus de concertation pour traduire les ODD dans les plans de développement nationaux ;</w:t>
      </w:r>
    </w:p>
    <w:p w:rsidR="009A4DF8" w:rsidRPr="009E3B6D" w:rsidRDefault="009A4DF8" w:rsidP="009E3B6D">
      <w:pPr>
        <w:ind w:left="709" w:hanging="283"/>
        <w:jc w:val="both"/>
        <w:rPr>
          <w:rFonts w:ascii="Arial" w:hAnsi="Arial" w:cs="Arial"/>
        </w:rPr>
      </w:pPr>
      <w:r w:rsidRPr="009E3B6D">
        <w:rPr>
          <w:rFonts w:ascii="Arial" w:hAnsi="Arial" w:cs="Arial"/>
        </w:rPr>
        <w:t>•</w:t>
      </w:r>
      <w:r w:rsidRPr="009E3B6D">
        <w:rPr>
          <w:rFonts w:ascii="Arial" w:hAnsi="Arial" w:cs="Arial"/>
        </w:rPr>
        <w:tab/>
        <w:t xml:space="preserve">la révision du cadre de suivi et du processus de monitoring Partenariat mondial en fonction de l’agenda 2030. </w:t>
      </w:r>
    </w:p>
    <w:p w:rsidR="009A4DF8" w:rsidRPr="009E3B6D" w:rsidRDefault="009A4DF8" w:rsidP="008D2BCA">
      <w:pPr>
        <w:jc w:val="both"/>
        <w:rPr>
          <w:rFonts w:ascii="Arial" w:hAnsi="Arial" w:cs="Arial"/>
        </w:rPr>
      </w:pPr>
      <w:r w:rsidRPr="009E3B6D">
        <w:rPr>
          <w:rFonts w:ascii="Arial" w:hAnsi="Arial" w:cs="Arial"/>
        </w:rPr>
        <w:t>Au terme des échanges, les résolutions ci-après ont été prises pour accélérer les progrès de ces engagements conjoints:</w:t>
      </w:r>
    </w:p>
    <w:p w:rsidR="009A4DF8" w:rsidRPr="009E3B6D" w:rsidRDefault="009A4DF8" w:rsidP="008D2BCA">
      <w:pPr>
        <w:spacing w:after="120"/>
        <w:ind w:left="709" w:hanging="284"/>
        <w:jc w:val="both"/>
        <w:rPr>
          <w:rFonts w:ascii="Arial" w:hAnsi="Arial" w:cs="Arial"/>
        </w:rPr>
      </w:pPr>
      <w:r w:rsidRPr="009E3B6D">
        <w:rPr>
          <w:rFonts w:ascii="Arial" w:hAnsi="Arial" w:cs="Arial"/>
        </w:rPr>
        <w:t>•</w:t>
      </w:r>
      <w:r w:rsidRPr="009E3B6D">
        <w:rPr>
          <w:rFonts w:ascii="Arial" w:hAnsi="Arial" w:cs="Arial"/>
        </w:rPr>
        <w:tab/>
        <w:t xml:space="preserve">Développer et soutenir une stratégie de développement national transparente, responsable et inclusive et encourager l'alignement de tous les partenaires sur ces stratégies lorsque cela est possible; </w:t>
      </w:r>
    </w:p>
    <w:p w:rsidR="009A4DF8" w:rsidRPr="009E3B6D" w:rsidRDefault="009A4DF8" w:rsidP="008D2BCA">
      <w:pPr>
        <w:spacing w:after="120"/>
        <w:ind w:left="709" w:hanging="284"/>
        <w:jc w:val="both"/>
        <w:rPr>
          <w:rFonts w:ascii="Arial" w:hAnsi="Arial" w:cs="Arial"/>
        </w:rPr>
      </w:pPr>
      <w:r w:rsidRPr="009E3B6D">
        <w:rPr>
          <w:rFonts w:ascii="Arial" w:hAnsi="Arial" w:cs="Arial"/>
        </w:rPr>
        <w:t>•</w:t>
      </w:r>
      <w:r w:rsidRPr="009E3B6D">
        <w:rPr>
          <w:rFonts w:ascii="Arial" w:hAnsi="Arial" w:cs="Arial"/>
        </w:rPr>
        <w:tab/>
        <w:t>Renforcer et utiliser les systèmes nationaux, améliorer l'harmonisation des fournisseurs de services de coopération au développement et favoriser  l'inclusion des entreprises locales et de la société civile ;</w:t>
      </w:r>
    </w:p>
    <w:p w:rsidR="009A4DF8" w:rsidRPr="009E3B6D" w:rsidRDefault="009A4DF8" w:rsidP="008D2BCA">
      <w:pPr>
        <w:spacing w:after="120"/>
        <w:ind w:left="709" w:hanging="284"/>
        <w:jc w:val="both"/>
        <w:rPr>
          <w:rFonts w:ascii="Arial" w:hAnsi="Arial" w:cs="Arial"/>
        </w:rPr>
      </w:pPr>
      <w:r w:rsidRPr="009E3B6D">
        <w:rPr>
          <w:rFonts w:ascii="Arial" w:hAnsi="Arial" w:cs="Arial"/>
        </w:rPr>
        <w:t>•</w:t>
      </w:r>
      <w:r w:rsidRPr="009E3B6D">
        <w:rPr>
          <w:rFonts w:ascii="Arial" w:hAnsi="Arial" w:cs="Arial"/>
        </w:rPr>
        <w:tab/>
        <w:t>Promouvoir des partenariats de développement inclusifs, en assurant  un environnement propice à tous les partenaires (les parlements, les collectivités locales, la société civile, le secteur privé, la philanthropie)</w:t>
      </w:r>
    </w:p>
    <w:p w:rsidR="00D92FFA" w:rsidRDefault="009A4DF8" w:rsidP="00C54C61">
      <w:pPr>
        <w:ind w:left="709" w:hanging="283"/>
        <w:jc w:val="both"/>
        <w:rPr>
          <w:rFonts w:ascii="Arial" w:hAnsi="Arial" w:cs="Arial"/>
          <w:b/>
          <w:sz w:val="24"/>
          <w:szCs w:val="24"/>
        </w:rPr>
      </w:pPr>
      <w:r w:rsidRPr="009E3B6D">
        <w:rPr>
          <w:rFonts w:ascii="Arial" w:hAnsi="Arial" w:cs="Arial"/>
        </w:rPr>
        <w:t>•</w:t>
      </w:r>
      <w:r w:rsidRPr="009E3B6D">
        <w:rPr>
          <w:rFonts w:ascii="Arial" w:hAnsi="Arial" w:cs="Arial"/>
        </w:rPr>
        <w:tab/>
        <w:t>renforcer la transparence et la redevabilité mutuelle.</w:t>
      </w:r>
      <w:bookmarkEnd w:id="187"/>
    </w:p>
    <w:p w:rsidR="008D2BCA" w:rsidRDefault="009A4DF8" w:rsidP="008D2BCA">
      <w:pPr>
        <w:spacing w:after="120"/>
        <w:jc w:val="both"/>
        <w:rPr>
          <w:rFonts w:ascii="Arial" w:hAnsi="Arial" w:cs="Arial"/>
          <w:b/>
          <w:sz w:val="24"/>
          <w:szCs w:val="24"/>
        </w:rPr>
      </w:pPr>
      <w:r w:rsidRPr="00D92FFA">
        <w:rPr>
          <w:rFonts w:ascii="Arial" w:hAnsi="Arial" w:cs="Arial"/>
          <w:b/>
          <w:sz w:val="24"/>
          <w:szCs w:val="24"/>
          <w:u w:val="single"/>
        </w:rPr>
        <w:t xml:space="preserve">Encadré </w:t>
      </w:r>
      <w:r w:rsidR="00D76F44">
        <w:rPr>
          <w:rFonts w:ascii="Arial" w:hAnsi="Arial" w:cs="Arial"/>
          <w:b/>
          <w:sz w:val="24"/>
          <w:szCs w:val="24"/>
          <w:u w:val="single"/>
        </w:rPr>
        <w:t>1</w:t>
      </w:r>
      <w:r w:rsidRPr="00D92FFA">
        <w:rPr>
          <w:rFonts w:ascii="Arial" w:hAnsi="Arial" w:cs="Arial"/>
          <w:b/>
          <w:sz w:val="24"/>
          <w:szCs w:val="24"/>
          <w:u w:val="single"/>
        </w:rPr>
        <w:t> :</w:t>
      </w:r>
      <w:r w:rsidRPr="00311D4C">
        <w:rPr>
          <w:rFonts w:ascii="Arial" w:hAnsi="Arial" w:cs="Arial"/>
          <w:b/>
          <w:sz w:val="24"/>
          <w:szCs w:val="24"/>
        </w:rPr>
        <w:t xml:space="preserve"> </w:t>
      </w:r>
      <w:bookmarkStart w:id="189" w:name="_Toc440019746"/>
      <w:bookmarkStart w:id="190" w:name="_Toc440020558"/>
      <w:r w:rsidRPr="00311D4C">
        <w:rPr>
          <w:rFonts w:ascii="Arial" w:hAnsi="Arial" w:cs="Arial"/>
          <w:b/>
          <w:sz w:val="24"/>
          <w:szCs w:val="24"/>
        </w:rPr>
        <w:t xml:space="preserve">Bilan de mise en œuvre du PANED 2014-2016 </w:t>
      </w:r>
      <w:bookmarkEnd w:id="189"/>
      <w:bookmarkEnd w:id="190"/>
    </w:p>
    <w:p w:rsidR="009A4DF8" w:rsidRPr="008D2BCA" w:rsidRDefault="003649E2" w:rsidP="008D2BCA">
      <w:pPr>
        <w:spacing w:after="120"/>
        <w:jc w:val="both"/>
        <w:rPr>
          <w:rFonts w:ascii="Arial" w:hAnsi="Arial" w:cs="Arial"/>
          <w:b/>
          <w:sz w:val="24"/>
          <w:szCs w:val="24"/>
        </w:rPr>
      </w:pPr>
      <w:r>
        <w:rPr>
          <w:rFonts w:ascii="Arial" w:hAnsi="Arial" w:cs="Arial"/>
          <w:noProof/>
          <w:color w:val="1F497D"/>
          <w:sz w:val="24"/>
          <w:szCs w:val="24"/>
          <w:lang w:eastAsia="fr-FR"/>
        </w:rPr>
        <mc:AlternateContent>
          <mc:Choice Requires="wps">
            <w:drawing>
              <wp:anchor distT="0" distB="0" distL="114300" distR="114300" simplePos="0" relativeHeight="251650048" behindDoc="0" locked="0" layoutInCell="1" allowOverlap="1" wp14:anchorId="75875721" wp14:editId="64268612">
                <wp:simplePos x="0" y="0"/>
                <wp:positionH relativeFrom="column">
                  <wp:posOffset>-107615</wp:posOffset>
                </wp:positionH>
                <wp:positionV relativeFrom="paragraph">
                  <wp:posOffset>89271</wp:posOffset>
                </wp:positionV>
                <wp:extent cx="6351270" cy="4011283"/>
                <wp:effectExtent l="0" t="0" r="11430" b="279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1270" cy="4011283"/>
                        </a:xfrm>
                        <a:prstGeom prst="rect">
                          <a:avLst/>
                        </a:prstGeom>
                        <a:ln>
                          <a:headEnd/>
                          <a:tailEnd/>
                        </a:ln>
                      </wps:spPr>
                      <wps:style>
                        <a:lnRef idx="2">
                          <a:schemeClr val="accent2"/>
                        </a:lnRef>
                        <a:fillRef idx="1">
                          <a:schemeClr val="lt1"/>
                        </a:fillRef>
                        <a:effectRef idx="0">
                          <a:schemeClr val="accent2"/>
                        </a:effectRef>
                        <a:fontRef idx="minor">
                          <a:schemeClr val="dk1"/>
                        </a:fontRef>
                      </wps:style>
                      <wps:txbx>
                        <w:txbxContent>
                          <w:p w:rsidR="00BA455D" w:rsidRPr="000E65DC" w:rsidRDefault="00BA455D" w:rsidP="009A4DF8">
                            <w:pPr>
                              <w:shd w:val="clear" w:color="auto" w:fill="D9D9D9" w:themeFill="background1" w:themeFillShade="D9"/>
                              <w:spacing w:after="120"/>
                              <w:jc w:val="both"/>
                              <w:rPr>
                                <w:rFonts w:ascii="Arial" w:hAnsi="Arial" w:cs="Arial"/>
                                <w:i/>
                              </w:rPr>
                            </w:pPr>
                            <w:r w:rsidRPr="000E65DC">
                              <w:rPr>
                                <w:rFonts w:ascii="Arial" w:hAnsi="Arial" w:cs="Arial"/>
                                <w:i/>
                              </w:rPr>
                              <w:t xml:space="preserve">L’adhésion du Burkina Faso en 2011 à l’Accord de partenariat de Busan pour l’efficacité de la coopération au développement, s’est traduite au plan national par des actes forts, notamment l’adoption du Plan d’actions national pour l’efficacité de la coopération au développement (PANED). </w:t>
                            </w:r>
                          </w:p>
                          <w:p w:rsidR="00BA455D" w:rsidRPr="000E65DC" w:rsidRDefault="00BA455D" w:rsidP="009A4DF8">
                            <w:pPr>
                              <w:shd w:val="clear" w:color="auto" w:fill="D9D9D9" w:themeFill="background1" w:themeFillShade="D9"/>
                              <w:jc w:val="both"/>
                              <w:rPr>
                                <w:rFonts w:ascii="Arial" w:hAnsi="Arial" w:cs="Arial"/>
                                <w:i/>
                              </w:rPr>
                            </w:pPr>
                            <w:r w:rsidRPr="000E65DC">
                              <w:rPr>
                                <w:rFonts w:ascii="Arial" w:hAnsi="Arial" w:cs="Arial"/>
                                <w:i/>
                              </w:rPr>
                              <w:t xml:space="preserve">Adopté en 2014, le PANED visait donc à mettre en œuvre l’Accord de partenariat de Busan et plus spécifiquement, à définir des actions stratégiques prioritaires liées aux enjeux de l’efficacité de la coopération au développement. </w:t>
                            </w:r>
                          </w:p>
                          <w:p w:rsidR="00BA455D" w:rsidRPr="000E65DC" w:rsidRDefault="00BA455D" w:rsidP="009A4DF8">
                            <w:pPr>
                              <w:shd w:val="clear" w:color="auto" w:fill="D9D9D9" w:themeFill="background1" w:themeFillShade="D9"/>
                              <w:spacing w:after="120"/>
                              <w:jc w:val="both"/>
                              <w:rPr>
                                <w:rFonts w:ascii="Arial" w:hAnsi="Arial" w:cs="Arial"/>
                                <w:i/>
                              </w:rPr>
                            </w:pPr>
                            <w:r w:rsidRPr="000E65DC">
                              <w:rPr>
                                <w:rFonts w:ascii="Arial" w:hAnsi="Arial" w:cs="Arial"/>
                                <w:i/>
                              </w:rPr>
                              <w:t>Le dispositif de mise en œuvre du PANED était constitué des acteurs de l’administration publique, des collectivités territoriales, de la Société civile, du secteur privé ainsi que des Partenaires techniques et financiers.</w:t>
                            </w:r>
                          </w:p>
                          <w:p w:rsidR="00BA455D" w:rsidRPr="000E65DC" w:rsidRDefault="00BA455D" w:rsidP="009A4DF8">
                            <w:pPr>
                              <w:shd w:val="clear" w:color="auto" w:fill="D9D9D9" w:themeFill="background1" w:themeFillShade="D9"/>
                              <w:spacing w:after="120"/>
                              <w:jc w:val="both"/>
                              <w:rPr>
                                <w:rFonts w:ascii="Arial" w:hAnsi="Arial" w:cs="Arial"/>
                                <w:i/>
                              </w:rPr>
                            </w:pPr>
                            <w:r w:rsidRPr="000E65DC">
                              <w:rPr>
                                <w:rFonts w:ascii="Arial" w:hAnsi="Arial" w:cs="Arial"/>
                                <w:i/>
                              </w:rPr>
                              <w:t>Au 31 décembre 2016, la mise en œuvre du PANED a atteint un niveau de réalisation assez satisfaisant. En effet, sur soixante-quatre (64) actions programmées, quarante-sept (47) ont effectivement été réalisées soit un taux de réalisation globale de 73,44%.</w:t>
                            </w:r>
                          </w:p>
                          <w:p w:rsidR="00BA455D" w:rsidRPr="008D2BCA" w:rsidRDefault="00BA455D" w:rsidP="008D2BCA">
                            <w:pPr>
                              <w:shd w:val="clear" w:color="auto" w:fill="D9D9D9" w:themeFill="background1" w:themeFillShade="D9"/>
                              <w:jc w:val="both"/>
                              <w:rPr>
                                <w:rFonts w:ascii="Arial" w:hAnsi="Arial" w:cs="Arial"/>
                                <w:i/>
                              </w:rPr>
                            </w:pPr>
                            <w:r w:rsidRPr="000E65DC">
                              <w:rPr>
                                <w:rFonts w:ascii="Arial" w:hAnsi="Arial" w:cs="Arial"/>
                                <w:i/>
                              </w:rPr>
                              <w:t>Les activités mises en œuvre sur la période 2014-2016 ont globalement permis d’améliorer et de renforcer l’appropriation des priorités nationales par les acteurs du développement, de recadrer la gestion de la coopération en se concentrant sur les résultats de développement, de tenir compte de la diversité et de la complémentarité de tous les acteurs dans la réalisation des</w:t>
                            </w:r>
                            <w:r w:rsidRPr="000E65DC">
                              <w:rPr>
                                <w:rFonts w:ascii="Arial" w:hAnsi="Arial" w:cs="Arial"/>
                                <w:i/>
                                <w:color w:val="00B050"/>
                              </w:rPr>
                              <w:t xml:space="preserve"> </w:t>
                            </w:r>
                            <w:r w:rsidRPr="000E65DC">
                              <w:rPr>
                                <w:rFonts w:ascii="Arial" w:hAnsi="Arial" w:cs="Arial"/>
                                <w:i/>
                              </w:rPr>
                              <w:t>objectifs de développement, de fixer des objectifs de performance et rendre disponible l’information sur la coopération pour le développement et de renforcer l’efficacité de la contribution de la société civile et du secteur privé au développement.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5875721" id="_x0000_t202" coordsize="21600,21600" o:spt="202" path="m,l,21600r21600,l21600,xe">
                <v:stroke joinstyle="miter"/>
                <v:path gradientshapeok="t" o:connecttype="rect"/>
              </v:shapetype>
              <v:shape id="Text Box 5" o:spid="_x0000_s1026" type="#_x0000_t202" style="position:absolute;left:0;text-align:left;margin-left:-8.45pt;margin-top:7.05pt;width:500.1pt;height:315.8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" fillcolor="white [3201]" strokecolor="#c0504d [3205]" strokeweight="2pt">
                <v:textbox>
                  <w:txbxContent>
                    <w:p w:rsidR="00BA455D" w:rsidRPr="000E65DC" w:rsidRDefault="00BA455D" w:rsidP="009A4DF8">
                      <w:pPr>
                        <w:shd w:val="clear" w:color="auto" w:fill="D9D9D9" w:themeFill="background1" w:themeFillShade="D9"/>
                        <w:spacing w:after="120"/>
                        <w:jc w:val="both"/>
                        <w:rPr>
                          <w:rFonts w:ascii="Arial" w:hAnsi="Arial" w:cs="Arial"/>
                          <w:i/>
                        </w:rPr>
                      </w:pPr>
                      <w:r w:rsidRPr="000E65DC">
                        <w:rPr>
                          <w:rFonts w:ascii="Arial" w:hAnsi="Arial" w:cs="Arial"/>
                          <w:i/>
                        </w:rPr>
                        <w:t xml:space="preserve">L’adhésion du Burkina Faso en 2011 à l’Accord de partenariat de Busan pour l’efficacité de la coopération au développement, s’est traduite au plan national par des actes forts, notamment l’adoption du Plan d’actions national pour l’efficacité de la coopération au développement (PANED). </w:t>
                      </w:r>
                    </w:p>
                    <w:p w:rsidR="00BA455D" w:rsidRPr="000E65DC" w:rsidRDefault="00BA455D" w:rsidP="009A4DF8">
                      <w:pPr>
                        <w:shd w:val="clear" w:color="auto" w:fill="D9D9D9" w:themeFill="background1" w:themeFillShade="D9"/>
                        <w:jc w:val="both"/>
                        <w:rPr>
                          <w:rFonts w:ascii="Arial" w:hAnsi="Arial" w:cs="Arial"/>
                          <w:i/>
                        </w:rPr>
                      </w:pPr>
                      <w:r w:rsidRPr="000E65DC">
                        <w:rPr>
                          <w:rFonts w:ascii="Arial" w:hAnsi="Arial" w:cs="Arial"/>
                          <w:i/>
                        </w:rPr>
                        <w:t xml:space="preserve">Adopté en 2014, le PANED visait donc à mettre en œuvre l’Accord de partenariat de Busan et plus spécifiquement, à définir des actions stratégiques prioritaires liées aux enjeux de l’efficacité de la coopération au développement. </w:t>
                      </w:r>
                    </w:p>
                    <w:p w:rsidR="00BA455D" w:rsidRPr="000E65DC" w:rsidRDefault="00BA455D" w:rsidP="009A4DF8">
                      <w:pPr>
                        <w:shd w:val="clear" w:color="auto" w:fill="D9D9D9" w:themeFill="background1" w:themeFillShade="D9"/>
                        <w:spacing w:after="120"/>
                        <w:jc w:val="both"/>
                        <w:rPr>
                          <w:rFonts w:ascii="Arial" w:hAnsi="Arial" w:cs="Arial"/>
                          <w:i/>
                        </w:rPr>
                      </w:pPr>
                      <w:r w:rsidRPr="000E65DC">
                        <w:rPr>
                          <w:rFonts w:ascii="Arial" w:hAnsi="Arial" w:cs="Arial"/>
                          <w:i/>
                        </w:rPr>
                        <w:t>Le dispositif de mise en œuvre du PANED était constitué des acteurs de l’administration publique, des collectivités territoriales, de la Société civile, du secteur privé ainsi que des Partenaires techniques et financiers.</w:t>
                      </w:r>
                    </w:p>
                    <w:p w:rsidR="00BA455D" w:rsidRPr="000E65DC" w:rsidRDefault="00BA455D" w:rsidP="009A4DF8">
                      <w:pPr>
                        <w:shd w:val="clear" w:color="auto" w:fill="D9D9D9" w:themeFill="background1" w:themeFillShade="D9"/>
                        <w:spacing w:after="120"/>
                        <w:jc w:val="both"/>
                        <w:rPr>
                          <w:rFonts w:ascii="Arial" w:hAnsi="Arial" w:cs="Arial"/>
                          <w:i/>
                        </w:rPr>
                      </w:pPr>
                      <w:r w:rsidRPr="000E65DC">
                        <w:rPr>
                          <w:rFonts w:ascii="Arial" w:hAnsi="Arial" w:cs="Arial"/>
                          <w:i/>
                        </w:rPr>
                        <w:t>Au 31 décembre 2016, la mise en œuvre du PANED a atteint un niveau de réalisation assez satisfaisant. En effet, sur soixante-quatre (64) actions programmées, quarante-sept (47) ont effectivement été réalisées soit un taux de réalisation globale de 73,44%.</w:t>
                      </w:r>
                    </w:p>
                    <w:p w:rsidR="00BA455D" w:rsidRPr="008D2BCA" w:rsidRDefault="00BA455D" w:rsidP="008D2BCA">
                      <w:pPr>
                        <w:shd w:val="clear" w:color="auto" w:fill="D9D9D9" w:themeFill="background1" w:themeFillShade="D9"/>
                        <w:jc w:val="both"/>
                        <w:rPr>
                          <w:rFonts w:ascii="Arial" w:hAnsi="Arial" w:cs="Arial"/>
                          <w:i/>
                        </w:rPr>
                      </w:pPr>
                      <w:r w:rsidRPr="000E65DC">
                        <w:rPr>
                          <w:rFonts w:ascii="Arial" w:hAnsi="Arial" w:cs="Arial"/>
                          <w:i/>
                        </w:rPr>
                        <w:t>Les activités mises en œuvre sur la période 2014-2016 ont globalement permis d’améliorer et de renforcer l’appropriation des priorités nationales par les acteurs du développement, de recadrer la gestion de la coopération en se concentrant sur les résultats de développement, de tenir compte de la diversité et de la complémentarité de tous les acteurs dans la réalisation des</w:t>
                      </w:r>
                      <w:r w:rsidRPr="000E65DC">
                        <w:rPr>
                          <w:rFonts w:ascii="Arial" w:hAnsi="Arial" w:cs="Arial"/>
                          <w:i/>
                          <w:color w:val="00B050"/>
                        </w:rPr>
                        <w:t xml:space="preserve"> </w:t>
                      </w:r>
                      <w:r w:rsidRPr="000E65DC">
                        <w:rPr>
                          <w:rFonts w:ascii="Arial" w:hAnsi="Arial" w:cs="Arial"/>
                          <w:i/>
                        </w:rPr>
                        <w:t>objectifs de développement, de fixer des objectifs de performance et rendre disponible l’information sur la coopération pour le développement et de renforcer l’efficacité de la contribution de la société civile et du secteur privé au développement.</w:t>
                      </w:r>
                    </w:p>
                  </w:txbxContent>
                </v:textbox>
              </v:shape>
            </w:pict>
          </mc:Fallback>
        </mc:AlternateContent>
      </w:r>
    </w:p>
    <w:p w:rsidR="009A4DF8" w:rsidRPr="00A71985" w:rsidRDefault="009A4DF8" w:rsidP="009A4DF8">
      <w:pPr>
        <w:jc w:val="both"/>
        <w:rPr>
          <w:rFonts w:ascii="Arial" w:hAnsi="Arial" w:cs="Arial"/>
          <w:color w:val="1F497D"/>
          <w:sz w:val="24"/>
          <w:szCs w:val="24"/>
        </w:rPr>
      </w:pPr>
    </w:p>
    <w:p w:rsidR="009A4DF8" w:rsidRPr="00A71985" w:rsidRDefault="009A4DF8" w:rsidP="009A4DF8">
      <w:pPr>
        <w:jc w:val="both"/>
        <w:rPr>
          <w:rFonts w:ascii="Arial" w:hAnsi="Arial" w:cs="Arial"/>
          <w:color w:val="1F497D"/>
          <w:sz w:val="24"/>
          <w:szCs w:val="24"/>
        </w:rPr>
      </w:pPr>
    </w:p>
    <w:p w:rsidR="009A4DF8" w:rsidRPr="00A71985" w:rsidRDefault="009A4DF8" w:rsidP="009A4DF8">
      <w:pPr>
        <w:jc w:val="both"/>
        <w:rPr>
          <w:rFonts w:ascii="Arial" w:hAnsi="Arial" w:cs="Arial"/>
          <w:color w:val="1F497D"/>
          <w:sz w:val="24"/>
          <w:szCs w:val="24"/>
        </w:rPr>
      </w:pPr>
    </w:p>
    <w:p w:rsidR="009A4DF8" w:rsidRPr="00A71985" w:rsidRDefault="009A4DF8" w:rsidP="009A4DF8">
      <w:pPr>
        <w:jc w:val="both"/>
        <w:rPr>
          <w:rFonts w:ascii="Arial" w:hAnsi="Arial" w:cs="Arial"/>
          <w:color w:val="1F497D"/>
          <w:sz w:val="24"/>
          <w:szCs w:val="24"/>
        </w:rPr>
      </w:pPr>
    </w:p>
    <w:p w:rsidR="009A4DF8" w:rsidRPr="00A71985" w:rsidRDefault="009A4DF8" w:rsidP="009A4DF8">
      <w:pPr>
        <w:jc w:val="both"/>
        <w:rPr>
          <w:rFonts w:ascii="Arial" w:hAnsi="Arial" w:cs="Arial"/>
          <w:color w:val="1F497D"/>
          <w:sz w:val="24"/>
          <w:szCs w:val="24"/>
        </w:rPr>
      </w:pPr>
    </w:p>
    <w:p w:rsidR="009A4DF8" w:rsidRPr="00A71985" w:rsidRDefault="009A4DF8" w:rsidP="009A4DF8">
      <w:pPr>
        <w:jc w:val="both"/>
        <w:rPr>
          <w:rFonts w:ascii="Arial" w:hAnsi="Arial" w:cs="Arial"/>
          <w:color w:val="1F497D"/>
          <w:sz w:val="24"/>
          <w:szCs w:val="24"/>
        </w:rPr>
      </w:pPr>
    </w:p>
    <w:p w:rsidR="009A4DF8" w:rsidRDefault="009A4DF8" w:rsidP="009A4DF8">
      <w:pPr>
        <w:jc w:val="both"/>
        <w:rPr>
          <w:rFonts w:ascii="Arial" w:hAnsi="Arial" w:cs="Arial"/>
          <w:color w:val="1F497D"/>
          <w:sz w:val="24"/>
          <w:szCs w:val="24"/>
        </w:rPr>
      </w:pPr>
    </w:p>
    <w:p w:rsidR="003406F7" w:rsidRDefault="003406F7" w:rsidP="009A4DF8">
      <w:pPr>
        <w:jc w:val="both"/>
        <w:rPr>
          <w:rFonts w:ascii="Arial" w:hAnsi="Arial" w:cs="Arial"/>
          <w:color w:val="1F497D"/>
          <w:sz w:val="24"/>
          <w:szCs w:val="24"/>
        </w:rPr>
      </w:pPr>
    </w:p>
    <w:p w:rsidR="003406F7" w:rsidRDefault="003406F7" w:rsidP="009A4DF8">
      <w:pPr>
        <w:jc w:val="both"/>
        <w:rPr>
          <w:rFonts w:ascii="Arial" w:hAnsi="Arial" w:cs="Arial"/>
          <w:color w:val="1F497D"/>
          <w:sz w:val="24"/>
          <w:szCs w:val="24"/>
        </w:rPr>
      </w:pPr>
    </w:p>
    <w:p w:rsidR="003406F7" w:rsidRDefault="003406F7" w:rsidP="009A4DF8">
      <w:pPr>
        <w:jc w:val="both"/>
        <w:rPr>
          <w:rFonts w:ascii="Arial" w:hAnsi="Arial" w:cs="Arial"/>
          <w:color w:val="1F497D"/>
          <w:sz w:val="24"/>
          <w:szCs w:val="24"/>
        </w:rPr>
      </w:pPr>
    </w:p>
    <w:p w:rsidR="003406F7" w:rsidRDefault="003406F7" w:rsidP="009A4DF8">
      <w:pPr>
        <w:jc w:val="both"/>
        <w:rPr>
          <w:rFonts w:ascii="Arial" w:hAnsi="Arial" w:cs="Arial"/>
          <w:color w:val="1F497D"/>
          <w:sz w:val="24"/>
          <w:szCs w:val="24"/>
        </w:rPr>
      </w:pPr>
    </w:p>
    <w:p w:rsidR="003406F7" w:rsidRDefault="003406F7" w:rsidP="009A4DF8">
      <w:pPr>
        <w:jc w:val="both"/>
        <w:rPr>
          <w:rFonts w:ascii="Arial" w:hAnsi="Arial" w:cs="Arial"/>
          <w:color w:val="1F497D"/>
          <w:sz w:val="24"/>
          <w:szCs w:val="24"/>
        </w:rPr>
      </w:pPr>
    </w:p>
    <w:p w:rsidR="009A4DF8" w:rsidRPr="00D234CC" w:rsidRDefault="009A4DF8" w:rsidP="00D234CC">
      <w:pPr>
        <w:pStyle w:val="Titre5"/>
      </w:pPr>
      <w:bookmarkStart w:id="191" w:name="_Toc459122817"/>
      <w:bookmarkStart w:id="192" w:name="_Toc326748103"/>
      <w:bookmarkStart w:id="193" w:name="_Toc368483795"/>
      <w:bookmarkStart w:id="194" w:name="_Toc399933247"/>
      <w:bookmarkStart w:id="195" w:name="_Toc424710979"/>
      <w:bookmarkStart w:id="196" w:name="_Toc427009730"/>
      <w:bookmarkStart w:id="197" w:name="_Toc326748105"/>
      <w:r w:rsidRPr="00D234CC">
        <w:t>2.2.3.5. Les cadres bilatéraux de concertation</w:t>
      </w:r>
      <w:bookmarkEnd w:id="191"/>
      <w:bookmarkEnd w:id="192"/>
      <w:bookmarkEnd w:id="193"/>
      <w:bookmarkEnd w:id="194"/>
      <w:bookmarkEnd w:id="195"/>
      <w:bookmarkEnd w:id="196"/>
      <w:r w:rsidRPr="00D234CC">
        <w:t xml:space="preserve"> </w:t>
      </w:r>
    </w:p>
    <w:p w:rsidR="009A4DF8" w:rsidRPr="000E65DC" w:rsidRDefault="009A4DF8" w:rsidP="009A4DF8">
      <w:pPr>
        <w:spacing w:after="0"/>
        <w:jc w:val="both"/>
        <w:rPr>
          <w:rFonts w:ascii="Arial" w:hAnsi="Arial" w:cs="Arial"/>
          <w:sz w:val="8"/>
          <w:szCs w:val="24"/>
        </w:rPr>
      </w:pPr>
    </w:p>
    <w:p w:rsidR="009A4DF8" w:rsidRPr="009C134A" w:rsidRDefault="009A4DF8" w:rsidP="009A4DF8">
      <w:pPr>
        <w:spacing w:after="0"/>
        <w:jc w:val="both"/>
        <w:rPr>
          <w:rFonts w:ascii="Arial" w:hAnsi="Arial" w:cs="Arial"/>
        </w:rPr>
      </w:pPr>
      <w:r w:rsidRPr="009C134A">
        <w:rPr>
          <w:rFonts w:ascii="Arial" w:hAnsi="Arial" w:cs="Arial"/>
        </w:rPr>
        <w:t>En 2016 les cadres de concertation bilatéraux ont été marqués essentiellement par la tenue  des réunions des commissions mixtes de coopération que sont :</w:t>
      </w:r>
    </w:p>
    <w:p w:rsidR="009A4DF8" w:rsidRPr="009C134A" w:rsidRDefault="009A4DF8" w:rsidP="00B92B11">
      <w:pPr>
        <w:pStyle w:val="Paragraphedeliste"/>
        <w:numPr>
          <w:ilvl w:val="0"/>
          <w:numId w:val="53"/>
        </w:numPr>
        <w:spacing w:before="120" w:after="120"/>
        <w:jc w:val="both"/>
        <w:rPr>
          <w:rFonts w:ascii="Arial" w:hAnsi="Arial" w:cs="Arial"/>
        </w:rPr>
      </w:pPr>
      <w:r w:rsidRPr="009C134A">
        <w:rPr>
          <w:rFonts w:ascii="Arial" w:hAnsi="Arial" w:cs="Arial"/>
        </w:rPr>
        <w:t>la 5</w:t>
      </w:r>
      <w:r w:rsidRPr="009C134A">
        <w:rPr>
          <w:rFonts w:ascii="Arial" w:hAnsi="Arial" w:cs="Arial"/>
          <w:vertAlign w:val="superscript"/>
        </w:rPr>
        <w:t>ème</w:t>
      </w:r>
      <w:r w:rsidRPr="009C134A">
        <w:rPr>
          <w:rFonts w:ascii="Arial" w:hAnsi="Arial" w:cs="Arial"/>
        </w:rPr>
        <w:t xml:space="preserve">  session de la Conférence au Sommet du TAC, tenue du 25 au 29 juillet 2016 à Yamoussoukro  a été l’occasion de faire un tour d’horizon de la coopération bilatérale essentiellement sur les avancées enregistrées dans la mise en œuvre des projets prioritaires du Traité d’Amitié et de Coopération. Elle a également permis d’avoir des échanges avec les plus hautes Autorités ivoiriennes consacré le retour à la normalisation des relations entre les deux pays à l’insurrection populaire des 30 et 31 octobre 2014 et le coup d’état manqué de septembre 2015.</w:t>
      </w:r>
    </w:p>
    <w:p w:rsidR="009A4DF8" w:rsidRPr="009C134A" w:rsidRDefault="009A4DF8" w:rsidP="00B92B11">
      <w:pPr>
        <w:pStyle w:val="Paragraphedeliste"/>
        <w:numPr>
          <w:ilvl w:val="0"/>
          <w:numId w:val="53"/>
        </w:numPr>
        <w:spacing w:before="120" w:after="120"/>
        <w:jc w:val="both"/>
        <w:rPr>
          <w:rFonts w:ascii="Arial" w:hAnsi="Arial" w:cs="Arial"/>
        </w:rPr>
      </w:pPr>
      <w:r w:rsidRPr="009C134A">
        <w:rPr>
          <w:rFonts w:ascii="Arial" w:hAnsi="Arial" w:cs="Arial"/>
        </w:rPr>
        <w:t>La troisième session de la Commission mixte de coopération Burkina-Soudan, tenue les 24 et 25 août à Khartoum a permis de renforcer les relations de coopération entre les deux pays par l’ouverture prochaine d’une Représentation diplomatique du Burkina Faso Khartoum;</w:t>
      </w:r>
    </w:p>
    <w:p w:rsidR="009A4DF8" w:rsidRPr="009C134A" w:rsidRDefault="009A4DF8" w:rsidP="00B92B11">
      <w:pPr>
        <w:pStyle w:val="Paragraphedeliste"/>
        <w:numPr>
          <w:ilvl w:val="0"/>
          <w:numId w:val="54"/>
        </w:numPr>
        <w:spacing w:before="120" w:after="120"/>
        <w:contextualSpacing w:val="0"/>
        <w:jc w:val="both"/>
        <w:rPr>
          <w:rFonts w:ascii="Arial" w:hAnsi="Arial" w:cs="Arial"/>
        </w:rPr>
      </w:pPr>
      <w:r w:rsidRPr="009C134A">
        <w:rPr>
          <w:rFonts w:ascii="Arial" w:hAnsi="Arial" w:cs="Arial"/>
        </w:rPr>
        <w:t>La septième session de la Commission mixte de coopération Burkina- Tunisie, tenue du 27 au 30 septembre 2016 à Tunis, a permis au deux pays de renforcer leur coopération dans les domaines comme la lutte contre le terrorisme, les évacuations sanitaires, l’enseignement technique et professionnel.</w:t>
      </w:r>
    </w:p>
    <w:p w:rsidR="009A4DF8" w:rsidRPr="004169CF" w:rsidRDefault="009A4DF8" w:rsidP="00B92B11">
      <w:pPr>
        <w:pStyle w:val="Paragraphedeliste"/>
        <w:numPr>
          <w:ilvl w:val="0"/>
          <w:numId w:val="54"/>
        </w:numPr>
        <w:spacing w:before="120" w:after="120"/>
        <w:contextualSpacing w:val="0"/>
        <w:jc w:val="both"/>
        <w:rPr>
          <w:rFonts w:ascii="Arial" w:hAnsi="Arial" w:cs="Arial"/>
        </w:rPr>
      </w:pPr>
      <w:r w:rsidRPr="004169CF">
        <w:rPr>
          <w:rFonts w:ascii="Arial" w:hAnsi="Arial" w:cs="Arial"/>
        </w:rPr>
        <w:t>la 11</w:t>
      </w:r>
      <w:r w:rsidRPr="004169CF">
        <w:rPr>
          <w:rFonts w:ascii="Arial" w:hAnsi="Arial" w:cs="Arial"/>
          <w:vertAlign w:val="superscript"/>
        </w:rPr>
        <w:t>e</w:t>
      </w:r>
      <w:r w:rsidRPr="004169CF">
        <w:rPr>
          <w:rFonts w:ascii="Arial" w:hAnsi="Arial" w:cs="Arial"/>
        </w:rPr>
        <w:t xml:space="preserve"> session de la commission mixte de coopération Burkina-République de Chine (Taiwan), tenue les 22 et 23 septembre 2016 à Ouagadougou et  la tenue de la  réunion</w:t>
      </w:r>
      <w:r w:rsidR="00C14C01" w:rsidRPr="004169CF">
        <w:rPr>
          <w:rFonts w:ascii="Arial" w:hAnsi="Arial" w:cs="Arial"/>
        </w:rPr>
        <w:t xml:space="preserve"> du comité de suivi (revue à mi </w:t>
      </w:r>
      <w:r w:rsidRPr="004169CF">
        <w:rPr>
          <w:rFonts w:ascii="Arial" w:hAnsi="Arial" w:cs="Arial"/>
        </w:rPr>
        <w:t>parcours) de la 10e commission mixte Burkina-Taïwan, le 16 décembre 2016 à Ouagadougou</w:t>
      </w:r>
    </w:p>
    <w:p w:rsidR="009A4DF8" w:rsidRPr="004169CF" w:rsidRDefault="009A4DF8" w:rsidP="00B92B11">
      <w:pPr>
        <w:pStyle w:val="Paragraphedeliste"/>
        <w:numPr>
          <w:ilvl w:val="0"/>
          <w:numId w:val="54"/>
        </w:numPr>
        <w:spacing w:before="120" w:after="120"/>
        <w:contextualSpacing w:val="0"/>
        <w:jc w:val="both"/>
        <w:rPr>
          <w:rFonts w:ascii="Arial" w:hAnsi="Arial" w:cs="Arial"/>
        </w:rPr>
      </w:pPr>
      <w:r w:rsidRPr="004169CF">
        <w:rPr>
          <w:rFonts w:ascii="Arial" w:hAnsi="Arial" w:cs="Arial"/>
        </w:rPr>
        <w:t>la 4</w:t>
      </w:r>
      <w:r w:rsidRPr="004169CF">
        <w:rPr>
          <w:rFonts w:ascii="Arial" w:hAnsi="Arial" w:cs="Arial"/>
          <w:vertAlign w:val="superscript"/>
        </w:rPr>
        <w:t>e</w:t>
      </w:r>
      <w:r w:rsidRPr="004169CF">
        <w:rPr>
          <w:rFonts w:ascii="Arial" w:hAnsi="Arial" w:cs="Arial"/>
        </w:rPr>
        <w:t xml:space="preserve"> consultation bilatérale avec le Japon tenue le 15 novembre 2016</w:t>
      </w:r>
      <w:r w:rsidR="004F64E0" w:rsidRPr="004169CF">
        <w:rPr>
          <w:rFonts w:ascii="Arial" w:hAnsi="Arial" w:cs="Arial"/>
        </w:rPr>
        <w:t>.</w:t>
      </w:r>
    </w:p>
    <w:p w:rsidR="009A4DF8" w:rsidRPr="009C134A" w:rsidRDefault="009A4DF8" w:rsidP="009A4DF8">
      <w:pPr>
        <w:jc w:val="both"/>
        <w:rPr>
          <w:rFonts w:ascii="Arial" w:hAnsi="Arial" w:cs="Arial"/>
        </w:rPr>
      </w:pPr>
      <w:r w:rsidRPr="009C134A">
        <w:rPr>
          <w:rFonts w:ascii="Arial" w:hAnsi="Arial" w:cs="Arial"/>
        </w:rPr>
        <w:t>Les  autres cadres de concertation</w:t>
      </w:r>
    </w:p>
    <w:p w:rsidR="009A4DF8" w:rsidRPr="009C134A" w:rsidRDefault="009A4DF8" w:rsidP="00B92B11">
      <w:pPr>
        <w:pStyle w:val="Paragraphedeliste"/>
        <w:numPr>
          <w:ilvl w:val="0"/>
          <w:numId w:val="54"/>
        </w:numPr>
        <w:spacing w:before="120" w:after="120"/>
        <w:jc w:val="both"/>
        <w:rPr>
          <w:rFonts w:ascii="Arial" w:hAnsi="Arial" w:cs="Arial"/>
        </w:rPr>
      </w:pPr>
      <w:r w:rsidRPr="009C134A">
        <w:rPr>
          <w:rFonts w:ascii="Arial" w:hAnsi="Arial" w:cs="Arial"/>
        </w:rPr>
        <w:t>la 4e session des consultations bilatérales Burkina-Japon, le 15 novembre 2016 à Ouagadougou ;</w:t>
      </w:r>
    </w:p>
    <w:p w:rsidR="009A4DF8" w:rsidRPr="009C134A" w:rsidRDefault="009A4DF8" w:rsidP="00B92B11">
      <w:pPr>
        <w:pStyle w:val="Paragraphedeliste"/>
        <w:numPr>
          <w:ilvl w:val="0"/>
          <w:numId w:val="54"/>
        </w:numPr>
        <w:spacing w:before="120" w:after="120"/>
        <w:jc w:val="both"/>
        <w:rPr>
          <w:rFonts w:ascii="Arial" w:hAnsi="Arial" w:cs="Arial"/>
        </w:rPr>
      </w:pPr>
      <w:r w:rsidRPr="009C134A">
        <w:rPr>
          <w:rFonts w:ascii="Arial" w:hAnsi="Arial" w:cs="Arial"/>
        </w:rPr>
        <w:t>Participation du Burkina Faso à la réunion préparatoire des Ministres de la TICAD VI du 15 au 17 juin 2016 à Banjul ;</w:t>
      </w:r>
    </w:p>
    <w:p w:rsidR="009A4DF8" w:rsidRPr="009C134A" w:rsidRDefault="009A4DF8" w:rsidP="00B92B11">
      <w:pPr>
        <w:pStyle w:val="Paragraphedeliste"/>
        <w:numPr>
          <w:ilvl w:val="0"/>
          <w:numId w:val="54"/>
        </w:numPr>
        <w:spacing w:before="120" w:after="120"/>
        <w:jc w:val="both"/>
        <w:rPr>
          <w:rFonts w:ascii="Arial" w:hAnsi="Arial" w:cs="Arial"/>
        </w:rPr>
      </w:pPr>
      <w:r w:rsidRPr="009C134A">
        <w:rPr>
          <w:rFonts w:ascii="Arial" w:hAnsi="Arial" w:cs="Arial"/>
        </w:rPr>
        <w:t>Participation au 11è conclave Inde-Afrique, les 14 et 15 mars 2016 à New Delhi ;</w:t>
      </w:r>
    </w:p>
    <w:p w:rsidR="009A4DF8" w:rsidRPr="009C134A" w:rsidRDefault="009A4DF8" w:rsidP="00B92B11">
      <w:pPr>
        <w:pStyle w:val="Paragraphedeliste"/>
        <w:numPr>
          <w:ilvl w:val="0"/>
          <w:numId w:val="54"/>
        </w:numPr>
        <w:spacing w:before="120" w:after="120"/>
        <w:jc w:val="both"/>
        <w:rPr>
          <w:rFonts w:ascii="Arial" w:hAnsi="Arial" w:cs="Arial"/>
        </w:rPr>
      </w:pPr>
      <w:r w:rsidRPr="009C134A">
        <w:rPr>
          <w:rFonts w:ascii="Arial" w:hAnsi="Arial" w:cs="Arial"/>
        </w:rPr>
        <w:t>Participation du Burkina Faso à la réunion des experts, préparatoire à la TICAD VI, les 14 et 15 mars 2016 à Djibouti</w:t>
      </w:r>
    </w:p>
    <w:p w:rsidR="009A4DF8" w:rsidRPr="009C134A" w:rsidRDefault="009A4DF8" w:rsidP="00B92B11">
      <w:pPr>
        <w:pStyle w:val="Paragraphedeliste"/>
        <w:numPr>
          <w:ilvl w:val="0"/>
          <w:numId w:val="54"/>
        </w:numPr>
        <w:spacing w:before="120" w:after="120"/>
        <w:jc w:val="both"/>
        <w:rPr>
          <w:rFonts w:ascii="Arial" w:hAnsi="Arial" w:cs="Arial"/>
        </w:rPr>
      </w:pPr>
      <w:r w:rsidRPr="009C134A">
        <w:rPr>
          <w:rFonts w:ascii="Arial" w:hAnsi="Arial" w:cs="Arial"/>
        </w:rPr>
        <w:t>Participation du Burkina Faso à la TICAD VI, les 27 et 28 août 2016 Nairobi.</w:t>
      </w:r>
    </w:p>
    <w:p w:rsidR="009A4DF8" w:rsidRPr="00D234CC" w:rsidRDefault="009A4DF8" w:rsidP="00D234CC">
      <w:pPr>
        <w:pStyle w:val="Titre5"/>
      </w:pPr>
      <w:bookmarkStart w:id="198" w:name="_Toc424710981"/>
      <w:bookmarkStart w:id="199" w:name="_Toc427009732"/>
      <w:bookmarkStart w:id="200" w:name="_Toc459122820"/>
      <w:r w:rsidRPr="00D234CC">
        <w:t>2.2.3.6. Les revues de portefeuilles des projets et programmes de développement</w:t>
      </w:r>
      <w:bookmarkEnd w:id="198"/>
      <w:bookmarkEnd w:id="199"/>
      <w:bookmarkEnd w:id="200"/>
      <w:r w:rsidRPr="00D234CC">
        <w:t xml:space="preserve"> </w:t>
      </w:r>
    </w:p>
    <w:p w:rsidR="009A4DF8" w:rsidRPr="009C134A" w:rsidRDefault="009A4DF8" w:rsidP="009A4DF8">
      <w:pPr>
        <w:jc w:val="both"/>
        <w:rPr>
          <w:rFonts w:ascii="Arial" w:hAnsi="Arial" w:cs="Arial"/>
        </w:rPr>
      </w:pPr>
      <w:r w:rsidRPr="009C134A">
        <w:rPr>
          <w:rFonts w:ascii="Arial" w:hAnsi="Arial" w:cs="Arial"/>
        </w:rPr>
        <w:t>Les revues des portefeuilles sont organisées de façon périodique et conjointe entre le Gouvernement et les PTF afin d’assurer un suivi rapproché et rigoureux des projets et programmes de développement. Elles visent les objectifs suivants : (i) évaluer la performance des portefeuilles des projets et programmes de développement, (ii) examiner les difficultés rencontrées dans la mise en œuvre des projets et programmes de développement ;(iii) proposer des solutions qui permettront d’améliorer l’exécution des projets et programmes de développement, (iv) adopter un plan d’actions dont la mise en œuvre devrait permettre une exécution efficace et efficiente des projets et programmes.</w:t>
      </w:r>
    </w:p>
    <w:p w:rsidR="009A4DF8" w:rsidRPr="009C134A" w:rsidRDefault="009A4DF8" w:rsidP="009A4DF8">
      <w:pPr>
        <w:jc w:val="both"/>
        <w:rPr>
          <w:rFonts w:ascii="Arial" w:hAnsi="Arial" w:cs="Arial"/>
        </w:rPr>
      </w:pPr>
      <w:r w:rsidRPr="009C134A">
        <w:rPr>
          <w:rFonts w:ascii="Arial" w:hAnsi="Arial" w:cs="Arial"/>
        </w:rPr>
        <w:t xml:space="preserve">En 2016, neuf (9) revues de portefeuilles de projets et programmes ont été organisées. Il s’agit des revues du programme appuyé par la Facilité élargie de crédit 2014-2016 du Fonds monétaire </w:t>
      </w:r>
      <w:r w:rsidRPr="009C134A">
        <w:rPr>
          <w:rFonts w:ascii="Arial" w:hAnsi="Arial" w:cs="Arial"/>
        </w:rPr>
        <w:lastRenderedPageBreak/>
        <w:t>international (2 revues), de la Banque africaine de développement (2 revues), du Programme des Nations Unies pour le Développement, du Fonds des Nations Unies pour la Population (UNFPA), de la Banque Ouest Africaine de Développement, de la Coopération Suisse, conjointe BAD- Banque Mondial-FIDA.</w:t>
      </w:r>
    </w:p>
    <w:p w:rsidR="009A4DF8" w:rsidRPr="009C134A" w:rsidRDefault="009A4DF8" w:rsidP="00B92B11">
      <w:pPr>
        <w:pStyle w:val="Paragraphedeliste"/>
        <w:numPr>
          <w:ilvl w:val="0"/>
          <w:numId w:val="48"/>
        </w:numPr>
        <w:jc w:val="both"/>
        <w:rPr>
          <w:rFonts w:ascii="Arial" w:hAnsi="Arial" w:cs="Arial"/>
          <w:b/>
        </w:rPr>
      </w:pPr>
      <w:bookmarkStart w:id="201" w:name="_Toc424710982"/>
      <w:bookmarkStart w:id="202" w:name="_Toc427009733"/>
      <w:bookmarkStart w:id="203" w:name="_Toc456780115"/>
      <w:bookmarkStart w:id="204" w:name="_Toc459122821"/>
      <w:r w:rsidRPr="009C134A">
        <w:rPr>
          <w:rFonts w:ascii="Arial" w:hAnsi="Arial" w:cs="Arial"/>
          <w:b/>
        </w:rPr>
        <w:t>La revue du Fonds monétaire international</w:t>
      </w:r>
      <w:bookmarkEnd w:id="201"/>
      <w:bookmarkEnd w:id="202"/>
      <w:bookmarkEnd w:id="203"/>
      <w:bookmarkEnd w:id="204"/>
    </w:p>
    <w:p w:rsidR="009A4DF8" w:rsidRPr="009C134A" w:rsidRDefault="009A4DF8" w:rsidP="009A4DF8">
      <w:pPr>
        <w:jc w:val="both"/>
        <w:rPr>
          <w:rFonts w:ascii="Arial" w:hAnsi="Arial" w:cs="Arial"/>
        </w:rPr>
      </w:pPr>
      <w:r w:rsidRPr="009C134A">
        <w:rPr>
          <w:rFonts w:ascii="Arial" w:hAnsi="Arial" w:cs="Arial"/>
        </w:rPr>
        <w:t>Le programme appuyé par la Facilité élargie de crédit 2014-2016 du Fonds Monétaire International (FMI), a été approuvé par le Conseil d’Administration le 27 décembre 2013. Il vise à préserver la stabilité macroéconomique et à consolider les bases d'une croissance soutenue et inclusive en conformité avec les objectifs de développement.</w:t>
      </w:r>
    </w:p>
    <w:p w:rsidR="009A4DF8" w:rsidRPr="009C134A" w:rsidRDefault="009A4DF8" w:rsidP="009A4DF8">
      <w:pPr>
        <w:jc w:val="both"/>
        <w:rPr>
          <w:rFonts w:ascii="Arial" w:hAnsi="Arial" w:cs="Arial"/>
        </w:rPr>
      </w:pPr>
      <w:r w:rsidRPr="009C134A">
        <w:rPr>
          <w:rFonts w:ascii="Arial" w:hAnsi="Arial" w:cs="Arial"/>
        </w:rPr>
        <w:t>Dans le cadre de sa mise en œuvre, deux missions de revues semestrielles sont organisées chaque année en vue d’évaluer la performance de l’économie par rapport aux objectifs retenus. Cette évaluation régulière est suivie de près par les autres bailleurs de fonds et sert de déclencheur à leurs appuis budgétaires.</w:t>
      </w:r>
    </w:p>
    <w:p w:rsidR="009A4DF8" w:rsidRPr="009C134A" w:rsidRDefault="009A4DF8" w:rsidP="009A4DF8">
      <w:pPr>
        <w:jc w:val="both"/>
        <w:rPr>
          <w:rFonts w:ascii="Arial" w:hAnsi="Arial" w:cs="Arial"/>
        </w:rPr>
      </w:pPr>
      <w:r w:rsidRPr="009C134A">
        <w:rPr>
          <w:rFonts w:ascii="Arial" w:hAnsi="Arial" w:cs="Arial"/>
        </w:rPr>
        <w:t>Ainsi, les quatrième et cinquième revues de ce programme triennal se sont tenues concomitamment du 28 mars au 08 avril 2016 à Ouagadougou. Les conclusions de ces revues ont été approuvées par le Conseil d’Administration du FMI en sa session du 16 juin 2016. Ce qui a permis à notre pays d’obtenir un décaissement additionnel d’un montant de 18,57 millions de DTS (15,23 milliards de FCFA). Par ailleurs, le Conseil d’Administration du FMI a aussi approuvé la requête du Gouvernement pour une augmentation de la limite sur le critère de performance continu, relatif à l’endettement non concessionnel de 200 milliards de FCFA à 230 milliards de FCFA.</w:t>
      </w:r>
    </w:p>
    <w:p w:rsidR="009A4DF8" w:rsidRPr="009C134A" w:rsidRDefault="009A4DF8" w:rsidP="009A4DF8">
      <w:pPr>
        <w:jc w:val="both"/>
        <w:rPr>
          <w:rFonts w:ascii="Arial" w:hAnsi="Arial" w:cs="Arial"/>
        </w:rPr>
      </w:pPr>
      <w:r w:rsidRPr="009C134A">
        <w:rPr>
          <w:rFonts w:ascii="Arial" w:hAnsi="Arial" w:cs="Arial"/>
        </w:rPr>
        <w:t>C’est dans le cadre de la deuxième évaluation de l’année 2016, que la sixième revue du programme appuyé par la Facilité élargie de crédit 2014-2016 du FMI, a été organisée.  Cette revue a permis d’examiner d’une part la situation d’exécution des repères structurels et critères quantitatifs et d’autre part d’évaluer l’évolution de la situation économique à fin juin 2016, les estimations pour le second semestre 2016 ainsi que les prévisions à court et moyen termes. Cette dernière a consacré le décaissement de la dernière tranche pour 2016 (3,77 milliards de FCFA), ce qui porte à 19,01 milliards de FCFA la contribution financière totale du FMI pour l’année 2016.</w:t>
      </w:r>
    </w:p>
    <w:p w:rsidR="009A4DF8" w:rsidRPr="009C134A" w:rsidRDefault="009A4DF8" w:rsidP="00B92B11">
      <w:pPr>
        <w:pStyle w:val="Paragraphedeliste"/>
        <w:numPr>
          <w:ilvl w:val="0"/>
          <w:numId w:val="48"/>
        </w:numPr>
        <w:jc w:val="both"/>
        <w:rPr>
          <w:rFonts w:ascii="Arial" w:hAnsi="Arial" w:cs="Arial"/>
          <w:b/>
        </w:rPr>
      </w:pPr>
      <w:r w:rsidRPr="009C134A">
        <w:rPr>
          <w:rFonts w:ascii="Arial" w:hAnsi="Arial" w:cs="Arial"/>
          <w:b/>
        </w:rPr>
        <w:t>Revue du Programme de Coopération Burkina Faso/UNFPA</w:t>
      </w:r>
    </w:p>
    <w:p w:rsidR="009A4DF8" w:rsidRPr="009C134A" w:rsidRDefault="009A4DF8" w:rsidP="009A4DF8">
      <w:pPr>
        <w:jc w:val="both"/>
        <w:rPr>
          <w:rFonts w:ascii="Arial" w:hAnsi="Arial" w:cs="Arial"/>
        </w:rPr>
      </w:pPr>
      <w:r w:rsidRPr="009C134A">
        <w:rPr>
          <w:rFonts w:ascii="Arial" w:hAnsi="Arial" w:cs="Arial"/>
        </w:rPr>
        <w:t xml:space="preserve">Au 15 décembre 2016, le niveau d’exécution physique des activités était estimé à 86% et cela grâce aux efforts consentis par l’ensemble des acteurs. Au plan financier, sur une prévision de financement de 4,17 milliards de FCFA pour la mise en œuvre des activités, 3,7 milliards ont été mobilisés soit un taux d’exécution financier de 94%. </w:t>
      </w:r>
    </w:p>
    <w:p w:rsidR="009A4DF8" w:rsidRPr="009C134A" w:rsidRDefault="009A4DF8" w:rsidP="009A4DF8">
      <w:pPr>
        <w:jc w:val="both"/>
        <w:rPr>
          <w:rFonts w:ascii="Arial" w:hAnsi="Arial" w:cs="Arial"/>
        </w:rPr>
      </w:pPr>
      <w:r w:rsidRPr="009C134A">
        <w:rPr>
          <w:rFonts w:ascii="Arial" w:hAnsi="Arial" w:cs="Arial"/>
        </w:rPr>
        <w:t xml:space="preserve">Cependant, des difficultés et contraintes ont été rencontrées. Il s’agit entre autres, de l’inadaptation des procédures financières du programme aux textes règlementaires régissant la prise en charge de certaines de ses activités majeures telles que les audiences foraines et de l’allocation tardive des ressources pour la mise en œuvre des activités. En outre, la forte mobilité du personnel au niveau de certaines structures bénéficiaires constitue également une contrainte réelle: personnel de santé, des Directions régionales de l’économie et de la planification et des centres jeunes. </w:t>
      </w:r>
    </w:p>
    <w:p w:rsidR="009A4DF8" w:rsidRPr="009C134A" w:rsidRDefault="009A4DF8" w:rsidP="00B92B11">
      <w:pPr>
        <w:pStyle w:val="Paragraphedeliste"/>
        <w:numPr>
          <w:ilvl w:val="0"/>
          <w:numId w:val="55"/>
        </w:numPr>
        <w:jc w:val="both"/>
        <w:rPr>
          <w:rFonts w:ascii="Arial" w:hAnsi="Arial" w:cs="Arial"/>
          <w:b/>
        </w:rPr>
      </w:pPr>
      <w:r w:rsidRPr="009C134A">
        <w:rPr>
          <w:rFonts w:ascii="Arial" w:hAnsi="Arial" w:cs="Arial"/>
          <w:b/>
        </w:rPr>
        <w:t>Participation à la revue conjointe BAD, Banque Mondiale et FIDA</w:t>
      </w:r>
    </w:p>
    <w:p w:rsidR="009A4DF8" w:rsidRPr="009C134A" w:rsidRDefault="009A4DF8" w:rsidP="009A4DF8">
      <w:pPr>
        <w:spacing w:before="120" w:after="240"/>
        <w:jc w:val="both"/>
        <w:rPr>
          <w:rFonts w:ascii="Arial" w:hAnsi="Arial" w:cs="Arial"/>
        </w:rPr>
      </w:pPr>
      <w:r w:rsidRPr="009C134A">
        <w:rPr>
          <w:rFonts w:ascii="Arial" w:hAnsi="Arial" w:cs="Arial"/>
        </w:rPr>
        <w:t xml:space="preserve">Dans le but de donner une place de choix concerté au suivi rapproché de l’exécution des projets et programmes, la Banque africaine de développement (BAD), la Banque mondiale (BM) et le Fonds </w:t>
      </w:r>
      <w:r w:rsidRPr="009C134A">
        <w:rPr>
          <w:rFonts w:ascii="Arial" w:hAnsi="Arial" w:cs="Arial"/>
        </w:rPr>
        <w:lastRenderedPageBreak/>
        <w:t>international pour le développement agricole (FIDA) en synergie avec le Gouvernement du Burkina Faso se sont accordés sur l’organisation périodique de revues des portefeuilles. L’objectif visé est d’évaluer la performance globale des portefeuilles en cours et d’identifier des actions spécifiques pour améliorer les indicateurs d’exécution.</w:t>
      </w:r>
    </w:p>
    <w:p w:rsidR="009A4DF8" w:rsidRPr="009C134A" w:rsidRDefault="00A033CD" w:rsidP="009A4DF8">
      <w:pPr>
        <w:spacing w:before="120" w:after="0"/>
        <w:jc w:val="both"/>
        <w:rPr>
          <w:rFonts w:ascii="Arial" w:hAnsi="Arial" w:cs="Arial"/>
        </w:rPr>
      </w:pPr>
      <w:r w:rsidRPr="00A033CD">
        <w:rPr>
          <w:rFonts w:ascii="Arial" w:hAnsi="Arial" w:cs="Arial"/>
        </w:rPr>
        <w:t>La</w:t>
      </w:r>
      <w:r w:rsidR="009A4DF8" w:rsidRPr="009C134A">
        <w:rPr>
          <w:rFonts w:ascii="Arial" w:hAnsi="Arial" w:cs="Arial"/>
        </w:rPr>
        <w:t xml:space="preserve"> revue organisée en mars 2016 est parvenue à faire ressortir les difficultés majeures et récurrentes ainsi qu’un projet de plan d’action global de mise en œuvre des recommandations</w:t>
      </w:r>
      <w:r w:rsidR="009A4DF8" w:rsidRPr="009C134A">
        <w:rPr>
          <w:rFonts w:ascii="Arial" w:hAnsi="Arial" w:cs="Arial"/>
          <w:color w:val="0070C0"/>
        </w:rPr>
        <w:t xml:space="preserve">. </w:t>
      </w:r>
      <w:r w:rsidR="009A4DF8" w:rsidRPr="009C134A">
        <w:rPr>
          <w:rFonts w:ascii="Arial" w:hAnsi="Arial" w:cs="Arial"/>
        </w:rPr>
        <w:t>Au titre des entraves à la bonne exécution des projets/programmes, il ressort parmi tant d’autres les lourdeurs des procédures de passation des marchés, la défaillance de certains prestataires de services et des travaux, les insuffisances observées sur tout le circuit du système de suivi-évaluation et la lenteur dans la mise en vigueur des accords de financement dans les délais requis. En ce qui concerne le projet de plan d’action global, il est convenu de mettre en place un comité conjoint de suivi de la mise en œuvre des recommandations des revues. </w:t>
      </w:r>
    </w:p>
    <w:p w:rsidR="009A4DF8" w:rsidRPr="009C134A" w:rsidRDefault="009A4DF8" w:rsidP="009A4DF8">
      <w:pPr>
        <w:spacing w:after="0"/>
        <w:jc w:val="both"/>
        <w:rPr>
          <w:rFonts w:ascii="Arial" w:hAnsi="Arial" w:cs="Arial"/>
          <w:color w:val="0070C0"/>
        </w:rPr>
      </w:pPr>
    </w:p>
    <w:p w:rsidR="009A4DF8" w:rsidRPr="009C134A" w:rsidRDefault="009A4DF8" w:rsidP="00B92B11">
      <w:pPr>
        <w:pStyle w:val="Paragraphedeliste"/>
        <w:numPr>
          <w:ilvl w:val="0"/>
          <w:numId w:val="55"/>
        </w:numPr>
        <w:jc w:val="both"/>
        <w:rPr>
          <w:rFonts w:ascii="Arial" w:hAnsi="Arial" w:cs="Arial"/>
          <w:b/>
        </w:rPr>
      </w:pPr>
      <w:r w:rsidRPr="009C134A">
        <w:rPr>
          <w:rFonts w:ascii="Arial" w:hAnsi="Arial" w:cs="Arial"/>
          <w:b/>
        </w:rPr>
        <w:t>Mission de la Banque africaine de développement</w:t>
      </w:r>
    </w:p>
    <w:p w:rsidR="009A4DF8" w:rsidRPr="009C134A" w:rsidRDefault="009A4DF8" w:rsidP="009A4DF8">
      <w:pPr>
        <w:jc w:val="both"/>
        <w:rPr>
          <w:rFonts w:ascii="Arial" w:hAnsi="Arial" w:cs="Arial"/>
        </w:rPr>
      </w:pPr>
      <w:r w:rsidRPr="009C134A">
        <w:rPr>
          <w:rFonts w:ascii="Arial" w:hAnsi="Arial" w:cs="Arial"/>
        </w:rPr>
        <w:t>Au cours de l’année 2016, la Banque africaine de développement en collaboration avec le ministère en charge de l’économie a tenu deux (02) revues.</w:t>
      </w:r>
    </w:p>
    <w:p w:rsidR="009A4DF8" w:rsidRPr="009C134A" w:rsidRDefault="009A4DF8" w:rsidP="009A4DF8">
      <w:pPr>
        <w:jc w:val="both"/>
        <w:rPr>
          <w:rFonts w:ascii="Arial" w:hAnsi="Arial" w:cs="Arial"/>
        </w:rPr>
      </w:pPr>
      <w:r w:rsidRPr="009C134A">
        <w:rPr>
          <w:rFonts w:ascii="Arial" w:hAnsi="Arial" w:cs="Arial"/>
        </w:rPr>
        <w:t>La première revue qui s’est tenue à la fin du premier trimestre a porté sur l’achèvement du Document de stratégie Pays (DSP 2012-2016). Cette revue a par ailleurs été marquée par l’évaluation de la performance du portefeuille de projets et programmes financés par la Banque.</w:t>
      </w:r>
    </w:p>
    <w:p w:rsidR="009A4DF8" w:rsidRPr="009C134A" w:rsidRDefault="009A4DF8" w:rsidP="009A4DF8">
      <w:pPr>
        <w:jc w:val="both"/>
        <w:rPr>
          <w:rFonts w:ascii="Arial" w:hAnsi="Arial" w:cs="Arial"/>
        </w:rPr>
      </w:pPr>
      <w:r w:rsidRPr="009C134A">
        <w:rPr>
          <w:rFonts w:ascii="Arial" w:hAnsi="Arial" w:cs="Arial"/>
        </w:rPr>
        <w:t>Il est ressorti que la mise en œuvre du DSP s’est faite dans un climat marqué par des fortes tensions politiques et des ruptures institutionnelles. Malgré ce contexte difficile, l’exécution du DSP a été globalement satisfaisante eu égard au nombre de projets financés. En effet, sur seize projets initialement prévus, onze ont été mis en œuvre pour un montant estimé à 444,23 millions d’UC soit 364,69 milliards de FCFA.</w:t>
      </w:r>
    </w:p>
    <w:p w:rsidR="009A4DF8" w:rsidRPr="009C134A" w:rsidRDefault="009A4DF8" w:rsidP="009A4DF8">
      <w:pPr>
        <w:jc w:val="both"/>
        <w:rPr>
          <w:rFonts w:ascii="Arial" w:hAnsi="Arial" w:cs="Arial"/>
        </w:rPr>
      </w:pPr>
      <w:r w:rsidRPr="009C134A">
        <w:rPr>
          <w:rFonts w:ascii="Arial" w:hAnsi="Arial" w:cs="Arial"/>
        </w:rPr>
        <w:t>Au 30 avril 2016, le portefeuille actif de la BAD comprenait quinze opérations dont onze nationaux et quatre régionaux. La seule opération du secteur privé est une ligne de crédit accordé à la société Fidelis Finance. En termes de performance, le taux cumulé du portefeuille s’est établi à 32% pour un âge moyen des projets de 3,1 ans.</w:t>
      </w:r>
    </w:p>
    <w:p w:rsidR="009A4DF8" w:rsidRPr="009C134A" w:rsidRDefault="009A4DF8" w:rsidP="009A4DF8">
      <w:pPr>
        <w:jc w:val="both"/>
        <w:rPr>
          <w:rFonts w:ascii="Arial" w:hAnsi="Arial" w:cs="Arial"/>
        </w:rPr>
      </w:pPr>
      <w:r w:rsidRPr="009C134A">
        <w:rPr>
          <w:rFonts w:ascii="Arial" w:hAnsi="Arial" w:cs="Arial"/>
        </w:rPr>
        <w:t>A l’issue de cette revue à l’achèvement du DSP, la BAD a convenu avec les autorités burkinabè que ses interventions au Burkina Faso sur la période 2017-2021 seront axées sur deux piliers que sont :</w:t>
      </w:r>
    </w:p>
    <w:p w:rsidR="009A4DF8" w:rsidRPr="009C134A" w:rsidRDefault="009A4DF8" w:rsidP="00B92B11">
      <w:pPr>
        <w:pStyle w:val="Paragraphedeliste"/>
        <w:numPr>
          <w:ilvl w:val="0"/>
          <w:numId w:val="49"/>
        </w:numPr>
        <w:spacing w:after="160"/>
        <w:jc w:val="both"/>
        <w:rPr>
          <w:rFonts w:ascii="Arial" w:hAnsi="Arial" w:cs="Arial"/>
        </w:rPr>
      </w:pPr>
      <w:r w:rsidRPr="009C134A">
        <w:rPr>
          <w:rFonts w:ascii="Arial" w:hAnsi="Arial" w:cs="Arial"/>
        </w:rPr>
        <w:t>la promotion de l’accès à l’énergie ;</w:t>
      </w:r>
    </w:p>
    <w:p w:rsidR="009A4DF8" w:rsidRPr="009C134A" w:rsidRDefault="009A4DF8" w:rsidP="00B92B11">
      <w:pPr>
        <w:pStyle w:val="Paragraphedeliste"/>
        <w:numPr>
          <w:ilvl w:val="0"/>
          <w:numId w:val="49"/>
        </w:numPr>
        <w:spacing w:after="160"/>
        <w:jc w:val="both"/>
        <w:rPr>
          <w:rFonts w:ascii="Arial" w:hAnsi="Arial" w:cs="Arial"/>
        </w:rPr>
      </w:pPr>
      <w:r w:rsidRPr="009C134A">
        <w:rPr>
          <w:rFonts w:ascii="Arial" w:hAnsi="Arial" w:cs="Arial"/>
        </w:rPr>
        <w:t>la promotion des infrastructures de transformation structurelle.</w:t>
      </w:r>
    </w:p>
    <w:p w:rsidR="009A4DF8" w:rsidRPr="009C134A" w:rsidRDefault="009A4DF8" w:rsidP="009A4DF8">
      <w:pPr>
        <w:jc w:val="both"/>
        <w:rPr>
          <w:rFonts w:ascii="Arial" w:hAnsi="Arial" w:cs="Arial"/>
        </w:rPr>
      </w:pPr>
      <w:r w:rsidRPr="009C134A">
        <w:rPr>
          <w:rFonts w:ascii="Arial" w:hAnsi="Arial" w:cs="Arial"/>
        </w:rPr>
        <w:t>Ces deux piliers devraient davantage être examinés en vue de finaliser le Document de stratégie pays DSP 2017-2021.</w:t>
      </w:r>
    </w:p>
    <w:p w:rsidR="009A4DF8" w:rsidRPr="009C134A" w:rsidRDefault="009A4DF8" w:rsidP="009A4DF8">
      <w:pPr>
        <w:jc w:val="both"/>
        <w:rPr>
          <w:rFonts w:ascii="Arial" w:hAnsi="Arial" w:cs="Arial"/>
        </w:rPr>
      </w:pPr>
      <w:r w:rsidRPr="009C134A">
        <w:rPr>
          <w:rFonts w:ascii="Arial" w:hAnsi="Arial" w:cs="Arial"/>
        </w:rPr>
        <w:t>La deuxième revue s’est tenue en octobre 2016 et a eu pour objectifs l’évaluation des résultats atteints et les échanges sur les contraintes qui compromettent les performances dans le processus de mise en œuvre des opérations de la Banque. Ainsi, le portefeuille à fin septembre comportait seize (16) projets actifs pour un montant estimé à 366,65 millions d’Unités de compte soit plus de 301 milliards de francs CFA.</w:t>
      </w:r>
    </w:p>
    <w:p w:rsidR="009A4DF8" w:rsidRPr="009C134A" w:rsidRDefault="009A4DF8" w:rsidP="009A4DF8">
      <w:pPr>
        <w:jc w:val="both"/>
        <w:rPr>
          <w:rFonts w:ascii="Arial" w:hAnsi="Arial" w:cs="Arial"/>
        </w:rPr>
      </w:pPr>
      <w:r w:rsidRPr="009C134A">
        <w:rPr>
          <w:rFonts w:ascii="Arial" w:hAnsi="Arial" w:cs="Arial"/>
        </w:rPr>
        <w:t xml:space="preserve">Les problèmes récurrents mentionnés lors de cette revue ont eu trait en grande partie au long processus de passation des marchés, la faible capacité de certaines entreprises et le retard dans le </w:t>
      </w:r>
      <w:r w:rsidRPr="009C134A">
        <w:rPr>
          <w:rFonts w:ascii="Arial" w:hAnsi="Arial" w:cs="Arial"/>
        </w:rPr>
        <w:lastRenderedPageBreak/>
        <w:t>paiement de la contrepartie nationale sur les marchés des entreprises chargées d’exécuter les travaux d’assainissement pluvial.</w:t>
      </w:r>
    </w:p>
    <w:p w:rsidR="009A4DF8" w:rsidRPr="009C134A" w:rsidRDefault="009A4DF8" w:rsidP="009A4DF8">
      <w:pPr>
        <w:jc w:val="both"/>
        <w:rPr>
          <w:rFonts w:ascii="Arial" w:hAnsi="Arial" w:cs="Arial"/>
        </w:rPr>
      </w:pPr>
      <w:r w:rsidRPr="009C134A">
        <w:rPr>
          <w:rFonts w:ascii="Arial" w:hAnsi="Arial" w:cs="Arial"/>
        </w:rPr>
        <w:t>A l’issue de la deuxième revue, un répertoire des difficultés rencontrées a été élaboré assorti de pistes de solutions et des échéances de mise en œuvre des mesures tout en responsabilisant les structures concernées.</w:t>
      </w:r>
    </w:p>
    <w:p w:rsidR="009A4DF8" w:rsidRPr="009C134A" w:rsidRDefault="009A4DF8" w:rsidP="00B92B11">
      <w:pPr>
        <w:pStyle w:val="Paragraphedeliste"/>
        <w:numPr>
          <w:ilvl w:val="0"/>
          <w:numId w:val="55"/>
        </w:numPr>
        <w:jc w:val="both"/>
        <w:rPr>
          <w:rFonts w:ascii="Arial" w:hAnsi="Arial" w:cs="Arial"/>
          <w:b/>
        </w:rPr>
      </w:pPr>
      <w:r w:rsidRPr="009C134A">
        <w:rPr>
          <w:rFonts w:ascii="Arial" w:hAnsi="Arial" w:cs="Arial"/>
          <w:b/>
        </w:rPr>
        <w:t>Revue du portefeuille de la BOAD</w:t>
      </w:r>
    </w:p>
    <w:p w:rsidR="009A4DF8" w:rsidRPr="009C134A" w:rsidRDefault="009A4DF8" w:rsidP="009A4DF8">
      <w:pPr>
        <w:spacing w:after="0"/>
        <w:jc w:val="both"/>
        <w:rPr>
          <w:rFonts w:ascii="Arial" w:hAnsi="Arial" w:cs="Arial"/>
        </w:rPr>
      </w:pPr>
      <w:r w:rsidRPr="009C134A">
        <w:rPr>
          <w:rFonts w:ascii="Arial" w:hAnsi="Arial" w:cs="Arial"/>
        </w:rPr>
        <w:t>Le gouvernement du Burkina Faso a organisé en fin d’année 2016, en collaboration avec la Banque ouest africaine de développement (BOAD), une revue du portefeuille des opérations de la Banque. Cette revue a permis d’examiner avec tous les acteurs les progrès enregistrés et de déceler l’ensemble des contraintes qui plombent les performances des projets et programmes de développement. En matière de performance, le taux de décaissement au 31 octobre 2016 a été estimé à l’ordre de 27%. Ce niveau de taux de décaissement est jugé faible. De ce fait, les participants ont proposé des mesures devant améliorer significativement l’absorption des ressources mobilisées. Il s’agit :</w:t>
      </w:r>
    </w:p>
    <w:p w:rsidR="009A4DF8" w:rsidRPr="009C134A" w:rsidRDefault="009A4DF8" w:rsidP="00B92B11">
      <w:pPr>
        <w:numPr>
          <w:ilvl w:val="0"/>
          <w:numId w:val="51"/>
        </w:numPr>
        <w:spacing w:after="0"/>
        <w:jc w:val="both"/>
        <w:rPr>
          <w:rFonts w:ascii="Arial" w:hAnsi="Arial" w:cs="Arial"/>
        </w:rPr>
      </w:pPr>
      <w:r w:rsidRPr="009C134A">
        <w:rPr>
          <w:rFonts w:ascii="Arial" w:hAnsi="Arial" w:cs="Arial"/>
        </w:rPr>
        <w:t>de l’institutionnalisation des revues périodiques de performance du portefeuille à l’interne  et partager les bonnes pratiques entre les différents projets ;</w:t>
      </w:r>
    </w:p>
    <w:p w:rsidR="009A4DF8" w:rsidRPr="009C134A" w:rsidRDefault="009A4DF8" w:rsidP="00B92B11">
      <w:pPr>
        <w:numPr>
          <w:ilvl w:val="0"/>
          <w:numId w:val="51"/>
        </w:numPr>
        <w:spacing w:after="0"/>
        <w:jc w:val="both"/>
        <w:rPr>
          <w:rFonts w:ascii="Arial" w:hAnsi="Arial" w:cs="Arial"/>
        </w:rPr>
      </w:pPr>
      <w:r w:rsidRPr="009C134A">
        <w:rPr>
          <w:rFonts w:ascii="Arial" w:hAnsi="Arial" w:cs="Arial"/>
        </w:rPr>
        <w:t>du renforcement de la collaboration avec le bureau de la banque au Burkina Faso dont la mission principale est d’apporter toute son assistance aux projets ;</w:t>
      </w:r>
    </w:p>
    <w:p w:rsidR="009A4DF8" w:rsidRPr="009C134A" w:rsidRDefault="009A4DF8" w:rsidP="00B92B11">
      <w:pPr>
        <w:numPr>
          <w:ilvl w:val="0"/>
          <w:numId w:val="51"/>
        </w:numPr>
        <w:spacing w:after="0"/>
        <w:jc w:val="both"/>
        <w:rPr>
          <w:rFonts w:ascii="Arial" w:hAnsi="Arial" w:cs="Arial"/>
        </w:rPr>
      </w:pPr>
      <w:r w:rsidRPr="009C134A">
        <w:rPr>
          <w:rFonts w:ascii="Arial" w:hAnsi="Arial" w:cs="Arial"/>
        </w:rPr>
        <w:t xml:space="preserve">de la poursuite selon les besoins, des formations groupées ou même ciblées pour renforcer les capacités des agents d’exécution des projets sur les politiques, règles et procédures de la BOAD. </w:t>
      </w:r>
    </w:p>
    <w:p w:rsidR="009A4DF8" w:rsidRPr="009C134A" w:rsidRDefault="009A4DF8" w:rsidP="009A4DF8">
      <w:pPr>
        <w:jc w:val="both"/>
        <w:rPr>
          <w:rFonts w:ascii="Arial" w:hAnsi="Arial" w:cs="Arial"/>
        </w:rPr>
      </w:pPr>
      <w:r w:rsidRPr="009C134A">
        <w:rPr>
          <w:rFonts w:ascii="Arial" w:hAnsi="Arial" w:cs="Arial"/>
        </w:rPr>
        <w:t>Les principales difficultés identifiées demeurent la problématique des marchés publics, la défaillance des certains prestataires et le long temps mis pour l’obtention des avis de non objection (ANO) de la BOAD.</w:t>
      </w:r>
    </w:p>
    <w:p w:rsidR="009A4DF8" w:rsidRPr="009C134A" w:rsidRDefault="009A4DF8" w:rsidP="00B92B11">
      <w:pPr>
        <w:pStyle w:val="Corpsdetexte2"/>
        <w:numPr>
          <w:ilvl w:val="0"/>
          <w:numId w:val="55"/>
        </w:numPr>
        <w:spacing w:before="120" w:line="240" w:lineRule="auto"/>
        <w:rPr>
          <w:rFonts w:ascii="Arial" w:hAnsi="Arial" w:cs="Arial"/>
          <w:b/>
        </w:rPr>
      </w:pPr>
      <w:r w:rsidRPr="009C134A">
        <w:rPr>
          <w:rFonts w:ascii="Arial" w:hAnsi="Arial" w:cs="Arial"/>
          <w:b/>
        </w:rPr>
        <w:t>Revue du portefeuille des projets et programmes financés la Coopération Suisse</w:t>
      </w:r>
    </w:p>
    <w:p w:rsidR="009A4DF8" w:rsidRPr="009C134A" w:rsidRDefault="009A4DF8" w:rsidP="009A4DF8">
      <w:pPr>
        <w:jc w:val="both"/>
        <w:rPr>
          <w:rFonts w:ascii="Arial" w:hAnsi="Arial" w:cs="Arial"/>
        </w:rPr>
      </w:pPr>
      <w:r w:rsidRPr="009C134A">
        <w:rPr>
          <w:rFonts w:ascii="Arial" w:hAnsi="Arial" w:cs="Arial"/>
        </w:rPr>
        <w:t>Le 30 novembre 2016, il s’est tenu la revue de portefeuille des projets financés par la Coopération Suisse. La revue a permis d’examiner avec l’ensemble des acteurs, les progrès enregistrés dans la mise en œuvre des projets et programmes et d’échanger sur les difficultés qui limitent leurs performances. A cette date, le portefeuille comportait quinze (15) projets intervenant dans différents secteurs tels que la bonne gouvernance, le renforcement de la démocratie, la culture, l’éducation et le développement économique local. Le taux de décaissement global est ressorti à 48,22% au 30 novembre 2016 et a été jugé peu satisfaisant au regard des défis qui</w:t>
      </w:r>
      <w:r w:rsidRPr="009C134A">
        <w:rPr>
          <w:rFonts w:ascii="Arial" w:hAnsi="Arial" w:cs="Arial"/>
          <w:color w:val="0070C0"/>
        </w:rPr>
        <w:t xml:space="preserve"> </w:t>
      </w:r>
      <w:r w:rsidRPr="009C134A">
        <w:rPr>
          <w:rFonts w:ascii="Arial" w:hAnsi="Arial" w:cs="Arial"/>
        </w:rPr>
        <w:t>se présentent en termes de développement socioéconomique au Burkina Faso. Aux termes de la revue, des recommandations suivantes ont été faites :</w:t>
      </w:r>
    </w:p>
    <w:p w:rsidR="009A4DF8" w:rsidRPr="009C134A" w:rsidRDefault="009A4DF8" w:rsidP="00B92B11">
      <w:pPr>
        <w:pStyle w:val="Paragraphedeliste"/>
        <w:numPr>
          <w:ilvl w:val="0"/>
          <w:numId w:val="56"/>
        </w:numPr>
        <w:spacing w:after="0"/>
        <w:jc w:val="both"/>
        <w:rPr>
          <w:rFonts w:ascii="Arial" w:hAnsi="Arial" w:cs="Arial"/>
        </w:rPr>
      </w:pPr>
      <w:r w:rsidRPr="009C134A">
        <w:rPr>
          <w:rFonts w:ascii="Arial" w:hAnsi="Arial" w:cs="Arial"/>
        </w:rPr>
        <w:t>prévoir une séance de rencontre pour lever les difficultés liées à l’exonération;</w:t>
      </w:r>
    </w:p>
    <w:p w:rsidR="009A4DF8" w:rsidRPr="009C134A" w:rsidRDefault="009A4DF8" w:rsidP="00B92B11">
      <w:pPr>
        <w:pStyle w:val="Paragraphedeliste"/>
        <w:numPr>
          <w:ilvl w:val="0"/>
          <w:numId w:val="56"/>
        </w:numPr>
        <w:spacing w:after="0"/>
        <w:jc w:val="both"/>
        <w:rPr>
          <w:rFonts w:ascii="Arial" w:hAnsi="Arial" w:cs="Arial"/>
        </w:rPr>
      </w:pPr>
      <w:r w:rsidRPr="009C134A">
        <w:rPr>
          <w:rFonts w:ascii="Arial" w:hAnsi="Arial" w:cs="Arial"/>
        </w:rPr>
        <w:t>impliquer davantage les ministères de tutelle technique et financière dans la préparation du dossier d’accord de financement ;</w:t>
      </w:r>
    </w:p>
    <w:p w:rsidR="009A4DF8" w:rsidRPr="009C134A" w:rsidRDefault="009A4DF8" w:rsidP="00B92B11">
      <w:pPr>
        <w:pStyle w:val="Paragraphedeliste"/>
        <w:numPr>
          <w:ilvl w:val="0"/>
          <w:numId w:val="56"/>
        </w:numPr>
        <w:spacing w:after="0"/>
        <w:jc w:val="both"/>
        <w:rPr>
          <w:rFonts w:ascii="Arial" w:hAnsi="Arial" w:cs="Arial"/>
        </w:rPr>
      </w:pPr>
      <w:r w:rsidRPr="009C134A">
        <w:rPr>
          <w:rFonts w:ascii="Arial" w:hAnsi="Arial" w:cs="Arial"/>
        </w:rPr>
        <w:t>impliquer systématiquement les services centraux de suivi-évaluation et capitalisation des projets et programmes dans les instances de gouvernance ;</w:t>
      </w:r>
    </w:p>
    <w:p w:rsidR="009A4DF8" w:rsidRPr="009C134A" w:rsidRDefault="009A4DF8" w:rsidP="00B92B11">
      <w:pPr>
        <w:pStyle w:val="Paragraphedeliste"/>
        <w:numPr>
          <w:ilvl w:val="0"/>
          <w:numId w:val="56"/>
        </w:numPr>
        <w:spacing w:after="0"/>
        <w:jc w:val="both"/>
        <w:rPr>
          <w:rFonts w:ascii="Arial" w:hAnsi="Arial" w:cs="Arial"/>
        </w:rPr>
      </w:pPr>
      <w:r w:rsidRPr="009C134A">
        <w:rPr>
          <w:rFonts w:ascii="Arial" w:hAnsi="Arial" w:cs="Arial"/>
        </w:rPr>
        <w:t>s’assurer de la capacité des partenaires de mise en œuvre à anticiper et à maîtriser les procédures publiques ;</w:t>
      </w:r>
    </w:p>
    <w:p w:rsidR="009A4DF8" w:rsidRPr="009C134A" w:rsidRDefault="009A4DF8" w:rsidP="00B92B11">
      <w:pPr>
        <w:pStyle w:val="Paragraphedeliste"/>
        <w:numPr>
          <w:ilvl w:val="0"/>
          <w:numId w:val="56"/>
        </w:numPr>
        <w:spacing w:after="0"/>
        <w:jc w:val="both"/>
        <w:rPr>
          <w:rFonts w:ascii="Arial" w:hAnsi="Arial" w:cs="Arial"/>
        </w:rPr>
      </w:pPr>
      <w:r w:rsidRPr="009C134A">
        <w:rPr>
          <w:rFonts w:ascii="Arial" w:hAnsi="Arial" w:cs="Arial"/>
        </w:rPr>
        <w:t>mettre à la disposition des services techniques les ressources nécessaires pour un suivi/ accompagnement efficient des projets/ programmes ;</w:t>
      </w:r>
    </w:p>
    <w:p w:rsidR="003D6C65" w:rsidRPr="003D6C65" w:rsidRDefault="009A4DF8" w:rsidP="00383FA7">
      <w:pPr>
        <w:pStyle w:val="Paragraphedeliste"/>
        <w:numPr>
          <w:ilvl w:val="0"/>
          <w:numId w:val="56"/>
        </w:numPr>
        <w:spacing w:after="0"/>
        <w:jc w:val="both"/>
        <w:rPr>
          <w:rFonts w:ascii="Arial" w:hAnsi="Arial" w:cs="Arial"/>
          <w:b/>
        </w:rPr>
      </w:pPr>
      <w:r w:rsidRPr="003D6C65">
        <w:rPr>
          <w:rFonts w:ascii="Arial" w:hAnsi="Arial" w:cs="Arial"/>
        </w:rPr>
        <w:t>obtenir du Ministère de l’Economie, des Finances et du Développement une décision de sécurisation de la contrepartie nationale.</w:t>
      </w:r>
    </w:p>
    <w:p w:rsidR="004B2654" w:rsidRPr="003D6C65" w:rsidRDefault="00D92FFA" w:rsidP="003D6C65">
      <w:pPr>
        <w:spacing w:after="0"/>
        <w:ind w:left="360"/>
        <w:jc w:val="both"/>
        <w:rPr>
          <w:rFonts w:ascii="Arial" w:hAnsi="Arial" w:cs="Arial"/>
          <w:b/>
        </w:rPr>
      </w:pPr>
      <w:r w:rsidRPr="003D6C65">
        <w:rPr>
          <w:rFonts w:ascii="Arial" w:hAnsi="Arial" w:cs="Arial"/>
          <w:b/>
          <w:u w:val="single"/>
        </w:rPr>
        <w:lastRenderedPageBreak/>
        <w:t>Encadré N°2</w:t>
      </w:r>
      <w:r w:rsidRPr="003D6C65">
        <w:rPr>
          <w:rFonts w:ascii="Arial" w:hAnsi="Arial" w:cs="Arial"/>
          <w:b/>
        </w:rPr>
        <w:t>: les comités de pilotage</w:t>
      </w:r>
    </w:p>
    <w:p w:rsidR="004B2654" w:rsidRDefault="004B2654" w:rsidP="00383FA7">
      <w:pPr>
        <w:jc w:val="both"/>
        <w:rPr>
          <w:rFonts w:ascii="Arial" w:hAnsi="Arial" w:cs="Arial"/>
          <w:b/>
        </w:rPr>
      </w:pPr>
      <w:r w:rsidRPr="004B2654">
        <w:rPr>
          <w:rFonts w:ascii="Arial" w:hAnsi="Arial" w:cs="Arial"/>
          <w:b/>
          <w:noProof/>
          <w:u w:val="single"/>
          <w:lang w:eastAsia="fr-FR"/>
        </w:rPr>
        <mc:AlternateContent>
          <mc:Choice Requires="wps">
            <w:drawing>
              <wp:anchor distT="0" distB="0" distL="114300" distR="114300" simplePos="0" relativeHeight="251662336" behindDoc="0" locked="0" layoutInCell="1" allowOverlap="1" wp14:anchorId="34F24EC2" wp14:editId="4EC449BC">
                <wp:simplePos x="0" y="0"/>
                <wp:positionH relativeFrom="column">
                  <wp:posOffset>213360</wp:posOffset>
                </wp:positionH>
                <wp:positionV relativeFrom="paragraph">
                  <wp:posOffset>83820</wp:posOffset>
                </wp:positionV>
                <wp:extent cx="6038850" cy="7286625"/>
                <wp:effectExtent l="0" t="0" r="19050" b="2857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8850" cy="7286625"/>
                        </a:xfrm>
                        <a:prstGeom prst="rect">
                          <a:avLst/>
                        </a:prstGeom>
                        <a:ln>
                          <a:headEnd/>
                          <a:tailEnd/>
                        </a:ln>
                      </wps:spPr>
                      <wps:style>
                        <a:lnRef idx="2">
                          <a:schemeClr val="accent2"/>
                        </a:lnRef>
                        <a:fillRef idx="1">
                          <a:schemeClr val="lt1"/>
                        </a:fillRef>
                        <a:effectRef idx="0">
                          <a:schemeClr val="accent2"/>
                        </a:effectRef>
                        <a:fontRef idx="minor">
                          <a:schemeClr val="dk1"/>
                        </a:fontRef>
                      </wps:style>
                      <wps:txbx>
                        <w:txbxContent>
                          <w:p w:rsidR="00BA455D" w:rsidRPr="000D3198" w:rsidRDefault="00BA455D" w:rsidP="007D60A2">
                            <w:pPr>
                              <w:shd w:val="clear" w:color="auto" w:fill="D9D9D9" w:themeFill="background1" w:themeFillShade="D9"/>
                              <w:spacing w:after="0"/>
                              <w:jc w:val="both"/>
                              <w:rPr>
                                <w:rFonts w:ascii="Rockwell" w:hAnsi="Rockwell"/>
                                <w:i/>
                              </w:rPr>
                            </w:pPr>
                            <w:r w:rsidRPr="000D3198">
                              <w:rPr>
                                <w:rFonts w:ascii="Rockwell" w:hAnsi="Rockwell"/>
                                <w:i/>
                              </w:rPr>
                              <w:t>La réglementation générale des projets ou programmes de développement en vigueur au Burkina Faso dispose qu’il est créé pour chaque projet ou programme de développement, un organe d’orientation et de pilotage nommé « Comité de pilotage ». Au cours des sessions des comités de pilotage, les partenaires techniques et financiers sont invités en qualité d’observateurs. Les principales missions commises aux Comités de pilotage sont :</w:t>
                            </w:r>
                          </w:p>
                          <w:p w:rsidR="00BA455D" w:rsidRPr="000D3198" w:rsidRDefault="00BA455D" w:rsidP="00B92B11">
                            <w:pPr>
                              <w:pStyle w:val="Paragraphedeliste"/>
                              <w:numPr>
                                <w:ilvl w:val="0"/>
                                <w:numId w:val="71"/>
                              </w:numPr>
                              <w:shd w:val="clear" w:color="auto" w:fill="D9D9D9" w:themeFill="background1" w:themeFillShade="D9"/>
                              <w:spacing w:after="0" w:line="259" w:lineRule="auto"/>
                              <w:jc w:val="both"/>
                              <w:rPr>
                                <w:rFonts w:ascii="Rockwell" w:hAnsi="Rockwell"/>
                                <w:i/>
                              </w:rPr>
                            </w:pPr>
                            <w:r w:rsidRPr="000D3198">
                              <w:rPr>
                                <w:rFonts w:ascii="Rockwell" w:hAnsi="Rockwell"/>
                                <w:i/>
                              </w:rPr>
                              <w:t>d'examiner le plan d'exécution du projet ou programme ;</w:t>
                            </w:r>
                          </w:p>
                          <w:p w:rsidR="00BA455D" w:rsidRPr="000D3198" w:rsidRDefault="00BA455D" w:rsidP="00B92B11">
                            <w:pPr>
                              <w:pStyle w:val="Paragraphedeliste"/>
                              <w:numPr>
                                <w:ilvl w:val="0"/>
                                <w:numId w:val="71"/>
                              </w:numPr>
                              <w:shd w:val="clear" w:color="auto" w:fill="D9D9D9" w:themeFill="background1" w:themeFillShade="D9"/>
                              <w:spacing w:after="0" w:line="259" w:lineRule="auto"/>
                              <w:jc w:val="both"/>
                              <w:rPr>
                                <w:rFonts w:ascii="Rockwell" w:hAnsi="Rockwell"/>
                                <w:i/>
                              </w:rPr>
                            </w:pPr>
                            <w:r w:rsidRPr="000D3198">
                              <w:rPr>
                                <w:rFonts w:ascii="Rockwell" w:hAnsi="Rockwell"/>
                                <w:i/>
                              </w:rPr>
                              <w:t>d'examiner les différents rapports d'évaluation du projet ;</w:t>
                            </w:r>
                          </w:p>
                          <w:p w:rsidR="00BA455D" w:rsidRPr="000D3198" w:rsidRDefault="00BA455D" w:rsidP="00B92B11">
                            <w:pPr>
                              <w:pStyle w:val="Paragraphedeliste"/>
                              <w:numPr>
                                <w:ilvl w:val="0"/>
                                <w:numId w:val="71"/>
                              </w:numPr>
                              <w:shd w:val="clear" w:color="auto" w:fill="D9D9D9" w:themeFill="background1" w:themeFillShade="D9"/>
                              <w:spacing w:after="0" w:line="259" w:lineRule="auto"/>
                              <w:jc w:val="both"/>
                              <w:rPr>
                                <w:rFonts w:ascii="Rockwell" w:hAnsi="Rockwell"/>
                                <w:i/>
                              </w:rPr>
                            </w:pPr>
                            <w:r w:rsidRPr="000D3198">
                              <w:rPr>
                                <w:rFonts w:ascii="Rockwell" w:hAnsi="Rockwell"/>
                                <w:i/>
                              </w:rPr>
                              <w:t>d'examiner les rapports d'activités et les rapports financiers périodiques ;</w:t>
                            </w:r>
                          </w:p>
                          <w:p w:rsidR="00BA455D" w:rsidRPr="000D3198" w:rsidRDefault="00BA455D" w:rsidP="00B92B11">
                            <w:pPr>
                              <w:pStyle w:val="Paragraphedeliste"/>
                              <w:numPr>
                                <w:ilvl w:val="0"/>
                                <w:numId w:val="71"/>
                              </w:numPr>
                              <w:shd w:val="clear" w:color="auto" w:fill="D9D9D9" w:themeFill="background1" w:themeFillShade="D9"/>
                              <w:spacing w:after="0" w:line="259" w:lineRule="auto"/>
                              <w:jc w:val="both"/>
                              <w:rPr>
                                <w:rFonts w:ascii="Rockwell" w:hAnsi="Rockwell"/>
                                <w:i/>
                              </w:rPr>
                            </w:pPr>
                            <w:r w:rsidRPr="000D3198">
                              <w:rPr>
                                <w:rFonts w:ascii="Rockwell" w:hAnsi="Rockwell"/>
                                <w:i/>
                              </w:rPr>
                              <w:t>d'examiner le programme d'activités, le budget et le plan de passation de marchés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de veiller à la mise en œuvre des recommandations du comité de pilotage, des missions de supervision et de suivi et des différents audits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d'évaluer les performances du Coordonnateur de projet ou programme conformément à la lettre de mission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de faire des recommandations à l’attention du Coordonnateur de projet et des différents partenaires intervenant dans la vie du projet ou programme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d'approuver les états financiers des projets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d'examiner tout dossier soumis à son appréciation.</w:t>
                            </w:r>
                          </w:p>
                          <w:p w:rsidR="00BA455D" w:rsidRPr="000D3198" w:rsidRDefault="00BA455D" w:rsidP="007D60A2">
                            <w:pPr>
                              <w:pStyle w:val="Paragraphedeliste"/>
                              <w:shd w:val="clear" w:color="auto" w:fill="D9D9D9" w:themeFill="background1" w:themeFillShade="D9"/>
                              <w:autoSpaceDE w:val="0"/>
                              <w:autoSpaceDN w:val="0"/>
                              <w:adjustRightInd w:val="0"/>
                              <w:spacing w:after="0" w:line="240" w:lineRule="auto"/>
                              <w:jc w:val="both"/>
                              <w:rPr>
                                <w:rFonts w:ascii="Rockwell" w:hAnsi="Rockwell"/>
                                <w:i/>
                              </w:rPr>
                            </w:pPr>
                          </w:p>
                          <w:p w:rsidR="00BA455D" w:rsidRPr="000D3198" w:rsidRDefault="00BA455D" w:rsidP="007D60A2">
                            <w:pPr>
                              <w:shd w:val="clear" w:color="auto" w:fill="D9D9D9" w:themeFill="background1" w:themeFillShade="D9"/>
                              <w:spacing w:after="0" w:line="240" w:lineRule="auto"/>
                              <w:jc w:val="both"/>
                              <w:rPr>
                                <w:rFonts w:ascii="Rockwell" w:hAnsi="Rockwell"/>
                                <w:i/>
                              </w:rPr>
                            </w:pPr>
                            <w:r w:rsidRPr="000D3198">
                              <w:rPr>
                                <w:rFonts w:ascii="Rockwell" w:hAnsi="Rockwell"/>
                                <w:i/>
                              </w:rPr>
                              <w:t xml:space="preserve">Cependant, lors des assises de l’assemblée générale des projets et programmes de développement de 2016, il est ressorti la question de la rationalisation des unités de gestion au regard du nombre des projets induisant du même nombre leurs  instances de gestion et de décision. La conséquence immédiate est l’accroissement des charges financières qui pèsent sur le budget de l’Etat. A cela s’ajoute la question de non performance des unités de gestion des projets existants. Selon les conclusions desdites assises, la note moyenne de l’ensemble des ministères et institutions la période 2013-2014 est ressortie à 38,22 sur 50, ce qui traduit une performance moyenne dans la mise en œuvre des projets et programmes.  </w:t>
                            </w:r>
                          </w:p>
                          <w:p w:rsidR="00BA455D" w:rsidRPr="000D3198" w:rsidRDefault="00BA455D" w:rsidP="007D60A2">
                            <w:pPr>
                              <w:shd w:val="clear" w:color="auto" w:fill="D9D9D9" w:themeFill="background1" w:themeFillShade="D9"/>
                              <w:spacing w:before="100" w:beforeAutospacing="1" w:after="0"/>
                              <w:jc w:val="both"/>
                              <w:rPr>
                                <w:rFonts w:ascii="Rockwell" w:hAnsi="Rockwell"/>
                                <w:i/>
                              </w:rPr>
                            </w:pPr>
                            <w:r w:rsidRPr="000D3198">
                              <w:rPr>
                                <w:rFonts w:ascii="Rockwell" w:hAnsi="Rockwell"/>
                                <w:i/>
                              </w:rPr>
                              <w:t xml:space="preserve">La recommandation forte est réduire le nombre d’unités de gestion de projets par la création de grands projets ou programmes par nature et par objectif. </w:t>
                            </w:r>
                          </w:p>
                          <w:p w:rsidR="00BA455D" w:rsidRPr="000D3198" w:rsidRDefault="00BA455D" w:rsidP="007D60A2">
                            <w:pPr>
                              <w:shd w:val="clear" w:color="auto" w:fill="D9D9D9" w:themeFill="background1" w:themeFillShade="D9"/>
                              <w:spacing w:after="0" w:line="240" w:lineRule="auto"/>
                              <w:jc w:val="both"/>
                              <w:rPr>
                                <w:rFonts w:ascii="Rockwell" w:hAnsi="Rockwell"/>
                                <w:i/>
                              </w:rPr>
                            </w:pPr>
                            <w:r w:rsidRPr="000D3198">
                              <w:rPr>
                                <w:rFonts w:ascii="Rockwell" w:hAnsi="Rockwell"/>
                                <w:i/>
                              </w:rPr>
                              <w:t>Les résultats attendus de cette recommandation sont :</w:t>
                            </w:r>
                          </w:p>
                          <w:p w:rsidR="00BA455D" w:rsidRPr="000D3198" w:rsidRDefault="00BA455D" w:rsidP="00B92B11">
                            <w:pPr>
                              <w:pStyle w:val="Paragraphedeliste"/>
                              <w:numPr>
                                <w:ilvl w:val="0"/>
                                <w:numId w:val="72"/>
                              </w:numPr>
                              <w:shd w:val="clear" w:color="auto" w:fill="D9D9D9" w:themeFill="background1" w:themeFillShade="D9"/>
                              <w:spacing w:after="0" w:line="240" w:lineRule="auto"/>
                              <w:contextualSpacing w:val="0"/>
                              <w:jc w:val="both"/>
                              <w:rPr>
                                <w:rFonts w:ascii="Rockwell" w:hAnsi="Rockwell"/>
                                <w:i/>
                              </w:rPr>
                            </w:pPr>
                            <w:r w:rsidRPr="000D3198">
                              <w:rPr>
                                <w:rFonts w:ascii="Rockwell" w:hAnsi="Rockwell"/>
                                <w:i/>
                              </w:rPr>
                              <w:t>une synergie d’actions au sein des projets et programmes des mêmes ministères sectoriels et domaines d’activités ;</w:t>
                            </w:r>
                          </w:p>
                          <w:p w:rsidR="00BA455D" w:rsidRPr="000D3198" w:rsidRDefault="00BA455D" w:rsidP="00B92B11">
                            <w:pPr>
                              <w:pStyle w:val="Paragraphedeliste"/>
                              <w:numPr>
                                <w:ilvl w:val="0"/>
                                <w:numId w:val="72"/>
                              </w:numPr>
                              <w:shd w:val="clear" w:color="auto" w:fill="D9D9D9" w:themeFill="background1" w:themeFillShade="D9"/>
                              <w:spacing w:before="100" w:beforeAutospacing="1" w:after="0"/>
                              <w:contextualSpacing w:val="0"/>
                              <w:jc w:val="both"/>
                              <w:rPr>
                                <w:rFonts w:ascii="Rockwell" w:hAnsi="Rockwell"/>
                                <w:i/>
                              </w:rPr>
                            </w:pPr>
                            <w:r w:rsidRPr="000D3198">
                              <w:rPr>
                                <w:rFonts w:ascii="Rockwell" w:hAnsi="Rockwell"/>
                                <w:i/>
                              </w:rPr>
                              <w:t>la reddition plus facilité des comptes et la bonne coordination et suivi évaluation des projets et programmes ;</w:t>
                            </w:r>
                          </w:p>
                          <w:p w:rsidR="00BA455D" w:rsidRPr="000D3198" w:rsidRDefault="00BA455D" w:rsidP="00B92B11">
                            <w:pPr>
                              <w:pStyle w:val="Paragraphedeliste"/>
                              <w:numPr>
                                <w:ilvl w:val="0"/>
                                <w:numId w:val="72"/>
                              </w:numPr>
                              <w:shd w:val="clear" w:color="auto" w:fill="D9D9D9" w:themeFill="background1" w:themeFillShade="D9"/>
                              <w:spacing w:before="100" w:beforeAutospacing="1" w:after="0"/>
                              <w:contextualSpacing w:val="0"/>
                              <w:jc w:val="both"/>
                              <w:rPr>
                                <w:rFonts w:ascii="Rockwell" w:hAnsi="Rockwell"/>
                                <w:i/>
                              </w:rPr>
                            </w:pPr>
                            <w:r w:rsidRPr="000D3198">
                              <w:rPr>
                                <w:rFonts w:ascii="Rockwell" w:hAnsi="Rockwell"/>
                                <w:i/>
                              </w:rPr>
                              <w:t>l’affectation d’importantes ressources aux investissements structurants ;</w:t>
                            </w:r>
                          </w:p>
                          <w:p w:rsidR="00BA455D" w:rsidRPr="000D3198" w:rsidRDefault="00BA455D" w:rsidP="00B92B11">
                            <w:pPr>
                              <w:pStyle w:val="Paragraphedeliste"/>
                              <w:numPr>
                                <w:ilvl w:val="0"/>
                                <w:numId w:val="72"/>
                              </w:numPr>
                              <w:shd w:val="clear" w:color="auto" w:fill="D9D9D9" w:themeFill="background1" w:themeFillShade="D9"/>
                              <w:spacing w:before="100" w:beforeAutospacing="1" w:after="0"/>
                              <w:contextualSpacing w:val="0"/>
                              <w:jc w:val="both"/>
                              <w:rPr>
                                <w:rFonts w:ascii="Rockwell" w:hAnsi="Rockwell"/>
                                <w:i/>
                              </w:rPr>
                            </w:pPr>
                            <w:r w:rsidRPr="000D3198">
                              <w:rPr>
                                <w:rFonts w:ascii="Rockwell" w:hAnsi="Rockwell"/>
                                <w:i/>
                              </w:rPr>
                              <w:t>la réalisation des économies sur les contreparties allouées aux projets et programmes ;</w:t>
                            </w:r>
                          </w:p>
                          <w:p w:rsidR="00BA455D" w:rsidRPr="000D3198" w:rsidRDefault="00BA455D" w:rsidP="00B92B11">
                            <w:pPr>
                              <w:pStyle w:val="Paragraphedeliste"/>
                              <w:numPr>
                                <w:ilvl w:val="0"/>
                                <w:numId w:val="72"/>
                              </w:numPr>
                              <w:shd w:val="clear" w:color="auto" w:fill="D9D9D9" w:themeFill="background1" w:themeFillShade="D9"/>
                              <w:spacing w:before="100" w:beforeAutospacing="1" w:after="0"/>
                              <w:contextualSpacing w:val="0"/>
                              <w:jc w:val="both"/>
                              <w:rPr>
                                <w:rFonts w:ascii="Rockwell" w:hAnsi="Rockwell"/>
                                <w:i/>
                              </w:rPr>
                            </w:pPr>
                            <w:r w:rsidRPr="007D60A2">
                              <w:rPr>
                                <w:rFonts w:ascii="Rockwell" w:hAnsi="Rockwell"/>
                                <w:i/>
                              </w:rPr>
                              <w:t>la réduction considérable des délais de démarrage des projets et programmes par la suppression de plusieurs conditionnalités de premier décaissement.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F24EC2" id="Zone de texte 2" o:spid="_x0000_s1027" type="#_x0000_t202" style="position:absolute;left:0;text-align:left;margin-left:16.8pt;margin-top:6.6pt;width:475.5pt;height:57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" fillcolor="white [3201]" strokecolor="#c0504d [3205]" strokeweight="2pt">
                <v:textbox>
                  <w:txbxContent>
                    <w:p w:rsidR="00BA455D" w:rsidRPr="000D3198" w:rsidRDefault="00BA455D" w:rsidP="007D60A2">
                      <w:pPr>
                        <w:shd w:val="clear" w:color="auto" w:fill="D9D9D9" w:themeFill="background1" w:themeFillShade="D9"/>
                        <w:spacing w:after="0"/>
                        <w:jc w:val="both"/>
                        <w:rPr>
                          <w:rFonts w:ascii="Rockwell" w:hAnsi="Rockwell"/>
                          <w:i/>
                        </w:rPr>
                      </w:pPr>
                      <w:r w:rsidRPr="000D3198">
                        <w:rPr>
                          <w:rFonts w:ascii="Rockwell" w:hAnsi="Rockwell"/>
                          <w:i/>
                        </w:rPr>
                        <w:t>La réglementation générale des projets ou programmes de développement en vigueur au Burkina Faso dispose qu’il est créé pour chaque projet ou programme de développement, un organe d’orientation et de pilotage nommé « Comité de pilotage ». Au cours des sessions des comités de pilotage, les partenaires techniques et financiers sont invités en qualité d’observateurs. Les principales missions commises aux Comités de pilotage sont :</w:t>
                      </w:r>
                    </w:p>
                    <w:p w:rsidR="00BA455D" w:rsidRPr="000D3198" w:rsidRDefault="00BA455D" w:rsidP="00B92B11">
                      <w:pPr>
                        <w:pStyle w:val="Paragraphedeliste"/>
                        <w:numPr>
                          <w:ilvl w:val="0"/>
                          <w:numId w:val="71"/>
                        </w:numPr>
                        <w:shd w:val="clear" w:color="auto" w:fill="D9D9D9" w:themeFill="background1" w:themeFillShade="D9"/>
                        <w:spacing w:after="0" w:line="259" w:lineRule="auto"/>
                        <w:jc w:val="both"/>
                        <w:rPr>
                          <w:rFonts w:ascii="Rockwell" w:hAnsi="Rockwell"/>
                          <w:i/>
                        </w:rPr>
                      </w:pPr>
                      <w:r w:rsidRPr="000D3198">
                        <w:rPr>
                          <w:rFonts w:ascii="Rockwell" w:hAnsi="Rockwell"/>
                          <w:i/>
                        </w:rPr>
                        <w:t>d'examiner le plan d'exécution du projet ou programme ;</w:t>
                      </w:r>
                    </w:p>
                    <w:p w:rsidR="00BA455D" w:rsidRPr="000D3198" w:rsidRDefault="00BA455D" w:rsidP="00B92B11">
                      <w:pPr>
                        <w:pStyle w:val="Paragraphedeliste"/>
                        <w:numPr>
                          <w:ilvl w:val="0"/>
                          <w:numId w:val="71"/>
                        </w:numPr>
                        <w:shd w:val="clear" w:color="auto" w:fill="D9D9D9" w:themeFill="background1" w:themeFillShade="D9"/>
                        <w:spacing w:after="0" w:line="259" w:lineRule="auto"/>
                        <w:jc w:val="both"/>
                        <w:rPr>
                          <w:rFonts w:ascii="Rockwell" w:hAnsi="Rockwell"/>
                          <w:i/>
                        </w:rPr>
                      </w:pPr>
                      <w:r w:rsidRPr="000D3198">
                        <w:rPr>
                          <w:rFonts w:ascii="Rockwell" w:hAnsi="Rockwell"/>
                          <w:i/>
                        </w:rPr>
                        <w:t>d'examiner les différents rapports d'évaluation du projet ;</w:t>
                      </w:r>
                    </w:p>
                    <w:p w:rsidR="00BA455D" w:rsidRPr="000D3198" w:rsidRDefault="00BA455D" w:rsidP="00B92B11">
                      <w:pPr>
                        <w:pStyle w:val="Paragraphedeliste"/>
                        <w:numPr>
                          <w:ilvl w:val="0"/>
                          <w:numId w:val="71"/>
                        </w:numPr>
                        <w:shd w:val="clear" w:color="auto" w:fill="D9D9D9" w:themeFill="background1" w:themeFillShade="D9"/>
                        <w:spacing w:after="0" w:line="259" w:lineRule="auto"/>
                        <w:jc w:val="both"/>
                        <w:rPr>
                          <w:rFonts w:ascii="Rockwell" w:hAnsi="Rockwell"/>
                          <w:i/>
                        </w:rPr>
                      </w:pPr>
                      <w:r w:rsidRPr="000D3198">
                        <w:rPr>
                          <w:rFonts w:ascii="Rockwell" w:hAnsi="Rockwell"/>
                          <w:i/>
                        </w:rPr>
                        <w:t>d'examiner les rapports d'activités et les rapports financiers périodiques ;</w:t>
                      </w:r>
                    </w:p>
                    <w:p w:rsidR="00BA455D" w:rsidRPr="000D3198" w:rsidRDefault="00BA455D" w:rsidP="00B92B11">
                      <w:pPr>
                        <w:pStyle w:val="Paragraphedeliste"/>
                        <w:numPr>
                          <w:ilvl w:val="0"/>
                          <w:numId w:val="71"/>
                        </w:numPr>
                        <w:shd w:val="clear" w:color="auto" w:fill="D9D9D9" w:themeFill="background1" w:themeFillShade="D9"/>
                        <w:spacing w:after="0" w:line="259" w:lineRule="auto"/>
                        <w:jc w:val="both"/>
                        <w:rPr>
                          <w:rFonts w:ascii="Rockwell" w:hAnsi="Rockwell"/>
                          <w:i/>
                        </w:rPr>
                      </w:pPr>
                      <w:r w:rsidRPr="000D3198">
                        <w:rPr>
                          <w:rFonts w:ascii="Rockwell" w:hAnsi="Rockwell"/>
                          <w:i/>
                        </w:rPr>
                        <w:t>d'examiner le programme d'activités, le budget et le plan de passation de marchés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de veiller à la mise en œuvre des recommandations du comité de pilotage, des missions de supervision et de suivi et des différents audits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d'évaluer les performances du Coordonnateur de projet ou programme conformément à la lettre de mission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de faire des recommandations à l’attention du Coordonnateur de projet et des différents partenaires intervenant dans la vie du projet ou programme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d'approuver les états financiers des projets ;</w:t>
                      </w:r>
                    </w:p>
                    <w:p w:rsidR="00BA455D" w:rsidRPr="000D3198" w:rsidRDefault="00BA455D" w:rsidP="00B92B11">
                      <w:pPr>
                        <w:pStyle w:val="Paragraphedeliste"/>
                        <w:numPr>
                          <w:ilvl w:val="0"/>
                          <w:numId w:val="71"/>
                        </w:numPr>
                        <w:shd w:val="clear" w:color="auto" w:fill="D9D9D9" w:themeFill="background1" w:themeFillShade="D9"/>
                        <w:autoSpaceDE w:val="0"/>
                        <w:autoSpaceDN w:val="0"/>
                        <w:adjustRightInd w:val="0"/>
                        <w:spacing w:after="0" w:line="240" w:lineRule="auto"/>
                        <w:jc w:val="both"/>
                        <w:rPr>
                          <w:rFonts w:ascii="Rockwell" w:hAnsi="Rockwell"/>
                          <w:i/>
                        </w:rPr>
                      </w:pPr>
                      <w:r w:rsidRPr="000D3198">
                        <w:rPr>
                          <w:rFonts w:ascii="Rockwell" w:hAnsi="Rockwell"/>
                          <w:i/>
                        </w:rPr>
                        <w:t>d'examiner tout dossier soumis à son appréciation.</w:t>
                      </w:r>
                    </w:p>
                    <w:p w:rsidR="00BA455D" w:rsidRPr="000D3198" w:rsidRDefault="00BA455D" w:rsidP="007D60A2">
                      <w:pPr>
                        <w:pStyle w:val="Paragraphedeliste"/>
                        <w:shd w:val="clear" w:color="auto" w:fill="D9D9D9" w:themeFill="background1" w:themeFillShade="D9"/>
                        <w:autoSpaceDE w:val="0"/>
                        <w:autoSpaceDN w:val="0"/>
                        <w:adjustRightInd w:val="0"/>
                        <w:spacing w:after="0" w:line="240" w:lineRule="auto"/>
                        <w:jc w:val="both"/>
                        <w:rPr>
                          <w:rFonts w:ascii="Rockwell" w:hAnsi="Rockwell"/>
                          <w:i/>
                        </w:rPr>
                      </w:pPr>
                    </w:p>
                    <w:p w:rsidR="00BA455D" w:rsidRPr="000D3198" w:rsidRDefault="00BA455D" w:rsidP="007D60A2">
                      <w:pPr>
                        <w:shd w:val="clear" w:color="auto" w:fill="D9D9D9" w:themeFill="background1" w:themeFillShade="D9"/>
                        <w:spacing w:after="0" w:line="240" w:lineRule="auto"/>
                        <w:jc w:val="both"/>
                        <w:rPr>
                          <w:rFonts w:ascii="Rockwell" w:hAnsi="Rockwell"/>
                          <w:i/>
                        </w:rPr>
                      </w:pPr>
                      <w:r w:rsidRPr="000D3198">
                        <w:rPr>
                          <w:rFonts w:ascii="Rockwell" w:hAnsi="Rockwell"/>
                          <w:i/>
                        </w:rPr>
                        <w:t xml:space="preserve">Cependant, lors des assises de l’assemblée générale des projets et programmes de développement de 2016, il est ressorti la question de la rationalisation des unités de gestion au regard du nombre des projets induisant du même nombre leurs  instances de gestion et de décision. La conséquence immédiate est l’accroissement des charges financières qui pèsent sur le budget de l’Etat. A cela s’ajoute la question de non performance des unités de gestion des projets existants. Selon les conclusions desdites assises, la note moyenne de l’ensemble des ministères et institutions la période 2013-2014 est ressortie à 38,22 sur 50, ce qui traduit une performance moyenne dans la mise en œuvre des projets et programmes.  </w:t>
                      </w:r>
                    </w:p>
                    <w:p w:rsidR="00BA455D" w:rsidRPr="000D3198" w:rsidRDefault="00BA455D" w:rsidP="007D60A2">
                      <w:pPr>
                        <w:shd w:val="clear" w:color="auto" w:fill="D9D9D9" w:themeFill="background1" w:themeFillShade="D9"/>
                        <w:spacing w:before="100" w:beforeAutospacing="1" w:after="0"/>
                        <w:jc w:val="both"/>
                        <w:rPr>
                          <w:rFonts w:ascii="Rockwell" w:hAnsi="Rockwell"/>
                          <w:i/>
                        </w:rPr>
                      </w:pPr>
                      <w:r w:rsidRPr="000D3198">
                        <w:rPr>
                          <w:rFonts w:ascii="Rockwell" w:hAnsi="Rockwell"/>
                          <w:i/>
                        </w:rPr>
                        <w:t xml:space="preserve">La recommandation forte est réduire le nombre d’unités de gestion de projets par la création de grands projets ou programmes par nature et par objectif. </w:t>
                      </w:r>
                    </w:p>
                    <w:p w:rsidR="00BA455D" w:rsidRPr="000D3198" w:rsidRDefault="00BA455D" w:rsidP="007D60A2">
                      <w:pPr>
                        <w:shd w:val="clear" w:color="auto" w:fill="D9D9D9" w:themeFill="background1" w:themeFillShade="D9"/>
                        <w:spacing w:after="0" w:line="240" w:lineRule="auto"/>
                        <w:jc w:val="both"/>
                        <w:rPr>
                          <w:rFonts w:ascii="Rockwell" w:hAnsi="Rockwell"/>
                          <w:i/>
                        </w:rPr>
                      </w:pPr>
                      <w:r w:rsidRPr="000D3198">
                        <w:rPr>
                          <w:rFonts w:ascii="Rockwell" w:hAnsi="Rockwell"/>
                          <w:i/>
                        </w:rPr>
                        <w:t>Les résultats attendus de cette recommandation sont :</w:t>
                      </w:r>
                    </w:p>
                    <w:p w:rsidR="00BA455D" w:rsidRPr="000D3198" w:rsidRDefault="00BA455D" w:rsidP="00B92B11">
                      <w:pPr>
                        <w:pStyle w:val="Paragraphedeliste"/>
                        <w:numPr>
                          <w:ilvl w:val="0"/>
                          <w:numId w:val="72"/>
                        </w:numPr>
                        <w:shd w:val="clear" w:color="auto" w:fill="D9D9D9" w:themeFill="background1" w:themeFillShade="D9"/>
                        <w:spacing w:after="0" w:line="240" w:lineRule="auto"/>
                        <w:contextualSpacing w:val="0"/>
                        <w:jc w:val="both"/>
                        <w:rPr>
                          <w:rFonts w:ascii="Rockwell" w:hAnsi="Rockwell"/>
                          <w:i/>
                        </w:rPr>
                      </w:pPr>
                      <w:r w:rsidRPr="000D3198">
                        <w:rPr>
                          <w:rFonts w:ascii="Rockwell" w:hAnsi="Rockwell"/>
                          <w:i/>
                        </w:rPr>
                        <w:t>une synergie d’actions au sein des projets et programmes des mêmes ministères sectoriels et domaines d’activités ;</w:t>
                      </w:r>
                    </w:p>
                    <w:p w:rsidR="00BA455D" w:rsidRPr="000D3198" w:rsidRDefault="00BA455D" w:rsidP="00B92B11">
                      <w:pPr>
                        <w:pStyle w:val="Paragraphedeliste"/>
                        <w:numPr>
                          <w:ilvl w:val="0"/>
                          <w:numId w:val="72"/>
                        </w:numPr>
                        <w:shd w:val="clear" w:color="auto" w:fill="D9D9D9" w:themeFill="background1" w:themeFillShade="D9"/>
                        <w:spacing w:before="100" w:beforeAutospacing="1" w:after="0"/>
                        <w:contextualSpacing w:val="0"/>
                        <w:jc w:val="both"/>
                        <w:rPr>
                          <w:rFonts w:ascii="Rockwell" w:hAnsi="Rockwell"/>
                          <w:i/>
                        </w:rPr>
                      </w:pPr>
                      <w:r w:rsidRPr="000D3198">
                        <w:rPr>
                          <w:rFonts w:ascii="Rockwell" w:hAnsi="Rockwell"/>
                          <w:i/>
                        </w:rPr>
                        <w:t>la reddition plus facilité des comptes et la bonne coordination et suivi évaluation des projets et programmes ;</w:t>
                      </w:r>
                    </w:p>
                    <w:p w:rsidR="00BA455D" w:rsidRPr="000D3198" w:rsidRDefault="00BA455D" w:rsidP="00B92B11">
                      <w:pPr>
                        <w:pStyle w:val="Paragraphedeliste"/>
                        <w:numPr>
                          <w:ilvl w:val="0"/>
                          <w:numId w:val="72"/>
                        </w:numPr>
                        <w:shd w:val="clear" w:color="auto" w:fill="D9D9D9" w:themeFill="background1" w:themeFillShade="D9"/>
                        <w:spacing w:before="100" w:beforeAutospacing="1" w:after="0"/>
                        <w:contextualSpacing w:val="0"/>
                        <w:jc w:val="both"/>
                        <w:rPr>
                          <w:rFonts w:ascii="Rockwell" w:hAnsi="Rockwell"/>
                          <w:i/>
                        </w:rPr>
                      </w:pPr>
                      <w:r w:rsidRPr="000D3198">
                        <w:rPr>
                          <w:rFonts w:ascii="Rockwell" w:hAnsi="Rockwell"/>
                          <w:i/>
                        </w:rPr>
                        <w:t>l’affectation d’importantes ressources aux investissements structurants ;</w:t>
                      </w:r>
                    </w:p>
                    <w:p w:rsidR="00BA455D" w:rsidRPr="000D3198" w:rsidRDefault="00BA455D" w:rsidP="00B92B11">
                      <w:pPr>
                        <w:pStyle w:val="Paragraphedeliste"/>
                        <w:numPr>
                          <w:ilvl w:val="0"/>
                          <w:numId w:val="72"/>
                        </w:numPr>
                        <w:shd w:val="clear" w:color="auto" w:fill="D9D9D9" w:themeFill="background1" w:themeFillShade="D9"/>
                        <w:spacing w:before="100" w:beforeAutospacing="1" w:after="0"/>
                        <w:contextualSpacing w:val="0"/>
                        <w:jc w:val="both"/>
                        <w:rPr>
                          <w:rFonts w:ascii="Rockwell" w:hAnsi="Rockwell"/>
                          <w:i/>
                        </w:rPr>
                      </w:pPr>
                      <w:r w:rsidRPr="000D3198">
                        <w:rPr>
                          <w:rFonts w:ascii="Rockwell" w:hAnsi="Rockwell"/>
                          <w:i/>
                        </w:rPr>
                        <w:t>la réalisation des économies sur les contreparties allouées aux projets et programmes ;</w:t>
                      </w:r>
                    </w:p>
                    <w:p w:rsidR="00BA455D" w:rsidRPr="000D3198" w:rsidRDefault="00BA455D" w:rsidP="00B92B11">
                      <w:pPr>
                        <w:pStyle w:val="Paragraphedeliste"/>
                        <w:numPr>
                          <w:ilvl w:val="0"/>
                          <w:numId w:val="72"/>
                        </w:numPr>
                        <w:shd w:val="clear" w:color="auto" w:fill="D9D9D9" w:themeFill="background1" w:themeFillShade="D9"/>
                        <w:spacing w:before="100" w:beforeAutospacing="1" w:after="0"/>
                        <w:contextualSpacing w:val="0"/>
                        <w:jc w:val="both"/>
                        <w:rPr>
                          <w:rFonts w:ascii="Rockwell" w:hAnsi="Rockwell"/>
                          <w:i/>
                        </w:rPr>
                      </w:pPr>
                      <w:r w:rsidRPr="007D60A2">
                        <w:rPr>
                          <w:rFonts w:ascii="Rockwell" w:hAnsi="Rockwell"/>
                          <w:i/>
                        </w:rPr>
                        <w:t>la réduction considérable des délais de démarrage des projets et programmes par la suppression de plusieurs conditionnalités de premier décaissement.</w:t>
                      </w:r>
                    </w:p>
                  </w:txbxContent>
                </v:textbox>
              </v:shape>
            </w:pict>
          </mc:Fallback>
        </mc:AlternateContent>
      </w:r>
    </w:p>
    <w:p w:rsidR="004B2654" w:rsidRDefault="004B2654"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7D60A2" w:rsidRDefault="007D60A2" w:rsidP="00383FA7">
      <w:pPr>
        <w:jc w:val="both"/>
        <w:rPr>
          <w:rFonts w:ascii="Arial" w:hAnsi="Arial" w:cs="Arial"/>
          <w:b/>
        </w:rPr>
      </w:pPr>
    </w:p>
    <w:p w:rsidR="004B2654" w:rsidRDefault="004B2654" w:rsidP="00383FA7">
      <w:pPr>
        <w:jc w:val="both"/>
        <w:rPr>
          <w:rFonts w:ascii="Arial" w:hAnsi="Arial" w:cs="Arial"/>
          <w:b/>
        </w:rPr>
      </w:pPr>
    </w:p>
    <w:p w:rsidR="004B2654" w:rsidRDefault="004B2654" w:rsidP="00383FA7">
      <w:pPr>
        <w:jc w:val="both"/>
        <w:rPr>
          <w:rFonts w:ascii="Arial" w:hAnsi="Arial" w:cs="Arial"/>
          <w:b/>
        </w:rPr>
      </w:pPr>
    </w:p>
    <w:p w:rsidR="004B2654" w:rsidRDefault="004B2654" w:rsidP="00383FA7">
      <w:pPr>
        <w:jc w:val="both"/>
        <w:rPr>
          <w:rFonts w:ascii="Arial" w:hAnsi="Arial" w:cs="Arial"/>
          <w:b/>
        </w:rPr>
      </w:pPr>
    </w:p>
    <w:p w:rsidR="004B2654" w:rsidRDefault="004B2654" w:rsidP="00383FA7">
      <w:pPr>
        <w:jc w:val="both"/>
        <w:rPr>
          <w:rFonts w:ascii="Arial" w:hAnsi="Arial" w:cs="Arial"/>
          <w:b/>
        </w:rPr>
      </w:pPr>
    </w:p>
    <w:p w:rsidR="004B2654" w:rsidRDefault="004B2654" w:rsidP="00383FA7">
      <w:pPr>
        <w:jc w:val="both"/>
        <w:rPr>
          <w:rFonts w:ascii="Arial" w:hAnsi="Arial" w:cs="Arial"/>
          <w:b/>
        </w:rPr>
      </w:pPr>
    </w:p>
    <w:p w:rsidR="009A4DF8" w:rsidRPr="000D3198" w:rsidRDefault="009A4DF8" w:rsidP="009A4DF8">
      <w:pPr>
        <w:spacing w:after="0" w:line="240" w:lineRule="auto"/>
        <w:rPr>
          <w:rFonts w:ascii="Arial" w:hAnsi="Arial" w:cs="Arial"/>
        </w:rPr>
      </w:pPr>
      <w:r w:rsidRPr="000D3198">
        <w:rPr>
          <w:rFonts w:ascii="Arial" w:hAnsi="Arial" w:cs="Arial"/>
        </w:rPr>
        <w:br w:type="page"/>
      </w:r>
    </w:p>
    <w:p w:rsidR="009A4DF8" w:rsidRPr="00140667" w:rsidRDefault="009A4DF8" w:rsidP="00D234CC">
      <w:pPr>
        <w:pStyle w:val="Titre5"/>
      </w:pPr>
      <w:r w:rsidRPr="00140667">
        <w:lastRenderedPageBreak/>
        <w:t>2.2.3.7. Points des conventions de financement</w:t>
      </w:r>
    </w:p>
    <w:p w:rsidR="00CF572C" w:rsidRDefault="009A4DF8" w:rsidP="00CF572C">
      <w:pPr>
        <w:spacing w:before="120" w:after="120"/>
        <w:jc w:val="both"/>
        <w:rPr>
          <w:rFonts w:ascii="Arial" w:hAnsi="Arial" w:cs="Arial"/>
        </w:rPr>
      </w:pPr>
      <w:r w:rsidRPr="003507BE">
        <w:rPr>
          <w:rFonts w:ascii="Arial" w:hAnsi="Arial" w:cs="Arial"/>
        </w:rPr>
        <w:t>Le Burkina Faso, dans le cadre de la coopération avec ses partenaires techniques et financi</w:t>
      </w:r>
      <w:r w:rsidR="00D4638A">
        <w:rPr>
          <w:rFonts w:ascii="Arial" w:hAnsi="Arial" w:cs="Arial"/>
        </w:rPr>
        <w:t xml:space="preserve">ers, a signé en 2016 cent </w:t>
      </w:r>
      <w:r w:rsidR="001F0D74">
        <w:rPr>
          <w:rFonts w:ascii="Arial" w:hAnsi="Arial" w:cs="Arial"/>
        </w:rPr>
        <w:t>un</w:t>
      </w:r>
      <w:r w:rsidR="00D4638A">
        <w:rPr>
          <w:rFonts w:ascii="Arial" w:hAnsi="Arial" w:cs="Arial"/>
        </w:rPr>
        <w:t xml:space="preserve"> (10</w:t>
      </w:r>
      <w:r w:rsidR="001F0D74">
        <w:rPr>
          <w:rFonts w:ascii="Arial" w:hAnsi="Arial" w:cs="Arial"/>
        </w:rPr>
        <w:t>1</w:t>
      </w:r>
      <w:r w:rsidRPr="003507BE">
        <w:rPr>
          <w:rFonts w:ascii="Arial" w:hAnsi="Arial" w:cs="Arial"/>
        </w:rPr>
        <w:t>) conventions de financement pour un montant global estimé à plus de 7</w:t>
      </w:r>
      <w:r w:rsidR="00D4638A">
        <w:rPr>
          <w:rFonts w:ascii="Arial" w:hAnsi="Arial" w:cs="Arial"/>
        </w:rPr>
        <w:t>17</w:t>
      </w:r>
      <w:r w:rsidRPr="003507BE">
        <w:rPr>
          <w:rFonts w:ascii="Arial" w:hAnsi="Arial" w:cs="Arial"/>
        </w:rPr>
        <w:t>,</w:t>
      </w:r>
      <w:r w:rsidR="00D4638A">
        <w:rPr>
          <w:rFonts w:ascii="Arial" w:hAnsi="Arial" w:cs="Arial"/>
        </w:rPr>
        <w:t>96</w:t>
      </w:r>
      <w:r w:rsidRPr="003507BE">
        <w:rPr>
          <w:rFonts w:ascii="Arial" w:hAnsi="Arial" w:cs="Arial"/>
        </w:rPr>
        <w:t xml:space="preserve"> milliards de francs CFA. </w:t>
      </w:r>
      <w:r w:rsidR="00CF572C" w:rsidRPr="003507BE">
        <w:rPr>
          <w:rFonts w:ascii="Arial" w:hAnsi="Arial" w:cs="Arial"/>
        </w:rPr>
        <w:t xml:space="preserve">Par </w:t>
      </w:r>
      <w:r w:rsidR="00CF572C">
        <w:rPr>
          <w:rFonts w:ascii="Arial" w:hAnsi="Arial" w:cs="Arial"/>
        </w:rPr>
        <w:t>rapport à 2015, le montant des conventions s’est accru</w:t>
      </w:r>
      <w:r w:rsidR="00CF572C" w:rsidRPr="003507BE">
        <w:rPr>
          <w:rFonts w:ascii="Arial" w:hAnsi="Arial" w:cs="Arial"/>
        </w:rPr>
        <w:t xml:space="preserve"> de </w:t>
      </w:r>
      <w:r w:rsidR="00CF572C">
        <w:rPr>
          <w:rFonts w:ascii="Arial" w:hAnsi="Arial" w:cs="Arial"/>
        </w:rPr>
        <w:t>21,84</w:t>
      </w:r>
      <w:r w:rsidR="00CF572C" w:rsidRPr="003507BE">
        <w:rPr>
          <w:rFonts w:ascii="Arial" w:hAnsi="Arial" w:cs="Arial"/>
        </w:rPr>
        <w:t xml:space="preserve">%. </w:t>
      </w:r>
    </w:p>
    <w:p w:rsidR="009A4DF8" w:rsidRPr="003507BE" w:rsidRDefault="009A4DF8" w:rsidP="009A4DF8">
      <w:pPr>
        <w:spacing w:before="120" w:after="120"/>
        <w:jc w:val="both"/>
        <w:rPr>
          <w:rFonts w:ascii="Arial" w:hAnsi="Arial" w:cs="Arial"/>
        </w:rPr>
      </w:pPr>
      <w:r w:rsidRPr="003507BE">
        <w:rPr>
          <w:rFonts w:ascii="Arial" w:hAnsi="Arial" w:cs="Arial"/>
        </w:rPr>
        <w:t xml:space="preserve">L’analyse de la répartition </w:t>
      </w:r>
      <w:r w:rsidR="00D821D8">
        <w:rPr>
          <w:rFonts w:ascii="Arial" w:hAnsi="Arial" w:cs="Arial"/>
        </w:rPr>
        <w:t>des conventions</w:t>
      </w:r>
      <w:r w:rsidRPr="003507BE">
        <w:rPr>
          <w:rFonts w:ascii="Arial" w:hAnsi="Arial" w:cs="Arial"/>
        </w:rPr>
        <w:t xml:space="preserve"> va porter sur les sources et les types </w:t>
      </w:r>
      <w:r w:rsidR="00D4638A" w:rsidRPr="003507BE">
        <w:rPr>
          <w:rFonts w:ascii="Arial" w:hAnsi="Arial" w:cs="Arial"/>
        </w:rPr>
        <w:t>de financement</w:t>
      </w:r>
      <w:r w:rsidRPr="003507BE">
        <w:rPr>
          <w:rFonts w:ascii="Arial" w:hAnsi="Arial" w:cs="Arial"/>
        </w:rPr>
        <w:t>.</w:t>
      </w:r>
    </w:p>
    <w:p w:rsidR="009A4DF8" w:rsidRPr="003507BE" w:rsidRDefault="009A4DF8" w:rsidP="00B92B11">
      <w:pPr>
        <w:pStyle w:val="Paragraphedeliste"/>
        <w:numPr>
          <w:ilvl w:val="0"/>
          <w:numId w:val="62"/>
        </w:numPr>
        <w:spacing w:before="120" w:after="120"/>
        <w:jc w:val="both"/>
        <w:rPr>
          <w:rFonts w:ascii="Arial" w:hAnsi="Arial" w:cs="Arial"/>
          <w:b/>
        </w:rPr>
      </w:pPr>
      <w:r w:rsidRPr="003507BE">
        <w:rPr>
          <w:rFonts w:ascii="Arial" w:hAnsi="Arial" w:cs="Arial"/>
          <w:b/>
        </w:rPr>
        <w:t>Sources de financement</w:t>
      </w:r>
    </w:p>
    <w:p w:rsidR="009A4DF8" w:rsidRPr="003507BE" w:rsidRDefault="009A4DF8" w:rsidP="009A4DF8">
      <w:pPr>
        <w:spacing w:before="120" w:after="120"/>
        <w:jc w:val="both"/>
        <w:rPr>
          <w:rFonts w:ascii="Arial" w:hAnsi="Arial" w:cs="Arial"/>
        </w:rPr>
      </w:pPr>
      <w:r w:rsidRPr="003507BE">
        <w:rPr>
          <w:rFonts w:ascii="Arial" w:hAnsi="Arial" w:cs="Arial"/>
        </w:rPr>
        <w:t>Les donateurs multilatéraux et bilatéraux ainsi que les ONG constituent les trois (03) principales sources de financement au titre de l’aide reçue par le Burkina Faso.</w:t>
      </w:r>
    </w:p>
    <w:p w:rsidR="009A4DF8" w:rsidRPr="003507BE" w:rsidRDefault="009A4DF8" w:rsidP="009A4DF8">
      <w:pPr>
        <w:spacing w:before="120" w:after="120"/>
        <w:jc w:val="both"/>
        <w:rPr>
          <w:rFonts w:ascii="Arial" w:hAnsi="Arial" w:cs="Arial"/>
        </w:rPr>
      </w:pPr>
      <w:r w:rsidRPr="003507BE">
        <w:rPr>
          <w:rFonts w:ascii="Arial" w:hAnsi="Arial" w:cs="Arial"/>
        </w:rPr>
        <w:t>Il ressort de l’examen</w:t>
      </w:r>
      <w:r w:rsidR="00746D30">
        <w:rPr>
          <w:rFonts w:ascii="Arial" w:hAnsi="Arial" w:cs="Arial"/>
        </w:rPr>
        <w:t xml:space="preserve"> des </w:t>
      </w:r>
      <w:r w:rsidR="009825D0">
        <w:rPr>
          <w:rFonts w:ascii="Arial" w:hAnsi="Arial" w:cs="Arial"/>
        </w:rPr>
        <w:t>conventions signées</w:t>
      </w:r>
      <w:r w:rsidRPr="003507BE">
        <w:rPr>
          <w:rFonts w:ascii="Arial" w:hAnsi="Arial" w:cs="Arial"/>
        </w:rPr>
        <w:t xml:space="preserve"> que l</w:t>
      </w:r>
      <w:r w:rsidR="00E026AB">
        <w:rPr>
          <w:rFonts w:ascii="Arial" w:hAnsi="Arial" w:cs="Arial"/>
        </w:rPr>
        <w:t>a</w:t>
      </w:r>
      <w:r w:rsidR="00CB06D6">
        <w:rPr>
          <w:rFonts w:ascii="Arial" w:hAnsi="Arial" w:cs="Arial"/>
        </w:rPr>
        <w:t xml:space="preserve"> contribution des partenaires multi</w:t>
      </w:r>
      <w:r w:rsidR="00E026AB">
        <w:rPr>
          <w:rFonts w:ascii="Arial" w:hAnsi="Arial" w:cs="Arial"/>
        </w:rPr>
        <w:t xml:space="preserve">latéraux est la plus importante </w:t>
      </w:r>
      <w:r w:rsidRPr="003507BE">
        <w:rPr>
          <w:rFonts w:ascii="Arial" w:hAnsi="Arial" w:cs="Arial"/>
        </w:rPr>
        <w:t xml:space="preserve">avec un montant estimé à 486,45 milliards </w:t>
      </w:r>
      <w:r w:rsidR="00CB06D6">
        <w:rPr>
          <w:rFonts w:ascii="Arial" w:hAnsi="Arial" w:cs="Arial"/>
        </w:rPr>
        <w:t xml:space="preserve">de FCFA </w:t>
      </w:r>
      <w:r w:rsidRPr="003507BE">
        <w:rPr>
          <w:rFonts w:ascii="Arial" w:hAnsi="Arial" w:cs="Arial"/>
        </w:rPr>
        <w:t>soit 67,</w:t>
      </w:r>
      <w:r w:rsidR="009E3D6F">
        <w:rPr>
          <w:rFonts w:ascii="Arial" w:hAnsi="Arial" w:cs="Arial"/>
        </w:rPr>
        <w:t>75</w:t>
      </w:r>
      <w:r w:rsidRPr="003507BE">
        <w:rPr>
          <w:rFonts w:ascii="Arial" w:hAnsi="Arial" w:cs="Arial"/>
        </w:rPr>
        <w:t xml:space="preserve">%. </w:t>
      </w:r>
      <w:r w:rsidR="005A6A6E">
        <w:rPr>
          <w:rFonts w:ascii="Arial" w:hAnsi="Arial" w:cs="Arial"/>
        </w:rPr>
        <w:t xml:space="preserve">Celle </w:t>
      </w:r>
      <w:r w:rsidRPr="003507BE">
        <w:rPr>
          <w:rFonts w:ascii="Arial" w:hAnsi="Arial" w:cs="Arial"/>
        </w:rPr>
        <w:t xml:space="preserve">des partenaires bilatéraux </w:t>
      </w:r>
      <w:r w:rsidR="00BD109B">
        <w:rPr>
          <w:rFonts w:ascii="Arial" w:hAnsi="Arial" w:cs="Arial"/>
        </w:rPr>
        <w:t xml:space="preserve">s’est située à </w:t>
      </w:r>
      <w:r w:rsidRPr="003507BE">
        <w:rPr>
          <w:rFonts w:ascii="Arial" w:hAnsi="Arial" w:cs="Arial"/>
        </w:rPr>
        <w:t>16</w:t>
      </w:r>
      <w:r w:rsidR="00183747">
        <w:rPr>
          <w:rFonts w:ascii="Arial" w:hAnsi="Arial" w:cs="Arial"/>
        </w:rPr>
        <w:t>2,52</w:t>
      </w:r>
      <w:r w:rsidRPr="003507BE">
        <w:rPr>
          <w:rFonts w:ascii="Arial" w:hAnsi="Arial" w:cs="Arial"/>
        </w:rPr>
        <w:t xml:space="preserve"> milliards de francs CFA </w:t>
      </w:r>
      <w:r w:rsidR="00183747">
        <w:rPr>
          <w:rFonts w:ascii="Arial" w:hAnsi="Arial" w:cs="Arial"/>
        </w:rPr>
        <w:t>soit</w:t>
      </w:r>
      <w:r w:rsidRPr="003507BE">
        <w:rPr>
          <w:rFonts w:ascii="Arial" w:hAnsi="Arial" w:cs="Arial"/>
        </w:rPr>
        <w:t xml:space="preserve"> de 2</w:t>
      </w:r>
      <w:r w:rsidR="00A55CDF">
        <w:rPr>
          <w:rFonts w:ascii="Arial" w:hAnsi="Arial" w:cs="Arial"/>
        </w:rPr>
        <w:t>2</w:t>
      </w:r>
      <w:r w:rsidRPr="003507BE">
        <w:rPr>
          <w:rFonts w:ascii="Arial" w:hAnsi="Arial" w:cs="Arial"/>
        </w:rPr>
        <w:t>,</w:t>
      </w:r>
      <w:r w:rsidR="00A55CDF">
        <w:rPr>
          <w:rFonts w:ascii="Arial" w:hAnsi="Arial" w:cs="Arial"/>
        </w:rPr>
        <w:t xml:space="preserve">63 </w:t>
      </w:r>
      <w:r w:rsidRPr="003507BE">
        <w:rPr>
          <w:rFonts w:ascii="Arial" w:hAnsi="Arial" w:cs="Arial"/>
        </w:rPr>
        <w:t xml:space="preserve">%. </w:t>
      </w:r>
      <w:r w:rsidR="005A6A6E">
        <w:rPr>
          <w:rFonts w:ascii="Arial" w:hAnsi="Arial" w:cs="Arial"/>
        </w:rPr>
        <w:t xml:space="preserve">L’apport des ONG est de 53,67 </w:t>
      </w:r>
      <w:r w:rsidR="005A6A6E" w:rsidRPr="003507BE">
        <w:rPr>
          <w:rFonts w:ascii="Arial" w:hAnsi="Arial" w:cs="Arial"/>
        </w:rPr>
        <w:t>milliards de francs CFA</w:t>
      </w:r>
      <w:r w:rsidR="005A6A6E">
        <w:rPr>
          <w:rFonts w:ascii="Arial" w:hAnsi="Arial" w:cs="Arial"/>
        </w:rPr>
        <w:t xml:space="preserve">, représentant 7,48% des conventions. </w:t>
      </w:r>
      <w:r w:rsidRPr="003507BE">
        <w:rPr>
          <w:rFonts w:ascii="Arial" w:hAnsi="Arial" w:cs="Arial"/>
        </w:rPr>
        <w:t>En outre, pour 2016 une seule convention a été signée au titre du Partenariat public-privé d’un montant d</w:t>
      </w:r>
      <w:r w:rsidR="00EA2AAE">
        <w:rPr>
          <w:rFonts w:ascii="Arial" w:hAnsi="Arial" w:cs="Arial"/>
        </w:rPr>
        <w:t>e 15,32 milliards de francs CFA, soit 2,13% du total.</w:t>
      </w:r>
    </w:p>
    <w:p w:rsidR="009A4DF8" w:rsidRPr="003507BE" w:rsidRDefault="009A4DF8" w:rsidP="00B92B11">
      <w:pPr>
        <w:pStyle w:val="Paragraphedeliste"/>
        <w:numPr>
          <w:ilvl w:val="0"/>
          <w:numId w:val="62"/>
        </w:numPr>
        <w:spacing w:before="120" w:after="120"/>
        <w:jc w:val="both"/>
        <w:rPr>
          <w:rFonts w:ascii="Arial" w:hAnsi="Arial" w:cs="Arial"/>
          <w:b/>
        </w:rPr>
      </w:pPr>
      <w:r w:rsidRPr="003507BE">
        <w:rPr>
          <w:rFonts w:ascii="Arial" w:hAnsi="Arial" w:cs="Arial"/>
          <w:b/>
        </w:rPr>
        <w:t xml:space="preserve">Types </w:t>
      </w:r>
      <w:r w:rsidR="00944B0C">
        <w:rPr>
          <w:rFonts w:ascii="Arial" w:hAnsi="Arial" w:cs="Arial"/>
          <w:b/>
        </w:rPr>
        <w:t>de financement</w:t>
      </w:r>
    </w:p>
    <w:p w:rsidR="009A4DF8" w:rsidRPr="003507BE" w:rsidRDefault="009A4DF8" w:rsidP="009A4DF8">
      <w:pPr>
        <w:spacing w:before="120" w:after="120"/>
        <w:jc w:val="both"/>
        <w:rPr>
          <w:rFonts w:ascii="Arial" w:hAnsi="Arial" w:cs="Arial"/>
        </w:rPr>
      </w:pPr>
      <w:r w:rsidRPr="003507BE">
        <w:rPr>
          <w:rFonts w:ascii="Arial" w:hAnsi="Arial" w:cs="Arial"/>
        </w:rPr>
        <w:t>Selon la répartition par types</w:t>
      </w:r>
      <w:r w:rsidR="00944B0C">
        <w:rPr>
          <w:rFonts w:ascii="Arial" w:hAnsi="Arial" w:cs="Arial"/>
        </w:rPr>
        <w:t xml:space="preserve"> de financement</w:t>
      </w:r>
      <w:r w:rsidRPr="003507BE">
        <w:rPr>
          <w:rFonts w:ascii="Arial" w:hAnsi="Arial" w:cs="Arial"/>
        </w:rPr>
        <w:t>, on distingue les fonds extérieurs octroyés sous forme de prêts et de dons. Pour 2016, les montants de</w:t>
      </w:r>
      <w:r w:rsidR="00951990">
        <w:rPr>
          <w:rFonts w:ascii="Arial" w:hAnsi="Arial" w:cs="Arial"/>
        </w:rPr>
        <w:t>s</w:t>
      </w:r>
      <w:r w:rsidRPr="003507BE">
        <w:rPr>
          <w:rFonts w:ascii="Arial" w:hAnsi="Arial" w:cs="Arial"/>
        </w:rPr>
        <w:t xml:space="preserve"> </w:t>
      </w:r>
      <w:r w:rsidR="00951990" w:rsidRPr="003507BE">
        <w:rPr>
          <w:rFonts w:ascii="Arial" w:hAnsi="Arial" w:cs="Arial"/>
        </w:rPr>
        <w:t xml:space="preserve">dons </w:t>
      </w:r>
      <w:r w:rsidRPr="003507BE">
        <w:rPr>
          <w:rFonts w:ascii="Arial" w:hAnsi="Arial" w:cs="Arial"/>
        </w:rPr>
        <w:t xml:space="preserve">et de </w:t>
      </w:r>
      <w:r w:rsidR="00951990" w:rsidRPr="003507BE">
        <w:rPr>
          <w:rFonts w:ascii="Arial" w:hAnsi="Arial" w:cs="Arial"/>
        </w:rPr>
        <w:t xml:space="preserve">prêts </w:t>
      </w:r>
      <w:r w:rsidRPr="003507BE">
        <w:rPr>
          <w:rFonts w:ascii="Arial" w:hAnsi="Arial" w:cs="Arial"/>
        </w:rPr>
        <w:t xml:space="preserve">se </w:t>
      </w:r>
      <w:r w:rsidR="00951990">
        <w:rPr>
          <w:rFonts w:ascii="Arial" w:hAnsi="Arial" w:cs="Arial"/>
        </w:rPr>
        <w:t>sont établis respectivement à 413,</w:t>
      </w:r>
      <w:r w:rsidRPr="003507BE">
        <w:rPr>
          <w:rFonts w:ascii="Arial" w:hAnsi="Arial" w:cs="Arial"/>
        </w:rPr>
        <w:t>2</w:t>
      </w:r>
      <w:r w:rsidR="00951990">
        <w:rPr>
          <w:rFonts w:ascii="Arial" w:hAnsi="Arial" w:cs="Arial"/>
        </w:rPr>
        <w:t>1</w:t>
      </w:r>
      <w:r w:rsidRPr="003507BE">
        <w:rPr>
          <w:rFonts w:ascii="Arial" w:hAnsi="Arial" w:cs="Arial"/>
        </w:rPr>
        <w:t xml:space="preserve"> et 30</w:t>
      </w:r>
      <w:r w:rsidR="00AF5AB8">
        <w:rPr>
          <w:rFonts w:ascii="Arial" w:hAnsi="Arial" w:cs="Arial"/>
        </w:rPr>
        <w:t>4</w:t>
      </w:r>
      <w:r w:rsidRPr="003507BE">
        <w:rPr>
          <w:rFonts w:ascii="Arial" w:hAnsi="Arial" w:cs="Arial"/>
        </w:rPr>
        <w:t>,7</w:t>
      </w:r>
      <w:r w:rsidR="00AF5AB8">
        <w:rPr>
          <w:rFonts w:ascii="Arial" w:hAnsi="Arial" w:cs="Arial"/>
        </w:rPr>
        <w:t>4</w:t>
      </w:r>
      <w:r w:rsidRPr="003507BE">
        <w:rPr>
          <w:rFonts w:ascii="Arial" w:hAnsi="Arial" w:cs="Arial"/>
        </w:rPr>
        <w:t xml:space="preserve"> en milliards de francs CFA. </w:t>
      </w:r>
    </w:p>
    <w:p w:rsidR="009A4DF8" w:rsidRPr="003507BE" w:rsidRDefault="009A4DF8" w:rsidP="009A4DF8">
      <w:pPr>
        <w:spacing w:before="120" w:after="120"/>
        <w:jc w:val="both"/>
        <w:rPr>
          <w:rFonts w:ascii="Arial" w:hAnsi="Arial" w:cs="Arial"/>
        </w:rPr>
      </w:pPr>
      <w:r w:rsidRPr="003507BE">
        <w:rPr>
          <w:rFonts w:ascii="Arial" w:hAnsi="Arial" w:cs="Arial"/>
        </w:rPr>
        <w:t>Comparativement à 2015, les prêts ont baissé de 1</w:t>
      </w:r>
      <w:r w:rsidR="00944B0C">
        <w:rPr>
          <w:rFonts w:ascii="Arial" w:hAnsi="Arial" w:cs="Arial"/>
        </w:rPr>
        <w:t>2</w:t>
      </w:r>
      <w:r w:rsidRPr="003507BE">
        <w:rPr>
          <w:rFonts w:ascii="Arial" w:hAnsi="Arial" w:cs="Arial"/>
        </w:rPr>
        <w:t>,</w:t>
      </w:r>
      <w:r w:rsidR="00944B0C">
        <w:rPr>
          <w:rFonts w:ascii="Arial" w:hAnsi="Arial" w:cs="Arial"/>
        </w:rPr>
        <w:t>70</w:t>
      </w:r>
      <w:r w:rsidRPr="003507BE">
        <w:rPr>
          <w:rFonts w:ascii="Arial" w:hAnsi="Arial" w:cs="Arial"/>
        </w:rPr>
        <w:t>% tandis que les dons ont connu une augmentation d</w:t>
      </w:r>
      <w:r w:rsidR="00951990">
        <w:rPr>
          <w:rFonts w:ascii="Arial" w:hAnsi="Arial" w:cs="Arial"/>
        </w:rPr>
        <w:t>e</w:t>
      </w:r>
      <w:r w:rsidRPr="003507BE">
        <w:rPr>
          <w:rFonts w:ascii="Arial" w:hAnsi="Arial" w:cs="Arial"/>
        </w:rPr>
        <w:t xml:space="preserve"> </w:t>
      </w:r>
      <w:r w:rsidR="00D2129A">
        <w:rPr>
          <w:rFonts w:ascii="Arial" w:hAnsi="Arial" w:cs="Arial"/>
        </w:rPr>
        <w:t>72,05%</w:t>
      </w:r>
      <w:r w:rsidRPr="003507BE">
        <w:rPr>
          <w:rFonts w:ascii="Arial" w:hAnsi="Arial" w:cs="Arial"/>
        </w:rPr>
        <w:t xml:space="preserve">. </w:t>
      </w:r>
    </w:p>
    <w:p w:rsidR="009A4DF8" w:rsidRPr="002C7316" w:rsidRDefault="002C7316" w:rsidP="002C7316">
      <w:pPr>
        <w:pStyle w:val="Lgende"/>
        <w:rPr>
          <w:color w:val="auto"/>
          <w:szCs w:val="24"/>
          <w:u w:val="none"/>
        </w:rPr>
      </w:pPr>
      <w:bookmarkStart w:id="205" w:name="_Toc368779360"/>
      <w:bookmarkStart w:id="206" w:name="_Toc395826362"/>
      <w:bookmarkStart w:id="207" w:name="_Toc400643997"/>
      <w:bookmarkStart w:id="208" w:name="_Toc400661557"/>
      <w:bookmarkStart w:id="209" w:name="_Toc400703518"/>
      <w:bookmarkStart w:id="210" w:name="_Toc424705035"/>
      <w:bookmarkStart w:id="211" w:name="_Toc492895476"/>
      <w:r w:rsidRPr="002C7316">
        <w:rPr>
          <w:color w:val="auto"/>
        </w:rPr>
        <w:t xml:space="preserve">Tableau </w:t>
      </w:r>
      <w:r w:rsidRPr="002C7316">
        <w:rPr>
          <w:color w:val="auto"/>
        </w:rPr>
        <w:fldChar w:fldCharType="begin"/>
      </w:r>
      <w:r w:rsidRPr="002C7316">
        <w:rPr>
          <w:color w:val="auto"/>
        </w:rPr>
        <w:instrText xml:space="preserve"> SEQ Tableau \* ARABIC </w:instrText>
      </w:r>
      <w:r w:rsidRPr="002C7316">
        <w:rPr>
          <w:color w:val="auto"/>
        </w:rPr>
        <w:fldChar w:fldCharType="separate"/>
      </w:r>
      <w:r w:rsidR="009A1402">
        <w:rPr>
          <w:noProof/>
          <w:color w:val="auto"/>
        </w:rPr>
        <w:t>8</w:t>
      </w:r>
      <w:r w:rsidRPr="002C7316">
        <w:rPr>
          <w:color w:val="auto"/>
        </w:rPr>
        <w:fldChar w:fldCharType="end"/>
      </w:r>
      <w:r w:rsidRPr="002C7316">
        <w:rPr>
          <w:color w:val="auto"/>
        </w:rPr>
        <w:t> :</w:t>
      </w:r>
      <w:r w:rsidR="009A4DF8" w:rsidRPr="002C7316">
        <w:rPr>
          <w:color w:val="auto"/>
          <w:szCs w:val="24"/>
          <w:u w:val="none"/>
        </w:rPr>
        <w:t xml:space="preserve"> Récapitulatif des conventions de financement signées en 2016 (en milliards de FCFA)</w:t>
      </w:r>
      <w:bookmarkEnd w:id="205"/>
      <w:bookmarkEnd w:id="206"/>
      <w:bookmarkEnd w:id="207"/>
      <w:bookmarkEnd w:id="208"/>
      <w:bookmarkEnd w:id="209"/>
      <w:bookmarkEnd w:id="210"/>
      <w:bookmarkEnd w:id="211"/>
    </w:p>
    <w:tbl>
      <w:tblPr>
        <w:tblW w:w="1001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0"/>
        <w:gridCol w:w="896"/>
        <w:gridCol w:w="918"/>
        <w:gridCol w:w="896"/>
        <w:gridCol w:w="1094"/>
        <w:gridCol w:w="896"/>
        <w:gridCol w:w="918"/>
        <w:gridCol w:w="896"/>
        <w:gridCol w:w="918"/>
        <w:gridCol w:w="896"/>
        <w:gridCol w:w="1044"/>
      </w:tblGrid>
      <w:tr w:rsidR="009A4DF8" w:rsidRPr="00D234CC" w:rsidTr="003406F7">
        <w:trPr>
          <w:trHeight w:val="437"/>
        </w:trPr>
        <w:tc>
          <w:tcPr>
            <w:tcW w:w="0" w:type="auto"/>
            <w:shd w:val="clear" w:color="auto" w:fill="F2F2F2"/>
            <w:noWrap/>
            <w:vAlign w:val="center"/>
            <w:hideMark/>
          </w:tcPr>
          <w:p w:rsidR="009A4DF8" w:rsidRPr="00D234CC" w:rsidRDefault="009A4DF8" w:rsidP="00D234CC">
            <w:pPr>
              <w:spacing w:after="0" w:line="240" w:lineRule="auto"/>
              <w:rPr>
                <w:rFonts w:ascii="Arial" w:hAnsi="Arial" w:cs="Arial"/>
                <w:sz w:val="20"/>
                <w:szCs w:val="20"/>
              </w:rPr>
            </w:pPr>
            <w:r w:rsidRPr="00D234CC">
              <w:rPr>
                <w:rFonts w:ascii="Arial" w:hAnsi="Arial" w:cs="Arial"/>
                <w:sz w:val="20"/>
                <w:szCs w:val="20"/>
              </w:rPr>
              <w:t> </w:t>
            </w:r>
          </w:p>
        </w:tc>
        <w:tc>
          <w:tcPr>
            <w:tcW w:w="0" w:type="auto"/>
            <w:gridSpan w:val="2"/>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Bilatéraux</w:t>
            </w:r>
          </w:p>
        </w:tc>
        <w:tc>
          <w:tcPr>
            <w:tcW w:w="1990" w:type="dxa"/>
            <w:gridSpan w:val="2"/>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Multilatéraux</w:t>
            </w:r>
          </w:p>
        </w:tc>
        <w:tc>
          <w:tcPr>
            <w:tcW w:w="1814" w:type="dxa"/>
            <w:gridSpan w:val="2"/>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ONG</w:t>
            </w:r>
          </w:p>
        </w:tc>
        <w:tc>
          <w:tcPr>
            <w:tcW w:w="1814" w:type="dxa"/>
            <w:gridSpan w:val="2"/>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PPP</w:t>
            </w:r>
          </w:p>
        </w:tc>
        <w:tc>
          <w:tcPr>
            <w:tcW w:w="1940" w:type="dxa"/>
            <w:gridSpan w:val="2"/>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Total</w:t>
            </w:r>
          </w:p>
        </w:tc>
      </w:tr>
      <w:tr w:rsidR="009A4DF8" w:rsidRPr="00D234CC" w:rsidTr="003406F7">
        <w:trPr>
          <w:trHeight w:val="437"/>
        </w:trPr>
        <w:tc>
          <w:tcPr>
            <w:tcW w:w="0" w:type="auto"/>
            <w:shd w:val="clear" w:color="auto" w:fill="F2F2F2"/>
            <w:noWrap/>
            <w:vAlign w:val="center"/>
          </w:tcPr>
          <w:p w:rsidR="009A4DF8" w:rsidRPr="00D234CC" w:rsidRDefault="009A4DF8" w:rsidP="00D234CC">
            <w:pPr>
              <w:spacing w:after="0" w:line="240" w:lineRule="auto"/>
              <w:rPr>
                <w:rFonts w:ascii="Arial" w:hAnsi="Arial" w:cs="Arial"/>
                <w:sz w:val="20"/>
                <w:szCs w:val="20"/>
              </w:rPr>
            </w:pPr>
          </w:p>
        </w:tc>
        <w:tc>
          <w:tcPr>
            <w:tcW w:w="0" w:type="auto"/>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Nombre</w:t>
            </w:r>
          </w:p>
        </w:tc>
        <w:tc>
          <w:tcPr>
            <w:tcW w:w="0" w:type="auto"/>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Montant</w:t>
            </w:r>
          </w:p>
        </w:tc>
        <w:tc>
          <w:tcPr>
            <w:tcW w:w="0" w:type="auto"/>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Nombre</w:t>
            </w:r>
          </w:p>
        </w:tc>
        <w:tc>
          <w:tcPr>
            <w:tcW w:w="1094" w:type="dxa"/>
            <w:shd w:val="clear" w:color="auto" w:fill="F2F2F2"/>
            <w:noWrap/>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Montant</w:t>
            </w:r>
          </w:p>
        </w:tc>
        <w:tc>
          <w:tcPr>
            <w:tcW w:w="896" w:type="dxa"/>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Nombre</w:t>
            </w:r>
          </w:p>
        </w:tc>
        <w:tc>
          <w:tcPr>
            <w:tcW w:w="918" w:type="dxa"/>
            <w:shd w:val="clear" w:color="auto" w:fill="F2F2F2"/>
            <w:noWrap/>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Montant</w:t>
            </w:r>
          </w:p>
        </w:tc>
        <w:tc>
          <w:tcPr>
            <w:tcW w:w="896" w:type="dxa"/>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Nombre</w:t>
            </w:r>
          </w:p>
        </w:tc>
        <w:tc>
          <w:tcPr>
            <w:tcW w:w="918" w:type="dxa"/>
            <w:shd w:val="clear" w:color="auto" w:fill="F2F2F2"/>
            <w:noWrap/>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Montant</w:t>
            </w:r>
          </w:p>
        </w:tc>
        <w:tc>
          <w:tcPr>
            <w:tcW w:w="896" w:type="dxa"/>
            <w:shd w:val="clear" w:color="auto" w:fill="F2F2F2"/>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Nombre</w:t>
            </w:r>
          </w:p>
        </w:tc>
        <w:tc>
          <w:tcPr>
            <w:tcW w:w="1044" w:type="dxa"/>
            <w:shd w:val="clear" w:color="auto" w:fill="F2F2F2"/>
            <w:noWrap/>
            <w:vAlign w:val="center"/>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Montant</w:t>
            </w:r>
          </w:p>
        </w:tc>
      </w:tr>
      <w:tr w:rsidR="009A4DF8" w:rsidRPr="00D234CC" w:rsidTr="003406F7">
        <w:trPr>
          <w:trHeight w:val="437"/>
        </w:trPr>
        <w:tc>
          <w:tcPr>
            <w:tcW w:w="0" w:type="auto"/>
            <w:shd w:val="clear" w:color="auto" w:fill="F2F2F2"/>
            <w:noWrap/>
            <w:vAlign w:val="center"/>
            <w:hideMark/>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Prêt</w:t>
            </w:r>
          </w:p>
        </w:tc>
        <w:tc>
          <w:tcPr>
            <w:tcW w:w="0" w:type="auto"/>
            <w:shd w:val="clear" w:color="auto" w:fill="auto"/>
            <w:vAlign w:val="center"/>
          </w:tcPr>
          <w:p w:rsidR="009A4DF8" w:rsidRPr="00D234CC" w:rsidRDefault="009A4DF8" w:rsidP="007628BD">
            <w:pPr>
              <w:spacing w:after="0" w:line="240" w:lineRule="auto"/>
              <w:jc w:val="center"/>
              <w:rPr>
                <w:rFonts w:ascii="Arial" w:hAnsi="Arial" w:cs="Arial"/>
                <w:sz w:val="20"/>
                <w:szCs w:val="20"/>
              </w:rPr>
            </w:pPr>
            <w:r w:rsidRPr="00D234CC">
              <w:rPr>
                <w:rFonts w:ascii="Arial" w:hAnsi="Arial" w:cs="Arial"/>
                <w:sz w:val="20"/>
                <w:szCs w:val="20"/>
              </w:rPr>
              <w:t>0</w:t>
            </w:r>
            <w:r w:rsidR="007628BD">
              <w:rPr>
                <w:rFonts w:ascii="Arial" w:hAnsi="Arial" w:cs="Arial"/>
                <w:sz w:val="20"/>
                <w:szCs w:val="20"/>
              </w:rPr>
              <w:t>2</w:t>
            </w:r>
          </w:p>
        </w:tc>
        <w:tc>
          <w:tcPr>
            <w:tcW w:w="0" w:type="auto"/>
            <w:shd w:val="clear" w:color="auto" w:fill="auto"/>
            <w:vAlign w:val="center"/>
          </w:tcPr>
          <w:p w:rsidR="009A4DF8" w:rsidRPr="00D234CC" w:rsidRDefault="009A4DF8" w:rsidP="007628BD">
            <w:pPr>
              <w:spacing w:after="0" w:line="240" w:lineRule="auto"/>
              <w:jc w:val="center"/>
              <w:rPr>
                <w:rFonts w:ascii="Arial" w:hAnsi="Arial" w:cs="Arial"/>
                <w:sz w:val="20"/>
                <w:szCs w:val="20"/>
              </w:rPr>
            </w:pPr>
            <w:r w:rsidRPr="00D234CC">
              <w:rPr>
                <w:rFonts w:ascii="Arial" w:hAnsi="Arial" w:cs="Arial"/>
                <w:sz w:val="20"/>
                <w:szCs w:val="20"/>
              </w:rPr>
              <w:t>3</w:t>
            </w:r>
            <w:r w:rsidR="007628BD">
              <w:rPr>
                <w:rFonts w:ascii="Arial" w:hAnsi="Arial" w:cs="Arial"/>
                <w:sz w:val="20"/>
                <w:szCs w:val="20"/>
              </w:rPr>
              <w:t>2,7</w:t>
            </w:r>
            <w:r w:rsidRPr="00D234CC">
              <w:rPr>
                <w:rFonts w:ascii="Arial" w:hAnsi="Arial" w:cs="Arial"/>
                <w:sz w:val="20"/>
                <w:szCs w:val="20"/>
              </w:rPr>
              <w:t>7</w:t>
            </w:r>
          </w:p>
        </w:tc>
        <w:tc>
          <w:tcPr>
            <w:tcW w:w="0" w:type="auto"/>
            <w:shd w:val="clear" w:color="auto" w:fill="auto"/>
            <w:vAlign w:val="center"/>
          </w:tcPr>
          <w:p w:rsidR="009A4DF8" w:rsidRPr="00D234CC" w:rsidRDefault="007628BD" w:rsidP="00D234CC">
            <w:pPr>
              <w:spacing w:after="0" w:line="240" w:lineRule="auto"/>
              <w:jc w:val="center"/>
              <w:rPr>
                <w:rFonts w:ascii="Arial" w:hAnsi="Arial" w:cs="Arial"/>
                <w:sz w:val="20"/>
                <w:szCs w:val="20"/>
              </w:rPr>
            </w:pPr>
            <w:r>
              <w:rPr>
                <w:rFonts w:ascii="Arial" w:hAnsi="Arial" w:cs="Arial"/>
                <w:sz w:val="20"/>
                <w:szCs w:val="20"/>
              </w:rPr>
              <w:t>11</w:t>
            </w:r>
          </w:p>
        </w:tc>
        <w:tc>
          <w:tcPr>
            <w:tcW w:w="1094" w:type="dxa"/>
            <w:shd w:val="clear" w:color="auto" w:fill="auto"/>
            <w:noWrap/>
            <w:vAlign w:val="center"/>
            <w:hideMark/>
          </w:tcPr>
          <w:p w:rsidR="009A4DF8" w:rsidRPr="00D234CC" w:rsidRDefault="004223CE" w:rsidP="004223CE">
            <w:pPr>
              <w:spacing w:after="0" w:line="240" w:lineRule="auto"/>
              <w:jc w:val="center"/>
              <w:rPr>
                <w:rFonts w:ascii="Arial" w:hAnsi="Arial" w:cs="Arial"/>
                <w:sz w:val="20"/>
                <w:szCs w:val="20"/>
              </w:rPr>
            </w:pPr>
            <w:r>
              <w:rPr>
                <w:rFonts w:ascii="Arial" w:hAnsi="Arial" w:cs="Arial"/>
                <w:sz w:val="20"/>
                <w:szCs w:val="20"/>
              </w:rPr>
              <w:t>256,66</w:t>
            </w:r>
          </w:p>
        </w:tc>
        <w:tc>
          <w:tcPr>
            <w:tcW w:w="896" w:type="dxa"/>
            <w:shd w:val="clear" w:color="auto" w:fill="auto"/>
            <w:vAlign w:val="center"/>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00</w:t>
            </w:r>
          </w:p>
        </w:tc>
        <w:tc>
          <w:tcPr>
            <w:tcW w:w="918" w:type="dxa"/>
            <w:shd w:val="clear" w:color="auto" w:fill="auto"/>
            <w:noWrap/>
            <w:vAlign w:val="center"/>
            <w:hideMark/>
          </w:tcPr>
          <w:p w:rsidR="009A4DF8" w:rsidRPr="00D234CC" w:rsidRDefault="009A4DF8" w:rsidP="00D234CC">
            <w:pPr>
              <w:spacing w:after="0" w:line="240" w:lineRule="auto"/>
              <w:jc w:val="center"/>
              <w:rPr>
                <w:rFonts w:ascii="Arial" w:hAnsi="Arial" w:cs="Arial"/>
                <w:sz w:val="20"/>
                <w:szCs w:val="20"/>
              </w:rPr>
            </w:pPr>
          </w:p>
        </w:tc>
        <w:tc>
          <w:tcPr>
            <w:tcW w:w="896" w:type="dxa"/>
            <w:shd w:val="clear" w:color="auto" w:fill="auto"/>
            <w:vAlign w:val="center"/>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01</w:t>
            </w:r>
          </w:p>
        </w:tc>
        <w:tc>
          <w:tcPr>
            <w:tcW w:w="918" w:type="dxa"/>
            <w:shd w:val="clear" w:color="auto" w:fill="auto"/>
            <w:noWrap/>
            <w:vAlign w:val="center"/>
            <w:hideMark/>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15,32</w:t>
            </w:r>
          </w:p>
        </w:tc>
        <w:tc>
          <w:tcPr>
            <w:tcW w:w="896" w:type="dxa"/>
            <w:shd w:val="clear" w:color="auto" w:fill="auto"/>
            <w:vAlign w:val="center"/>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14</w:t>
            </w:r>
          </w:p>
        </w:tc>
        <w:tc>
          <w:tcPr>
            <w:tcW w:w="1044" w:type="dxa"/>
            <w:shd w:val="clear" w:color="auto" w:fill="auto"/>
            <w:noWrap/>
            <w:vAlign w:val="center"/>
            <w:hideMark/>
          </w:tcPr>
          <w:p w:rsidR="009A4DF8" w:rsidRPr="00D234CC" w:rsidRDefault="00FA463A" w:rsidP="00FA463A">
            <w:pPr>
              <w:spacing w:after="0" w:line="240" w:lineRule="auto"/>
              <w:jc w:val="center"/>
              <w:rPr>
                <w:rFonts w:ascii="Arial" w:hAnsi="Arial" w:cs="Arial"/>
                <w:b/>
                <w:sz w:val="20"/>
                <w:szCs w:val="20"/>
              </w:rPr>
            </w:pPr>
            <w:r>
              <w:rPr>
                <w:rFonts w:ascii="Arial" w:hAnsi="Arial" w:cs="Arial"/>
                <w:b/>
                <w:sz w:val="20"/>
                <w:szCs w:val="20"/>
              </w:rPr>
              <w:t>304</w:t>
            </w:r>
            <w:r w:rsidR="009A4DF8" w:rsidRPr="00D234CC">
              <w:rPr>
                <w:rFonts w:ascii="Arial" w:hAnsi="Arial" w:cs="Arial"/>
                <w:b/>
                <w:sz w:val="20"/>
                <w:szCs w:val="20"/>
              </w:rPr>
              <w:t>,7</w:t>
            </w:r>
            <w:r>
              <w:rPr>
                <w:rFonts w:ascii="Arial" w:hAnsi="Arial" w:cs="Arial"/>
                <w:b/>
                <w:sz w:val="20"/>
                <w:szCs w:val="20"/>
              </w:rPr>
              <w:t>5</w:t>
            </w:r>
          </w:p>
        </w:tc>
      </w:tr>
      <w:tr w:rsidR="009A4DF8" w:rsidRPr="00D234CC" w:rsidTr="003406F7">
        <w:trPr>
          <w:trHeight w:val="437"/>
        </w:trPr>
        <w:tc>
          <w:tcPr>
            <w:tcW w:w="0" w:type="auto"/>
            <w:shd w:val="clear" w:color="auto" w:fill="F2F2F2"/>
            <w:noWrap/>
            <w:vAlign w:val="center"/>
            <w:hideMark/>
          </w:tcPr>
          <w:p w:rsidR="009A4DF8" w:rsidRPr="00D234CC" w:rsidRDefault="009A4DF8" w:rsidP="00D234CC">
            <w:pPr>
              <w:spacing w:after="0" w:line="240" w:lineRule="auto"/>
              <w:jc w:val="center"/>
              <w:rPr>
                <w:rFonts w:ascii="Arial" w:hAnsi="Arial" w:cs="Arial"/>
                <w:b/>
                <w:bCs/>
                <w:sz w:val="20"/>
                <w:szCs w:val="20"/>
              </w:rPr>
            </w:pPr>
            <w:r w:rsidRPr="00D234CC">
              <w:rPr>
                <w:rFonts w:ascii="Arial" w:hAnsi="Arial" w:cs="Arial"/>
                <w:b/>
                <w:bCs/>
                <w:sz w:val="20"/>
                <w:szCs w:val="20"/>
              </w:rPr>
              <w:t>Dons</w:t>
            </w:r>
          </w:p>
        </w:tc>
        <w:tc>
          <w:tcPr>
            <w:tcW w:w="0" w:type="auto"/>
            <w:shd w:val="clear" w:color="auto" w:fill="auto"/>
            <w:vAlign w:val="center"/>
          </w:tcPr>
          <w:p w:rsidR="009A4DF8" w:rsidRPr="00D234CC" w:rsidRDefault="009A4DF8" w:rsidP="004223CE">
            <w:pPr>
              <w:spacing w:after="0" w:line="240" w:lineRule="auto"/>
              <w:jc w:val="center"/>
              <w:rPr>
                <w:rFonts w:ascii="Arial" w:hAnsi="Arial" w:cs="Arial"/>
                <w:sz w:val="20"/>
                <w:szCs w:val="20"/>
              </w:rPr>
            </w:pPr>
            <w:r w:rsidRPr="00D234CC">
              <w:rPr>
                <w:rFonts w:ascii="Arial" w:hAnsi="Arial" w:cs="Arial"/>
                <w:sz w:val="20"/>
                <w:szCs w:val="20"/>
              </w:rPr>
              <w:t>2</w:t>
            </w:r>
            <w:r w:rsidR="00A05E9C">
              <w:rPr>
                <w:rFonts w:ascii="Arial" w:hAnsi="Arial" w:cs="Arial"/>
                <w:sz w:val="20"/>
                <w:szCs w:val="20"/>
              </w:rPr>
              <w:t>3</w:t>
            </w:r>
          </w:p>
        </w:tc>
        <w:tc>
          <w:tcPr>
            <w:tcW w:w="0" w:type="auto"/>
            <w:shd w:val="clear" w:color="auto" w:fill="auto"/>
            <w:vAlign w:val="center"/>
          </w:tcPr>
          <w:p w:rsidR="009A4DF8" w:rsidRPr="00D234CC" w:rsidRDefault="009A4DF8" w:rsidP="004223CE">
            <w:pPr>
              <w:spacing w:after="0" w:line="240" w:lineRule="auto"/>
              <w:jc w:val="center"/>
              <w:rPr>
                <w:rFonts w:ascii="Arial" w:hAnsi="Arial" w:cs="Arial"/>
                <w:sz w:val="20"/>
                <w:szCs w:val="20"/>
              </w:rPr>
            </w:pPr>
            <w:r w:rsidRPr="00D234CC">
              <w:rPr>
                <w:rFonts w:ascii="Arial" w:hAnsi="Arial" w:cs="Arial"/>
                <w:sz w:val="20"/>
                <w:szCs w:val="20"/>
              </w:rPr>
              <w:t>1</w:t>
            </w:r>
            <w:r w:rsidR="004223CE">
              <w:rPr>
                <w:rFonts w:ascii="Arial" w:hAnsi="Arial" w:cs="Arial"/>
                <w:sz w:val="20"/>
                <w:szCs w:val="20"/>
              </w:rPr>
              <w:t>21</w:t>
            </w:r>
            <w:r w:rsidRPr="00D234CC">
              <w:rPr>
                <w:rFonts w:ascii="Arial" w:hAnsi="Arial" w:cs="Arial"/>
                <w:sz w:val="20"/>
                <w:szCs w:val="20"/>
              </w:rPr>
              <w:t>,</w:t>
            </w:r>
            <w:r w:rsidR="004223CE">
              <w:rPr>
                <w:rFonts w:ascii="Arial" w:hAnsi="Arial" w:cs="Arial"/>
                <w:sz w:val="20"/>
                <w:szCs w:val="20"/>
              </w:rPr>
              <w:t>75</w:t>
            </w:r>
          </w:p>
        </w:tc>
        <w:tc>
          <w:tcPr>
            <w:tcW w:w="0" w:type="auto"/>
            <w:shd w:val="clear" w:color="auto" w:fill="auto"/>
            <w:vAlign w:val="center"/>
          </w:tcPr>
          <w:p w:rsidR="009A4DF8" w:rsidRPr="00D234CC" w:rsidRDefault="004223CE" w:rsidP="00D234CC">
            <w:pPr>
              <w:spacing w:after="0" w:line="240" w:lineRule="auto"/>
              <w:jc w:val="center"/>
              <w:rPr>
                <w:rFonts w:ascii="Arial" w:hAnsi="Arial" w:cs="Arial"/>
                <w:sz w:val="20"/>
                <w:szCs w:val="20"/>
              </w:rPr>
            </w:pPr>
            <w:r>
              <w:rPr>
                <w:rFonts w:ascii="Arial" w:hAnsi="Arial" w:cs="Arial"/>
                <w:sz w:val="20"/>
                <w:szCs w:val="20"/>
              </w:rPr>
              <w:t>09</w:t>
            </w:r>
          </w:p>
        </w:tc>
        <w:tc>
          <w:tcPr>
            <w:tcW w:w="1094" w:type="dxa"/>
            <w:shd w:val="clear" w:color="auto" w:fill="auto"/>
            <w:noWrap/>
            <w:vAlign w:val="center"/>
            <w:hideMark/>
          </w:tcPr>
          <w:p w:rsidR="009A4DF8" w:rsidRPr="00D234CC" w:rsidRDefault="009A4DF8" w:rsidP="004223CE">
            <w:pPr>
              <w:spacing w:after="0" w:line="240" w:lineRule="auto"/>
              <w:jc w:val="center"/>
              <w:rPr>
                <w:rFonts w:ascii="Arial" w:hAnsi="Arial" w:cs="Arial"/>
                <w:sz w:val="20"/>
                <w:szCs w:val="20"/>
              </w:rPr>
            </w:pPr>
            <w:r w:rsidRPr="00D234CC">
              <w:rPr>
                <w:rFonts w:ascii="Arial" w:hAnsi="Arial" w:cs="Arial"/>
                <w:sz w:val="20"/>
                <w:szCs w:val="20"/>
              </w:rPr>
              <w:t>2</w:t>
            </w:r>
            <w:r w:rsidR="004223CE">
              <w:rPr>
                <w:rFonts w:ascii="Arial" w:hAnsi="Arial" w:cs="Arial"/>
                <w:sz w:val="20"/>
                <w:szCs w:val="20"/>
              </w:rPr>
              <w:t>29</w:t>
            </w:r>
            <w:r w:rsidRPr="00D234CC">
              <w:rPr>
                <w:rFonts w:ascii="Arial" w:hAnsi="Arial" w:cs="Arial"/>
                <w:sz w:val="20"/>
                <w:szCs w:val="20"/>
              </w:rPr>
              <w:t>,</w:t>
            </w:r>
            <w:r w:rsidR="004223CE">
              <w:rPr>
                <w:rFonts w:ascii="Arial" w:hAnsi="Arial" w:cs="Arial"/>
                <w:sz w:val="20"/>
                <w:szCs w:val="20"/>
              </w:rPr>
              <w:t>79</w:t>
            </w:r>
          </w:p>
        </w:tc>
        <w:tc>
          <w:tcPr>
            <w:tcW w:w="896" w:type="dxa"/>
            <w:shd w:val="clear" w:color="auto" w:fill="auto"/>
            <w:vAlign w:val="center"/>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56</w:t>
            </w:r>
          </w:p>
        </w:tc>
        <w:tc>
          <w:tcPr>
            <w:tcW w:w="918" w:type="dxa"/>
            <w:shd w:val="clear" w:color="auto" w:fill="auto"/>
            <w:noWrap/>
            <w:vAlign w:val="center"/>
            <w:hideMark/>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53,67</w:t>
            </w:r>
          </w:p>
        </w:tc>
        <w:tc>
          <w:tcPr>
            <w:tcW w:w="896" w:type="dxa"/>
            <w:shd w:val="clear" w:color="auto" w:fill="auto"/>
            <w:vAlign w:val="center"/>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00</w:t>
            </w:r>
          </w:p>
        </w:tc>
        <w:tc>
          <w:tcPr>
            <w:tcW w:w="918" w:type="dxa"/>
            <w:shd w:val="clear" w:color="auto" w:fill="auto"/>
            <w:noWrap/>
            <w:vAlign w:val="center"/>
            <w:hideMark/>
          </w:tcPr>
          <w:p w:rsidR="009A4DF8" w:rsidRPr="00D234CC" w:rsidRDefault="009A4DF8" w:rsidP="00D234CC">
            <w:pPr>
              <w:spacing w:after="0" w:line="240" w:lineRule="auto"/>
              <w:jc w:val="center"/>
              <w:rPr>
                <w:rFonts w:ascii="Arial" w:hAnsi="Arial" w:cs="Arial"/>
                <w:sz w:val="20"/>
                <w:szCs w:val="20"/>
              </w:rPr>
            </w:pPr>
          </w:p>
        </w:tc>
        <w:tc>
          <w:tcPr>
            <w:tcW w:w="896" w:type="dxa"/>
            <w:shd w:val="clear" w:color="auto" w:fill="auto"/>
            <w:vAlign w:val="center"/>
          </w:tcPr>
          <w:p w:rsidR="009A4DF8" w:rsidRPr="00D234CC" w:rsidRDefault="00430817" w:rsidP="00D234CC">
            <w:pPr>
              <w:spacing w:after="0" w:line="240" w:lineRule="auto"/>
              <w:jc w:val="center"/>
              <w:rPr>
                <w:rFonts w:ascii="Arial" w:hAnsi="Arial" w:cs="Arial"/>
                <w:sz w:val="20"/>
                <w:szCs w:val="20"/>
              </w:rPr>
            </w:pPr>
            <w:r>
              <w:rPr>
                <w:rFonts w:ascii="Arial" w:hAnsi="Arial" w:cs="Arial"/>
                <w:sz w:val="20"/>
                <w:szCs w:val="20"/>
              </w:rPr>
              <w:t>87</w:t>
            </w:r>
          </w:p>
        </w:tc>
        <w:tc>
          <w:tcPr>
            <w:tcW w:w="1044" w:type="dxa"/>
            <w:shd w:val="clear" w:color="auto" w:fill="auto"/>
            <w:noWrap/>
            <w:vAlign w:val="center"/>
            <w:hideMark/>
          </w:tcPr>
          <w:p w:rsidR="009A4DF8" w:rsidRPr="00D234CC" w:rsidRDefault="00FA463A" w:rsidP="00D234CC">
            <w:pPr>
              <w:spacing w:after="0" w:line="240" w:lineRule="auto"/>
              <w:jc w:val="center"/>
              <w:rPr>
                <w:rFonts w:ascii="Arial" w:hAnsi="Arial" w:cs="Arial"/>
                <w:b/>
                <w:sz w:val="20"/>
                <w:szCs w:val="20"/>
              </w:rPr>
            </w:pPr>
            <w:r>
              <w:rPr>
                <w:rFonts w:ascii="Arial" w:hAnsi="Arial" w:cs="Arial"/>
                <w:b/>
                <w:sz w:val="20"/>
                <w:szCs w:val="20"/>
              </w:rPr>
              <w:t>413,</w:t>
            </w:r>
            <w:r w:rsidR="009A4DF8" w:rsidRPr="00D234CC">
              <w:rPr>
                <w:rFonts w:ascii="Arial" w:hAnsi="Arial" w:cs="Arial"/>
                <w:b/>
                <w:sz w:val="20"/>
                <w:szCs w:val="20"/>
              </w:rPr>
              <w:t>2</w:t>
            </w:r>
            <w:r>
              <w:rPr>
                <w:rFonts w:ascii="Arial" w:hAnsi="Arial" w:cs="Arial"/>
                <w:b/>
                <w:sz w:val="20"/>
                <w:szCs w:val="20"/>
              </w:rPr>
              <w:t>1</w:t>
            </w:r>
          </w:p>
        </w:tc>
      </w:tr>
      <w:tr w:rsidR="009A4DF8" w:rsidRPr="00D234CC" w:rsidTr="003406F7">
        <w:trPr>
          <w:trHeight w:val="437"/>
        </w:trPr>
        <w:tc>
          <w:tcPr>
            <w:tcW w:w="0" w:type="auto"/>
            <w:shd w:val="clear" w:color="auto" w:fill="F2F2F2"/>
            <w:noWrap/>
            <w:vAlign w:val="center"/>
            <w:hideMark/>
          </w:tcPr>
          <w:p w:rsidR="009A4DF8" w:rsidRPr="00D234CC" w:rsidRDefault="009A4DF8" w:rsidP="00D234CC">
            <w:pPr>
              <w:spacing w:after="0" w:line="240" w:lineRule="auto"/>
              <w:jc w:val="center"/>
              <w:rPr>
                <w:rFonts w:ascii="Arial" w:hAnsi="Arial" w:cs="Arial"/>
                <w:bCs/>
                <w:sz w:val="20"/>
                <w:szCs w:val="20"/>
              </w:rPr>
            </w:pPr>
            <w:r w:rsidRPr="00D234CC">
              <w:rPr>
                <w:rFonts w:ascii="Arial" w:hAnsi="Arial" w:cs="Arial"/>
                <w:bCs/>
                <w:sz w:val="20"/>
                <w:szCs w:val="20"/>
              </w:rPr>
              <w:t>Total</w:t>
            </w:r>
          </w:p>
        </w:tc>
        <w:tc>
          <w:tcPr>
            <w:tcW w:w="0" w:type="auto"/>
            <w:shd w:val="clear" w:color="auto" w:fill="auto"/>
            <w:vAlign w:val="center"/>
          </w:tcPr>
          <w:p w:rsidR="009A4DF8" w:rsidRPr="00D234CC" w:rsidRDefault="00430817" w:rsidP="00A05E9C">
            <w:pPr>
              <w:spacing w:after="0" w:line="240" w:lineRule="auto"/>
              <w:jc w:val="center"/>
              <w:rPr>
                <w:rFonts w:ascii="Arial" w:hAnsi="Arial" w:cs="Arial"/>
                <w:sz w:val="20"/>
                <w:szCs w:val="20"/>
              </w:rPr>
            </w:pPr>
            <w:r>
              <w:rPr>
                <w:rFonts w:ascii="Arial" w:hAnsi="Arial" w:cs="Arial"/>
                <w:sz w:val="20"/>
                <w:szCs w:val="20"/>
              </w:rPr>
              <w:t>2</w:t>
            </w:r>
            <w:r w:rsidR="00A05E9C">
              <w:rPr>
                <w:rFonts w:ascii="Arial" w:hAnsi="Arial" w:cs="Arial"/>
                <w:sz w:val="20"/>
                <w:szCs w:val="20"/>
              </w:rPr>
              <w:t>5</w:t>
            </w:r>
          </w:p>
        </w:tc>
        <w:tc>
          <w:tcPr>
            <w:tcW w:w="0" w:type="auto"/>
            <w:shd w:val="clear" w:color="auto" w:fill="auto"/>
            <w:vAlign w:val="center"/>
          </w:tcPr>
          <w:p w:rsidR="009A4DF8" w:rsidRPr="00D234CC" w:rsidRDefault="009A4DF8" w:rsidP="00FA463A">
            <w:pPr>
              <w:spacing w:after="0" w:line="240" w:lineRule="auto"/>
              <w:jc w:val="center"/>
              <w:rPr>
                <w:rFonts w:ascii="Arial" w:hAnsi="Arial" w:cs="Arial"/>
                <w:sz w:val="20"/>
                <w:szCs w:val="20"/>
              </w:rPr>
            </w:pPr>
            <w:r w:rsidRPr="00D234CC">
              <w:rPr>
                <w:rFonts w:ascii="Arial" w:hAnsi="Arial" w:cs="Arial"/>
                <w:sz w:val="20"/>
                <w:szCs w:val="20"/>
              </w:rPr>
              <w:t>16</w:t>
            </w:r>
            <w:r w:rsidR="00FA463A">
              <w:rPr>
                <w:rFonts w:ascii="Arial" w:hAnsi="Arial" w:cs="Arial"/>
                <w:sz w:val="20"/>
                <w:szCs w:val="20"/>
              </w:rPr>
              <w:t>2</w:t>
            </w:r>
            <w:r w:rsidRPr="00D234CC">
              <w:rPr>
                <w:rFonts w:ascii="Arial" w:hAnsi="Arial" w:cs="Arial"/>
                <w:sz w:val="20"/>
                <w:szCs w:val="20"/>
              </w:rPr>
              <w:t>,</w:t>
            </w:r>
            <w:r w:rsidR="00FA463A">
              <w:rPr>
                <w:rFonts w:ascii="Arial" w:hAnsi="Arial" w:cs="Arial"/>
                <w:sz w:val="20"/>
                <w:szCs w:val="20"/>
              </w:rPr>
              <w:t>52</w:t>
            </w:r>
          </w:p>
        </w:tc>
        <w:tc>
          <w:tcPr>
            <w:tcW w:w="0" w:type="auto"/>
            <w:shd w:val="clear" w:color="auto" w:fill="auto"/>
            <w:vAlign w:val="center"/>
          </w:tcPr>
          <w:p w:rsidR="009A4DF8" w:rsidRPr="00D234CC" w:rsidRDefault="00134245" w:rsidP="00D234CC">
            <w:pPr>
              <w:spacing w:after="0" w:line="240" w:lineRule="auto"/>
              <w:jc w:val="center"/>
              <w:rPr>
                <w:rFonts w:ascii="Arial" w:hAnsi="Arial" w:cs="Arial"/>
                <w:sz w:val="20"/>
                <w:szCs w:val="20"/>
              </w:rPr>
            </w:pPr>
            <w:r>
              <w:rPr>
                <w:rFonts w:ascii="Arial" w:hAnsi="Arial" w:cs="Arial"/>
                <w:sz w:val="20"/>
                <w:szCs w:val="20"/>
              </w:rPr>
              <w:t>20</w:t>
            </w:r>
          </w:p>
        </w:tc>
        <w:tc>
          <w:tcPr>
            <w:tcW w:w="1094" w:type="dxa"/>
            <w:shd w:val="clear" w:color="auto" w:fill="auto"/>
            <w:noWrap/>
            <w:vAlign w:val="center"/>
            <w:hideMark/>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486,45</w:t>
            </w:r>
          </w:p>
        </w:tc>
        <w:tc>
          <w:tcPr>
            <w:tcW w:w="896" w:type="dxa"/>
            <w:shd w:val="clear" w:color="auto" w:fill="auto"/>
            <w:vAlign w:val="center"/>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56</w:t>
            </w:r>
          </w:p>
        </w:tc>
        <w:tc>
          <w:tcPr>
            <w:tcW w:w="918" w:type="dxa"/>
            <w:shd w:val="clear" w:color="auto" w:fill="auto"/>
            <w:noWrap/>
            <w:vAlign w:val="center"/>
            <w:hideMark/>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53,67</w:t>
            </w:r>
          </w:p>
        </w:tc>
        <w:tc>
          <w:tcPr>
            <w:tcW w:w="896" w:type="dxa"/>
            <w:shd w:val="clear" w:color="auto" w:fill="auto"/>
            <w:vAlign w:val="center"/>
          </w:tcPr>
          <w:p w:rsidR="009A4DF8" w:rsidRPr="00D234CC" w:rsidRDefault="00A05E9C" w:rsidP="00D234CC">
            <w:pPr>
              <w:spacing w:after="0" w:line="240" w:lineRule="auto"/>
              <w:jc w:val="center"/>
              <w:rPr>
                <w:rFonts w:ascii="Arial" w:hAnsi="Arial" w:cs="Arial"/>
                <w:sz w:val="20"/>
                <w:szCs w:val="20"/>
              </w:rPr>
            </w:pPr>
            <w:r>
              <w:rPr>
                <w:rFonts w:ascii="Arial" w:hAnsi="Arial" w:cs="Arial"/>
                <w:sz w:val="20"/>
                <w:szCs w:val="20"/>
              </w:rPr>
              <w:t>1</w:t>
            </w:r>
          </w:p>
        </w:tc>
        <w:tc>
          <w:tcPr>
            <w:tcW w:w="918" w:type="dxa"/>
            <w:shd w:val="clear" w:color="auto" w:fill="auto"/>
            <w:noWrap/>
            <w:vAlign w:val="center"/>
            <w:hideMark/>
          </w:tcPr>
          <w:p w:rsidR="009A4DF8" w:rsidRPr="00D234CC" w:rsidRDefault="009A4DF8" w:rsidP="00D234CC">
            <w:pPr>
              <w:spacing w:after="0" w:line="240" w:lineRule="auto"/>
              <w:jc w:val="center"/>
              <w:rPr>
                <w:rFonts w:ascii="Arial" w:hAnsi="Arial" w:cs="Arial"/>
                <w:sz w:val="20"/>
                <w:szCs w:val="20"/>
              </w:rPr>
            </w:pPr>
            <w:r w:rsidRPr="00D234CC">
              <w:rPr>
                <w:rFonts w:ascii="Arial" w:hAnsi="Arial" w:cs="Arial"/>
                <w:sz w:val="20"/>
                <w:szCs w:val="20"/>
              </w:rPr>
              <w:t>15,32</w:t>
            </w:r>
          </w:p>
        </w:tc>
        <w:tc>
          <w:tcPr>
            <w:tcW w:w="896" w:type="dxa"/>
            <w:shd w:val="clear" w:color="auto" w:fill="auto"/>
            <w:vAlign w:val="center"/>
          </w:tcPr>
          <w:p w:rsidR="009A4DF8" w:rsidRPr="00D234CC" w:rsidRDefault="00430817" w:rsidP="00D234CC">
            <w:pPr>
              <w:spacing w:after="0" w:line="240" w:lineRule="auto"/>
              <w:jc w:val="center"/>
              <w:rPr>
                <w:rFonts w:ascii="Arial" w:hAnsi="Arial" w:cs="Arial"/>
                <w:sz w:val="20"/>
                <w:szCs w:val="20"/>
              </w:rPr>
            </w:pPr>
            <w:r>
              <w:rPr>
                <w:rFonts w:ascii="Arial" w:hAnsi="Arial" w:cs="Arial"/>
                <w:sz w:val="20"/>
                <w:szCs w:val="20"/>
              </w:rPr>
              <w:t>101</w:t>
            </w:r>
            <w:r w:rsidR="00134245">
              <w:rPr>
                <w:rStyle w:val="Appelnotedebasdep"/>
                <w:rFonts w:ascii="Arial" w:hAnsi="Arial"/>
                <w:sz w:val="20"/>
                <w:szCs w:val="20"/>
              </w:rPr>
              <w:footnoteReference w:id="2"/>
            </w:r>
          </w:p>
        </w:tc>
        <w:tc>
          <w:tcPr>
            <w:tcW w:w="1044" w:type="dxa"/>
            <w:shd w:val="clear" w:color="auto" w:fill="auto"/>
            <w:noWrap/>
            <w:vAlign w:val="center"/>
            <w:hideMark/>
          </w:tcPr>
          <w:p w:rsidR="009A4DF8" w:rsidRPr="00D234CC" w:rsidRDefault="009A4DF8" w:rsidP="00FA463A">
            <w:pPr>
              <w:spacing w:after="0" w:line="240" w:lineRule="auto"/>
              <w:jc w:val="center"/>
              <w:rPr>
                <w:rFonts w:ascii="Arial" w:hAnsi="Arial" w:cs="Arial"/>
                <w:sz w:val="20"/>
                <w:szCs w:val="20"/>
              </w:rPr>
            </w:pPr>
            <w:r w:rsidRPr="00D234CC">
              <w:rPr>
                <w:rFonts w:ascii="Arial" w:hAnsi="Arial" w:cs="Arial"/>
                <w:sz w:val="20"/>
                <w:szCs w:val="20"/>
              </w:rPr>
              <w:t>7</w:t>
            </w:r>
            <w:r w:rsidR="00FA463A">
              <w:rPr>
                <w:rFonts w:ascii="Arial" w:hAnsi="Arial" w:cs="Arial"/>
                <w:sz w:val="20"/>
                <w:szCs w:val="20"/>
              </w:rPr>
              <w:t>17</w:t>
            </w:r>
            <w:r w:rsidRPr="00D234CC">
              <w:rPr>
                <w:rFonts w:ascii="Arial" w:hAnsi="Arial" w:cs="Arial"/>
                <w:sz w:val="20"/>
                <w:szCs w:val="20"/>
              </w:rPr>
              <w:t>,</w:t>
            </w:r>
            <w:r w:rsidR="00FA463A">
              <w:rPr>
                <w:rFonts w:ascii="Arial" w:hAnsi="Arial" w:cs="Arial"/>
                <w:sz w:val="20"/>
                <w:szCs w:val="20"/>
              </w:rPr>
              <w:t>96</w:t>
            </w:r>
          </w:p>
        </w:tc>
      </w:tr>
    </w:tbl>
    <w:p w:rsidR="009A4DF8" w:rsidRPr="00D234CC" w:rsidRDefault="009A4DF8" w:rsidP="009A4DF8">
      <w:pPr>
        <w:jc w:val="both"/>
        <w:rPr>
          <w:rFonts w:ascii="Arial" w:hAnsi="Arial" w:cs="Arial"/>
          <w:b/>
          <w:i/>
          <w:sz w:val="20"/>
          <w:szCs w:val="20"/>
        </w:rPr>
      </w:pPr>
      <w:r w:rsidRPr="00360758">
        <w:rPr>
          <w:rFonts w:ascii="Arial" w:hAnsi="Arial" w:cs="Arial"/>
          <w:b/>
          <w:i/>
          <w:sz w:val="20"/>
          <w:szCs w:val="20"/>
          <w:u w:val="single"/>
        </w:rPr>
        <w:t>Source :</w:t>
      </w:r>
      <w:r w:rsidRPr="00D234CC">
        <w:rPr>
          <w:rFonts w:ascii="Arial" w:hAnsi="Arial" w:cs="Arial"/>
          <w:b/>
          <w:i/>
          <w:sz w:val="20"/>
          <w:szCs w:val="20"/>
        </w:rPr>
        <w:t xml:space="preserve"> MINEFID/DGCOOP, 31 décembre 2016</w:t>
      </w:r>
    </w:p>
    <w:p w:rsidR="009A4DF8" w:rsidRPr="00D234CC" w:rsidRDefault="009A4DF8" w:rsidP="00D234CC">
      <w:pPr>
        <w:pStyle w:val="Titre5"/>
      </w:pPr>
      <w:r w:rsidRPr="009C134A">
        <w:rPr>
          <w:rFonts w:ascii="Arial" w:hAnsi="Arial" w:cs="Arial"/>
          <w:b w:val="0"/>
          <w:u w:val="single"/>
        </w:rPr>
        <w:br w:type="page"/>
      </w:r>
      <w:bookmarkStart w:id="212" w:name="_Toc459295213"/>
      <w:bookmarkStart w:id="213" w:name="_Toc421706493"/>
      <w:bookmarkStart w:id="214" w:name="_Toc421706508"/>
      <w:bookmarkStart w:id="215" w:name="_Toc421706520"/>
      <w:r w:rsidRPr="00D234CC">
        <w:lastRenderedPageBreak/>
        <w:t>2.2.3.8. La promotion du partenariat Etat et ONG/AD</w:t>
      </w:r>
      <w:bookmarkEnd w:id="212"/>
    </w:p>
    <w:p w:rsidR="009A4DF8" w:rsidRPr="009C134A" w:rsidRDefault="009A4DF8" w:rsidP="009A4DF8">
      <w:pPr>
        <w:jc w:val="both"/>
        <w:rPr>
          <w:rFonts w:ascii="Arial" w:hAnsi="Arial" w:cs="Arial"/>
          <w:kern w:val="24"/>
        </w:rPr>
      </w:pPr>
      <w:r w:rsidRPr="009C134A">
        <w:rPr>
          <w:rFonts w:ascii="Arial" w:hAnsi="Arial" w:cs="Arial"/>
          <w:kern w:val="24"/>
        </w:rPr>
        <w:t>Cette partie fait le point sur la situation des ONG actives au Burkina Faso et les sources de financement des activités des ONG/AD</w:t>
      </w:r>
    </w:p>
    <w:p w:rsidR="009A4DF8" w:rsidRPr="009C134A" w:rsidRDefault="009A4DF8" w:rsidP="00B92B11">
      <w:pPr>
        <w:pStyle w:val="Paragraphedeliste"/>
        <w:numPr>
          <w:ilvl w:val="0"/>
          <w:numId w:val="57"/>
        </w:numPr>
        <w:jc w:val="both"/>
        <w:rPr>
          <w:rFonts w:ascii="Arial" w:hAnsi="Arial" w:cs="Arial"/>
          <w:b/>
        </w:rPr>
      </w:pPr>
      <w:r w:rsidRPr="009C134A">
        <w:rPr>
          <w:rFonts w:ascii="Arial" w:hAnsi="Arial" w:cs="Arial"/>
          <w:b/>
        </w:rPr>
        <w:t>Point sur les ONG actives</w:t>
      </w:r>
    </w:p>
    <w:bookmarkEnd w:id="213"/>
    <w:p w:rsidR="009A4DF8" w:rsidRPr="009C134A" w:rsidRDefault="009A4DF8" w:rsidP="009A4DF8">
      <w:pPr>
        <w:jc w:val="both"/>
        <w:rPr>
          <w:rFonts w:ascii="Arial" w:hAnsi="Arial" w:cs="Arial"/>
          <w:kern w:val="24"/>
        </w:rPr>
      </w:pPr>
      <w:r w:rsidRPr="009C134A">
        <w:rPr>
          <w:rFonts w:ascii="Arial" w:hAnsi="Arial" w:cs="Arial"/>
          <w:kern w:val="24"/>
        </w:rPr>
        <w:t>Concernant le partenariat avec les ONG, deux cent soixante-quatre (264) conventions d’établissement ont été signées au 31 décembre 2016 dont 201 à titre de renouvellement et 63 pour des ONG nouvellement autorisées à exercer au Burkina Faso. Ces 264 organisations ont soumis des programmes d’investissement d’un montant total de 310, 87 milliards de FCFA pour la période 2013-2025.</w:t>
      </w:r>
    </w:p>
    <w:p w:rsidR="009A4DF8" w:rsidRPr="009C134A" w:rsidRDefault="009A4DF8" w:rsidP="00B92B11">
      <w:pPr>
        <w:pStyle w:val="Paragraphedeliste"/>
        <w:numPr>
          <w:ilvl w:val="0"/>
          <w:numId w:val="58"/>
        </w:numPr>
        <w:spacing w:after="0"/>
        <w:jc w:val="both"/>
        <w:rPr>
          <w:rFonts w:ascii="Arial" w:hAnsi="Arial" w:cs="Arial"/>
          <w:b/>
          <w:bCs/>
        </w:rPr>
      </w:pPr>
      <w:r w:rsidRPr="009C134A">
        <w:rPr>
          <w:rFonts w:ascii="Arial" w:hAnsi="Arial" w:cs="Arial"/>
          <w:b/>
          <w:kern w:val="24"/>
        </w:rPr>
        <w:t>Le financement des activités des ONG</w:t>
      </w:r>
    </w:p>
    <w:p w:rsidR="009A4DF8" w:rsidRPr="009C134A" w:rsidRDefault="009A4DF8" w:rsidP="009A4DF8">
      <w:pPr>
        <w:spacing w:after="0"/>
        <w:jc w:val="both"/>
        <w:rPr>
          <w:rFonts w:ascii="Arial" w:hAnsi="Arial" w:cs="Arial"/>
        </w:rPr>
      </w:pPr>
      <w:bookmarkStart w:id="216" w:name="_Toc349559156"/>
      <w:bookmarkStart w:id="217" w:name="_Toc375644570"/>
      <w:bookmarkStart w:id="218" w:name="_Toc404879962"/>
      <w:bookmarkStart w:id="219" w:name="_Toc405023769"/>
      <w:bookmarkStart w:id="220" w:name="_Toc405818512"/>
      <w:r w:rsidRPr="009C134A">
        <w:rPr>
          <w:rFonts w:ascii="Arial" w:hAnsi="Arial" w:cs="Arial"/>
        </w:rPr>
        <w:t>Les financements des ONG/AD proviennent de ressources propres et de ressources externes.</w:t>
      </w:r>
    </w:p>
    <w:p w:rsidR="009A4DF8" w:rsidRPr="009C134A" w:rsidRDefault="009A4DF8" w:rsidP="00B92B11">
      <w:pPr>
        <w:pStyle w:val="Paragraphedeliste"/>
        <w:numPr>
          <w:ilvl w:val="0"/>
          <w:numId w:val="59"/>
        </w:numPr>
        <w:spacing w:after="0"/>
        <w:jc w:val="both"/>
        <w:rPr>
          <w:rFonts w:ascii="Arial" w:hAnsi="Arial" w:cs="Arial"/>
          <w:b/>
        </w:rPr>
      </w:pPr>
      <w:bookmarkStart w:id="221" w:name="_Toc468862781"/>
      <w:bookmarkStart w:id="222" w:name="_Toc438570911"/>
      <w:bookmarkEnd w:id="216"/>
      <w:bookmarkEnd w:id="217"/>
      <w:bookmarkEnd w:id="218"/>
      <w:bookmarkEnd w:id="219"/>
      <w:bookmarkEnd w:id="220"/>
      <w:r w:rsidRPr="009C134A">
        <w:rPr>
          <w:rFonts w:ascii="Arial" w:hAnsi="Arial" w:cs="Arial"/>
          <w:b/>
        </w:rPr>
        <w:t>Ressources propres</w:t>
      </w:r>
      <w:bookmarkEnd w:id="221"/>
      <w:r w:rsidRPr="009C134A">
        <w:rPr>
          <w:rFonts w:ascii="Arial" w:hAnsi="Arial" w:cs="Arial"/>
          <w:b/>
        </w:rPr>
        <w:t xml:space="preserve"> aux ONG </w:t>
      </w:r>
    </w:p>
    <w:p w:rsidR="009A4DF8" w:rsidRPr="009C134A" w:rsidRDefault="009A4DF8" w:rsidP="009A4DF8">
      <w:pPr>
        <w:spacing w:after="0"/>
        <w:jc w:val="both"/>
        <w:rPr>
          <w:rFonts w:ascii="Arial" w:hAnsi="Arial" w:cs="Arial"/>
        </w:rPr>
      </w:pPr>
      <w:r w:rsidRPr="009C134A">
        <w:rPr>
          <w:rFonts w:ascii="Arial" w:hAnsi="Arial" w:cs="Arial"/>
        </w:rPr>
        <w:t>Les ressources propres sont essentiellement constituées des cotisations des membres et des ressources générées par certaines activités réalisées par les ONG/AD.</w:t>
      </w:r>
    </w:p>
    <w:p w:rsidR="009A4DF8" w:rsidRPr="009C134A" w:rsidRDefault="009A4DF8" w:rsidP="00B92B11">
      <w:pPr>
        <w:pStyle w:val="Paragraphedeliste"/>
        <w:numPr>
          <w:ilvl w:val="0"/>
          <w:numId w:val="60"/>
        </w:numPr>
        <w:spacing w:after="0"/>
        <w:jc w:val="both"/>
        <w:rPr>
          <w:rFonts w:ascii="Arial" w:hAnsi="Arial" w:cs="Arial"/>
          <w:b/>
        </w:rPr>
      </w:pPr>
      <w:bookmarkStart w:id="223" w:name="_Toc468862782"/>
      <w:r w:rsidRPr="009C134A">
        <w:rPr>
          <w:rFonts w:ascii="Arial" w:hAnsi="Arial" w:cs="Arial"/>
          <w:b/>
        </w:rPr>
        <w:t>Autres Ressources</w:t>
      </w:r>
      <w:bookmarkEnd w:id="223"/>
    </w:p>
    <w:p w:rsidR="009A4DF8" w:rsidRPr="009C134A" w:rsidRDefault="009A4DF8" w:rsidP="009A4DF8">
      <w:pPr>
        <w:spacing w:after="0"/>
        <w:jc w:val="both"/>
        <w:rPr>
          <w:rFonts w:ascii="Arial" w:hAnsi="Arial" w:cs="Arial"/>
        </w:rPr>
      </w:pPr>
      <w:r w:rsidRPr="009C134A">
        <w:rPr>
          <w:rFonts w:ascii="Arial" w:hAnsi="Arial" w:cs="Arial"/>
        </w:rPr>
        <w:t>Les autres ressources sont celles provenant des contributeurs nationaux ou étrangers.</w:t>
      </w:r>
    </w:p>
    <w:p w:rsidR="009A4DF8" w:rsidRPr="009C134A" w:rsidRDefault="009A4DF8" w:rsidP="009A4DF8">
      <w:pPr>
        <w:spacing w:after="0"/>
        <w:ind w:left="708"/>
        <w:jc w:val="both"/>
        <w:rPr>
          <w:rFonts w:ascii="Arial" w:hAnsi="Arial" w:cs="Arial"/>
          <w:b/>
          <w:i/>
        </w:rPr>
      </w:pPr>
      <w:bookmarkStart w:id="224" w:name="_Toc468862783"/>
      <w:r w:rsidRPr="009C134A">
        <w:rPr>
          <w:rFonts w:ascii="Arial" w:hAnsi="Arial" w:cs="Arial"/>
          <w:b/>
          <w:i/>
        </w:rPr>
        <w:t>Etat</w:t>
      </w:r>
      <w:bookmarkEnd w:id="222"/>
      <w:bookmarkEnd w:id="224"/>
    </w:p>
    <w:p w:rsidR="009A4DF8" w:rsidRPr="009C134A" w:rsidRDefault="009A4DF8" w:rsidP="009A4DF8">
      <w:pPr>
        <w:jc w:val="both"/>
        <w:rPr>
          <w:rFonts w:ascii="Arial" w:hAnsi="Arial" w:cs="Arial"/>
        </w:rPr>
      </w:pPr>
      <w:r w:rsidRPr="009C134A">
        <w:rPr>
          <w:rFonts w:ascii="Arial" w:hAnsi="Arial" w:cs="Arial"/>
        </w:rPr>
        <w:t>Les principaux modes de financement utilisés par l’Etat pour accompagner les ONG/AD sont la contractualisation, les subventions et les exonérations fiscales et douanières.</w:t>
      </w:r>
    </w:p>
    <w:p w:rsidR="009A4DF8" w:rsidRPr="009C134A" w:rsidRDefault="009A4DF8" w:rsidP="009A4DF8">
      <w:pPr>
        <w:jc w:val="both"/>
        <w:rPr>
          <w:rFonts w:ascii="Arial" w:hAnsi="Arial" w:cs="Arial"/>
        </w:rPr>
      </w:pPr>
      <w:r w:rsidRPr="009C134A">
        <w:rPr>
          <w:rFonts w:ascii="Arial" w:hAnsi="Arial" w:cs="Arial"/>
        </w:rPr>
        <w:t>La contractualisation est une modalité par laquelle l’Etat ou ses démembrements  signe un contrat avec une ONG/AD ayant des compétences dans un domaine déterminé pour la réalisation d’activités. Cette approche a été mise en œuvre avec des ONG/AD principalement par le Fonds pour l’alphabétisation et l’éducation non formelle (</w:t>
      </w:r>
      <w:r w:rsidRPr="009C134A">
        <w:rPr>
          <w:rFonts w:ascii="Arial" w:hAnsi="Arial" w:cs="Arial"/>
          <w:b/>
        </w:rPr>
        <w:t>FONAENF</w:t>
      </w:r>
      <w:r w:rsidRPr="009C134A">
        <w:rPr>
          <w:rFonts w:ascii="Arial" w:hAnsi="Arial" w:cs="Arial"/>
        </w:rPr>
        <w:t>), le Plan d’action de développement sanitaire (</w:t>
      </w:r>
      <w:r w:rsidRPr="009C134A">
        <w:rPr>
          <w:rFonts w:ascii="Arial" w:hAnsi="Arial" w:cs="Arial"/>
          <w:b/>
        </w:rPr>
        <w:t>PADS</w:t>
      </w:r>
      <w:r w:rsidRPr="009C134A">
        <w:rPr>
          <w:rFonts w:ascii="Arial" w:hAnsi="Arial" w:cs="Arial"/>
        </w:rPr>
        <w:t>), le Secrétariat permanent du comité national de lutte contre le SIDA et les infections sexuellement transmissibles (</w:t>
      </w:r>
      <w:r w:rsidRPr="009C134A">
        <w:rPr>
          <w:rFonts w:ascii="Arial" w:hAnsi="Arial" w:cs="Arial"/>
          <w:b/>
        </w:rPr>
        <w:t>SP/CNLS-IST</w:t>
      </w:r>
      <w:r w:rsidRPr="009C134A">
        <w:rPr>
          <w:rFonts w:ascii="Arial" w:hAnsi="Arial" w:cs="Arial"/>
        </w:rPr>
        <w:t>) et le Programme d’appui aux collectivités territoriales (</w:t>
      </w:r>
      <w:r w:rsidRPr="009C134A">
        <w:rPr>
          <w:rFonts w:ascii="Arial" w:hAnsi="Arial" w:cs="Arial"/>
          <w:b/>
        </w:rPr>
        <w:t>PACT</w:t>
      </w:r>
      <w:r w:rsidRPr="009C134A">
        <w:rPr>
          <w:rFonts w:ascii="Arial" w:hAnsi="Arial" w:cs="Arial"/>
        </w:rPr>
        <w:t>).</w:t>
      </w:r>
    </w:p>
    <w:p w:rsidR="009A4DF8" w:rsidRPr="009C134A" w:rsidRDefault="009A4DF8" w:rsidP="009A4DF8">
      <w:pPr>
        <w:spacing w:after="0"/>
        <w:jc w:val="both"/>
        <w:rPr>
          <w:rFonts w:ascii="Arial" w:hAnsi="Arial" w:cs="Arial"/>
        </w:rPr>
      </w:pPr>
      <w:r w:rsidRPr="009C134A">
        <w:rPr>
          <w:rFonts w:ascii="Arial" w:hAnsi="Arial" w:cs="Arial"/>
        </w:rPr>
        <w:t xml:space="preserve">Les exonérations fiscales et douanières sont des facilités accordées aux ONG/AD ayant une convention avec l’Etat. </w:t>
      </w:r>
      <w:bookmarkStart w:id="225" w:name="_Toc405023771"/>
      <w:bookmarkStart w:id="226" w:name="_Toc405818514"/>
      <w:bookmarkStart w:id="227" w:name="_Toc438570913"/>
      <w:bookmarkStart w:id="228" w:name="_Toc349559157"/>
      <w:bookmarkStart w:id="229" w:name="_Toc375644571"/>
      <w:bookmarkStart w:id="230" w:name="_Toc404879964"/>
    </w:p>
    <w:p w:rsidR="009A4DF8" w:rsidRPr="009C134A" w:rsidRDefault="009A4DF8" w:rsidP="009A4DF8">
      <w:pPr>
        <w:spacing w:after="0"/>
        <w:ind w:left="708"/>
        <w:jc w:val="both"/>
        <w:rPr>
          <w:rFonts w:ascii="Arial" w:hAnsi="Arial" w:cs="Arial"/>
          <w:b/>
          <w:i/>
        </w:rPr>
      </w:pPr>
      <w:bookmarkStart w:id="231" w:name="_Toc468862784"/>
      <w:r w:rsidRPr="009C134A">
        <w:rPr>
          <w:rFonts w:ascii="Arial" w:hAnsi="Arial" w:cs="Arial"/>
          <w:b/>
          <w:i/>
        </w:rPr>
        <w:t>Bénéficiaires</w:t>
      </w:r>
      <w:bookmarkEnd w:id="225"/>
      <w:bookmarkEnd w:id="226"/>
      <w:bookmarkEnd w:id="227"/>
      <w:bookmarkEnd w:id="231"/>
    </w:p>
    <w:p w:rsidR="009A4DF8" w:rsidRPr="009C134A" w:rsidRDefault="009A4DF8" w:rsidP="009A4DF8">
      <w:pPr>
        <w:spacing w:after="0"/>
        <w:jc w:val="both"/>
        <w:rPr>
          <w:rFonts w:ascii="Arial" w:hAnsi="Arial" w:cs="Arial"/>
        </w:rPr>
      </w:pPr>
      <w:r w:rsidRPr="009C134A">
        <w:rPr>
          <w:rFonts w:ascii="Arial" w:hAnsi="Arial" w:cs="Arial"/>
        </w:rPr>
        <w:t>Certaines ONG/AD exigent une contribution des bénéficiaires pour l’exécution des projets et programmes. Cette contribution peut consister en un apport en nature (main-d’œuvre, agrégats, etc.) ou en numéraires.</w:t>
      </w:r>
    </w:p>
    <w:p w:rsidR="009A4DF8" w:rsidRPr="009C134A" w:rsidRDefault="009A4DF8" w:rsidP="009A4DF8">
      <w:pPr>
        <w:spacing w:after="0"/>
        <w:ind w:left="708"/>
        <w:jc w:val="both"/>
        <w:rPr>
          <w:rFonts w:ascii="Arial" w:hAnsi="Arial" w:cs="Arial"/>
          <w:b/>
          <w:i/>
        </w:rPr>
      </w:pPr>
      <w:bookmarkStart w:id="232" w:name="_Toc405023772"/>
      <w:bookmarkStart w:id="233" w:name="_Toc405818515"/>
      <w:bookmarkStart w:id="234" w:name="_Toc438570914"/>
      <w:bookmarkStart w:id="235" w:name="_Toc468862785"/>
      <w:r w:rsidRPr="009C134A">
        <w:rPr>
          <w:rFonts w:ascii="Arial" w:hAnsi="Arial" w:cs="Arial"/>
          <w:b/>
          <w:i/>
        </w:rPr>
        <w:t>Partenaires bilatéraux</w:t>
      </w:r>
      <w:bookmarkEnd w:id="228"/>
      <w:bookmarkEnd w:id="229"/>
      <w:bookmarkEnd w:id="230"/>
      <w:bookmarkEnd w:id="232"/>
      <w:bookmarkEnd w:id="233"/>
      <w:bookmarkEnd w:id="234"/>
      <w:r w:rsidRPr="009C134A">
        <w:rPr>
          <w:rFonts w:ascii="Arial" w:hAnsi="Arial" w:cs="Arial"/>
          <w:b/>
          <w:i/>
        </w:rPr>
        <w:t xml:space="preserve"> et multilatéraux</w:t>
      </w:r>
      <w:bookmarkEnd w:id="235"/>
    </w:p>
    <w:p w:rsidR="009A4DF8" w:rsidRPr="009C134A" w:rsidRDefault="009A4DF8" w:rsidP="009A4DF8">
      <w:pPr>
        <w:spacing w:after="0"/>
        <w:jc w:val="both"/>
        <w:rPr>
          <w:rFonts w:ascii="Arial" w:hAnsi="Arial" w:cs="Arial"/>
        </w:rPr>
      </w:pPr>
      <w:r w:rsidRPr="009C134A">
        <w:rPr>
          <w:rFonts w:ascii="Arial" w:hAnsi="Arial" w:cs="Arial"/>
        </w:rPr>
        <w:t xml:space="preserve">Les partenaires bilatéraux et multilatéraux constituent les premiers contributeurs des ONG/AD. </w:t>
      </w:r>
    </w:p>
    <w:p w:rsidR="009A4DF8" w:rsidRPr="009C134A" w:rsidRDefault="009A4DF8" w:rsidP="009A4DF8">
      <w:pPr>
        <w:spacing w:after="120"/>
        <w:jc w:val="both"/>
        <w:rPr>
          <w:rFonts w:ascii="Arial" w:hAnsi="Arial" w:cs="Arial"/>
        </w:rPr>
      </w:pPr>
      <w:r w:rsidRPr="009C134A">
        <w:rPr>
          <w:rFonts w:ascii="Arial" w:hAnsi="Arial" w:cs="Arial"/>
        </w:rPr>
        <w:t>La République de Chine (Taiwan), le Canada (ACDI), le Royaume uni (DFID) la Suisse (DDC), la France (AFD, Communes partenaires), les Etats-Unis (USAID, OFDA), le Danemark, le Koweït, les Emirats Arabes Unis, les Pays-Bas, le Maroc, la Suède (ASDI), l’Espagne (AACID), l’Italie, le Japon (JICA), le Luxembourg, l’Allemagne (GIZ), la Belgique (DGD), la Corée du Sud, l’Australie, la Principauté de Monaco et l’Autriche sont les principaux  partenaires bilatéraux des ONG/AD au Burkina Faso.</w:t>
      </w:r>
    </w:p>
    <w:p w:rsidR="009A4DF8" w:rsidRPr="009C134A" w:rsidRDefault="009A4DF8" w:rsidP="009A4DF8">
      <w:pPr>
        <w:spacing w:before="120" w:after="120"/>
        <w:jc w:val="both"/>
        <w:rPr>
          <w:rFonts w:ascii="Arial" w:hAnsi="Arial" w:cs="Arial"/>
        </w:rPr>
      </w:pPr>
      <w:r w:rsidRPr="009C134A">
        <w:rPr>
          <w:rFonts w:ascii="Arial" w:hAnsi="Arial" w:cs="Arial"/>
        </w:rPr>
        <w:t xml:space="preserve">Les partenaires multilatéraux qui apportent des ressources pour la réalisation des projets portés ou exécutés par les ONG/AD sont la Banque Mondiale, l’Union Européenne, le Système des Nations Unies (PNUD, UNICEF, UNFPA, UNHCR, </w:t>
      </w:r>
      <w:r w:rsidRPr="009C134A">
        <w:rPr>
          <w:rFonts w:ascii="Arial" w:hAnsi="Arial" w:cs="Arial"/>
          <w:bCs/>
        </w:rPr>
        <w:t xml:space="preserve">PAM, FAO, </w:t>
      </w:r>
      <w:r w:rsidRPr="009C134A">
        <w:rPr>
          <w:rFonts w:ascii="Arial" w:hAnsi="Arial" w:cs="Arial"/>
        </w:rPr>
        <w:t>FIDA</w:t>
      </w:r>
      <w:r w:rsidRPr="009C134A">
        <w:rPr>
          <w:rFonts w:ascii="Arial" w:hAnsi="Arial" w:cs="Arial"/>
          <w:bCs/>
        </w:rPr>
        <w:t>), la Comité Inter-Etats de lutte contre la sécheresse au sahel (</w:t>
      </w:r>
      <w:r w:rsidRPr="009C134A">
        <w:rPr>
          <w:rFonts w:ascii="Arial" w:hAnsi="Arial" w:cs="Arial"/>
        </w:rPr>
        <w:t>CILSS).</w:t>
      </w:r>
    </w:p>
    <w:p w:rsidR="009A4DF8" w:rsidRPr="009C134A" w:rsidRDefault="009A4DF8" w:rsidP="009A4DF8">
      <w:pPr>
        <w:spacing w:after="120" w:line="259" w:lineRule="auto"/>
        <w:jc w:val="both"/>
        <w:rPr>
          <w:rFonts w:ascii="Arial" w:hAnsi="Arial" w:cs="Arial"/>
        </w:rPr>
      </w:pPr>
      <w:r w:rsidRPr="009C134A">
        <w:rPr>
          <w:rFonts w:ascii="Arial" w:hAnsi="Arial" w:cs="Arial"/>
        </w:rPr>
        <w:lastRenderedPageBreak/>
        <w:t>Outre ces partenaires institutionnels, il y a les ONG et fondations internationales, les entreprises privées et les particuliers qui contribuent également au financement des projets des ONG/AD.</w:t>
      </w:r>
    </w:p>
    <w:bookmarkEnd w:id="214"/>
    <w:p w:rsidR="009A4DF8" w:rsidRPr="009C134A" w:rsidRDefault="009A4DF8" w:rsidP="00B92B11">
      <w:pPr>
        <w:pStyle w:val="Paragraphedeliste"/>
        <w:numPr>
          <w:ilvl w:val="0"/>
          <w:numId w:val="61"/>
        </w:numPr>
        <w:rPr>
          <w:rFonts w:ascii="Arial" w:hAnsi="Arial" w:cs="Arial"/>
          <w:b/>
          <w:bCs/>
          <w:i/>
        </w:rPr>
      </w:pPr>
      <w:r w:rsidRPr="009C134A">
        <w:rPr>
          <w:rFonts w:ascii="Arial" w:hAnsi="Arial" w:cs="Arial"/>
          <w:b/>
          <w:bCs/>
        </w:rPr>
        <w:t>Amélioration de l'intervention des ONG et Associations de Développement</w:t>
      </w:r>
      <w:bookmarkEnd w:id="215"/>
    </w:p>
    <w:p w:rsidR="009A4DF8" w:rsidRPr="009C134A" w:rsidRDefault="009A4DF8" w:rsidP="009A4DF8">
      <w:pPr>
        <w:jc w:val="both"/>
        <w:rPr>
          <w:rFonts w:ascii="Arial" w:hAnsi="Arial" w:cs="Arial"/>
          <w:bCs/>
        </w:rPr>
      </w:pPr>
      <w:r w:rsidRPr="009C134A">
        <w:rPr>
          <w:rFonts w:ascii="Arial" w:hAnsi="Arial" w:cs="Arial"/>
          <w:bCs/>
        </w:rPr>
        <w:t xml:space="preserve">Les ONG et AD sont des partenaires au développement qui accompagnent la mise en œuvre du PNDES à travers des interventions sur l’ensemble du territoire national et dans presque tous les secteurs socioéconomiques. Elles bénéficient de ce fait de facilités fiscales et douanières pour la mise en œuvre de leurs projets et programmes au profit des populations. </w:t>
      </w:r>
    </w:p>
    <w:p w:rsidR="009A4DF8" w:rsidRPr="009C134A" w:rsidRDefault="009A4DF8" w:rsidP="009A4DF8">
      <w:pPr>
        <w:jc w:val="both"/>
        <w:rPr>
          <w:rFonts w:ascii="Arial" w:hAnsi="Arial" w:cs="Arial"/>
          <w:bCs/>
        </w:rPr>
      </w:pPr>
      <w:r w:rsidRPr="009C134A">
        <w:rPr>
          <w:rFonts w:ascii="Arial" w:hAnsi="Arial" w:cs="Arial"/>
          <w:bCs/>
        </w:rPr>
        <w:t xml:space="preserve">En outre, la redynamisation du cadre de concertation Etat-ONG aux niveaux national et régional contribuera à l’amélioration de l’intervention des ONG/AD au Burkina Faso. </w:t>
      </w:r>
    </w:p>
    <w:bookmarkEnd w:id="197"/>
    <w:p w:rsidR="00002B76" w:rsidRDefault="00002B76">
      <w:pPr>
        <w:spacing w:after="0" w:line="240" w:lineRule="auto"/>
        <w:rPr>
          <w:rFonts w:ascii="Arial" w:hAnsi="Arial" w:cs="Arial"/>
          <w:b/>
          <w:sz w:val="24"/>
          <w:szCs w:val="24"/>
        </w:rPr>
      </w:pPr>
    </w:p>
    <w:p w:rsidR="00002B76" w:rsidRDefault="00002B76">
      <w:pPr>
        <w:spacing w:after="0" w:line="240" w:lineRule="auto"/>
        <w:rPr>
          <w:rFonts w:ascii="Arial" w:hAnsi="Arial" w:cs="Arial"/>
          <w:b/>
          <w:sz w:val="24"/>
          <w:szCs w:val="24"/>
        </w:rPr>
      </w:pPr>
    </w:p>
    <w:p w:rsidR="00002B76" w:rsidRDefault="00002B76">
      <w:pPr>
        <w:spacing w:after="0" w:line="240" w:lineRule="auto"/>
        <w:rPr>
          <w:rFonts w:ascii="Arial" w:hAnsi="Arial" w:cs="Arial"/>
          <w:b/>
          <w:sz w:val="24"/>
          <w:szCs w:val="24"/>
        </w:rPr>
      </w:pPr>
    </w:p>
    <w:p w:rsidR="00002B76" w:rsidRDefault="00002B76">
      <w:pPr>
        <w:spacing w:after="0" w:line="240" w:lineRule="auto"/>
        <w:rPr>
          <w:rFonts w:ascii="Arial" w:hAnsi="Arial" w:cs="Arial"/>
          <w:b/>
          <w:sz w:val="24"/>
          <w:szCs w:val="24"/>
        </w:rPr>
      </w:pPr>
    </w:p>
    <w:p w:rsidR="00002B76" w:rsidRDefault="00002B76">
      <w:pPr>
        <w:spacing w:after="0" w:line="240" w:lineRule="auto"/>
        <w:rPr>
          <w:rFonts w:ascii="Arial" w:hAnsi="Arial" w:cs="Arial"/>
          <w:b/>
          <w:sz w:val="24"/>
          <w:szCs w:val="24"/>
        </w:rPr>
      </w:pPr>
    </w:p>
    <w:p w:rsidR="00002B76" w:rsidRDefault="00002B76">
      <w:pPr>
        <w:spacing w:after="0" w:line="240" w:lineRule="auto"/>
        <w:rPr>
          <w:rFonts w:ascii="Arial" w:hAnsi="Arial" w:cs="Arial"/>
          <w:b/>
          <w:sz w:val="24"/>
          <w:szCs w:val="24"/>
        </w:rPr>
      </w:pPr>
    </w:p>
    <w:p w:rsidR="00013E00" w:rsidRDefault="00013E00">
      <w:pPr>
        <w:spacing w:after="0" w:line="240" w:lineRule="auto"/>
        <w:rPr>
          <w:rFonts w:ascii="Arial" w:hAnsi="Arial" w:cs="Arial"/>
          <w:b/>
          <w:sz w:val="24"/>
          <w:szCs w:val="24"/>
        </w:rPr>
      </w:pPr>
    </w:p>
    <w:p w:rsidR="002C7316" w:rsidRDefault="002C7316">
      <w:pPr>
        <w:spacing w:after="0" w:line="240" w:lineRule="auto"/>
        <w:rPr>
          <w:rFonts w:ascii="Arial" w:hAnsi="Arial" w:cs="Arial"/>
          <w:b/>
          <w:sz w:val="24"/>
          <w:szCs w:val="24"/>
        </w:rPr>
      </w:pPr>
      <w:r>
        <w:rPr>
          <w:rFonts w:ascii="Arial" w:hAnsi="Arial" w:cs="Arial"/>
          <w:b/>
          <w:sz w:val="24"/>
          <w:szCs w:val="24"/>
        </w:rPr>
        <w:br w:type="page"/>
      </w: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87787B" w:rsidRDefault="0087787B">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140667" w:rsidRDefault="00140667">
      <w:pPr>
        <w:spacing w:after="0" w:line="240" w:lineRule="auto"/>
        <w:rPr>
          <w:rFonts w:ascii="Arial" w:hAnsi="Arial" w:cs="Arial"/>
          <w:b/>
          <w:sz w:val="24"/>
          <w:szCs w:val="24"/>
        </w:rPr>
      </w:pPr>
    </w:p>
    <w:p w:rsidR="00002B76" w:rsidRPr="00865C1E" w:rsidRDefault="00E8560A" w:rsidP="00002B76">
      <w:pPr>
        <w:rPr>
          <w:rFonts w:ascii="Arial" w:hAnsi="Arial" w:cs="Arial"/>
          <w:lang w:eastAsia="fr-FR"/>
        </w:rPr>
      </w:pPr>
      <w:r>
        <w:rPr>
          <w:rFonts w:ascii="Arial" w:hAnsi="Arial" w:cs="Arial"/>
          <w:noProof/>
          <w:lang w:eastAsia="fr-FR"/>
        </w:rPr>
        <mc:AlternateContent>
          <mc:Choice Requires="wps">
            <w:drawing>
              <wp:anchor distT="0" distB="0" distL="114300" distR="114300" simplePos="0" relativeHeight="251656192" behindDoc="1" locked="0" layoutInCell="1" allowOverlap="1" wp14:anchorId="5B4D824B" wp14:editId="478C5EA6">
                <wp:simplePos x="0" y="0"/>
                <wp:positionH relativeFrom="column">
                  <wp:posOffset>60960</wp:posOffset>
                </wp:positionH>
                <wp:positionV relativeFrom="paragraph">
                  <wp:posOffset>146685</wp:posOffset>
                </wp:positionV>
                <wp:extent cx="6057900" cy="810883"/>
                <wp:effectExtent l="0" t="0" r="19050" b="27940"/>
                <wp:wrapNone/>
                <wp:docPr id="21" name="Rectangle à coins arrondis 21"/>
                <wp:cNvGraphicFramePr/>
                <a:graphic xmlns:a="http://schemas.openxmlformats.org/drawingml/2006/main">
                  <a:graphicData uri="http://schemas.microsoft.com/office/word/2010/wordprocessingShape">
                    <wps:wsp>
                      <wps:cNvSpPr/>
                      <wps:spPr>
                        <a:xfrm>
                          <a:off x="0" y="0"/>
                          <a:ext cx="6057900" cy="810883"/>
                        </a:xfrm>
                        <a:prstGeom prst="round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FC5414B" id="Rectangle à coins arrondis 21" o:spid="_x0000_s1026" style="position:absolute;margin-left:4.8pt;margin-top:11.55pt;width:477pt;height:63.8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" fillcolor="#d8d8d8 [2732]" strokecolor="#243f60 [1604]" strokeweight="2pt"/>
            </w:pict>
          </mc:Fallback>
        </mc:AlternateContent>
      </w:r>
    </w:p>
    <w:p w:rsidR="00002B76" w:rsidRPr="00E8560A" w:rsidRDefault="00002B76" w:rsidP="00E8560A">
      <w:pPr>
        <w:pStyle w:val="Titre"/>
      </w:pPr>
      <w:bookmarkStart w:id="236" w:name="_Toc492972190"/>
      <w:r w:rsidRPr="00E8560A">
        <w:t>DEUXIEME PARTIE : TENDANCES DE LA COOPERATION AU DEVELOPPEMENT</w:t>
      </w:r>
      <w:bookmarkEnd w:id="236"/>
    </w:p>
    <w:p w:rsidR="00002B76" w:rsidRPr="00865C1E" w:rsidRDefault="00002B76" w:rsidP="00002B76">
      <w:pPr>
        <w:rPr>
          <w:rFonts w:ascii="Arial" w:hAnsi="Arial" w:cs="Arial"/>
          <w:lang w:val="fr-BE" w:eastAsia="fr-FR"/>
        </w:rPr>
      </w:pPr>
    </w:p>
    <w:p w:rsidR="00002B76" w:rsidRPr="00002B76" w:rsidRDefault="00002B76">
      <w:pPr>
        <w:spacing w:after="0" w:line="240" w:lineRule="auto"/>
        <w:rPr>
          <w:rFonts w:ascii="Arial" w:hAnsi="Arial" w:cs="Arial"/>
          <w:b/>
          <w:sz w:val="24"/>
          <w:szCs w:val="24"/>
          <w:lang w:val="fr-BE"/>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9A4DF8" w:rsidRDefault="009A4DF8">
      <w:pPr>
        <w:spacing w:after="0" w:line="240" w:lineRule="auto"/>
        <w:rPr>
          <w:rFonts w:ascii="Arial" w:hAnsi="Arial" w:cs="Arial"/>
          <w:b/>
          <w:sz w:val="24"/>
          <w:szCs w:val="24"/>
        </w:rPr>
      </w:pPr>
    </w:p>
    <w:p w:rsidR="00D234CC" w:rsidRDefault="00D234CC">
      <w:pPr>
        <w:spacing w:after="0" w:line="240" w:lineRule="auto"/>
        <w:rPr>
          <w:rFonts w:ascii="Arial" w:hAnsi="Arial" w:cs="Arial"/>
          <w:b/>
          <w:sz w:val="24"/>
          <w:szCs w:val="24"/>
        </w:rPr>
      </w:pPr>
      <w:r>
        <w:rPr>
          <w:rFonts w:ascii="Arial" w:hAnsi="Arial" w:cs="Arial"/>
          <w:b/>
          <w:sz w:val="24"/>
          <w:szCs w:val="24"/>
        </w:rPr>
        <w:br w:type="page"/>
      </w:r>
    </w:p>
    <w:p w:rsidR="009A4DF8" w:rsidRPr="00387F4A" w:rsidRDefault="00D234CC" w:rsidP="00D234CC">
      <w:pPr>
        <w:pStyle w:val="Titre1"/>
        <w:jc w:val="center"/>
        <w:rPr>
          <w:lang w:eastAsia="fr-FR"/>
        </w:rPr>
      </w:pPr>
      <w:bookmarkStart w:id="237" w:name="_Toc461526801"/>
      <w:bookmarkStart w:id="238" w:name="_Toc461617982"/>
      <w:bookmarkStart w:id="239" w:name="_Toc492972191"/>
      <w:bookmarkStart w:id="240" w:name="_Toc399933266"/>
      <w:bookmarkStart w:id="241" w:name="_Toc400638577"/>
      <w:bookmarkStart w:id="242" w:name="_Toc400643302"/>
      <w:bookmarkStart w:id="243" w:name="_Toc424550996"/>
      <w:bookmarkStart w:id="244" w:name="_Toc424552502"/>
      <w:bookmarkStart w:id="245" w:name="_Toc427009757"/>
      <w:bookmarkStart w:id="246" w:name="_Toc461526815"/>
      <w:bookmarkStart w:id="247" w:name="_Toc461617996"/>
      <w:r>
        <w:rPr>
          <w:lang w:eastAsia="fr-FR"/>
        </w:rPr>
        <w:lastRenderedPageBreak/>
        <w:t xml:space="preserve">Chapitre 1 : </w:t>
      </w:r>
      <w:r w:rsidR="009A4DF8" w:rsidRPr="00387F4A">
        <w:rPr>
          <w:lang w:eastAsia="fr-FR"/>
        </w:rPr>
        <w:t>EVOLUTION ET REPARTITION DE L</w:t>
      </w:r>
      <w:r>
        <w:rPr>
          <w:lang w:eastAsia="fr-FR"/>
        </w:rPr>
        <w:t>’</w:t>
      </w:r>
      <w:r w:rsidR="009A4DF8" w:rsidRPr="00387F4A">
        <w:rPr>
          <w:lang w:eastAsia="fr-FR"/>
        </w:rPr>
        <w:t>AIDE PAR INSTRUMENT ET PAR TYPE DE FINANCEMENT</w:t>
      </w:r>
      <w:bookmarkEnd w:id="237"/>
      <w:bookmarkEnd w:id="238"/>
      <w:bookmarkEnd w:id="239"/>
    </w:p>
    <w:p w:rsidR="009A4DF8" w:rsidRPr="000B347D" w:rsidRDefault="009A4DF8" w:rsidP="008D7758">
      <w:pPr>
        <w:pStyle w:val="Titre2"/>
        <w:numPr>
          <w:ilvl w:val="0"/>
          <w:numId w:val="118"/>
        </w:numPr>
        <w:tabs>
          <w:tab w:val="left" w:pos="1134"/>
        </w:tabs>
        <w:rPr>
          <w:lang w:eastAsia="fr-FR"/>
        </w:rPr>
      </w:pPr>
      <w:bookmarkStart w:id="248" w:name="_Toc427009743"/>
      <w:bookmarkStart w:id="249" w:name="_Toc461526802"/>
      <w:bookmarkStart w:id="250" w:name="_Toc461617983"/>
      <w:bookmarkStart w:id="251" w:name="_Toc492972192"/>
      <w:r w:rsidRPr="000B347D">
        <w:rPr>
          <w:lang w:eastAsia="fr-FR"/>
        </w:rPr>
        <w:t>Aperçu général</w:t>
      </w:r>
      <w:bookmarkEnd w:id="248"/>
      <w:bookmarkEnd w:id="249"/>
      <w:bookmarkEnd w:id="250"/>
      <w:bookmarkEnd w:id="251"/>
    </w:p>
    <w:p w:rsidR="009A4DF8" w:rsidRPr="00387F4A" w:rsidRDefault="009A4DF8" w:rsidP="008D7758">
      <w:pPr>
        <w:pStyle w:val="Titre3"/>
        <w:numPr>
          <w:ilvl w:val="0"/>
          <w:numId w:val="120"/>
        </w:numPr>
        <w:ind w:left="993"/>
        <w:rPr>
          <w:lang w:eastAsia="fr-FR"/>
        </w:rPr>
      </w:pPr>
      <w:bookmarkStart w:id="252" w:name="_Toc214682327"/>
      <w:bookmarkStart w:id="253" w:name="_Toc244578208"/>
      <w:bookmarkStart w:id="254" w:name="_Toc245697719"/>
      <w:bookmarkStart w:id="255" w:name="_Toc245804578"/>
      <w:bookmarkStart w:id="256" w:name="_Toc265008321"/>
      <w:bookmarkStart w:id="257" w:name="_Toc265477844"/>
      <w:bookmarkStart w:id="258" w:name="_Toc300929419"/>
      <w:bookmarkStart w:id="259" w:name="_Toc304446200"/>
      <w:bookmarkStart w:id="260" w:name="_Toc336091051"/>
      <w:bookmarkStart w:id="261" w:name="_Toc368483803"/>
      <w:bookmarkStart w:id="262" w:name="_Toc368779690"/>
      <w:bookmarkStart w:id="263" w:name="_Toc399933254"/>
      <w:bookmarkStart w:id="264" w:name="_Toc400643294"/>
      <w:bookmarkStart w:id="265" w:name="_Toc427009744"/>
      <w:bookmarkStart w:id="266" w:name="_Toc461526803"/>
      <w:bookmarkStart w:id="267" w:name="_Toc461617984"/>
      <w:bookmarkStart w:id="268" w:name="_Toc492972193"/>
      <w:r w:rsidRPr="00387F4A">
        <w:rPr>
          <w:lang w:eastAsia="fr-FR"/>
        </w:rPr>
        <w:t>L’évolution générale de l’A</w:t>
      </w:r>
      <w:r>
        <w:rPr>
          <w:lang w:eastAsia="fr-FR"/>
        </w:rPr>
        <w:t xml:space="preserve">ide </w:t>
      </w:r>
      <w:r w:rsidRPr="00387F4A">
        <w:rPr>
          <w:lang w:eastAsia="fr-FR"/>
        </w:rPr>
        <w:t>P</w:t>
      </w:r>
      <w:r>
        <w:rPr>
          <w:lang w:eastAsia="fr-FR"/>
        </w:rPr>
        <w:t xml:space="preserve">ublique au </w:t>
      </w:r>
      <w:r w:rsidRPr="00387F4A">
        <w:rPr>
          <w:lang w:eastAsia="fr-FR"/>
        </w:rPr>
        <w:t>D</w:t>
      </w:r>
      <w:bookmarkStart w:id="269" w:name="_Toc245697724"/>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r>
        <w:rPr>
          <w:lang w:eastAsia="fr-FR"/>
        </w:rPr>
        <w:t>éveloppement</w:t>
      </w:r>
      <w:bookmarkEnd w:id="268"/>
    </w:p>
    <w:p w:rsidR="009A4DF8" w:rsidRDefault="009A4DF8" w:rsidP="009A4DF8">
      <w:pPr>
        <w:jc w:val="both"/>
        <w:rPr>
          <w:rFonts w:ascii="Arial" w:hAnsi="Arial" w:cs="Arial"/>
          <w:color w:val="FF0000"/>
        </w:rPr>
      </w:pPr>
      <w:bookmarkStart w:id="270" w:name="_Toc214371972"/>
      <w:bookmarkStart w:id="271" w:name="_Toc245804669"/>
      <w:bookmarkStart w:id="272" w:name="_Toc304393262"/>
      <w:bookmarkStart w:id="273" w:name="_Toc335610149"/>
      <w:bookmarkStart w:id="274" w:name="_Toc368779227"/>
      <w:bookmarkStart w:id="275" w:name="_Toc400703572"/>
      <w:bookmarkStart w:id="276" w:name="_Toc424706030"/>
      <w:r w:rsidRPr="00387F4A">
        <w:rPr>
          <w:rFonts w:ascii="Arial" w:hAnsi="Arial" w:cs="Arial"/>
          <w:color w:val="000000" w:themeColor="text1"/>
        </w:rPr>
        <w:t xml:space="preserve">L’Aide Publique au Développement (APD) au Burkina Faso a connu deux phases d’évolution au cours des (10) dernières années. </w:t>
      </w:r>
      <w:r>
        <w:rPr>
          <w:rFonts w:ascii="Arial" w:hAnsi="Arial" w:cs="Arial"/>
          <w:color w:val="000000" w:themeColor="text1"/>
        </w:rPr>
        <w:t xml:space="preserve">Une première phase de </w:t>
      </w:r>
      <w:r w:rsidRPr="00387F4A">
        <w:rPr>
          <w:rFonts w:ascii="Arial" w:hAnsi="Arial" w:cs="Arial"/>
          <w:color w:val="000000" w:themeColor="text1"/>
        </w:rPr>
        <w:t xml:space="preserve">2007 à 2009 </w:t>
      </w:r>
      <w:r>
        <w:rPr>
          <w:rFonts w:ascii="Arial" w:hAnsi="Arial" w:cs="Arial"/>
          <w:color w:val="000000" w:themeColor="text1"/>
        </w:rPr>
        <w:t xml:space="preserve">où </w:t>
      </w:r>
      <w:r w:rsidRPr="00387F4A">
        <w:rPr>
          <w:rFonts w:ascii="Arial" w:hAnsi="Arial" w:cs="Arial"/>
          <w:color w:val="000000" w:themeColor="text1"/>
        </w:rPr>
        <w:t xml:space="preserve">la tendance est à la hausse avec un pic observé en 2009 (cf graphique ci-dessous) et une </w:t>
      </w:r>
      <w:r>
        <w:rPr>
          <w:rFonts w:ascii="Arial" w:hAnsi="Arial" w:cs="Arial"/>
          <w:color w:val="000000" w:themeColor="text1"/>
        </w:rPr>
        <w:t xml:space="preserve">deuxième phase à </w:t>
      </w:r>
      <w:r w:rsidRPr="00387F4A">
        <w:rPr>
          <w:rFonts w:ascii="Arial" w:hAnsi="Arial" w:cs="Arial"/>
          <w:color w:val="000000" w:themeColor="text1"/>
        </w:rPr>
        <w:t>tendance oscillante de 2010 à 2016.</w:t>
      </w:r>
    </w:p>
    <w:p w:rsidR="009A4DF8" w:rsidRPr="00AD6496" w:rsidRDefault="009A4DF8" w:rsidP="009A4DF8">
      <w:pPr>
        <w:jc w:val="both"/>
        <w:rPr>
          <w:rFonts w:ascii="Arial" w:hAnsi="Arial" w:cs="Arial"/>
        </w:rPr>
      </w:pPr>
      <w:r w:rsidRPr="00387F4A">
        <w:rPr>
          <w:rFonts w:ascii="Arial" w:hAnsi="Arial" w:cs="Arial"/>
          <w:color w:val="000000" w:themeColor="text1"/>
        </w:rPr>
        <w:t>Le volume annuel moyen de l’APD reçue par le Burkina Faso durant cette décennie a été de 1</w:t>
      </w:r>
      <w:r>
        <w:rPr>
          <w:rFonts w:ascii="Arial" w:hAnsi="Arial" w:cs="Arial"/>
          <w:color w:val="000000" w:themeColor="text1"/>
        </w:rPr>
        <w:t xml:space="preserve"> </w:t>
      </w:r>
      <w:r w:rsidRPr="00387F4A">
        <w:rPr>
          <w:rFonts w:ascii="Arial" w:hAnsi="Arial" w:cs="Arial"/>
          <w:color w:val="000000" w:themeColor="text1"/>
        </w:rPr>
        <w:t>101</w:t>
      </w:r>
      <w:r>
        <w:rPr>
          <w:rFonts w:ascii="Arial" w:hAnsi="Arial" w:cs="Arial"/>
          <w:color w:val="000000" w:themeColor="text1"/>
        </w:rPr>
        <w:t>,00</w:t>
      </w:r>
      <w:r w:rsidRPr="00387F4A">
        <w:rPr>
          <w:rFonts w:ascii="Arial" w:hAnsi="Arial" w:cs="Arial"/>
          <w:color w:val="000000" w:themeColor="text1"/>
        </w:rPr>
        <w:t xml:space="preserve"> millions dollars US </w:t>
      </w:r>
      <w:r>
        <w:rPr>
          <w:rFonts w:ascii="Arial" w:hAnsi="Arial" w:cs="Arial"/>
          <w:color w:val="000000" w:themeColor="text1"/>
        </w:rPr>
        <w:t xml:space="preserve">contre 506,20 </w:t>
      </w:r>
      <w:r w:rsidRPr="00387F4A">
        <w:rPr>
          <w:rFonts w:ascii="Arial" w:hAnsi="Arial" w:cs="Arial"/>
          <w:color w:val="000000" w:themeColor="text1"/>
        </w:rPr>
        <w:t xml:space="preserve">millions dollars US </w:t>
      </w:r>
      <w:r>
        <w:rPr>
          <w:rFonts w:ascii="Arial" w:hAnsi="Arial" w:cs="Arial"/>
          <w:color w:val="000000" w:themeColor="text1"/>
        </w:rPr>
        <w:t xml:space="preserve">sur la période </w:t>
      </w:r>
      <w:r w:rsidRPr="00AD6496">
        <w:rPr>
          <w:rFonts w:ascii="Arial" w:hAnsi="Arial" w:cs="Arial"/>
        </w:rPr>
        <w:t xml:space="preserve">1997-2006, traduisant la confiance des PTF vis-à-vis du pays. </w:t>
      </w:r>
    </w:p>
    <w:p w:rsidR="009A4DF8" w:rsidRDefault="009A4DF8" w:rsidP="009A4DF8">
      <w:pPr>
        <w:jc w:val="both"/>
        <w:rPr>
          <w:rFonts w:ascii="Arial" w:hAnsi="Arial" w:cs="Arial"/>
        </w:rPr>
      </w:pPr>
      <w:r w:rsidRPr="00387F4A">
        <w:rPr>
          <w:rFonts w:ascii="Arial" w:hAnsi="Arial" w:cs="Arial"/>
        </w:rPr>
        <w:t>En 2016,</w:t>
      </w:r>
      <w:r>
        <w:rPr>
          <w:rFonts w:ascii="Arial" w:hAnsi="Arial" w:cs="Arial"/>
        </w:rPr>
        <w:t xml:space="preserve"> </w:t>
      </w:r>
      <w:r w:rsidRPr="00387F4A">
        <w:rPr>
          <w:rFonts w:ascii="Arial" w:hAnsi="Arial" w:cs="Arial"/>
        </w:rPr>
        <w:t>l’APD reçu</w:t>
      </w:r>
      <w:r>
        <w:rPr>
          <w:rFonts w:ascii="Arial" w:hAnsi="Arial" w:cs="Arial"/>
        </w:rPr>
        <w:t>e</w:t>
      </w:r>
      <w:r w:rsidRPr="00387F4A">
        <w:rPr>
          <w:rFonts w:ascii="Arial" w:hAnsi="Arial" w:cs="Arial"/>
        </w:rPr>
        <w:t xml:space="preserve"> par le Burkina Faso s’</w:t>
      </w:r>
      <w:r>
        <w:rPr>
          <w:rFonts w:ascii="Arial" w:hAnsi="Arial" w:cs="Arial"/>
        </w:rPr>
        <w:t xml:space="preserve">est élevé </w:t>
      </w:r>
      <w:r w:rsidRPr="00387F4A">
        <w:rPr>
          <w:rFonts w:ascii="Arial" w:hAnsi="Arial" w:cs="Arial"/>
        </w:rPr>
        <w:t xml:space="preserve">à </w:t>
      </w:r>
      <w:r w:rsidRPr="00387F4A">
        <w:rPr>
          <w:rFonts w:ascii="Arial" w:hAnsi="Arial" w:cs="Arial"/>
          <w:lang w:eastAsia="fr-FR"/>
        </w:rPr>
        <w:t>1</w:t>
      </w:r>
      <w:r>
        <w:rPr>
          <w:rFonts w:ascii="Arial" w:hAnsi="Arial" w:cs="Arial"/>
          <w:lang w:eastAsia="fr-FR"/>
        </w:rPr>
        <w:t xml:space="preserve"> </w:t>
      </w:r>
      <w:r w:rsidRPr="00387F4A">
        <w:rPr>
          <w:rFonts w:ascii="Arial" w:hAnsi="Arial" w:cs="Arial"/>
          <w:lang w:eastAsia="fr-FR"/>
        </w:rPr>
        <w:t xml:space="preserve">140,23 </w:t>
      </w:r>
      <w:r w:rsidRPr="00387F4A">
        <w:rPr>
          <w:rFonts w:ascii="Arial" w:hAnsi="Arial" w:cs="Arial"/>
        </w:rPr>
        <w:t xml:space="preserve">millions dollars US contre </w:t>
      </w:r>
      <w:r w:rsidRPr="00387F4A">
        <w:rPr>
          <w:rFonts w:ascii="Arial" w:hAnsi="Arial" w:cs="Arial"/>
          <w:lang w:eastAsia="fr-FR"/>
        </w:rPr>
        <w:t>1 100,34</w:t>
      </w:r>
      <w:r>
        <w:rPr>
          <w:rFonts w:ascii="Arial" w:hAnsi="Arial" w:cs="Arial"/>
          <w:lang w:eastAsia="fr-FR"/>
        </w:rPr>
        <w:t xml:space="preserve"> </w:t>
      </w:r>
      <w:r w:rsidRPr="00387F4A">
        <w:rPr>
          <w:rFonts w:ascii="Arial" w:hAnsi="Arial" w:cs="Arial"/>
        </w:rPr>
        <w:t xml:space="preserve">millions dollars US en 2015, soit une </w:t>
      </w:r>
      <w:r>
        <w:rPr>
          <w:rFonts w:ascii="Arial" w:hAnsi="Arial" w:cs="Arial"/>
        </w:rPr>
        <w:t>augmentation de 3,6%</w:t>
      </w:r>
      <w:r w:rsidRPr="00387F4A">
        <w:rPr>
          <w:rFonts w:ascii="Arial" w:hAnsi="Arial" w:cs="Arial"/>
        </w:rPr>
        <w:t xml:space="preserve"> du volume total reçu. Evalué en </w:t>
      </w:r>
      <w:r>
        <w:rPr>
          <w:rFonts w:ascii="Arial" w:hAnsi="Arial" w:cs="Arial"/>
        </w:rPr>
        <w:t>F</w:t>
      </w:r>
      <w:r w:rsidRPr="00387F4A">
        <w:rPr>
          <w:rFonts w:ascii="Arial" w:hAnsi="Arial" w:cs="Arial"/>
        </w:rPr>
        <w:t>rancs CFA, le montant de l’APD</w:t>
      </w:r>
      <w:r>
        <w:rPr>
          <w:rFonts w:ascii="Arial" w:hAnsi="Arial" w:cs="Arial"/>
        </w:rPr>
        <w:t xml:space="preserve"> </w:t>
      </w:r>
      <w:r w:rsidRPr="00387F4A">
        <w:rPr>
          <w:rFonts w:ascii="Arial" w:hAnsi="Arial" w:cs="Arial"/>
        </w:rPr>
        <w:t xml:space="preserve">de </w:t>
      </w:r>
      <w:r w:rsidRPr="000B347D">
        <w:rPr>
          <w:rFonts w:ascii="Arial" w:hAnsi="Arial" w:cs="Arial"/>
          <w:bCs/>
          <w:lang w:eastAsia="fr-FR"/>
        </w:rPr>
        <w:t>676,27</w:t>
      </w:r>
      <w:r>
        <w:rPr>
          <w:rFonts w:ascii="Arial" w:hAnsi="Arial" w:cs="Arial"/>
          <w:bCs/>
          <w:lang w:eastAsia="fr-FR"/>
        </w:rPr>
        <w:t xml:space="preserve"> </w:t>
      </w:r>
      <w:r w:rsidRPr="00387F4A">
        <w:rPr>
          <w:rFonts w:ascii="Arial" w:hAnsi="Arial" w:cs="Arial"/>
        </w:rPr>
        <w:t xml:space="preserve">milliards de FCFA est supérieur à sa valeur de </w:t>
      </w:r>
      <w:r w:rsidRPr="000B347D">
        <w:rPr>
          <w:rFonts w:ascii="Arial" w:hAnsi="Arial" w:cs="Arial"/>
        </w:rPr>
        <w:t>2015 (</w:t>
      </w:r>
      <w:r w:rsidRPr="000B347D">
        <w:rPr>
          <w:rFonts w:ascii="Arial" w:hAnsi="Arial" w:cs="Arial"/>
          <w:bCs/>
          <w:lang w:eastAsia="fr-FR"/>
        </w:rPr>
        <w:t>650,74</w:t>
      </w:r>
      <w:r>
        <w:rPr>
          <w:rFonts w:ascii="Arial" w:hAnsi="Arial" w:cs="Arial"/>
          <w:bCs/>
          <w:lang w:eastAsia="fr-FR"/>
        </w:rPr>
        <w:t xml:space="preserve"> </w:t>
      </w:r>
      <w:r w:rsidRPr="00387F4A">
        <w:rPr>
          <w:rFonts w:ascii="Arial" w:hAnsi="Arial" w:cs="Arial"/>
          <w:bCs/>
          <w:lang w:eastAsia="fr-FR"/>
        </w:rPr>
        <w:t>milliards</w:t>
      </w:r>
      <w:r w:rsidRPr="00387F4A">
        <w:rPr>
          <w:rFonts w:ascii="Arial" w:hAnsi="Arial" w:cs="Arial"/>
        </w:rPr>
        <w:t xml:space="preserve"> de FCFA)</w:t>
      </w:r>
      <w:r>
        <w:rPr>
          <w:rFonts w:ascii="Arial" w:hAnsi="Arial" w:cs="Arial"/>
        </w:rPr>
        <w:t xml:space="preserve">. </w:t>
      </w:r>
    </w:p>
    <w:p w:rsidR="009A4DF8" w:rsidRPr="00387F4A" w:rsidRDefault="009A4DF8" w:rsidP="009A4DF8">
      <w:pPr>
        <w:jc w:val="both"/>
        <w:rPr>
          <w:rFonts w:ascii="Arial" w:hAnsi="Arial" w:cs="Arial"/>
        </w:rPr>
      </w:pPr>
      <w:r w:rsidRPr="00387F4A">
        <w:rPr>
          <w:rFonts w:ascii="Arial" w:hAnsi="Arial" w:cs="Arial"/>
        </w:rPr>
        <w:t>Le graphique ci-dessous retrace l’évolution de l’APD reçue sur la période 2007-2016.</w:t>
      </w:r>
    </w:p>
    <w:p w:rsidR="009A4DF8" w:rsidRPr="002C7316" w:rsidRDefault="002C7316" w:rsidP="002C7316">
      <w:pPr>
        <w:pStyle w:val="Lgende"/>
        <w:rPr>
          <w:bCs w:val="0"/>
          <w:color w:val="auto"/>
          <w:u w:val="none"/>
        </w:rPr>
      </w:pPr>
      <w:bookmarkStart w:id="277" w:name="_Toc492895734"/>
      <w:r w:rsidRPr="002C7316">
        <w:rPr>
          <w:color w:val="auto"/>
        </w:rPr>
        <w:t xml:space="preserve">Graphique </w:t>
      </w:r>
      <w:r w:rsidRPr="002C7316">
        <w:rPr>
          <w:color w:val="auto"/>
        </w:rPr>
        <w:fldChar w:fldCharType="begin"/>
      </w:r>
      <w:r w:rsidRPr="002C7316">
        <w:rPr>
          <w:color w:val="auto"/>
        </w:rPr>
        <w:instrText xml:space="preserve"> SEQ Graphique \* ARABIC </w:instrText>
      </w:r>
      <w:r w:rsidRPr="002C7316">
        <w:rPr>
          <w:color w:val="auto"/>
        </w:rPr>
        <w:fldChar w:fldCharType="separate"/>
      </w:r>
      <w:r w:rsidR="009A1402">
        <w:rPr>
          <w:noProof/>
          <w:color w:val="auto"/>
        </w:rPr>
        <w:t>1</w:t>
      </w:r>
      <w:r w:rsidRPr="002C7316">
        <w:rPr>
          <w:color w:val="auto"/>
        </w:rPr>
        <w:fldChar w:fldCharType="end"/>
      </w:r>
      <w:r w:rsidR="009A4DF8" w:rsidRPr="002C7316">
        <w:rPr>
          <w:bCs w:val="0"/>
          <w:color w:val="auto"/>
        </w:rPr>
        <w:t xml:space="preserve"> : </w:t>
      </w:r>
      <w:r w:rsidR="009A4DF8" w:rsidRPr="002C7316">
        <w:rPr>
          <w:bCs w:val="0"/>
          <w:color w:val="auto"/>
          <w:u w:val="none"/>
        </w:rPr>
        <w:t>Evolution de l’APD de 2007 à 2016 (en millions dollars US</w:t>
      </w:r>
      <w:bookmarkEnd w:id="270"/>
      <w:bookmarkEnd w:id="271"/>
      <w:r w:rsidR="009A4DF8" w:rsidRPr="002C7316">
        <w:rPr>
          <w:bCs w:val="0"/>
          <w:color w:val="auto"/>
          <w:u w:val="none"/>
        </w:rPr>
        <w:t>)</w:t>
      </w:r>
      <w:bookmarkEnd w:id="272"/>
      <w:bookmarkEnd w:id="273"/>
      <w:bookmarkEnd w:id="274"/>
      <w:bookmarkEnd w:id="275"/>
      <w:bookmarkEnd w:id="276"/>
      <w:bookmarkEnd w:id="277"/>
    </w:p>
    <w:p w:rsidR="009A4DF8" w:rsidRPr="00387F4A" w:rsidRDefault="009A4DF8" w:rsidP="009A4DF8">
      <w:pPr>
        <w:rPr>
          <w:rFonts w:ascii="Arial" w:hAnsi="Arial" w:cs="Arial"/>
          <w:noProof/>
          <w:color w:val="000000" w:themeColor="text1"/>
          <w:lang w:eastAsia="fr-FR"/>
        </w:rPr>
      </w:pPr>
      <w:r w:rsidRPr="00387F4A">
        <w:rPr>
          <w:noProof/>
          <w:lang w:eastAsia="fr-FR"/>
        </w:rPr>
        <w:drawing>
          <wp:inline distT="0" distB="0" distL="0" distR="0" wp14:anchorId="6F17D341" wp14:editId="0010535D">
            <wp:extent cx="6191250" cy="2406650"/>
            <wp:effectExtent l="0" t="0" r="0" b="12700"/>
            <wp:docPr id="31" name="Graphique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Pr="00387F4A">
        <w:rPr>
          <w:rFonts w:ascii="Arial" w:hAnsi="Arial" w:cs="Arial"/>
          <w:b/>
          <w:i/>
          <w:color w:val="000000" w:themeColor="text1"/>
          <w:u w:val="single"/>
        </w:rPr>
        <w:t>Source</w:t>
      </w:r>
      <w:r w:rsidRPr="00387F4A">
        <w:rPr>
          <w:rFonts w:ascii="Arial" w:hAnsi="Arial" w:cs="Arial"/>
          <w:i/>
          <w:color w:val="000000" w:themeColor="text1"/>
        </w:rPr>
        <w:t xml:space="preserve"> : PGA/DGCOOP, </w:t>
      </w:r>
      <w:r>
        <w:rPr>
          <w:rFonts w:ascii="Arial" w:hAnsi="Arial" w:cs="Arial"/>
          <w:i/>
          <w:color w:val="000000" w:themeColor="text1"/>
        </w:rPr>
        <w:t>J</w:t>
      </w:r>
      <w:r w:rsidRPr="00387F4A">
        <w:rPr>
          <w:rFonts w:ascii="Arial" w:hAnsi="Arial" w:cs="Arial"/>
          <w:i/>
          <w:color w:val="000000" w:themeColor="text1"/>
        </w:rPr>
        <w:t>uillet 201</w:t>
      </w:r>
      <w:r>
        <w:rPr>
          <w:rFonts w:ascii="Arial" w:hAnsi="Arial" w:cs="Arial"/>
          <w:i/>
          <w:color w:val="000000" w:themeColor="text1"/>
        </w:rPr>
        <w:t>7</w:t>
      </w:r>
    </w:p>
    <w:p w:rsidR="009A4DF8" w:rsidRPr="00387F4A" w:rsidRDefault="009A4DF8" w:rsidP="009A4DF8">
      <w:pPr>
        <w:jc w:val="both"/>
        <w:rPr>
          <w:rFonts w:ascii="Arial" w:hAnsi="Arial" w:cs="Arial"/>
          <w:color w:val="000000" w:themeColor="text1"/>
        </w:rPr>
      </w:pPr>
      <w:bookmarkStart w:id="278" w:name="_Toc400661693"/>
      <w:bookmarkStart w:id="279" w:name="_Toc400703519"/>
      <w:bookmarkStart w:id="280" w:name="_Toc424705036"/>
      <w:bookmarkStart w:id="281" w:name="_Toc163362950"/>
      <w:bookmarkStart w:id="282" w:name="_Toc214371572"/>
      <w:bookmarkStart w:id="283" w:name="_Toc245804650"/>
      <w:bookmarkStart w:id="284" w:name="_Toc304393366"/>
      <w:bookmarkStart w:id="285" w:name="_Toc335610131"/>
      <w:r>
        <w:rPr>
          <w:rFonts w:ascii="Arial" w:hAnsi="Arial" w:cs="Arial"/>
          <w:color w:val="000000" w:themeColor="text1"/>
        </w:rPr>
        <w:t>T</w:t>
      </w:r>
      <w:r w:rsidRPr="00387F4A">
        <w:rPr>
          <w:rFonts w:ascii="Arial" w:hAnsi="Arial" w:cs="Arial"/>
          <w:color w:val="000000" w:themeColor="text1"/>
        </w:rPr>
        <w:t xml:space="preserve">out comme </w:t>
      </w:r>
      <w:r>
        <w:rPr>
          <w:rFonts w:ascii="Arial" w:hAnsi="Arial" w:cs="Arial"/>
          <w:color w:val="000000" w:themeColor="text1"/>
        </w:rPr>
        <w:t xml:space="preserve">en 2015, </w:t>
      </w:r>
      <w:r w:rsidRPr="00387F4A">
        <w:rPr>
          <w:rFonts w:ascii="Arial" w:hAnsi="Arial" w:cs="Arial"/>
          <w:color w:val="000000" w:themeColor="text1"/>
        </w:rPr>
        <w:t xml:space="preserve">l’APD reçue par le Burkina Faso </w:t>
      </w:r>
      <w:r>
        <w:rPr>
          <w:rFonts w:ascii="Arial" w:hAnsi="Arial" w:cs="Arial"/>
          <w:color w:val="000000" w:themeColor="text1"/>
        </w:rPr>
        <w:t>e</w:t>
      </w:r>
      <w:r w:rsidRPr="00387F4A">
        <w:rPr>
          <w:rFonts w:ascii="Arial" w:hAnsi="Arial" w:cs="Arial"/>
          <w:color w:val="000000" w:themeColor="text1"/>
        </w:rPr>
        <w:t>n 2016, se caractérise par une prédominance :</w:t>
      </w:r>
    </w:p>
    <w:p w:rsidR="009A4DF8" w:rsidRPr="00387F4A" w:rsidRDefault="009A4DF8" w:rsidP="00B92B11">
      <w:pPr>
        <w:numPr>
          <w:ilvl w:val="0"/>
          <w:numId w:val="42"/>
        </w:numPr>
        <w:spacing w:after="0"/>
        <w:jc w:val="both"/>
        <w:rPr>
          <w:rFonts w:ascii="Arial" w:hAnsi="Arial" w:cs="Arial"/>
        </w:rPr>
      </w:pPr>
      <w:r w:rsidRPr="00BC5C63">
        <w:rPr>
          <w:rFonts w:ascii="Arial" w:hAnsi="Arial" w:cs="Arial"/>
        </w:rPr>
        <w:t>de l’aide multilatérale (57,</w:t>
      </w:r>
      <w:r>
        <w:rPr>
          <w:rFonts w:ascii="Arial" w:hAnsi="Arial" w:cs="Arial"/>
        </w:rPr>
        <w:t>9</w:t>
      </w:r>
      <w:r w:rsidRPr="00BC5C63">
        <w:rPr>
          <w:rFonts w:ascii="Arial" w:hAnsi="Arial" w:cs="Arial"/>
        </w:rPr>
        <w:t>%) par rapport à l’aide bilatérale (39,</w:t>
      </w:r>
      <w:r>
        <w:rPr>
          <w:rFonts w:ascii="Arial" w:hAnsi="Arial" w:cs="Arial"/>
        </w:rPr>
        <w:t>1</w:t>
      </w:r>
      <w:r w:rsidRPr="00BC5C63">
        <w:rPr>
          <w:rFonts w:ascii="Arial" w:hAnsi="Arial" w:cs="Arial"/>
        </w:rPr>
        <w:t>%) et à la contribution</w:t>
      </w:r>
      <w:r>
        <w:rPr>
          <w:rFonts w:ascii="Arial" w:hAnsi="Arial" w:cs="Arial"/>
        </w:rPr>
        <w:t xml:space="preserve"> des ONG (2,9</w:t>
      </w:r>
      <w:r w:rsidRPr="00387F4A">
        <w:rPr>
          <w:rFonts w:ascii="Arial" w:hAnsi="Arial" w:cs="Arial"/>
        </w:rPr>
        <w:t>%) ;</w:t>
      </w:r>
    </w:p>
    <w:p w:rsidR="009A4DF8" w:rsidRPr="00387F4A" w:rsidRDefault="009A4DF8" w:rsidP="00B92B11">
      <w:pPr>
        <w:numPr>
          <w:ilvl w:val="0"/>
          <w:numId w:val="42"/>
        </w:numPr>
        <w:spacing w:after="0"/>
        <w:jc w:val="both"/>
        <w:rPr>
          <w:rFonts w:ascii="Arial" w:hAnsi="Arial" w:cs="Arial"/>
        </w:rPr>
      </w:pPr>
      <w:r w:rsidRPr="00387F4A">
        <w:rPr>
          <w:rFonts w:ascii="Arial" w:hAnsi="Arial" w:cs="Arial"/>
        </w:rPr>
        <w:t>des dons (</w:t>
      </w:r>
      <w:r>
        <w:rPr>
          <w:rFonts w:ascii="Arial" w:eastAsia="Arial" w:hAnsi="Arial" w:cs="Arial"/>
        </w:rPr>
        <w:t>71,3</w:t>
      </w:r>
      <w:r w:rsidRPr="00387F4A">
        <w:rPr>
          <w:rFonts w:ascii="Arial" w:eastAsia="Arial" w:hAnsi="Arial" w:cs="Arial"/>
        </w:rPr>
        <w:t>%</w:t>
      </w:r>
      <w:r w:rsidRPr="00387F4A">
        <w:rPr>
          <w:rFonts w:ascii="Arial" w:hAnsi="Arial" w:cs="Arial"/>
        </w:rPr>
        <w:t>) par rapport aux prêts ;</w:t>
      </w:r>
    </w:p>
    <w:p w:rsidR="009A4DF8" w:rsidRPr="003206FB" w:rsidRDefault="009A4DF8" w:rsidP="00B92B11">
      <w:pPr>
        <w:numPr>
          <w:ilvl w:val="0"/>
          <w:numId w:val="42"/>
        </w:numPr>
        <w:spacing w:after="120"/>
        <w:ind w:left="1060" w:hanging="357"/>
        <w:jc w:val="both"/>
        <w:rPr>
          <w:rFonts w:ascii="Arial" w:hAnsi="Arial" w:cs="Arial"/>
        </w:rPr>
      </w:pPr>
      <w:r w:rsidRPr="003206FB">
        <w:rPr>
          <w:rFonts w:ascii="Arial" w:hAnsi="Arial" w:cs="Arial"/>
        </w:rPr>
        <w:t>de l’aide projet (</w:t>
      </w:r>
      <w:r w:rsidR="003206FB" w:rsidRPr="003206FB">
        <w:rPr>
          <w:rFonts w:ascii="Arial" w:hAnsi="Arial" w:cs="Arial"/>
          <w:bCs/>
          <w:lang w:eastAsia="fr-FR"/>
        </w:rPr>
        <w:t>72,4</w:t>
      </w:r>
      <w:r w:rsidRPr="003206FB">
        <w:rPr>
          <w:rFonts w:ascii="Arial" w:hAnsi="Arial" w:cs="Arial"/>
          <w:b/>
          <w:bCs/>
          <w:lang w:eastAsia="fr-FR"/>
        </w:rPr>
        <w:t>%</w:t>
      </w:r>
      <w:r w:rsidRPr="003206FB">
        <w:rPr>
          <w:rFonts w:ascii="Arial" w:hAnsi="Arial" w:cs="Arial"/>
          <w:bCs/>
          <w:lang w:eastAsia="fr-FR"/>
        </w:rPr>
        <w:t xml:space="preserve">) </w:t>
      </w:r>
      <w:r w:rsidRPr="003206FB">
        <w:rPr>
          <w:rFonts w:ascii="Arial" w:hAnsi="Arial" w:cs="Arial"/>
        </w:rPr>
        <w:t>par rapport aux autres types d’assistance.</w:t>
      </w:r>
      <w:r w:rsidR="003206FB">
        <w:rPr>
          <w:rFonts w:ascii="Arial" w:hAnsi="Arial" w:cs="Arial"/>
        </w:rPr>
        <w:t xml:space="preserve"> </w:t>
      </w:r>
    </w:p>
    <w:p w:rsidR="009A4DF8" w:rsidRPr="00387F4A" w:rsidRDefault="009A4DF8" w:rsidP="009A4DF8">
      <w:pPr>
        <w:jc w:val="both"/>
        <w:rPr>
          <w:rFonts w:ascii="Arial" w:eastAsia="Arial" w:hAnsi="Arial" w:cs="Arial"/>
        </w:rPr>
      </w:pPr>
      <w:r w:rsidRPr="00387F4A">
        <w:rPr>
          <w:rFonts w:ascii="Arial" w:eastAsia="Arial" w:hAnsi="Arial" w:cs="Arial"/>
        </w:rPr>
        <w:t>En 2016, le volume le plus important d’APD provient des partenaires multilatéraux avec un montant de 660,66 millions dollars US. Ils sont suivis des partenaires bilatéraux avec un apport de 445,47 millions dollars US et des ONG pour une contribution de 34,10 millions dollars US.</w:t>
      </w:r>
    </w:p>
    <w:p w:rsidR="009A4DF8" w:rsidRDefault="009A4DF8" w:rsidP="009A4DF8">
      <w:pPr>
        <w:jc w:val="both"/>
        <w:rPr>
          <w:rFonts w:ascii="Arial" w:hAnsi="Arial" w:cs="Arial"/>
          <w:bCs/>
          <w:lang w:eastAsia="fr-FR"/>
        </w:rPr>
      </w:pPr>
      <w:r w:rsidRPr="00387F4A">
        <w:rPr>
          <w:rFonts w:ascii="Arial" w:hAnsi="Arial" w:cs="Arial"/>
        </w:rPr>
        <w:lastRenderedPageBreak/>
        <w:t xml:space="preserve">Par ailleurs, selon </w:t>
      </w:r>
      <w:r>
        <w:rPr>
          <w:rFonts w:ascii="Arial" w:hAnsi="Arial" w:cs="Arial"/>
        </w:rPr>
        <w:t>les secteurs de planification nationale</w:t>
      </w:r>
      <w:r w:rsidRPr="00387F4A">
        <w:rPr>
          <w:rFonts w:ascii="Arial" w:hAnsi="Arial" w:cs="Arial"/>
        </w:rPr>
        <w:t xml:space="preserve"> </w:t>
      </w:r>
      <w:r>
        <w:rPr>
          <w:rFonts w:ascii="Arial" w:hAnsi="Arial" w:cs="Arial"/>
        </w:rPr>
        <w:t>adoptée avec</w:t>
      </w:r>
      <w:r w:rsidRPr="00387F4A">
        <w:rPr>
          <w:rFonts w:ascii="Arial" w:hAnsi="Arial" w:cs="Arial"/>
        </w:rPr>
        <w:t xml:space="preserve"> </w:t>
      </w:r>
      <w:r>
        <w:rPr>
          <w:rFonts w:ascii="Arial" w:hAnsi="Arial" w:cs="Arial"/>
        </w:rPr>
        <w:t xml:space="preserve">le </w:t>
      </w:r>
      <w:r w:rsidRPr="00387F4A">
        <w:rPr>
          <w:rFonts w:ascii="Arial" w:hAnsi="Arial" w:cs="Arial"/>
        </w:rPr>
        <w:t>P</w:t>
      </w:r>
      <w:r>
        <w:rPr>
          <w:rFonts w:ascii="Arial" w:hAnsi="Arial" w:cs="Arial"/>
        </w:rPr>
        <w:t xml:space="preserve">lan </w:t>
      </w:r>
      <w:r w:rsidRPr="00387F4A">
        <w:rPr>
          <w:rFonts w:ascii="Arial" w:hAnsi="Arial" w:cs="Arial"/>
        </w:rPr>
        <w:t>N</w:t>
      </w:r>
      <w:r>
        <w:rPr>
          <w:rFonts w:ascii="Arial" w:hAnsi="Arial" w:cs="Arial"/>
        </w:rPr>
        <w:t xml:space="preserve">ational de </w:t>
      </w:r>
      <w:r w:rsidRPr="00387F4A">
        <w:rPr>
          <w:rFonts w:ascii="Arial" w:hAnsi="Arial" w:cs="Arial"/>
        </w:rPr>
        <w:t>D</w:t>
      </w:r>
      <w:r>
        <w:rPr>
          <w:rFonts w:ascii="Arial" w:hAnsi="Arial" w:cs="Arial"/>
        </w:rPr>
        <w:t xml:space="preserve">éveloppement </w:t>
      </w:r>
      <w:r w:rsidRPr="00387F4A">
        <w:rPr>
          <w:rFonts w:ascii="Arial" w:hAnsi="Arial" w:cs="Arial"/>
        </w:rPr>
        <w:t>E</w:t>
      </w:r>
      <w:r>
        <w:rPr>
          <w:rFonts w:ascii="Arial" w:hAnsi="Arial" w:cs="Arial"/>
        </w:rPr>
        <w:t xml:space="preserve">conomique et </w:t>
      </w:r>
      <w:r w:rsidRPr="00387F4A">
        <w:rPr>
          <w:rFonts w:ascii="Arial" w:hAnsi="Arial" w:cs="Arial"/>
        </w:rPr>
        <w:t>S</w:t>
      </w:r>
      <w:r>
        <w:rPr>
          <w:rFonts w:ascii="Arial" w:hAnsi="Arial" w:cs="Arial"/>
        </w:rPr>
        <w:t>ocial (PNDES)</w:t>
      </w:r>
      <w:r w:rsidRPr="00387F4A">
        <w:rPr>
          <w:rFonts w:ascii="Arial" w:hAnsi="Arial" w:cs="Arial"/>
        </w:rPr>
        <w:t>, cinq secteurs</w:t>
      </w:r>
      <w:r>
        <w:rPr>
          <w:rFonts w:ascii="Arial" w:hAnsi="Arial" w:cs="Arial"/>
        </w:rPr>
        <w:t xml:space="preserve"> (</w:t>
      </w:r>
      <w:r w:rsidRPr="002A410C">
        <w:rPr>
          <w:rFonts w:ascii="Arial" w:eastAsia="Times New Roman" w:hAnsi="Arial" w:cs="Arial"/>
          <w:bCs/>
          <w:lang w:eastAsia="fr-FR"/>
        </w:rPr>
        <w:t>Gouvernance économique</w:t>
      </w:r>
      <w:r>
        <w:rPr>
          <w:rFonts w:ascii="Arial" w:eastAsia="Times New Roman" w:hAnsi="Arial" w:cs="Arial"/>
          <w:bCs/>
          <w:lang w:eastAsia="fr-FR"/>
        </w:rPr>
        <w:t>,</w:t>
      </w:r>
      <w:r w:rsidRPr="002A410C">
        <w:rPr>
          <w:rFonts w:ascii="Arial" w:eastAsia="Times New Roman" w:hAnsi="Arial" w:cs="Arial"/>
          <w:bCs/>
          <w:lang w:eastAsia="fr-FR"/>
        </w:rPr>
        <w:t xml:space="preserve"> Environnement eau et assainissement</w:t>
      </w:r>
      <w:r>
        <w:rPr>
          <w:rFonts w:ascii="Arial" w:eastAsia="Times New Roman" w:hAnsi="Arial" w:cs="Arial"/>
          <w:bCs/>
          <w:lang w:eastAsia="fr-FR"/>
        </w:rPr>
        <w:t xml:space="preserve">, </w:t>
      </w:r>
      <w:r w:rsidRPr="002A410C">
        <w:rPr>
          <w:rFonts w:ascii="Arial" w:eastAsia="Times New Roman" w:hAnsi="Arial" w:cs="Arial"/>
          <w:bCs/>
          <w:lang w:eastAsia="fr-FR"/>
        </w:rPr>
        <w:t>Production agro-sylvo-pastorale</w:t>
      </w:r>
      <w:r>
        <w:rPr>
          <w:rFonts w:ascii="Arial" w:eastAsia="Times New Roman" w:hAnsi="Arial" w:cs="Arial"/>
          <w:bCs/>
          <w:lang w:eastAsia="fr-FR"/>
        </w:rPr>
        <w:t xml:space="preserve">, </w:t>
      </w:r>
      <w:r w:rsidRPr="002A410C">
        <w:rPr>
          <w:rFonts w:ascii="Arial" w:eastAsia="Times New Roman" w:hAnsi="Arial" w:cs="Arial"/>
          <w:bCs/>
          <w:lang w:eastAsia="fr-FR"/>
        </w:rPr>
        <w:t>Education et formation</w:t>
      </w:r>
      <w:r>
        <w:rPr>
          <w:rFonts w:ascii="Arial" w:eastAsia="Times New Roman" w:hAnsi="Arial" w:cs="Arial"/>
          <w:bCs/>
          <w:lang w:eastAsia="fr-FR"/>
        </w:rPr>
        <w:t xml:space="preserve">, </w:t>
      </w:r>
      <w:r w:rsidRPr="002A410C">
        <w:rPr>
          <w:rFonts w:ascii="Arial" w:eastAsia="Times New Roman" w:hAnsi="Arial" w:cs="Arial"/>
          <w:bCs/>
          <w:lang w:eastAsia="fr-FR"/>
        </w:rPr>
        <w:t>Transformations industrielles et artisanales</w:t>
      </w:r>
      <w:r>
        <w:rPr>
          <w:rFonts w:ascii="Arial" w:eastAsia="Times New Roman" w:hAnsi="Arial" w:cs="Arial"/>
          <w:bCs/>
          <w:lang w:eastAsia="fr-FR"/>
        </w:rPr>
        <w:t xml:space="preserve">) </w:t>
      </w:r>
      <w:r w:rsidRPr="00387F4A">
        <w:rPr>
          <w:rFonts w:ascii="Arial" w:hAnsi="Arial" w:cs="Arial"/>
        </w:rPr>
        <w:t xml:space="preserve">ont absorbé </w:t>
      </w:r>
      <w:r w:rsidRPr="0079785F">
        <w:rPr>
          <w:rFonts w:ascii="Arial" w:hAnsi="Arial" w:cs="Arial"/>
          <w:bCs/>
          <w:lang w:eastAsia="fr-FR"/>
        </w:rPr>
        <w:t>66,3</w:t>
      </w:r>
      <w:r w:rsidRPr="007D237D">
        <w:rPr>
          <w:rFonts w:ascii="Arial" w:hAnsi="Arial" w:cs="Arial"/>
        </w:rPr>
        <w:t>%</w:t>
      </w:r>
      <w:r w:rsidRPr="00387F4A">
        <w:rPr>
          <w:rFonts w:ascii="Arial" w:hAnsi="Arial" w:cs="Arial"/>
        </w:rPr>
        <w:t xml:space="preserve"> de l’APD totale reçue</w:t>
      </w:r>
      <w:r>
        <w:rPr>
          <w:rFonts w:ascii="Arial" w:hAnsi="Arial" w:cs="Arial"/>
        </w:rPr>
        <w:t>.</w:t>
      </w:r>
    </w:p>
    <w:p w:rsidR="009A4DF8" w:rsidRPr="00387F4A" w:rsidRDefault="009A4DF8" w:rsidP="009A4DF8">
      <w:pPr>
        <w:jc w:val="both"/>
        <w:rPr>
          <w:rFonts w:ascii="Arial" w:hAnsi="Arial" w:cs="Arial"/>
          <w:color w:val="000000" w:themeColor="text1"/>
        </w:rPr>
      </w:pPr>
      <w:r w:rsidRPr="00387F4A">
        <w:rPr>
          <w:rFonts w:ascii="Arial" w:hAnsi="Arial" w:cs="Arial"/>
          <w:color w:val="000000" w:themeColor="text1"/>
        </w:rPr>
        <w:t>L’évolution de l’APD par rapport au PIB et au nombre d’habitants est résumée dans le tableau ci-dessous.</w:t>
      </w:r>
    </w:p>
    <w:p w:rsidR="009A4DF8" w:rsidRPr="002C7316" w:rsidRDefault="002C7316" w:rsidP="002C7316">
      <w:pPr>
        <w:pStyle w:val="Lgende"/>
        <w:rPr>
          <w:color w:val="auto"/>
        </w:rPr>
      </w:pPr>
      <w:bookmarkStart w:id="286" w:name="_Toc492895477"/>
      <w:r w:rsidRPr="002C7316">
        <w:rPr>
          <w:color w:val="auto"/>
        </w:rPr>
        <w:t xml:space="preserve">Tableau </w:t>
      </w:r>
      <w:r w:rsidRPr="002C7316">
        <w:rPr>
          <w:color w:val="auto"/>
        </w:rPr>
        <w:fldChar w:fldCharType="begin"/>
      </w:r>
      <w:r w:rsidRPr="002C7316">
        <w:rPr>
          <w:color w:val="auto"/>
        </w:rPr>
        <w:instrText xml:space="preserve"> SEQ Tableau \* ARABIC </w:instrText>
      </w:r>
      <w:r w:rsidRPr="002C7316">
        <w:rPr>
          <w:color w:val="auto"/>
        </w:rPr>
        <w:fldChar w:fldCharType="separate"/>
      </w:r>
      <w:r w:rsidR="009A1402">
        <w:rPr>
          <w:noProof/>
          <w:color w:val="auto"/>
        </w:rPr>
        <w:t>9</w:t>
      </w:r>
      <w:r w:rsidRPr="002C7316">
        <w:rPr>
          <w:color w:val="auto"/>
        </w:rPr>
        <w:fldChar w:fldCharType="end"/>
      </w:r>
      <w:r>
        <w:rPr>
          <w:color w:val="auto"/>
        </w:rPr>
        <w:t> :</w:t>
      </w:r>
      <w:r w:rsidR="009A4DF8" w:rsidRPr="002C7316">
        <w:rPr>
          <w:color w:val="auto"/>
        </w:rPr>
        <w:t xml:space="preserve"> </w:t>
      </w:r>
      <w:r w:rsidR="009A4DF8" w:rsidRPr="002C7316">
        <w:rPr>
          <w:color w:val="auto"/>
          <w:u w:val="none"/>
        </w:rPr>
        <w:t>Evolution de l’APD par rapport au PIB et au nombre d’habitants de 2012 à 201</w:t>
      </w:r>
      <w:bookmarkEnd w:id="278"/>
      <w:bookmarkEnd w:id="279"/>
      <w:bookmarkEnd w:id="280"/>
      <w:r w:rsidR="009A4DF8" w:rsidRPr="002C7316">
        <w:rPr>
          <w:color w:val="auto"/>
          <w:u w:val="none"/>
        </w:rPr>
        <w:t>6</w:t>
      </w:r>
      <w:bookmarkEnd w:id="286"/>
      <w:r w:rsidR="009A4DF8" w:rsidRPr="002C7316">
        <w:rPr>
          <w:color w:val="auto"/>
        </w:rPr>
        <w:t xml:space="preserve"> </w:t>
      </w:r>
    </w:p>
    <w:tbl>
      <w:tblPr>
        <w:tblW w:w="9788" w:type="dxa"/>
        <w:shd w:val="clear" w:color="auto" w:fill="FFFFFF" w:themeFill="background1"/>
        <w:tblCellMar>
          <w:left w:w="70" w:type="dxa"/>
          <w:right w:w="70" w:type="dxa"/>
        </w:tblCellMar>
        <w:tblLook w:val="04A0" w:firstRow="1" w:lastRow="0" w:firstColumn="1" w:lastColumn="0" w:noHBand="0" w:noVBand="1"/>
      </w:tblPr>
      <w:tblGrid>
        <w:gridCol w:w="3099"/>
        <w:gridCol w:w="1297"/>
        <w:gridCol w:w="1387"/>
        <w:gridCol w:w="1346"/>
        <w:gridCol w:w="1284"/>
        <w:gridCol w:w="1375"/>
      </w:tblGrid>
      <w:tr w:rsidR="009A4DF8" w:rsidRPr="00387F4A" w:rsidTr="009A4DF8">
        <w:trPr>
          <w:trHeight w:val="198"/>
        </w:trPr>
        <w:tc>
          <w:tcPr>
            <w:tcW w:w="3099"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9A4DF8" w:rsidRPr="00387F4A" w:rsidRDefault="009A4DF8" w:rsidP="009A4DF8">
            <w:pPr>
              <w:spacing w:after="0"/>
              <w:jc w:val="center"/>
              <w:rPr>
                <w:rFonts w:ascii="Arial" w:hAnsi="Arial" w:cs="Arial"/>
                <w:b/>
                <w:bCs/>
                <w:lang w:eastAsia="fr-FR"/>
              </w:rPr>
            </w:pPr>
            <w:r w:rsidRPr="00387F4A">
              <w:rPr>
                <w:rFonts w:ascii="Arial" w:hAnsi="Arial" w:cs="Arial"/>
                <w:b/>
                <w:bCs/>
                <w:lang w:eastAsia="fr-FR"/>
              </w:rPr>
              <w:t>Désignation</w:t>
            </w:r>
          </w:p>
        </w:tc>
        <w:tc>
          <w:tcPr>
            <w:tcW w:w="1297"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A4DF8" w:rsidRPr="00387F4A" w:rsidRDefault="009A4DF8" w:rsidP="009A4DF8">
            <w:pPr>
              <w:spacing w:after="0"/>
              <w:jc w:val="center"/>
              <w:rPr>
                <w:rFonts w:ascii="Arial" w:hAnsi="Arial" w:cs="Arial"/>
                <w:b/>
                <w:bCs/>
                <w:lang w:eastAsia="fr-FR"/>
              </w:rPr>
            </w:pPr>
            <w:r w:rsidRPr="00387F4A">
              <w:rPr>
                <w:rFonts w:ascii="Arial" w:hAnsi="Arial" w:cs="Arial"/>
                <w:b/>
                <w:bCs/>
                <w:lang w:eastAsia="fr-FR"/>
              </w:rPr>
              <w:t>2012</w:t>
            </w:r>
          </w:p>
        </w:tc>
        <w:tc>
          <w:tcPr>
            <w:tcW w:w="1387"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A4DF8" w:rsidRPr="00387F4A" w:rsidRDefault="009A4DF8" w:rsidP="009A4DF8">
            <w:pPr>
              <w:spacing w:after="0"/>
              <w:jc w:val="center"/>
              <w:rPr>
                <w:rFonts w:ascii="Arial" w:hAnsi="Arial" w:cs="Arial"/>
                <w:b/>
                <w:bCs/>
                <w:lang w:eastAsia="fr-FR"/>
              </w:rPr>
            </w:pPr>
            <w:r w:rsidRPr="00387F4A">
              <w:rPr>
                <w:rFonts w:ascii="Arial" w:hAnsi="Arial" w:cs="Arial"/>
                <w:b/>
                <w:bCs/>
                <w:lang w:eastAsia="fr-FR"/>
              </w:rPr>
              <w:t>2015</w:t>
            </w:r>
          </w:p>
        </w:tc>
        <w:tc>
          <w:tcPr>
            <w:tcW w:w="1346"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A4DF8" w:rsidRPr="00387F4A" w:rsidRDefault="009A4DF8" w:rsidP="009A4DF8">
            <w:pPr>
              <w:spacing w:after="0"/>
              <w:jc w:val="center"/>
              <w:rPr>
                <w:rFonts w:ascii="Arial" w:hAnsi="Arial" w:cs="Arial"/>
                <w:b/>
                <w:bCs/>
                <w:lang w:eastAsia="fr-FR"/>
              </w:rPr>
            </w:pPr>
            <w:r w:rsidRPr="00387F4A">
              <w:rPr>
                <w:rFonts w:ascii="Arial" w:hAnsi="Arial" w:cs="Arial"/>
                <w:b/>
                <w:bCs/>
                <w:lang w:eastAsia="fr-FR"/>
              </w:rPr>
              <w:t>2014</w:t>
            </w:r>
          </w:p>
        </w:tc>
        <w:tc>
          <w:tcPr>
            <w:tcW w:w="1284"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A4DF8" w:rsidRPr="00387F4A" w:rsidRDefault="009A4DF8" w:rsidP="009A4DF8">
            <w:pPr>
              <w:spacing w:after="0"/>
              <w:jc w:val="center"/>
              <w:rPr>
                <w:rFonts w:ascii="Arial" w:hAnsi="Arial" w:cs="Arial"/>
                <w:b/>
                <w:bCs/>
                <w:lang w:eastAsia="fr-FR"/>
              </w:rPr>
            </w:pPr>
            <w:r w:rsidRPr="00387F4A">
              <w:rPr>
                <w:rFonts w:ascii="Arial" w:hAnsi="Arial" w:cs="Arial"/>
                <w:b/>
                <w:bCs/>
                <w:lang w:eastAsia="fr-FR"/>
              </w:rPr>
              <w:t>2015</w:t>
            </w:r>
          </w:p>
        </w:tc>
        <w:tc>
          <w:tcPr>
            <w:tcW w:w="1375"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9A4DF8" w:rsidRPr="00387F4A" w:rsidRDefault="009A4DF8" w:rsidP="009A4DF8">
            <w:pPr>
              <w:spacing w:after="0"/>
              <w:jc w:val="center"/>
              <w:rPr>
                <w:rFonts w:ascii="Arial" w:hAnsi="Arial" w:cs="Arial"/>
                <w:b/>
                <w:bCs/>
                <w:lang w:eastAsia="fr-FR"/>
              </w:rPr>
            </w:pPr>
            <w:r w:rsidRPr="00387F4A">
              <w:rPr>
                <w:rFonts w:ascii="Arial" w:hAnsi="Arial" w:cs="Arial"/>
                <w:b/>
                <w:bCs/>
                <w:lang w:eastAsia="fr-FR"/>
              </w:rPr>
              <w:t>2016</w:t>
            </w:r>
          </w:p>
        </w:tc>
      </w:tr>
      <w:tr w:rsidR="009A4DF8" w:rsidRPr="00387F4A" w:rsidTr="002C7316">
        <w:trPr>
          <w:trHeight w:val="434"/>
        </w:trPr>
        <w:tc>
          <w:tcPr>
            <w:tcW w:w="3099"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9A4DF8" w:rsidRPr="00387F4A" w:rsidRDefault="009A4DF8" w:rsidP="009A4DF8">
            <w:pPr>
              <w:spacing w:after="0"/>
              <w:rPr>
                <w:rFonts w:ascii="Arial" w:hAnsi="Arial" w:cs="Arial"/>
                <w:b/>
                <w:bCs/>
                <w:lang w:eastAsia="fr-FR"/>
              </w:rPr>
            </w:pPr>
            <w:r w:rsidRPr="00387F4A">
              <w:rPr>
                <w:rFonts w:ascii="Arial" w:hAnsi="Arial" w:cs="Arial"/>
                <w:b/>
                <w:bCs/>
                <w:lang w:eastAsia="fr-FR"/>
              </w:rPr>
              <w:t xml:space="preserve">Population </w:t>
            </w:r>
          </w:p>
        </w:tc>
        <w:tc>
          <w:tcPr>
            <w:tcW w:w="1297"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16 779 206</w:t>
            </w:r>
          </w:p>
        </w:tc>
        <w:tc>
          <w:tcPr>
            <w:tcW w:w="1387"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17 322 796</w:t>
            </w:r>
          </w:p>
        </w:tc>
        <w:tc>
          <w:tcPr>
            <w:tcW w:w="1346"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17 880 386</w:t>
            </w:r>
          </w:p>
        </w:tc>
        <w:tc>
          <w:tcPr>
            <w:tcW w:w="1284"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18 450 494</w:t>
            </w:r>
          </w:p>
        </w:tc>
        <w:tc>
          <w:tcPr>
            <w:tcW w:w="1375" w:type="dxa"/>
            <w:tcBorders>
              <w:top w:val="nil"/>
              <w:left w:val="nil"/>
              <w:bottom w:val="single" w:sz="4" w:space="0" w:color="auto"/>
              <w:right w:val="single" w:sz="4" w:space="0" w:color="auto"/>
            </w:tcBorders>
            <w:shd w:val="clear" w:color="auto" w:fill="FFFFFF" w:themeFill="background1"/>
            <w:noWrap/>
            <w:vAlign w:val="bottom"/>
            <w:hideMark/>
          </w:tcPr>
          <w:p w:rsidR="009A4DF8" w:rsidRPr="002C7316" w:rsidRDefault="009A4DF8" w:rsidP="002C7316">
            <w:pPr>
              <w:spacing w:after="0"/>
              <w:jc w:val="right"/>
              <w:rPr>
                <w:rFonts w:ascii="Arial" w:hAnsi="Arial" w:cs="Arial"/>
                <w:bCs/>
                <w:lang w:eastAsia="fr-FR"/>
              </w:rPr>
            </w:pPr>
            <w:r w:rsidRPr="00BE34DA">
              <w:rPr>
                <w:rFonts w:ascii="Arial" w:hAnsi="Arial" w:cs="Arial"/>
                <w:bCs/>
                <w:lang w:eastAsia="fr-FR"/>
              </w:rPr>
              <w:t>19</w:t>
            </w:r>
            <w:r>
              <w:rPr>
                <w:rFonts w:ascii="Arial" w:hAnsi="Arial" w:cs="Arial"/>
                <w:bCs/>
                <w:lang w:eastAsia="fr-FR"/>
              </w:rPr>
              <w:t> </w:t>
            </w:r>
            <w:r w:rsidRPr="00BE34DA">
              <w:rPr>
                <w:rFonts w:ascii="Arial" w:hAnsi="Arial" w:cs="Arial"/>
                <w:bCs/>
                <w:lang w:eastAsia="fr-FR"/>
              </w:rPr>
              <w:t>052</w:t>
            </w:r>
            <w:r>
              <w:rPr>
                <w:rFonts w:ascii="Arial" w:hAnsi="Arial" w:cs="Arial"/>
                <w:bCs/>
                <w:lang w:eastAsia="fr-FR"/>
              </w:rPr>
              <w:t xml:space="preserve"> </w:t>
            </w:r>
            <w:r w:rsidRPr="00BE34DA">
              <w:rPr>
                <w:rFonts w:ascii="Arial" w:hAnsi="Arial" w:cs="Arial"/>
                <w:bCs/>
                <w:lang w:eastAsia="fr-FR"/>
              </w:rPr>
              <w:t>757</w:t>
            </w:r>
          </w:p>
        </w:tc>
      </w:tr>
      <w:tr w:rsidR="009A4DF8" w:rsidRPr="00387F4A" w:rsidTr="009A4DF8">
        <w:trPr>
          <w:trHeight w:val="229"/>
        </w:trPr>
        <w:tc>
          <w:tcPr>
            <w:tcW w:w="3099" w:type="dxa"/>
            <w:tcBorders>
              <w:top w:val="nil"/>
              <w:left w:val="single" w:sz="4" w:space="0" w:color="auto"/>
              <w:bottom w:val="single" w:sz="4" w:space="0" w:color="auto"/>
              <w:right w:val="single" w:sz="4" w:space="0" w:color="auto"/>
            </w:tcBorders>
            <w:shd w:val="clear" w:color="auto" w:fill="FFFFFF" w:themeFill="background1"/>
            <w:noWrap/>
            <w:vAlign w:val="center"/>
            <w:hideMark/>
          </w:tcPr>
          <w:p w:rsidR="009A4DF8" w:rsidRPr="00387F4A" w:rsidRDefault="009A4DF8" w:rsidP="009A4DF8">
            <w:pPr>
              <w:spacing w:after="0"/>
              <w:rPr>
                <w:rFonts w:ascii="Arial" w:hAnsi="Arial" w:cs="Arial"/>
                <w:b/>
                <w:bCs/>
                <w:lang w:eastAsia="fr-FR"/>
              </w:rPr>
            </w:pPr>
            <w:r w:rsidRPr="00387F4A">
              <w:rPr>
                <w:rFonts w:ascii="Arial" w:hAnsi="Arial" w:cs="Arial"/>
                <w:b/>
                <w:bCs/>
                <w:lang w:eastAsia="fr-FR"/>
              </w:rPr>
              <w:t>APD (millions $ US)</w:t>
            </w:r>
          </w:p>
        </w:tc>
        <w:tc>
          <w:tcPr>
            <w:tcW w:w="129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1163,00</w:t>
            </w:r>
          </w:p>
        </w:tc>
        <w:tc>
          <w:tcPr>
            <w:tcW w:w="138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1194,42</w:t>
            </w:r>
          </w:p>
        </w:tc>
        <w:tc>
          <w:tcPr>
            <w:tcW w:w="1346"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1099,22</w:t>
            </w:r>
          </w:p>
        </w:tc>
        <w:tc>
          <w:tcPr>
            <w:tcW w:w="1284" w:type="dxa"/>
            <w:tcBorders>
              <w:top w:val="nil"/>
              <w:left w:val="nil"/>
              <w:bottom w:val="single" w:sz="4" w:space="0" w:color="auto"/>
              <w:right w:val="single" w:sz="4" w:space="0" w:color="auto"/>
            </w:tcBorders>
            <w:shd w:val="clear" w:color="auto" w:fill="FFFFFF" w:themeFill="background1"/>
            <w:noWrap/>
            <w:vAlign w:val="bottom"/>
            <w:hideMark/>
          </w:tcPr>
          <w:p w:rsidR="009A4DF8" w:rsidRPr="00E27792" w:rsidRDefault="009A4DF8" w:rsidP="009A4DF8">
            <w:pPr>
              <w:spacing w:after="0"/>
              <w:jc w:val="right"/>
              <w:rPr>
                <w:rFonts w:ascii="Arial" w:hAnsi="Arial" w:cs="Arial"/>
                <w:lang w:eastAsia="fr-FR"/>
              </w:rPr>
            </w:pPr>
            <w:r w:rsidRPr="00E27792">
              <w:rPr>
                <w:rFonts w:ascii="Arial" w:hAnsi="Arial" w:cs="Arial"/>
                <w:lang w:eastAsia="fr-FR"/>
              </w:rPr>
              <w:t>1 100,34</w:t>
            </w:r>
          </w:p>
        </w:tc>
        <w:tc>
          <w:tcPr>
            <w:tcW w:w="1375" w:type="dxa"/>
            <w:tcBorders>
              <w:top w:val="nil"/>
              <w:left w:val="nil"/>
              <w:bottom w:val="single" w:sz="4" w:space="0" w:color="auto"/>
              <w:right w:val="single" w:sz="4" w:space="0" w:color="auto"/>
            </w:tcBorders>
            <w:shd w:val="clear" w:color="auto" w:fill="FFFFFF" w:themeFill="background1"/>
            <w:noWrap/>
            <w:vAlign w:val="bottom"/>
            <w:hideMark/>
          </w:tcPr>
          <w:p w:rsidR="009A4DF8" w:rsidRPr="00E27792" w:rsidRDefault="009A4DF8" w:rsidP="009A4DF8">
            <w:pPr>
              <w:spacing w:after="0"/>
              <w:jc w:val="right"/>
              <w:rPr>
                <w:rFonts w:ascii="Arial" w:hAnsi="Arial" w:cs="Arial"/>
                <w:lang w:eastAsia="fr-FR"/>
              </w:rPr>
            </w:pPr>
            <w:r w:rsidRPr="00E27792">
              <w:rPr>
                <w:rFonts w:ascii="Arial" w:hAnsi="Arial" w:cs="Arial"/>
                <w:lang w:eastAsia="fr-FR"/>
              </w:rPr>
              <w:t>1 140,23</w:t>
            </w:r>
          </w:p>
        </w:tc>
      </w:tr>
      <w:tr w:rsidR="009A4DF8" w:rsidRPr="00387F4A" w:rsidTr="009A4DF8">
        <w:trPr>
          <w:trHeight w:val="428"/>
        </w:trPr>
        <w:tc>
          <w:tcPr>
            <w:tcW w:w="3099" w:type="dxa"/>
            <w:tcBorders>
              <w:top w:val="nil"/>
              <w:left w:val="single" w:sz="4" w:space="0" w:color="auto"/>
              <w:bottom w:val="single" w:sz="4" w:space="0" w:color="auto"/>
              <w:right w:val="single" w:sz="4" w:space="0" w:color="auto"/>
            </w:tcBorders>
            <w:shd w:val="clear" w:color="auto" w:fill="FFFFFF" w:themeFill="background1"/>
            <w:vAlign w:val="center"/>
            <w:hideMark/>
          </w:tcPr>
          <w:p w:rsidR="009A4DF8" w:rsidRPr="00387F4A" w:rsidRDefault="009A4DF8" w:rsidP="009A4DF8">
            <w:pPr>
              <w:spacing w:after="0"/>
              <w:rPr>
                <w:rFonts w:ascii="Arial" w:hAnsi="Arial" w:cs="Arial"/>
                <w:b/>
                <w:bCs/>
                <w:lang w:eastAsia="fr-FR"/>
              </w:rPr>
            </w:pPr>
            <w:r w:rsidRPr="00387F4A">
              <w:rPr>
                <w:rFonts w:ascii="Arial" w:hAnsi="Arial" w:cs="Arial"/>
                <w:b/>
                <w:bCs/>
                <w:lang w:eastAsia="fr-FR"/>
              </w:rPr>
              <w:t>Taux de change du dollar /FCFA</w:t>
            </w:r>
          </w:p>
        </w:tc>
        <w:tc>
          <w:tcPr>
            <w:tcW w:w="129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503,05</w:t>
            </w:r>
          </w:p>
        </w:tc>
        <w:tc>
          <w:tcPr>
            <w:tcW w:w="138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494,00</w:t>
            </w:r>
          </w:p>
        </w:tc>
        <w:tc>
          <w:tcPr>
            <w:tcW w:w="1346"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503,05</w:t>
            </w:r>
          </w:p>
        </w:tc>
        <w:tc>
          <w:tcPr>
            <w:tcW w:w="1284" w:type="dxa"/>
            <w:tcBorders>
              <w:top w:val="nil"/>
              <w:left w:val="nil"/>
              <w:bottom w:val="single" w:sz="4" w:space="0" w:color="auto"/>
              <w:right w:val="single" w:sz="4" w:space="0" w:color="auto"/>
            </w:tcBorders>
            <w:shd w:val="clear" w:color="auto" w:fill="FFFFFF" w:themeFill="background1"/>
            <w:noWrap/>
            <w:vAlign w:val="bottom"/>
            <w:hideMark/>
          </w:tcPr>
          <w:p w:rsidR="009A4DF8" w:rsidRPr="00E27792" w:rsidRDefault="009A4DF8" w:rsidP="009A4DF8">
            <w:pPr>
              <w:spacing w:after="0"/>
              <w:jc w:val="right"/>
              <w:rPr>
                <w:rFonts w:ascii="Arial" w:hAnsi="Arial" w:cs="Arial"/>
                <w:lang w:eastAsia="fr-FR"/>
              </w:rPr>
            </w:pPr>
            <w:r w:rsidRPr="00E27792">
              <w:rPr>
                <w:rFonts w:ascii="Arial" w:hAnsi="Arial" w:cs="Arial"/>
                <w:lang w:eastAsia="fr-FR"/>
              </w:rPr>
              <w:t>591,40</w:t>
            </w:r>
          </w:p>
        </w:tc>
        <w:tc>
          <w:tcPr>
            <w:tcW w:w="1375" w:type="dxa"/>
            <w:tcBorders>
              <w:top w:val="nil"/>
              <w:left w:val="nil"/>
              <w:bottom w:val="single" w:sz="4" w:space="0" w:color="auto"/>
              <w:right w:val="single" w:sz="4" w:space="0" w:color="auto"/>
            </w:tcBorders>
            <w:shd w:val="clear" w:color="auto" w:fill="FFFFFF" w:themeFill="background1"/>
            <w:noWrap/>
            <w:vAlign w:val="bottom"/>
            <w:hideMark/>
          </w:tcPr>
          <w:p w:rsidR="009A4DF8" w:rsidRPr="00E27792" w:rsidRDefault="009A4DF8" w:rsidP="009A4DF8">
            <w:pPr>
              <w:spacing w:after="0"/>
              <w:jc w:val="right"/>
              <w:rPr>
                <w:rFonts w:ascii="Arial" w:hAnsi="Arial" w:cs="Arial"/>
                <w:lang w:eastAsia="fr-FR"/>
              </w:rPr>
            </w:pPr>
            <w:r w:rsidRPr="00E27792">
              <w:rPr>
                <w:rFonts w:ascii="Arial" w:hAnsi="Arial" w:cs="Arial"/>
                <w:lang w:eastAsia="fr-FR"/>
              </w:rPr>
              <w:t>593,10</w:t>
            </w:r>
          </w:p>
        </w:tc>
      </w:tr>
      <w:tr w:rsidR="009A4DF8" w:rsidRPr="00387F4A" w:rsidTr="009A4DF8">
        <w:trPr>
          <w:trHeight w:val="285"/>
        </w:trPr>
        <w:tc>
          <w:tcPr>
            <w:tcW w:w="3099" w:type="dxa"/>
            <w:tcBorders>
              <w:top w:val="nil"/>
              <w:left w:val="single" w:sz="4" w:space="0" w:color="auto"/>
              <w:bottom w:val="single" w:sz="4" w:space="0" w:color="auto"/>
              <w:right w:val="single" w:sz="4" w:space="0" w:color="auto"/>
            </w:tcBorders>
            <w:shd w:val="clear" w:color="auto" w:fill="FFFFFF" w:themeFill="background1"/>
            <w:vAlign w:val="center"/>
            <w:hideMark/>
          </w:tcPr>
          <w:p w:rsidR="009A4DF8" w:rsidRPr="00387F4A" w:rsidRDefault="009A4DF8" w:rsidP="009A4DF8">
            <w:pPr>
              <w:spacing w:after="0"/>
              <w:rPr>
                <w:rFonts w:ascii="Arial" w:hAnsi="Arial" w:cs="Arial"/>
                <w:b/>
                <w:bCs/>
                <w:lang w:eastAsia="fr-FR"/>
              </w:rPr>
            </w:pPr>
            <w:r w:rsidRPr="00387F4A">
              <w:rPr>
                <w:rFonts w:ascii="Arial" w:hAnsi="Arial" w:cs="Arial"/>
                <w:b/>
                <w:bCs/>
                <w:lang w:eastAsia="fr-FR"/>
              </w:rPr>
              <w:t>APD (en milliards de FCFA)</w:t>
            </w:r>
          </w:p>
        </w:tc>
        <w:tc>
          <w:tcPr>
            <w:tcW w:w="129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585,05</w:t>
            </w:r>
          </w:p>
        </w:tc>
        <w:tc>
          <w:tcPr>
            <w:tcW w:w="138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590,04</w:t>
            </w:r>
          </w:p>
        </w:tc>
        <w:tc>
          <w:tcPr>
            <w:tcW w:w="1346"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552,96</w:t>
            </w:r>
          </w:p>
        </w:tc>
        <w:tc>
          <w:tcPr>
            <w:tcW w:w="1284"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650,74</w:t>
            </w:r>
          </w:p>
        </w:tc>
        <w:tc>
          <w:tcPr>
            <w:tcW w:w="1375"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676,27</w:t>
            </w:r>
          </w:p>
        </w:tc>
      </w:tr>
      <w:tr w:rsidR="009A4DF8" w:rsidRPr="00387F4A" w:rsidTr="009A4DF8">
        <w:trPr>
          <w:trHeight w:val="250"/>
        </w:trPr>
        <w:tc>
          <w:tcPr>
            <w:tcW w:w="3099" w:type="dxa"/>
            <w:tcBorders>
              <w:top w:val="nil"/>
              <w:left w:val="single" w:sz="4" w:space="0" w:color="auto"/>
              <w:bottom w:val="single" w:sz="4" w:space="0" w:color="auto"/>
              <w:right w:val="single" w:sz="4" w:space="0" w:color="auto"/>
            </w:tcBorders>
            <w:shd w:val="clear" w:color="auto" w:fill="FFFFFF" w:themeFill="background1"/>
            <w:vAlign w:val="center"/>
            <w:hideMark/>
          </w:tcPr>
          <w:p w:rsidR="009A4DF8" w:rsidRPr="00387F4A" w:rsidRDefault="009A4DF8" w:rsidP="009A4DF8">
            <w:pPr>
              <w:spacing w:after="0"/>
              <w:rPr>
                <w:rFonts w:ascii="Arial" w:hAnsi="Arial" w:cs="Arial"/>
                <w:b/>
                <w:bCs/>
                <w:lang w:eastAsia="fr-FR"/>
              </w:rPr>
            </w:pPr>
            <w:r w:rsidRPr="00387F4A">
              <w:rPr>
                <w:rFonts w:ascii="Arial" w:hAnsi="Arial" w:cs="Arial"/>
                <w:b/>
                <w:bCs/>
                <w:lang w:eastAsia="fr-FR"/>
              </w:rPr>
              <w:t>PIB courant</w:t>
            </w:r>
          </w:p>
        </w:tc>
        <w:tc>
          <w:tcPr>
            <w:tcW w:w="1297" w:type="dxa"/>
            <w:tcBorders>
              <w:top w:val="nil"/>
              <w:left w:val="nil"/>
              <w:bottom w:val="single" w:sz="4" w:space="0" w:color="auto"/>
              <w:right w:val="single" w:sz="4" w:space="0" w:color="auto"/>
            </w:tcBorders>
            <w:shd w:val="clear" w:color="auto" w:fill="FFFFFF" w:themeFill="background1"/>
            <w:vAlign w:val="center"/>
            <w:hideMark/>
          </w:tcPr>
          <w:p w:rsidR="009A4DF8" w:rsidRPr="00E27792" w:rsidRDefault="009A4DF8" w:rsidP="009A4DF8">
            <w:pPr>
              <w:spacing w:after="0"/>
              <w:jc w:val="right"/>
              <w:rPr>
                <w:rFonts w:ascii="Arial" w:hAnsi="Arial" w:cs="Arial"/>
                <w:lang w:eastAsia="fr-FR"/>
              </w:rPr>
            </w:pPr>
            <w:r w:rsidRPr="00E27792">
              <w:rPr>
                <w:rFonts w:ascii="Arial" w:hAnsi="Arial" w:cs="Arial"/>
                <w:lang w:eastAsia="fr-FR"/>
              </w:rPr>
              <w:t>5 700,58</w:t>
            </w:r>
          </w:p>
        </w:tc>
        <w:tc>
          <w:tcPr>
            <w:tcW w:w="1387" w:type="dxa"/>
            <w:tcBorders>
              <w:top w:val="nil"/>
              <w:left w:val="nil"/>
              <w:bottom w:val="single" w:sz="4" w:space="0" w:color="auto"/>
              <w:right w:val="single" w:sz="4" w:space="0" w:color="auto"/>
            </w:tcBorders>
            <w:shd w:val="clear" w:color="auto" w:fill="FFFFFF" w:themeFill="background1"/>
            <w:vAlign w:val="center"/>
            <w:hideMark/>
          </w:tcPr>
          <w:p w:rsidR="009A4DF8" w:rsidRPr="00E27792" w:rsidRDefault="009A4DF8" w:rsidP="009A4DF8">
            <w:pPr>
              <w:spacing w:after="0"/>
              <w:jc w:val="right"/>
              <w:rPr>
                <w:rFonts w:ascii="Arial" w:hAnsi="Arial" w:cs="Arial"/>
                <w:lang w:eastAsia="fr-FR"/>
              </w:rPr>
            </w:pPr>
            <w:r w:rsidRPr="00E27792">
              <w:rPr>
                <w:rFonts w:ascii="Arial" w:hAnsi="Arial" w:cs="Arial"/>
                <w:lang w:eastAsia="fr-FR"/>
              </w:rPr>
              <w:t>5 984,88</w:t>
            </w:r>
          </w:p>
        </w:tc>
        <w:tc>
          <w:tcPr>
            <w:tcW w:w="1346"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6</w:t>
            </w:r>
            <w:r>
              <w:rPr>
                <w:rFonts w:ascii="Arial" w:hAnsi="Arial" w:cs="Arial"/>
                <w:bCs/>
                <w:lang w:eastAsia="fr-FR"/>
              </w:rPr>
              <w:t xml:space="preserve"> </w:t>
            </w:r>
            <w:r w:rsidRPr="0079785F">
              <w:rPr>
                <w:rFonts w:ascii="Arial" w:hAnsi="Arial" w:cs="Arial"/>
                <w:bCs/>
                <w:lang w:eastAsia="fr-FR"/>
              </w:rPr>
              <w:t>200</w:t>
            </w:r>
          </w:p>
        </w:tc>
        <w:tc>
          <w:tcPr>
            <w:tcW w:w="1284" w:type="dxa"/>
            <w:tcBorders>
              <w:top w:val="nil"/>
              <w:left w:val="nil"/>
              <w:bottom w:val="single" w:sz="4" w:space="0" w:color="auto"/>
              <w:right w:val="single" w:sz="4" w:space="0" w:color="auto"/>
            </w:tcBorders>
            <w:shd w:val="clear" w:color="auto" w:fill="FFFFFF" w:themeFill="background1"/>
            <w:noWrap/>
            <w:vAlign w:val="bottom"/>
            <w:hideMark/>
          </w:tcPr>
          <w:p w:rsidR="009A4DF8" w:rsidRPr="00E27792" w:rsidRDefault="009A4DF8" w:rsidP="009A4DF8">
            <w:pPr>
              <w:spacing w:after="0"/>
              <w:jc w:val="right"/>
              <w:rPr>
                <w:rFonts w:ascii="Arial" w:hAnsi="Arial" w:cs="Arial"/>
                <w:lang w:eastAsia="fr-FR"/>
              </w:rPr>
            </w:pPr>
            <w:r w:rsidRPr="00E27792">
              <w:rPr>
                <w:rFonts w:ascii="Arial" w:hAnsi="Arial" w:cs="Arial"/>
                <w:lang w:eastAsia="fr-FR"/>
              </w:rPr>
              <w:t>6</w:t>
            </w:r>
            <w:r>
              <w:rPr>
                <w:rFonts w:ascii="Arial" w:hAnsi="Arial" w:cs="Arial"/>
                <w:lang w:eastAsia="fr-FR"/>
              </w:rPr>
              <w:t xml:space="preserve"> </w:t>
            </w:r>
            <w:r w:rsidRPr="00E27792">
              <w:rPr>
                <w:rFonts w:ascii="Arial" w:hAnsi="Arial" w:cs="Arial"/>
                <w:lang w:eastAsia="fr-FR"/>
              </w:rPr>
              <w:t>576,92</w:t>
            </w:r>
          </w:p>
        </w:tc>
        <w:tc>
          <w:tcPr>
            <w:tcW w:w="1375" w:type="dxa"/>
            <w:tcBorders>
              <w:top w:val="nil"/>
              <w:left w:val="nil"/>
              <w:bottom w:val="single" w:sz="4" w:space="0" w:color="auto"/>
              <w:right w:val="single" w:sz="4" w:space="0" w:color="auto"/>
            </w:tcBorders>
            <w:shd w:val="clear" w:color="auto" w:fill="FFFFFF" w:themeFill="background1"/>
            <w:noWrap/>
            <w:vAlign w:val="bottom"/>
            <w:hideMark/>
          </w:tcPr>
          <w:p w:rsidR="009A4DF8" w:rsidRPr="00E27792" w:rsidRDefault="009A4DF8" w:rsidP="009A4DF8">
            <w:pPr>
              <w:spacing w:after="0"/>
              <w:jc w:val="right"/>
              <w:rPr>
                <w:rFonts w:ascii="Arial" w:hAnsi="Arial" w:cs="Arial"/>
                <w:lang w:eastAsia="fr-FR"/>
              </w:rPr>
            </w:pPr>
            <w:r w:rsidRPr="00E27792">
              <w:rPr>
                <w:rFonts w:ascii="Arial" w:hAnsi="Arial" w:cs="Arial"/>
                <w:lang w:eastAsia="fr-FR"/>
              </w:rPr>
              <w:t>7 185,50</w:t>
            </w:r>
          </w:p>
        </w:tc>
      </w:tr>
      <w:tr w:rsidR="009A4DF8" w:rsidRPr="00387F4A" w:rsidTr="009A4DF8">
        <w:trPr>
          <w:trHeight w:val="250"/>
        </w:trPr>
        <w:tc>
          <w:tcPr>
            <w:tcW w:w="3099" w:type="dxa"/>
            <w:tcBorders>
              <w:top w:val="nil"/>
              <w:left w:val="single" w:sz="4" w:space="0" w:color="auto"/>
              <w:bottom w:val="single" w:sz="4" w:space="0" w:color="auto"/>
              <w:right w:val="single" w:sz="4" w:space="0" w:color="auto"/>
            </w:tcBorders>
            <w:shd w:val="clear" w:color="auto" w:fill="FFFFFF" w:themeFill="background1"/>
            <w:vAlign w:val="center"/>
            <w:hideMark/>
          </w:tcPr>
          <w:p w:rsidR="009A4DF8" w:rsidRPr="00387F4A" w:rsidRDefault="009A4DF8" w:rsidP="009A4DF8">
            <w:pPr>
              <w:spacing w:after="0"/>
              <w:rPr>
                <w:rFonts w:ascii="Arial" w:hAnsi="Arial" w:cs="Arial"/>
                <w:b/>
                <w:bCs/>
                <w:lang w:eastAsia="fr-FR"/>
              </w:rPr>
            </w:pPr>
            <w:r w:rsidRPr="00387F4A">
              <w:rPr>
                <w:rFonts w:ascii="Arial" w:hAnsi="Arial" w:cs="Arial"/>
                <w:b/>
                <w:bCs/>
                <w:lang w:eastAsia="fr-FR"/>
              </w:rPr>
              <w:t>Ratio APD/PIB (%)</w:t>
            </w:r>
          </w:p>
        </w:tc>
        <w:tc>
          <w:tcPr>
            <w:tcW w:w="129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10,26%</w:t>
            </w:r>
          </w:p>
        </w:tc>
        <w:tc>
          <w:tcPr>
            <w:tcW w:w="138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9,86%</w:t>
            </w:r>
          </w:p>
        </w:tc>
        <w:tc>
          <w:tcPr>
            <w:tcW w:w="1346"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8,92%</w:t>
            </w:r>
          </w:p>
        </w:tc>
        <w:tc>
          <w:tcPr>
            <w:tcW w:w="1284"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9,89%</w:t>
            </w:r>
          </w:p>
        </w:tc>
        <w:tc>
          <w:tcPr>
            <w:tcW w:w="1375"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9,41%</w:t>
            </w:r>
          </w:p>
        </w:tc>
      </w:tr>
      <w:tr w:rsidR="009A4DF8" w:rsidRPr="00387F4A" w:rsidTr="009A4DF8">
        <w:trPr>
          <w:trHeight w:val="344"/>
        </w:trPr>
        <w:tc>
          <w:tcPr>
            <w:tcW w:w="3099" w:type="dxa"/>
            <w:tcBorders>
              <w:top w:val="nil"/>
              <w:left w:val="single" w:sz="4" w:space="0" w:color="auto"/>
              <w:bottom w:val="single" w:sz="4" w:space="0" w:color="auto"/>
              <w:right w:val="single" w:sz="4" w:space="0" w:color="auto"/>
            </w:tcBorders>
            <w:shd w:val="clear" w:color="auto" w:fill="FFFFFF" w:themeFill="background1"/>
            <w:vAlign w:val="center"/>
            <w:hideMark/>
          </w:tcPr>
          <w:p w:rsidR="009A4DF8" w:rsidRPr="00387F4A" w:rsidRDefault="009A4DF8" w:rsidP="009A4DF8">
            <w:pPr>
              <w:spacing w:after="0"/>
              <w:rPr>
                <w:rFonts w:ascii="Arial" w:hAnsi="Arial" w:cs="Arial"/>
                <w:b/>
                <w:bCs/>
                <w:lang w:eastAsia="fr-FR"/>
              </w:rPr>
            </w:pPr>
            <w:r w:rsidRPr="00387F4A">
              <w:rPr>
                <w:rFonts w:ascii="Arial" w:hAnsi="Arial" w:cs="Arial"/>
                <w:b/>
                <w:bCs/>
                <w:lang w:eastAsia="fr-FR"/>
              </w:rPr>
              <w:t>APD par tête d’habitant (dollars US)</w:t>
            </w:r>
          </w:p>
        </w:tc>
        <w:tc>
          <w:tcPr>
            <w:tcW w:w="129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69,31</w:t>
            </w:r>
          </w:p>
        </w:tc>
        <w:tc>
          <w:tcPr>
            <w:tcW w:w="1387" w:type="dxa"/>
            <w:tcBorders>
              <w:top w:val="nil"/>
              <w:left w:val="nil"/>
              <w:bottom w:val="single" w:sz="4" w:space="0" w:color="auto"/>
              <w:right w:val="single" w:sz="4" w:space="0" w:color="auto"/>
            </w:tcBorders>
            <w:shd w:val="clear" w:color="auto" w:fill="FFFFFF" w:themeFill="background1"/>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68,95</w:t>
            </w:r>
          </w:p>
        </w:tc>
        <w:tc>
          <w:tcPr>
            <w:tcW w:w="1346"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61,48</w:t>
            </w:r>
          </w:p>
        </w:tc>
        <w:tc>
          <w:tcPr>
            <w:tcW w:w="1284"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59,64</w:t>
            </w:r>
          </w:p>
        </w:tc>
        <w:tc>
          <w:tcPr>
            <w:tcW w:w="1375" w:type="dxa"/>
            <w:tcBorders>
              <w:top w:val="nil"/>
              <w:left w:val="nil"/>
              <w:bottom w:val="single" w:sz="4" w:space="0" w:color="auto"/>
              <w:right w:val="single" w:sz="4" w:space="0" w:color="auto"/>
            </w:tcBorders>
            <w:shd w:val="clear" w:color="auto" w:fill="FFFFFF" w:themeFill="background1"/>
            <w:noWrap/>
            <w:vAlign w:val="center"/>
            <w:hideMark/>
          </w:tcPr>
          <w:p w:rsidR="009A4DF8" w:rsidRPr="0079785F" w:rsidRDefault="009A4DF8" w:rsidP="009A4DF8">
            <w:pPr>
              <w:spacing w:after="0"/>
              <w:jc w:val="right"/>
              <w:rPr>
                <w:rFonts w:ascii="Arial" w:hAnsi="Arial" w:cs="Arial"/>
                <w:bCs/>
                <w:lang w:eastAsia="fr-FR"/>
              </w:rPr>
            </w:pPr>
            <w:r w:rsidRPr="0079785F">
              <w:rPr>
                <w:rFonts w:ascii="Arial" w:hAnsi="Arial" w:cs="Arial"/>
                <w:bCs/>
                <w:lang w:eastAsia="fr-FR"/>
              </w:rPr>
              <w:t>59,85</w:t>
            </w:r>
          </w:p>
        </w:tc>
      </w:tr>
    </w:tbl>
    <w:p w:rsidR="009A4DF8" w:rsidRDefault="009A4DF8" w:rsidP="009A4DF8">
      <w:pPr>
        <w:jc w:val="both"/>
        <w:rPr>
          <w:rFonts w:ascii="Arial" w:hAnsi="Arial" w:cs="Arial"/>
          <w:b/>
          <w:i/>
        </w:rPr>
      </w:pPr>
      <w:r w:rsidRPr="00060AE4">
        <w:rPr>
          <w:rFonts w:ascii="Arial" w:hAnsi="Arial" w:cs="Arial"/>
          <w:b/>
          <w:i/>
          <w:u w:val="single"/>
        </w:rPr>
        <w:t>Source :</w:t>
      </w:r>
      <w:r w:rsidRPr="0079785F">
        <w:rPr>
          <w:rFonts w:ascii="Arial" w:hAnsi="Arial" w:cs="Arial"/>
          <w:i/>
        </w:rPr>
        <w:t xml:space="preserve"> </w:t>
      </w:r>
      <w:r w:rsidRPr="00060AE4">
        <w:rPr>
          <w:rFonts w:ascii="Arial" w:hAnsi="Arial" w:cs="Arial"/>
          <w:b/>
          <w:i/>
        </w:rPr>
        <w:t>MINEFID/DGCOOP et DGEP, Juillet</w:t>
      </w:r>
      <w:r w:rsidR="003B114C">
        <w:rPr>
          <w:rFonts w:ascii="Arial" w:hAnsi="Arial" w:cs="Arial"/>
          <w:b/>
          <w:i/>
        </w:rPr>
        <w:t xml:space="preserve"> </w:t>
      </w:r>
      <w:r w:rsidRPr="00060AE4">
        <w:rPr>
          <w:rFonts w:ascii="Arial" w:hAnsi="Arial" w:cs="Arial"/>
          <w:b/>
          <w:i/>
        </w:rPr>
        <w:t>2017</w:t>
      </w:r>
    </w:p>
    <w:p w:rsidR="009A4DF8" w:rsidRDefault="009A4DF8" w:rsidP="009A4DF8">
      <w:pPr>
        <w:jc w:val="both"/>
        <w:rPr>
          <w:rFonts w:ascii="Arial" w:hAnsi="Arial" w:cs="Arial"/>
          <w:bCs/>
          <w:lang w:eastAsia="fr-FR"/>
        </w:rPr>
      </w:pPr>
      <w:r w:rsidRPr="00387F4A">
        <w:rPr>
          <w:rFonts w:ascii="Arial" w:hAnsi="Arial" w:cs="Arial"/>
        </w:rPr>
        <w:t xml:space="preserve">Sur la période 2012-2016, le ratio « APD sur PIB courant » </w:t>
      </w:r>
      <w:r>
        <w:rPr>
          <w:rFonts w:ascii="Arial" w:hAnsi="Arial" w:cs="Arial"/>
        </w:rPr>
        <w:t xml:space="preserve">s’est affiché en </w:t>
      </w:r>
      <w:r w:rsidRPr="00387F4A">
        <w:rPr>
          <w:rFonts w:ascii="Arial" w:hAnsi="Arial" w:cs="Arial"/>
        </w:rPr>
        <w:t xml:space="preserve">moyenne </w:t>
      </w:r>
      <w:r>
        <w:rPr>
          <w:rFonts w:ascii="Arial" w:hAnsi="Arial" w:cs="Arial"/>
        </w:rPr>
        <w:t xml:space="preserve">à </w:t>
      </w:r>
      <w:r>
        <w:rPr>
          <w:rFonts w:ascii="Arial" w:hAnsi="Arial" w:cs="Arial"/>
          <w:bCs/>
          <w:lang w:eastAsia="fr-FR"/>
        </w:rPr>
        <w:t xml:space="preserve">9,67%. Comparé à son niveau de 2015, </w:t>
      </w:r>
      <w:r w:rsidRPr="00387F4A">
        <w:rPr>
          <w:rFonts w:ascii="Arial" w:hAnsi="Arial" w:cs="Arial"/>
        </w:rPr>
        <w:t>le ratio « APD sur PIB courant »</w:t>
      </w:r>
      <w:r>
        <w:rPr>
          <w:rFonts w:ascii="Arial" w:hAnsi="Arial" w:cs="Arial"/>
        </w:rPr>
        <w:t xml:space="preserve"> de l’année 2016</w:t>
      </w:r>
      <w:r w:rsidRPr="00387F4A">
        <w:rPr>
          <w:rFonts w:ascii="Arial" w:hAnsi="Arial" w:cs="Arial"/>
        </w:rPr>
        <w:t xml:space="preserve"> a diminué de 0,48 point de pourcentage</w:t>
      </w:r>
      <w:r>
        <w:rPr>
          <w:rFonts w:ascii="Arial" w:hAnsi="Arial" w:cs="Arial"/>
        </w:rPr>
        <w:t xml:space="preserve"> pour se situé à 9,4%.</w:t>
      </w:r>
    </w:p>
    <w:p w:rsidR="009A4DF8" w:rsidRDefault="009A4DF8" w:rsidP="009A4DF8">
      <w:pPr>
        <w:jc w:val="both"/>
        <w:rPr>
          <w:rFonts w:ascii="Arial" w:hAnsi="Arial" w:cs="Arial"/>
        </w:rPr>
      </w:pPr>
      <w:r>
        <w:rPr>
          <w:rFonts w:ascii="Arial" w:hAnsi="Arial" w:cs="Arial"/>
        </w:rPr>
        <w:t>Quant au ratio</w:t>
      </w:r>
      <w:r w:rsidRPr="00387F4A">
        <w:rPr>
          <w:rFonts w:ascii="Arial" w:hAnsi="Arial" w:cs="Arial"/>
        </w:rPr>
        <w:t xml:space="preserve"> « APD par habitant » </w:t>
      </w:r>
      <w:r>
        <w:rPr>
          <w:rFonts w:ascii="Arial" w:hAnsi="Arial" w:cs="Arial"/>
        </w:rPr>
        <w:t>il a</w:t>
      </w:r>
      <w:r w:rsidRPr="00387F4A">
        <w:rPr>
          <w:rFonts w:ascii="Arial" w:hAnsi="Arial" w:cs="Arial"/>
        </w:rPr>
        <w:t xml:space="preserve"> été en moyenne </w:t>
      </w:r>
      <w:r>
        <w:rPr>
          <w:rFonts w:ascii="Arial" w:hAnsi="Arial" w:cs="Arial"/>
        </w:rPr>
        <w:t>de</w:t>
      </w:r>
      <w:r w:rsidRPr="00387F4A">
        <w:rPr>
          <w:rFonts w:ascii="Arial" w:hAnsi="Arial" w:cs="Arial"/>
        </w:rPr>
        <w:t xml:space="preserve"> </w:t>
      </w:r>
      <w:r>
        <w:rPr>
          <w:rFonts w:ascii="Arial" w:hAnsi="Arial" w:cs="Arial"/>
        </w:rPr>
        <w:t xml:space="preserve">63,85 </w:t>
      </w:r>
      <w:r w:rsidRPr="00387F4A">
        <w:rPr>
          <w:rFonts w:ascii="Arial" w:hAnsi="Arial" w:cs="Arial"/>
        </w:rPr>
        <w:t>dollars US</w:t>
      </w:r>
      <w:r w:rsidRPr="00387F4A" w:rsidDel="007F0C9C">
        <w:rPr>
          <w:rFonts w:ascii="Arial" w:hAnsi="Arial" w:cs="Arial"/>
          <w:bCs/>
          <w:lang w:eastAsia="fr-FR"/>
        </w:rPr>
        <w:t xml:space="preserve"> </w:t>
      </w:r>
      <w:r>
        <w:rPr>
          <w:rFonts w:ascii="Arial" w:hAnsi="Arial" w:cs="Arial"/>
        </w:rPr>
        <w:t xml:space="preserve">sur la période </w:t>
      </w:r>
      <w:r w:rsidRPr="00387F4A">
        <w:rPr>
          <w:rFonts w:ascii="Arial" w:hAnsi="Arial" w:cs="Arial"/>
        </w:rPr>
        <w:t>2012-2016.</w:t>
      </w:r>
      <w:r>
        <w:rPr>
          <w:rFonts w:ascii="Arial" w:hAnsi="Arial" w:cs="Arial"/>
        </w:rPr>
        <w:t xml:space="preserve"> En glissement annuel, il a augmenté</w:t>
      </w:r>
      <w:r w:rsidRPr="00387F4A">
        <w:rPr>
          <w:rFonts w:ascii="Arial" w:hAnsi="Arial" w:cs="Arial"/>
        </w:rPr>
        <w:t xml:space="preserve"> de 0,21 dollar US</w:t>
      </w:r>
      <w:r>
        <w:rPr>
          <w:rFonts w:ascii="Arial" w:hAnsi="Arial" w:cs="Arial"/>
        </w:rPr>
        <w:t xml:space="preserve"> pour se situer à </w:t>
      </w:r>
      <w:r w:rsidRPr="00387F4A">
        <w:rPr>
          <w:rFonts w:ascii="Arial" w:hAnsi="Arial" w:cs="Arial"/>
          <w:bCs/>
          <w:lang w:eastAsia="fr-FR"/>
        </w:rPr>
        <w:t>59,85</w:t>
      </w:r>
      <w:r>
        <w:rPr>
          <w:rFonts w:ascii="Arial" w:hAnsi="Arial" w:cs="Arial"/>
          <w:bCs/>
          <w:lang w:eastAsia="fr-FR"/>
        </w:rPr>
        <w:t xml:space="preserve"> </w:t>
      </w:r>
      <w:r w:rsidRPr="00387F4A">
        <w:rPr>
          <w:rFonts w:ascii="Arial" w:hAnsi="Arial" w:cs="Arial"/>
        </w:rPr>
        <w:t>dollars US</w:t>
      </w:r>
      <w:r>
        <w:rPr>
          <w:rFonts w:ascii="Arial" w:hAnsi="Arial" w:cs="Arial"/>
        </w:rPr>
        <w:t>.</w:t>
      </w:r>
    </w:p>
    <w:p w:rsidR="009A4DF8" w:rsidRPr="00387F4A" w:rsidRDefault="009A4DF8" w:rsidP="009A4DF8">
      <w:pPr>
        <w:jc w:val="both"/>
        <w:rPr>
          <w:rFonts w:ascii="Arial" w:hAnsi="Arial" w:cs="Arial"/>
        </w:rPr>
      </w:pPr>
      <w:r w:rsidRPr="00387F4A">
        <w:rPr>
          <w:rFonts w:ascii="Arial" w:hAnsi="Arial" w:cs="Arial"/>
        </w:rPr>
        <w:t>Ce</w:t>
      </w:r>
      <w:r>
        <w:rPr>
          <w:rFonts w:ascii="Arial" w:hAnsi="Arial" w:cs="Arial"/>
        </w:rPr>
        <w:t xml:space="preserve"> constat</w:t>
      </w:r>
      <w:r w:rsidRPr="00387F4A">
        <w:rPr>
          <w:rFonts w:ascii="Arial" w:hAnsi="Arial" w:cs="Arial"/>
        </w:rPr>
        <w:t xml:space="preserve"> démontre que l’aide publique demeure un outil important de financement du développement du Burkina Faso.</w:t>
      </w:r>
    </w:p>
    <w:p w:rsidR="009A4DF8" w:rsidRPr="00806065" w:rsidRDefault="009A4DF8" w:rsidP="008D7758">
      <w:pPr>
        <w:pStyle w:val="Titre3"/>
        <w:numPr>
          <w:ilvl w:val="0"/>
          <w:numId w:val="120"/>
        </w:numPr>
        <w:ind w:left="993"/>
        <w:rPr>
          <w:lang w:eastAsia="fr-FR"/>
        </w:rPr>
      </w:pPr>
      <w:bookmarkStart w:id="287" w:name="_Toc265008322"/>
      <w:bookmarkStart w:id="288" w:name="_Toc265477845"/>
      <w:bookmarkStart w:id="289" w:name="_Toc300929420"/>
      <w:bookmarkStart w:id="290" w:name="_Toc304446201"/>
      <w:bookmarkStart w:id="291" w:name="_Toc336091052"/>
      <w:bookmarkStart w:id="292" w:name="_Toc368483804"/>
      <w:bookmarkStart w:id="293" w:name="_Toc368779691"/>
      <w:bookmarkStart w:id="294" w:name="_Toc399933255"/>
      <w:bookmarkStart w:id="295" w:name="_Toc400643295"/>
      <w:bookmarkStart w:id="296" w:name="_Toc427009745"/>
      <w:bookmarkStart w:id="297" w:name="_Toc461526804"/>
      <w:bookmarkStart w:id="298" w:name="_Toc461617985"/>
      <w:bookmarkStart w:id="299" w:name="_Toc492972194"/>
      <w:bookmarkStart w:id="300" w:name="_Toc214371573"/>
      <w:bookmarkStart w:id="301" w:name="_Toc245272827"/>
      <w:bookmarkStart w:id="302" w:name="_Toc304393367"/>
      <w:bookmarkStart w:id="303" w:name="_Toc335610132"/>
      <w:bookmarkStart w:id="304" w:name="_Toc368779362"/>
      <w:bookmarkEnd w:id="281"/>
      <w:bookmarkEnd w:id="282"/>
      <w:bookmarkEnd w:id="283"/>
      <w:bookmarkEnd w:id="284"/>
      <w:bookmarkEnd w:id="285"/>
      <w:r w:rsidRPr="00806065">
        <w:rPr>
          <w:lang w:eastAsia="fr-FR"/>
        </w:rPr>
        <w:t xml:space="preserve">La part de l’APD dans le Budget de l’Etat en </w:t>
      </w:r>
      <w:bookmarkEnd w:id="287"/>
      <w:bookmarkEnd w:id="288"/>
      <w:bookmarkEnd w:id="289"/>
      <w:bookmarkEnd w:id="290"/>
      <w:bookmarkEnd w:id="291"/>
      <w:bookmarkEnd w:id="292"/>
      <w:bookmarkEnd w:id="293"/>
      <w:bookmarkEnd w:id="294"/>
      <w:bookmarkEnd w:id="295"/>
      <w:bookmarkEnd w:id="296"/>
      <w:r w:rsidRPr="00806065">
        <w:rPr>
          <w:lang w:eastAsia="fr-FR"/>
        </w:rPr>
        <w:t>201</w:t>
      </w:r>
      <w:bookmarkEnd w:id="297"/>
      <w:bookmarkEnd w:id="298"/>
      <w:r w:rsidRPr="00806065">
        <w:rPr>
          <w:lang w:eastAsia="fr-FR"/>
        </w:rPr>
        <w:t>6</w:t>
      </w:r>
      <w:bookmarkEnd w:id="299"/>
    </w:p>
    <w:p w:rsidR="009A4DF8" w:rsidRDefault="009A4DF8" w:rsidP="008D7758">
      <w:pPr>
        <w:pStyle w:val="Titre4"/>
        <w:numPr>
          <w:ilvl w:val="0"/>
          <w:numId w:val="125"/>
        </w:numPr>
        <w:tabs>
          <w:tab w:val="left" w:pos="993"/>
        </w:tabs>
        <w:ind w:left="2205" w:hanging="220"/>
      </w:pPr>
      <w:bookmarkStart w:id="305" w:name="_Toc492972195"/>
      <w:r w:rsidRPr="00361CC8">
        <w:t>Situation d</w:t>
      </w:r>
      <w:r>
        <w:t xml:space="preserve">’exécution du budget de l’Etat en </w:t>
      </w:r>
      <w:r w:rsidRPr="00361CC8">
        <w:t>2016</w:t>
      </w:r>
      <w:bookmarkEnd w:id="305"/>
      <w:r w:rsidRPr="00361CC8">
        <w:t xml:space="preserve"> </w:t>
      </w:r>
    </w:p>
    <w:p w:rsidR="009A4DF8" w:rsidRPr="00A74658" w:rsidRDefault="009A4DF8" w:rsidP="009A4DF8">
      <w:pPr>
        <w:spacing w:before="120" w:after="120"/>
        <w:jc w:val="both"/>
        <w:rPr>
          <w:rFonts w:ascii="Arial" w:hAnsi="Arial" w:cs="Arial"/>
        </w:rPr>
      </w:pPr>
      <w:r w:rsidRPr="00A74658">
        <w:rPr>
          <w:rFonts w:ascii="Arial" w:hAnsi="Arial" w:cs="Arial"/>
        </w:rPr>
        <w:t xml:space="preserve">Le budget initial de l’Etat, gestion 2016, adopté par la loi N°073-2015/CNT du 06 novembre 2015 portant loi de finances pour l’exécution du budget de l’Etat, gestion 2016 avait été arrêté à </w:t>
      </w:r>
      <w:r w:rsidRPr="004A7A16">
        <w:rPr>
          <w:rFonts w:ascii="Arial" w:hAnsi="Arial" w:cs="Arial"/>
        </w:rPr>
        <w:t xml:space="preserve">1 583,57 </w:t>
      </w:r>
      <w:r w:rsidRPr="00A74658">
        <w:rPr>
          <w:rFonts w:ascii="Arial" w:hAnsi="Arial" w:cs="Arial"/>
        </w:rPr>
        <w:t xml:space="preserve">milliards de FCFA en recettes et à </w:t>
      </w:r>
      <w:r w:rsidRPr="004A7A16">
        <w:rPr>
          <w:rFonts w:ascii="Arial" w:hAnsi="Arial" w:cs="Arial"/>
        </w:rPr>
        <w:t xml:space="preserve">1823,13 milliards </w:t>
      </w:r>
      <w:r w:rsidRPr="00A74658">
        <w:rPr>
          <w:rFonts w:ascii="Arial" w:hAnsi="Arial" w:cs="Arial"/>
        </w:rPr>
        <w:t xml:space="preserve">de FCFA en dépenses, soit un besoin de financement de 239,56 milliards de FCFA. Modifié par la loi de finances rectificative, les prévisions définitives ont été établies à </w:t>
      </w:r>
      <w:r w:rsidRPr="004A7A16">
        <w:rPr>
          <w:rFonts w:ascii="Arial" w:hAnsi="Arial" w:cs="Arial"/>
        </w:rPr>
        <w:t xml:space="preserve">1 945,21 </w:t>
      </w:r>
      <w:r w:rsidRPr="00A74658">
        <w:rPr>
          <w:rFonts w:ascii="Arial" w:hAnsi="Arial" w:cs="Arial"/>
        </w:rPr>
        <w:t>milliards de FCFA en recettes et en dépenses.</w:t>
      </w:r>
    </w:p>
    <w:p w:rsidR="009A4DF8" w:rsidRPr="00A24DED" w:rsidRDefault="009A4DF8" w:rsidP="009A4DF8">
      <w:pPr>
        <w:tabs>
          <w:tab w:val="left" w:pos="990"/>
        </w:tabs>
        <w:spacing w:before="120" w:after="120"/>
        <w:jc w:val="both"/>
        <w:rPr>
          <w:rFonts w:ascii="Arial" w:hAnsi="Arial" w:cs="Arial"/>
        </w:rPr>
      </w:pPr>
      <w:r w:rsidRPr="00060AE4">
        <w:rPr>
          <w:rFonts w:ascii="Arial" w:hAnsi="Arial" w:cs="Arial"/>
        </w:rPr>
        <w:t xml:space="preserve">Pour l’année 2016, les réalisations des recettes </w:t>
      </w:r>
      <w:r>
        <w:rPr>
          <w:rFonts w:ascii="Arial" w:hAnsi="Arial" w:cs="Arial"/>
        </w:rPr>
        <w:t>ordinaires</w:t>
      </w:r>
      <w:r w:rsidRPr="00060AE4">
        <w:rPr>
          <w:rFonts w:ascii="Arial" w:hAnsi="Arial" w:cs="Arial"/>
        </w:rPr>
        <w:t xml:space="preserve"> se sont élevées à 1 216,65 milliards de FCFA, pour une prévision </w:t>
      </w:r>
      <w:r>
        <w:rPr>
          <w:rFonts w:ascii="Arial" w:hAnsi="Arial" w:cs="Arial"/>
        </w:rPr>
        <w:t>définitive</w:t>
      </w:r>
      <w:r w:rsidRPr="00060AE4">
        <w:rPr>
          <w:rFonts w:ascii="Arial" w:hAnsi="Arial" w:cs="Arial"/>
        </w:rPr>
        <w:t xml:space="preserve"> de 1 286,83 milliards de FCFA, soit un taux de réalisation de 94,5%. Le volume des dons s’est, quant à lui</w:t>
      </w:r>
      <w:r>
        <w:rPr>
          <w:rFonts w:ascii="Arial" w:hAnsi="Arial" w:cs="Arial"/>
        </w:rPr>
        <w:t xml:space="preserve"> s’est </w:t>
      </w:r>
      <w:r w:rsidRPr="00060AE4">
        <w:rPr>
          <w:rFonts w:ascii="Arial" w:hAnsi="Arial" w:cs="Arial"/>
        </w:rPr>
        <w:t>chiffré à 166,4 milliards de FCFA contre une prévision définitive de 286,27 milliards de FCFA, soit un taux de réalisation de 58,13%.</w:t>
      </w:r>
    </w:p>
    <w:p w:rsidR="009A4DF8" w:rsidRPr="00850B2F" w:rsidRDefault="009A4DF8" w:rsidP="009A4DF8">
      <w:pPr>
        <w:tabs>
          <w:tab w:val="left" w:pos="990"/>
        </w:tabs>
        <w:spacing w:before="120" w:after="120"/>
        <w:jc w:val="both"/>
        <w:rPr>
          <w:rFonts w:ascii="Arial" w:hAnsi="Arial" w:cs="Arial"/>
        </w:rPr>
      </w:pPr>
      <w:r w:rsidRPr="00060AE4">
        <w:rPr>
          <w:rFonts w:ascii="Arial" w:hAnsi="Arial" w:cs="Arial"/>
        </w:rPr>
        <w:t>En ce qui concerne l’exécution des dépenses, le montant total des engagements s’est établi à 1</w:t>
      </w:r>
      <w:r>
        <w:rPr>
          <w:rFonts w:ascii="Arial" w:hAnsi="Arial" w:cs="Arial"/>
        </w:rPr>
        <w:t xml:space="preserve"> </w:t>
      </w:r>
      <w:r w:rsidRPr="00060AE4">
        <w:rPr>
          <w:rFonts w:ascii="Arial" w:hAnsi="Arial" w:cs="Arial"/>
        </w:rPr>
        <w:t>766,54 milliards de FCFA en 2016, pour une prévision révisée de 1</w:t>
      </w:r>
      <w:r>
        <w:rPr>
          <w:rFonts w:ascii="Arial" w:hAnsi="Arial" w:cs="Arial"/>
        </w:rPr>
        <w:t xml:space="preserve"> </w:t>
      </w:r>
      <w:r w:rsidRPr="00060AE4">
        <w:rPr>
          <w:rFonts w:ascii="Arial" w:hAnsi="Arial" w:cs="Arial"/>
        </w:rPr>
        <w:t>945,21 milliards de FCFA soit un taux d’exécution de 90,81%. Au titre des dépenses d’investissements, le montant des engagements s’est élevé à 494,27 milliards de FCFA réparti entre financements extérieurs et intérieurs pour des montants respectifs de 164,34 milliards de FCFA et 329,92 milliards de FCFA.</w:t>
      </w:r>
    </w:p>
    <w:p w:rsidR="009A4DF8" w:rsidRPr="002C7316" w:rsidRDefault="002C7316" w:rsidP="002C7316">
      <w:pPr>
        <w:pStyle w:val="Lgende"/>
        <w:rPr>
          <w:color w:val="auto"/>
          <w:u w:val="none"/>
        </w:rPr>
      </w:pPr>
      <w:bookmarkStart w:id="306" w:name="_Toc400661782"/>
      <w:bookmarkStart w:id="307" w:name="_Toc400703520"/>
      <w:bookmarkStart w:id="308" w:name="_Toc424705037"/>
      <w:bookmarkStart w:id="309" w:name="_Toc492895478"/>
      <w:bookmarkEnd w:id="269"/>
      <w:bookmarkEnd w:id="300"/>
      <w:bookmarkEnd w:id="301"/>
      <w:bookmarkEnd w:id="302"/>
      <w:bookmarkEnd w:id="303"/>
      <w:bookmarkEnd w:id="304"/>
      <w:r w:rsidRPr="002C7316">
        <w:rPr>
          <w:color w:val="auto"/>
        </w:rPr>
        <w:lastRenderedPageBreak/>
        <w:t xml:space="preserve">Tableau </w:t>
      </w:r>
      <w:r w:rsidRPr="002C7316">
        <w:rPr>
          <w:color w:val="auto"/>
        </w:rPr>
        <w:fldChar w:fldCharType="begin"/>
      </w:r>
      <w:r w:rsidRPr="002C7316">
        <w:rPr>
          <w:color w:val="auto"/>
        </w:rPr>
        <w:instrText xml:space="preserve"> SEQ Tableau \* ARABIC </w:instrText>
      </w:r>
      <w:r w:rsidRPr="002C7316">
        <w:rPr>
          <w:color w:val="auto"/>
        </w:rPr>
        <w:fldChar w:fldCharType="separate"/>
      </w:r>
      <w:r w:rsidR="009A1402">
        <w:rPr>
          <w:noProof/>
          <w:color w:val="auto"/>
        </w:rPr>
        <w:t>10</w:t>
      </w:r>
      <w:r w:rsidRPr="002C7316">
        <w:rPr>
          <w:color w:val="auto"/>
        </w:rPr>
        <w:fldChar w:fldCharType="end"/>
      </w:r>
      <w:r w:rsidRPr="002C7316">
        <w:rPr>
          <w:color w:val="auto"/>
        </w:rPr>
        <w:t> :</w:t>
      </w:r>
      <w:r w:rsidR="009A4DF8" w:rsidRPr="002C7316">
        <w:rPr>
          <w:color w:val="auto"/>
        </w:rPr>
        <w:t xml:space="preserve"> </w:t>
      </w:r>
      <w:r w:rsidR="009A4DF8" w:rsidRPr="002C7316">
        <w:rPr>
          <w:color w:val="auto"/>
          <w:u w:val="none"/>
        </w:rPr>
        <w:t>Situation de prévision et d’exécution du budget de l’Etat, gestion 2016 (en milliards de FCFA)</w:t>
      </w:r>
      <w:bookmarkEnd w:id="306"/>
      <w:bookmarkEnd w:id="307"/>
      <w:bookmarkEnd w:id="308"/>
      <w:bookmarkEnd w:id="309"/>
    </w:p>
    <w:tbl>
      <w:tblPr>
        <w:tblW w:w="9725" w:type="dxa"/>
        <w:tblInd w:w="108" w:type="dxa"/>
        <w:tblLook w:val="04A0" w:firstRow="1" w:lastRow="0" w:firstColumn="1" w:lastColumn="0" w:noHBand="0" w:noVBand="1"/>
      </w:tblPr>
      <w:tblGrid>
        <w:gridCol w:w="3469"/>
        <w:gridCol w:w="1354"/>
        <w:gridCol w:w="1361"/>
        <w:gridCol w:w="1543"/>
        <w:gridCol w:w="1998"/>
      </w:tblGrid>
      <w:tr w:rsidR="009A4DF8" w:rsidRPr="00F7674D" w:rsidTr="002C7316">
        <w:trPr>
          <w:trHeight w:val="631"/>
        </w:trPr>
        <w:tc>
          <w:tcPr>
            <w:tcW w:w="3469" w:type="dxa"/>
            <w:tcBorders>
              <w:top w:val="single" w:sz="8" w:space="0" w:color="auto"/>
              <w:left w:val="single" w:sz="8" w:space="0" w:color="auto"/>
              <w:bottom w:val="nil"/>
              <w:right w:val="single" w:sz="8" w:space="0" w:color="auto"/>
            </w:tcBorders>
            <w:shd w:val="clear" w:color="000000" w:fill="E0E0E0"/>
            <w:vAlign w:val="center"/>
            <w:hideMark/>
          </w:tcPr>
          <w:p w:rsidR="009A4DF8" w:rsidRPr="00F7674D" w:rsidRDefault="009A4DF8" w:rsidP="009A4DF8">
            <w:pPr>
              <w:spacing w:after="0"/>
              <w:jc w:val="center"/>
              <w:rPr>
                <w:rFonts w:asciiTheme="minorHAnsi" w:hAnsiTheme="minorHAnsi" w:cstheme="minorHAnsi"/>
                <w:b/>
                <w:bCs/>
                <w:lang w:val="en-US"/>
              </w:rPr>
            </w:pPr>
            <w:r w:rsidRPr="00F7674D">
              <w:rPr>
                <w:rFonts w:asciiTheme="minorHAnsi" w:hAnsiTheme="minorHAnsi" w:cstheme="minorHAnsi"/>
                <w:b/>
                <w:bCs/>
              </w:rPr>
              <w:t>Budget</w:t>
            </w:r>
          </w:p>
        </w:tc>
        <w:tc>
          <w:tcPr>
            <w:tcW w:w="1354" w:type="dxa"/>
            <w:tcBorders>
              <w:top w:val="single" w:sz="8" w:space="0" w:color="auto"/>
              <w:left w:val="nil"/>
              <w:bottom w:val="nil"/>
              <w:right w:val="single" w:sz="8" w:space="0" w:color="auto"/>
            </w:tcBorders>
            <w:shd w:val="clear" w:color="000000" w:fill="E0E0E0"/>
            <w:vAlign w:val="center"/>
            <w:hideMark/>
          </w:tcPr>
          <w:p w:rsidR="009A4DF8" w:rsidRPr="00F7674D" w:rsidRDefault="009A4DF8" w:rsidP="009A4DF8">
            <w:pPr>
              <w:spacing w:after="0"/>
              <w:jc w:val="center"/>
              <w:rPr>
                <w:rFonts w:asciiTheme="minorHAnsi" w:hAnsiTheme="minorHAnsi" w:cstheme="minorHAnsi"/>
                <w:b/>
                <w:bCs/>
                <w:lang w:val="en-US"/>
              </w:rPr>
            </w:pPr>
            <w:r w:rsidRPr="00F7674D">
              <w:rPr>
                <w:rFonts w:asciiTheme="minorHAnsi" w:hAnsiTheme="minorHAnsi" w:cstheme="minorHAnsi"/>
                <w:b/>
                <w:bCs/>
              </w:rPr>
              <w:t>Prévisions initiales</w:t>
            </w:r>
          </w:p>
        </w:tc>
        <w:tc>
          <w:tcPr>
            <w:tcW w:w="1361" w:type="dxa"/>
            <w:tcBorders>
              <w:top w:val="single" w:sz="8" w:space="0" w:color="auto"/>
              <w:left w:val="nil"/>
              <w:bottom w:val="nil"/>
              <w:right w:val="single" w:sz="8" w:space="0" w:color="auto"/>
            </w:tcBorders>
            <w:shd w:val="clear" w:color="000000" w:fill="E0E0E0"/>
            <w:vAlign w:val="center"/>
            <w:hideMark/>
          </w:tcPr>
          <w:p w:rsidR="009A4DF8" w:rsidRPr="00F7674D" w:rsidRDefault="009A4DF8" w:rsidP="009A4DF8">
            <w:pPr>
              <w:spacing w:after="0"/>
              <w:jc w:val="center"/>
              <w:rPr>
                <w:rFonts w:asciiTheme="minorHAnsi" w:hAnsiTheme="minorHAnsi" w:cstheme="minorHAnsi"/>
                <w:b/>
                <w:bCs/>
                <w:lang w:val="en-US"/>
              </w:rPr>
            </w:pPr>
            <w:r w:rsidRPr="00F7674D">
              <w:rPr>
                <w:rFonts w:asciiTheme="minorHAnsi" w:hAnsiTheme="minorHAnsi" w:cstheme="minorHAnsi"/>
                <w:b/>
                <w:bCs/>
              </w:rPr>
              <w:t xml:space="preserve">Prévisions définitives </w:t>
            </w:r>
          </w:p>
        </w:tc>
        <w:tc>
          <w:tcPr>
            <w:tcW w:w="1543" w:type="dxa"/>
            <w:tcBorders>
              <w:top w:val="single" w:sz="8" w:space="0" w:color="auto"/>
              <w:left w:val="nil"/>
              <w:bottom w:val="nil"/>
              <w:right w:val="single" w:sz="8" w:space="0" w:color="auto"/>
            </w:tcBorders>
            <w:shd w:val="clear" w:color="000000" w:fill="E0E0E0"/>
            <w:noWrap/>
            <w:vAlign w:val="center"/>
            <w:hideMark/>
          </w:tcPr>
          <w:p w:rsidR="009A4DF8" w:rsidRPr="00F7674D" w:rsidRDefault="009A4DF8" w:rsidP="009A4DF8">
            <w:pPr>
              <w:spacing w:after="0"/>
              <w:rPr>
                <w:rFonts w:asciiTheme="minorHAnsi" w:hAnsiTheme="minorHAnsi" w:cstheme="minorHAnsi"/>
                <w:b/>
                <w:bCs/>
                <w:lang w:val="en-US"/>
              </w:rPr>
            </w:pPr>
            <w:r w:rsidRPr="00F7674D">
              <w:rPr>
                <w:rFonts w:asciiTheme="minorHAnsi" w:hAnsiTheme="minorHAnsi" w:cstheme="minorHAnsi"/>
                <w:b/>
                <w:bCs/>
              </w:rPr>
              <w:t>Réalisations</w:t>
            </w:r>
          </w:p>
        </w:tc>
        <w:tc>
          <w:tcPr>
            <w:tcW w:w="1998" w:type="dxa"/>
            <w:tcBorders>
              <w:top w:val="single" w:sz="8" w:space="0" w:color="auto"/>
              <w:left w:val="nil"/>
              <w:bottom w:val="nil"/>
              <w:right w:val="single" w:sz="8" w:space="0" w:color="auto"/>
            </w:tcBorders>
            <w:shd w:val="clear" w:color="000000" w:fill="E0E0E0"/>
            <w:vAlign w:val="center"/>
            <w:hideMark/>
          </w:tcPr>
          <w:p w:rsidR="009A4DF8" w:rsidRPr="00F7674D" w:rsidRDefault="009A4DF8" w:rsidP="009A4DF8">
            <w:pPr>
              <w:spacing w:after="0"/>
              <w:rPr>
                <w:rFonts w:asciiTheme="minorHAnsi" w:hAnsiTheme="minorHAnsi" w:cstheme="minorHAnsi"/>
                <w:b/>
                <w:bCs/>
                <w:lang w:val="en-US"/>
              </w:rPr>
            </w:pPr>
            <w:r w:rsidRPr="00F7674D">
              <w:rPr>
                <w:rFonts w:asciiTheme="minorHAnsi" w:hAnsiTheme="minorHAnsi" w:cstheme="minorHAnsi"/>
                <w:b/>
                <w:bCs/>
              </w:rPr>
              <w:t>Taux de réalisation</w:t>
            </w:r>
          </w:p>
        </w:tc>
      </w:tr>
      <w:tr w:rsidR="009A4DF8" w:rsidRPr="00F7674D" w:rsidTr="002C7316">
        <w:trPr>
          <w:trHeight w:val="315"/>
        </w:trPr>
        <w:tc>
          <w:tcPr>
            <w:tcW w:w="346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A4DF8" w:rsidRPr="00F7674D" w:rsidRDefault="009A4DF8" w:rsidP="009A4DF8">
            <w:pPr>
              <w:spacing w:after="0"/>
              <w:rPr>
                <w:rFonts w:asciiTheme="minorHAnsi" w:hAnsiTheme="minorHAnsi" w:cstheme="minorHAnsi"/>
                <w:b/>
                <w:bCs/>
                <w:lang w:val="en-US"/>
              </w:rPr>
            </w:pPr>
            <w:r w:rsidRPr="00F7674D">
              <w:rPr>
                <w:rFonts w:asciiTheme="minorHAnsi" w:hAnsiTheme="minorHAnsi" w:cstheme="minorHAnsi"/>
                <w:b/>
                <w:bCs/>
              </w:rPr>
              <w:t>Recettes</w:t>
            </w:r>
          </w:p>
        </w:tc>
        <w:tc>
          <w:tcPr>
            <w:tcW w:w="1354" w:type="dxa"/>
            <w:tcBorders>
              <w:top w:val="single" w:sz="4" w:space="0" w:color="auto"/>
              <w:left w:val="nil"/>
              <w:bottom w:val="single" w:sz="4" w:space="0" w:color="auto"/>
              <w:right w:val="single" w:sz="4"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1583,57</w:t>
            </w:r>
          </w:p>
        </w:tc>
        <w:tc>
          <w:tcPr>
            <w:tcW w:w="1361" w:type="dxa"/>
            <w:tcBorders>
              <w:top w:val="single" w:sz="4" w:space="0" w:color="auto"/>
              <w:left w:val="nil"/>
              <w:bottom w:val="single" w:sz="4" w:space="0" w:color="auto"/>
              <w:right w:val="single" w:sz="4"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1 945,21</w:t>
            </w:r>
          </w:p>
        </w:tc>
        <w:tc>
          <w:tcPr>
            <w:tcW w:w="1543" w:type="dxa"/>
            <w:tcBorders>
              <w:top w:val="single" w:sz="4" w:space="0" w:color="auto"/>
              <w:left w:val="nil"/>
              <w:bottom w:val="single" w:sz="4" w:space="0" w:color="auto"/>
              <w:right w:val="single" w:sz="4"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1 704,78</w:t>
            </w:r>
          </w:p>
        </w:tc>
        <w:tc>
          <w:tcPr>
            <w:tcW w:w="1998" w:type="dxa"/>
            <w:tcBorders>
              <w:top w:val="single" w:sz="4" w:space="0" w:color="auto"/>
              <w:left w:val="nil"/>
              <w:bottom w:val="single" w:sz="4" w:space="0" w:color="auto"/>
              <w:right w:val="single" w:sz="4"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87,64%</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b/>
                <w:bCs/>
                <w:lang w:val="en-US"/>
              </w:rPr>
            </w:pPr>
            <w:r w:rsidRPr="00F7674D">
              <w:rPr>
                <w:rFonts w:asciiTheme="minorHAnsi" w:hAnsiTheme="minorHAnsi" w:cstheme="minorHAnsi"/>
                <w:b/>
                <w:bCs/>
              </w:rPr>
              <w:t xml:space="preserve">  Recettes ordinaires</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1182,9</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1286,833</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1 216,65</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94,55%</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b/>
                <w:bCs/>
                <w:lang w:val="en-US"/>
              </w:rPr>
            </w:pPr>
            <w:r w:rsidRPr="00F7674D">
              <w:rPr>
                <w:rFonts w:asciiTheme="minorHAnsi" w:hAnsiTheme="minorHAnsi" w:cstheme="minorHAnsi"/>
                <w:b/>
                <w:bCs/>
              </w:rPr>
              <w:t xml:space="preserve">  Recettes extraordinaires</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400,67</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658,38</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488,13</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74,14%</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lang w:val="en-US"/>
              </w:rPr>
            </w:pPr>
            <w:r w:rsidRPr="00F7674D">
              <w:rPr>
                <w:rFonts w:asciiTheme="minorHAnsi" w:hAnsiTheme="minorHAnsi" w:cstheme="minorHAnsi"/>
              </w:rPr>
              <w:t xml:space="preserve">        Dons</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lang w:val="en-US"/>
              </w:rPr>
              <w:t>213,77</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286,27</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166,4</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58,13%</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lang w:val="en-US"/>
              </w:rPr>
            </w:pPr>
            <w:r w:rsidRPr="00F7674D">
              <w:rPr>
                <w:rFonts w:asciiTheme="minorHAnsi" w:hAnsiTheme="minorHAnsi" w:cstheme="minorHAnsi"/>
              </w:rPr>
              <w:t xml:space="preserve">        Emprunts</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lang w:val="en-US"/>
              </w:rPr>
              <w:t>186,9</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372,11</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321,73</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86,46%</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i/>
                <w:iCs/>
                <w:lang w:val="en-US"/>
              </w:rPr>
            </w:pPr>
            <w:r w:rsidRPr="00F7674D">
              <w:rPr>
                <w:rFonts w:asciiTheme="minorHAnsi" w:hAnsiTheme="minorHAnsi" w:cstheme="minorHAnsi"/>
                <w:i/>
                <w:iCs/>
              </w:rPr>
              <w:t xml:space="preserve">        Dont Emprunts obligataires</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 </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165</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165</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100,00%</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b/>
                <w:bCs/>
                <w:lang w:val="en-US"/>
              </w:rPr>
            </w:pPr>
            <w:r w:rsidRPr="00F7674D">
              <w:rPr>
                <w:rFonts w:asciiTheme="minorHAnsi" w:hAnsiTheme="minorHAnsi" w:cstheme="minorHAnsi"/>
                <w:b/>
                <w:bCs/>
              </w:rPr>
              <w:t>Dépenses</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b/>
                <w:bCs/>
                <w:i/>
                <w:iCs/>
                <w:lang w:val="en-US"/>
              </w:rPr>
            </w:pPr>
            <w:r w:rsidRPr="00F7674D">
              <w:rPr>
                <w:rFonts w:asciiTheme="minorHAnsi" w:hAnsiTheme="minorHAnsi" w:cstheme="minorHAnsi"/>
                <w:b/>
                <w:bCs/>
                <w:i/>
                <w:iCs/>
              </w:rPr>
              <w:t>1823,13</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i/>
                <w:iCs/>
                <w:lang w:val="en-US"/>
              </w:rPr>
            </w:pPr>
            <w:r w:rsidRPr="00F7674D">
              <w:rPr>
                <w:rFonts w:asciiTheme="minorHAnsi" w:hAnsiTheme="minorHAnsi" w:cstheme="minorHAnsi"/>
                <w:b/>
                <w:bCs/>
                <w:i/>
                <w:iCs/>
              </w:rPr>
              <w:t>1945,21</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i/>
                <w:iCs/>
                <w:lang w:val="en-US"/>
              </w:rPr>
            </w:pPr>
            <w:r w:rsidRPr="00F7674D">
              <w:rPr>
                <w:rFonts w:asciiTheme="minorHAnsi" w:hAnsiTheme="minorHAnsi" w:cstheme="minorHAnsi"/>
                <w:b/>
                <w:bCs/>
                <w:i/>
                <w:iCs/>
              </w:rPr>
              <w:t>1766,54</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90,81%</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b/>
                <w:bCs/>
                <w:lang w:val="en-US"/>
              </w:rPr>
            </w:pPr>
            <w:r w:rsidRPr="00F7674D">
              <w:rPr>
                <w:rFonts w:asciiTheme="minorHAnsi" w:hAnsiTheme="minorHAnsi" w:cstheme="minorHAnsi"/>
                <w:b/>
                <w:bCs/>
              </w:rPr>
              <w:t xml:space="preserve">  Dépenses courantes</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b/>
                <w:bCs/>
                <w:i/>
                <w:iCs/>
                <w:lang w:val="en-US"/>
              </w:rPr>
            </w:pPr>
            <w:r w:rsidRPr="00F7674D">
              <w:rPr>
                <w:rFonts w:asciiTheme="minorHAnsi" w:hAnsiTheme="minorHAnsi" w:cstheme="minorHAnsi"/>
                <w:b/>
                <w:bCs/>
                <w:i/>
                <w:iCs/>
                <w:lang w:val="en-US"/>
              </w:rPr>
              <w:t>1120,62</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i/>
                <w:iCs/>
                <w:lang w:val="en-US"/>
              </w:rPr>
            </w:pPr>
            <w:r w:rsidRPr="00F7674D">
              <w:rPr>
                <w:rFonts w:asciiTheme="minorHAnsi" w:hAnsiTheme="minorHAnsi" w:cstheme="minorHAnsi"/>
                <w:b/>
                <w:bCs/>
                <w:i/>
                <w:iCs/>
              </w:rPr>
              <w:t>1227,24</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i/>
                <w:iCs/>
                <w:lang w:val="en-US"/>
              </w:rPr>
            </w:pPr>
            <w:r w:rsidRPr="00F7674D">
              <w:rPr>
                <w:rFonts w:asciiTheme="minorHAnsi" w:hAnsiTheme="minorHAnsi" w:cstheme="minorHAnsi"/>
                <w:b/>
                <w:bCs/>
                <w:i/>
                <w:iCs/>
              </w:rPr>
              <w:t>1265,28</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103,10%</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b/>
                <w:bCs/>
                <w:lang w:val="en-US"/>
              </w:rPr>
            </w:pPr>
            <w:r w:rsidRPr="00F7674D">
              <w:rPr>
                <w:rFonts w:asciiTheme="minorHAnsi" w:hAnsiTheme="minorHAnsi" w:cstheme="minorHAnsi"/>
                <w:b/>
                <w:bCs/>
              </w:rPr>
              <w:t xml:space="preserve">  Dépenses en capital</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702,51</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717,97</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501,25</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69,82%</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lang w:val="en-US"/>
              </w:rPr>
            </w:pPr>
            <w:r w:rsidRPr="00F7674D">
              <w:rPr>
                <w:rFonts w:asciiTheme="minorHAnsi" w:hAnsiTheme="minorHAnsi" w:cstheme="minorHAnsi"/>
              </w:rPr>
              <w:t>Investissements exécutés par l'Etat</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695,01</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710,47</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494,27</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69,57%</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i/>
                <w:iCs/>
                <w:lang w:val="en-US"/>
              </w:rPr>
            </w:pPr>
            <w:r w:rsidRPr="00F7674D">
              <w:rPr>
                <w:rFonts w:asciiTheme="minorHAnsi" w:hAnsiTheme="minorHAnsi" w:cstheme="minorHAnsi"/>
                <w:i/>
                <w:iCs/>
              </w:rPr>
              <w:t>Etat</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i/>
                <w:iCs/>
                <w:lang w:val="en-US"/>
              </w:rPr>
            </w:pPr>
            <w:r w:rsidRPr="00F7674D">
              <w:rPr>
                <w:rFonts w:asciiTheme="minorHAnsi" w:hAnsiTheme="minorHAnsi" w:cstheme="minorHAnsi"/>
                <w:i/>
                <w:iCs/>
                <w:lang w:val="en-US"/>
              </w:rPr>
              <w:t>294,34</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i/>
                <w:iCs/>
                <w:lang w:val="en-US"/>
              </w:rPr>
            </w:pPr>
            <w:r w:rsidRPr="00F7674D">
              <w:rPr>
                <w:rFonts w:asciiTheme="minorHAnsi" w:hAnsiTheme="minorHAnsi" w:cstheme="minorHAnsi"/>
                <w:i/>
                <w:iCs/>
              </w:rPr>
              <w:t>355,39</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i/>
                <w:iCs/>
                <w:lang w:val="en-US"/>
              </w:rPr>
            </w:pPr>
            <w:r w:rsidRPr="00F7674D">
              <w:rPr>
                <w:rFonts w:asciiTheme="minorHAnsi" w:hAnsiTheme="minorHAnsi" w:cstheme="minorHAnsi"/>
                <w:i/>
                <w:iCs/>
              </w:rPr>
              <w:t>329,92</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92,83%</w:t>
            </w:r>
          </w:p>
        </w:tc>
      </w:tr>
      <w:tr w:rsidR="009A4DF8" w:rsidRPr="00F7674D" w:rsidTr="002C7316">
        <w:trPr>
          <w:trHeight w:val="646"/>
        </w:trPr>
        <w:tc>
          <w:tcPr>
            <w:tcW w:w="3469" w:type="dxa"/>
            <w:tcBorders>
              <w:top w:val="nil"/>
              <w:left w:val="single" w:sz="8" w:space="0" w:color="auto"/>
              <w:bottom w:val="single" w:sz="8" w:space="0" w:color="auto"/>
              <w:right w:val="single" w:sz="8" w:space="0" w:color="auto"/>
            </w:tcBorders>
            <w:shd w:val="clear" w:color="000000" w:fill="FFFFFF"/>
            <w:vAlign w:val="center"/>
            <w:hideMark/>
          </w:tcPr>
          <w:p w:rsidR="009A4DF8" w:rsidRPr="00F7674D" w:rsidRDefault="009A4DF8" w:rsidP="009A4DF8">
            <w:pPr>
              <w:spacing w:after="0"/>
              <w:rPr>
                <w:rFonts w:asciiTheme="minorHAnsi" w:hAnsiTheme="minorHAnsi" w:cstheme="minorHAnsi"/>
                <w:i/>
                <w:iCs/>
                <w:lang w:val="fr-CI"/>
              </w:rPr>
            </w:pPr>
            <w:r w:rsidRPr="00F7674D">
              <w:rPr>
                <w:rFonts w:asciiTheme="minorHAnsi" w:hAnsiTheme="minorHAnsi" w:cstheme="minorHAnsi"/>
                <w:i/>
                <w:iCs/>
              </w:rPr>
              <w:t>Financement extérieur (subventions et prêts projets)</w:t>
            </w:r>
          </w:p>
        </w:tc>
        <w:tc>
          <w:tcPr>
            <w:tcW w:w="1354" w:type="dxa"/>
            <w:tcBorders>
              <w:top w:val="nil"/>
              <w:left w:val="nil"/>
              <w:bottom w:val="single" w:sz="8" w:space="0" w:color="auto"/>
              <w:right w:val="single" w:sz="8" w:space="0" w:color="auto"/>
            </w:tcBorders>
            <w:shd w:val="clear" w:color="000000" w:fill="FFFFFF"/>
            <w:vAlign w:val="center"/>
            <w:hideMark/>
          </w:tcPr>
          <w:p w:rsidR="009A4DF8" w:rsidRPr="00F7674D" w:rsidRDefault="009A4DF8" w:rsidP="009A4DF8">
            <w:pPr>
              <w:spacing w:after="0"/>
              <w:jc w:val="right"/>
              <w:rPr>
                <w:rFonts w:asciiTheme="minorHAnsi" w:hAnsiTheme="minorHAnsi" w:cstheme="minorHAnsi"/>
                <w:i/>
                <w:iCs/>
                <w:lang w:val="en-US"/>
              </w:rPr>
            </w:pPr>
            <w:r w:rsidRPr="00F7674D">
              <w:rPr>
                <w:rFonts w:asciiTheme="minorHAnsi" w:hAnsiTheme="minorHAnsi" w:cstheme="minorHAnsi"/>
                <w:i/>
                <w:iCs/>
              </w:rPr>
              <w:t>400,67</w:t>
            </w:r>
          </w:p>
        </w:tc>
        <w:tc>
          <w:tcPr>
            <w:tcW w:w="1361"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i/>
                <w:iCs/>
                <w:lang w:val="en-US"/>
              </w:rPr>
            </w:pPr>
            <w:r w:rsidRPr="00F7674D">
              <w:rPr>
                <w:rFonts w:asciiTheme="minorHAnsi" w:hAnsiTheme="minorHAnsi" w:cstheme="minorHAnsi"/>
                <w:i/>
                <w:iCs/>
              </w:rPr>
              <w:t>355,08</w:t>
            </w:r>
          </w:p>
        </w:tc>
        <w:tc>
          <w:tcPr>
            <w:tcW w:w="1543"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i/>
                <w:iCs/>
                <w:lang w:val="en-US"/>
              </w:rPr>
            </w:pPr>
            <w:r w:rsidRPr="00F7674D">
              <w:rPr>
                <w:rFonts w:asciiTheme="minorHAnsi" w:hAnsiTheme="minorHAnsi" w:cstheme="minorHAnsi"/>
                <w:i/>
                <w:iCs/>
              </w:rPr>
              <w:t>164,34</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46,28%</w:t>
            </w:r>
          </w:p>
        </w:tc>
      </w:tr>
      <w:tr w:rsidR="009A4DF8" w:rsidRPr="00F7674D" w:rsidTr="002C7316">
        <w:trPr>
          <w:trHeight w:val="330"/>
        </w:trPr>
        <w:tc>
          <w:tcPr>
            <w:tcW w:w="3469" w:type="dxa"/>
            <w:tcBorders>
              <w:top w:val="nil"/>
              <w:left w:val="single" w:sz="8" w:space="0" w:color="auto"/>
              <w:bottom w:val="single" w:sz="8" w:space="0" w:color="auto"/>
              <w:right w:val="single" w:sz="8" w:space="0" w:color="auto"/>
            </w:tcBorders>
            <w:shd w:val="clear" w:color="auto" w:fill="auto"/>
            <w:vAlign w:val="center"/>
            <w:hideMark/>
          </w:tcPr>
          <w:p w:rsidR="009A4DF8" w:rsidRPr="00F7674D" w:rsidRDefault="009A4DF8" w:rsidP="009A4DF8">
            <w:pPr>
              <w:spacing w:after="0"/>
              <w:rPr>
                <w:rFonts w:asciiTheme="minorHAnsi" w:hAnsiTheme="minorHAnsi" w:cstheme="minorHAnsi"/>
                <w:lang w:val="en-US"/>
              </w:rPr>
            </w:pPr>
            <w:r w:rsidRPr="00F7674D">
              <w:rPr>
                <w:rFonts w:asciiTheme="minorHAnsi" w:hAnsiTheme="minorHAnsi" w:cstheme="minorHAnsi"/>
              </w:rPr>
              <w:t>Transfert en capital</w:t>
            </w:r>
          </w:p>
        </w:tc>
        <w:tc>
          <w:tcPr>
            <w:tcW w:w="1354" w:type="dxa"/>
            <w:tcBorders>
              <w:top w:val="nil"/>
              <w:left w:val="nil"/>
              <w:bottom w:val="single" w:sz="8" w:space="0" w:color="auto"/>
              <w:right w:val="single" w:sz="8" w:space="0" w:color="auto"/>
            </w:tcBorders>
            <w:shd w:val="clear" w:color="auto" w:fill="auto"/>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7,5</w:t>
            </w:r>
          </w:p>
        </w:tc>
        <w:tc>
          <w:tcPr>
            <w:tcW w:w="1361" w:type="dxa"/>
            <w:tcBorders>
              <w:top w:val="nil"/>
              <w:left w:val="nil"/>
              <w:bottom w:val="single" w:sz="8" w:space="0" w:color="auto"/>
              <w:right w:val="single" w:sz="8" w:space="0" w:color="auto"/>
            </w:tcBorders>
            <w:shd w:val="clear" w:color="auto" w:fill="auto"/>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7,5</w:t>
            </w:r>
          </w:p>
        </w:tc>
        <w:tc>
          <w:tcPr>
            <w:tcW w:w="1543" w:type="dxa"/>
            <w:tcBorders>
              <w:top w:val="nil"/>
              <w:left w:val="nil"/>
              <w:bottom w:val="single" w:sz="8" w:space="0" w:color="auto"/>
              <w:right w:val="single" w:sz="8" w:space="0" w:color="auto"/>
            </w:tcBorders>
            <w:shd w:val="clear" w:color="auto" w:fill="auto"/>
            <w:noWrap/>
            <w:vAlign w:val="center"/>
            <w:hideMark/>
          </w:tcPr>
          <w:p w:rsidR="009A4DF8" w:rsidRPr="00F7674D" w:rsidRDefault="009A4DF8" w:rsidP="009A4DF8">
            <w:pPr>
              <w:spacing w:after="0"/>
              <w:jc w:val="right"/>
              <w:rPr>
                <w:rFonts w:asciiTheme="minorHAnsi" w:hAnsiTheme="minorHAnsi" w:cstheme="minorHAnsi"/>
                <w:lang w:val="en-US"/>
              </w:rPr>
            </w:pPr>
            <w:r w:rsidRPr="00F7674D">
              <w:rPr>
                <w:rFonts w:asciiTheme="minorHAnsi" w:hAnsiTheme="minorHAnsi" w:cstheme="minorHAnsi"/>
              </w:rPr>
              <w:t>6,99</w:t>
            </w:r>
          </w:p>
        </w:tc>
        <w:tc>
          <w:tcPr>
            <w:tcW w:w="1998" w:type="dxa"/>
            <w:tcBorders>
              <w:top w:val="nil"/>
              <w:left w:val="nil"/>
              <w:bottom w:val="single" w:sz="8" w:space="0" w:color="auto"/>
              <w:right w:val="single" w:sz="8" w:space="0" w:color="auto"/>
            </w:tcBorders>
            <w:shd w:val="clear" w:color="000000" w:fill="FFFFFF"/>
            <w:noWrap/>
            <w:vAlign w:val="center"/>
            <w:hideMark/>
          </w:tcPr>
          <w:p w:rsidR="009A4DF8" w:rsidRPr="00F7674D" w:rsidRDefault="009A4DF8" w:rsidP="009A4DF8">
            <w:pPr>
              <w:spacing w:after="0"/>
              <w:jc w:val="right"/>
              <w:rPr>
                <w:rFonts w:asciiTheme="minorHAnsi" w:hAnsiTheme="minorHAnsi" w:cstheme="minorHAnsi"/>
                <w:b/>
                <w:bCs/>
                <w:lang w:val="en-US"/>
              </w:rPr>
            </w:pPr>
            <w:r w:rsidRPr="00F7674D">
              <w:rPr>
                <w:rFonts w:asciiTheme="minorHAnsi" w:hAnsiTheme="minorHAnsi" w:cstheme="minorHAnsi"/>
                <w:b/>
                <w:bCs/>
              </w:rPr>
              <w:t>93,18%</w:t>
            </w:r>
          </w:p>
        </w:tc>
      </w:tr>
    </w:tbl>
    <w:p w:rsidR="00AD6496" w:rsidRPr="00F7674D" w:rsidRDefault="009A4DF8" w:rsidP="00243045">
      <w:pPr>
        <w:rPr>
          <w:rFonts w:ascii="Arial" w:hAnsi="Arial" w:cs="Arial"/>
          <w:i/>
          <w:color w:val="000000" w:themeColor="text1"/>
          <w:sz w:val="20"/>
          <w:szCs w:val="20"/>
        </w:rPr>
      </w:pPr>
      <w:r w:rsidRPr="00F7674D">
        <w:rPr>
          <w:rFonts w:ascii="Arial" w:hAnsi="Arial" w:cs="Arial"/>
          <w:b/>
          <w:i/>
          <w:color w:val="000000" w:themeColor="text1"/>
          <w:sz w:val="20"/>
          <w:szCs w:val="20"/>
          <w:u w:val="single"/>
        </w:rPr>
        <w:t xml:space="preserve">Source : </w:t>
      </w:r>
      <w:r w:rsidRPr="00F7674D">
        <w:rPr>
          <w:rFonts w:ascii="Arial" w:hAnsi="Arial" w:cs="Arial"/>
          <w:i/>
          <w:color w:val="000000" w:themeColor="text1"/>
          <w:sz w:val="20"/>
          <w:szCs w:val="20"/>
        </w:rPr>
        <w:t>MINEFID/DGB, Juillet 2017</w:t>
      </w:r>
    </w:p>
    <w:p w:rsidR="009A4DF8" w:rsidRPr="00243045" w:rsidRDefault="009A4DF8" w:rsidP="008D7758">
      <w:pPr>
        <w:pStyle w:val="Titre4"/>
        <w:numPr>
          <w:ilvl w:val="0"/>
          <w:numId w:val="125"/>
        </w:numPr>
        <w:tabs>
          <w:tab w:val="left" w:pos="993"/>
        </w:tabs>
        <w:ind w:left="2205" w:hanging="220"/>
      </w:pPr>
      <w:bookmarkStart w:id="310" w:name="_Toc492972196"/>
      <w:r w:rsidRPr="00243045">
        <w:t>Situation d’exécution des contreparties nationales en 2016</w:t>
      </w:r>
      <w:bookmarkEnd w:id="310"/>
      <w:r w:rsidRPr="00243045">
        <w:t xml:space="preserve">  </w:t>
      </w:r>
    </w:p>
    <w:p w:rsidR="009A4DF8" w:rsidRPr="00983259" w:rsidRDefault="009A4DF8" w:rsidP="009A4DF8">
      <w:pPr>
        <w:spacing w:before="120" w:after="120" w:line="360" w:lineRule="auto"/>
        <w:jc w:val="both"/>
        <w:rPr>
          <w:rFonts w:ascii="Arial" w:hAnsi="Arial" w:cs="Arial"/>
          <w:szCs w:val="24"/>
        </w:rPr>
      </w:pPr>
      <w:r w:rsidRPr="00983259">
        <w:rPr>
          <w:rFonts w:ascii="Arial" w:hAnsi="Arial" w:cs="Arial"/>
          <w:szCs w:val="24"/>
        </w:rPr>
        <w:t>Au titre des contreparties nationales, un montant de 23 793 952 590 FCFA a été engagé</w:t>
      </w:r>
      <w:r>
        <w:rPr>
          <w:rFonts w:ascii="Arial" w:hAnsi="Arial" w:cs="Arial"/>
          <w:szCs w:val="24"/>
        </w:rPr>
        <w:t xml:space="preserve"> </w:t>
      </w:r>
      <w:r w:rsidRPr="00983259">
        <w:rPr>
          <w:rFonts w:ascii="Arial" w:hAnsi="Arial" w:cs="Arial"/>
          <w:szCs w:val="24"/>
        </w:rPr>
        <w:t>au cours de l’exercice 2016</w:t>
      </w:r>
      <w:r>
        <w:rPr>
          <w:rFonts w:ascii="Arial" w:hAnsi="Arial" w:cs="Arial"/>
          <w:szCs w:val="24"/>
        </w:rPr>
        <w:t xml:space="preserve"> </w:t>
      </w:r>
      <w:r w:rsidRPr="00983259">
        <w:rPr>
          <w:rFonts w:ascii="Arial" w:hAnsi="Arial" w:cs="Arial"/>
          <w:szCs w:val="24"/>
        </w:rPr>
        <w:t>sur une dotation révisée de 39 275 316 000 FCFA, soit un taux d’exécution de 61%.</w:t>
      </w:r>
    </w:p>
    <w:p w:rsidR="009A4DF8" w:rsidRPr="00983259" w:rsidRDefault="009A4DF8" w:rsidP="009A4DF8">
      <w:pPr>
        <w:spacing w:before="120" w:after="120" w:line="360" w:lineRule="auto"/>
        <w:jc w:val="both"/>
        <w:rPr>
          <w:rFonts w:ascii="Arial" w:hAnsi="Arial" w:cs="Arial"/>
          <w:szCs w:val="24"/>
        </w:rPr>
      </w:pPr>
      <w:r w:rsidRPr="00983259">
        <w:rPr>
          <w:rFonts w:ascii="Arial" w:hAnsi="Arial" w:cs="Arial"/>
          <w:szCs w:val="24"/>
        </w:rPr>
        <w:t xml:space="preserve">L’analyse du taux d’absorption des contreparties nationales par ministère et institution fait ressortir que six (06) ministères ont enregistré des taux d’exécution inférieurs à 50%. Il s’agit : </w:t>
      </w:r>
    </w:p>
    <w:p w:rsidR="009A4DF8" w:rsidRPr="00983259" w:rsidRDefault="009A4DF8" w:rsidP="00B92B11">
      <w:pPr>
        <w:pStyle w:val="Paragraphedeliste"/>
        <w:numPr>
          <w:ilvl w:val="0"/>
          <w:numId w:val="76"/>
        </w:numPr>
        <w:spacing w:before="120" w:after="120" w:line="360" w:lineRule="auto"/>
        <w:jc w:val="both"/>
        <w:rPr>
          <w:rFonts w:ascii="Arial" w:hAnsi="Arial" w:cs="Arial"/>
          <w:szCs w:val="24"/>
        </w:rPr>
      </w:pPr>
      <w:r w:rsidRPr="00983259">
        <w:rPr>
          <w:rFonts w:ascii="Arial" w:hAnsi="Arial" w:cs="Arial"/>
          <w:szCs w:val="24"/>
        </w:rPr>
        <w:t>du Ministère de l'Economie des Finances et du Développement (MENIFID) avec 15% ;</w:t>
      </w:r>
    </w:p>
    <w:p w:rsidR="009A4DF8" w:rsidRPr="00983259" w:rsidRDefault="009A4DF8" w:rsidP="00B92B11">
      <w:pPr>
        <w:pStyle w:val="Paragraphedeliste"/>
        <w:numPr>
          <w:ilvl w:val="0"/>
          <w:numId w:val="76"/>
        </w:numPr>
        <w:spacing w:before="120" w:after="120" w:line="360" w:lineRule="auto"/>
        <w:jc w:val="both"/>
        <w:rPr>
          <w:rFonts w:ascii="Arial" w:hAnsi="Arial" w:cs="Arial"/>
          <w:szCs w:val="24"/>
        </w:rPr>
      </w:pPr>
      <w:r w:rsidRPr="00983259">
        <w:rPr>
          <w:rFonts w:ascii="Arial" w:hAnsi="Arial" w:cs="Arial"/>
          <w:szCs w:val="24"/>
        </w:rPr>
        <w:t xml:space="preserve">du Ministère du Commerce, de l’Industrie et de l’Artisanat avec 17% ; </w:t>
      </w:r>
    </w:p>
    <w:p w:rsidR="009A4DF8" w:rsidRPr="00983259" w:rsidRDefault="009A4DF8" w:rsidP="00B92B11">
      <w:pPr>
        <w:pStyle w:val="Paragraphedeliste"/>
        <w:numPr>
          <w:ilvl w:val="0"/>
          <w:numId w:val="76"/>
        </w:numPr>
        <w:spacing w:before="120" w:after="120" w:line="360" w:lineRule="auto"/>
        <w:jc w:val="both"/>
        <w:rPr>
          <w:rFonts w:ascii="Arial" w:hAnsi="Arial" w:cs="Arial"/>
          <w:szCs w:val="24"/>
        </w:rPr>
      </w:pPr>
      <w:r w:rsidRPr="00983259">
        <w:rPr>
          <w:rFonts w:ascii="Arial" w:hAnsi="Arial" w:cs="Arial"/>
          <w:szCs w:val="24"/>
        </w:rPr>
        <w:t xml:space="preserve">du Ministère de l'Administration Territoriale de la Décentralisation et de la Sécurité Intérieure (MATDSI) avec 20% ; </w:t>
      </w:r>
    </w:p>
    <w:p w:rsidR="009A4DF8" w:rsidRPr="00983259" w:rsidRDefault="009A4DF8" w:rsidP="00B92B11">
      <w:pPr>
        <w:pStyle w:val="Paragraphedeliste"/>
        <w:numPr>
          <w:ilvl w:val="0"/>
          <w:numId w:val="76"/>
        </w:numPr>
        <w:spacing w:before="120" w:after="120" w:line="360" w:lineRule="auto"/>
        <w:jc w:val="both"/>
        <w:rPr>
          <w:rFonts w:ascii="Arial" w:hAnsi="Arial" w:cs="Arial"/>
          <w:szCs w:val="24"/>
        </w:rPr>
      </w:pPr>
      <w:r w:rsidRPr="00983259">
        <w:rPr>
          <w:rFonts w:ascii="Arial" w:hAnsi="Arial" w:cs="Arial"/>
          <w:szCs w:val="24"/>
        </w:rPr>
        <w:t>du Ministère de la Santé (MS) avec 25% ;</w:t>
      </w:r>
    </w:p>
    <w:p w:rsidR="009A4DF8" w:rsidRPr="00983259" w:rsidRDefault="009A4DF8" w:rsidP="00B92B11">
      <w:pPr>
        <w:pStyle w:val="Paragraphedeliste"/>
        <w:numPr>
          <w:ilvl w:val="0"/>
          <w:numId w:val="76"/>
        </w:numPr>
        <w:spacing w:before="120" w:after="120" w:line="360" w:lineRule="auto"/>
        <w:jc w:val="both"/>
        <w:rPr>
          <w:rFonts w:ascii="Arial" w:hAnsi="Arial" w:cs="Arial"/>
          <w:szCs w:val="24"/>
        </w:rPr>
      </w:pPr>
      <w:r w:rsidRPr="00983259">
        <w:rPr>
          <w:rFonts w:ascii="Arial" w:hAnsi="Arial" w:cs="Arial"/>
          <w:szCs w:val="24"/>
        </w:rPr>
        <w:t xml:space="preserve">du Premier Ministère avec 44% ; </w:t>
      </w:r>
    </w:p>
    <w:p w:rsidR="009A4DF8" w:rsidRPr="00983259" w:rsidRDefault="009A4DF8" w:rsidP="00B92B11">
      <w:pPr>
        <w:pStyle w:val="Paragraphedeliste"/>
        <w:numPr>
          <w:ilvl w:val="0"/>
          <w:numId w:val="76"/>
        </w:numPr>
        <w:spacing w:before="120" w:after="120" w:line="360" w:lineRule="auto"/>
        <w:jc w:val="both"/>
        <w:rPr>
          <w:rFonts w:ascii="Arial" w:hAnsi="Arial" w:cs="Arial"/>
          <w:szCs w:val="24"/>
        </w:rPr>
      </w:pPr>
      <w:r w:rsidRPr="00983259">
        <w:rPr>
          <w:rFonts w:ascii="Arial" w:hAnsi="Arial" w:cs="Arial"/>
          <w:szCs w:val="24"/>
        </w:rPr>
        <w:t>du Ministère de l’Enseignement Secondaire, de la Recherche Scientifique et de l’Innovation (MESRSI) avec 46%.</w:t>
      </w:r>
    </w:p>
    <w:p w:rsidR="009A4DF8" w:rsidRPr="00F538F7" w:rsidRDefault="009A4DF8" w:rsidP="008D7758">
      <w:pPr>
        <w:pStyle w:val="Titre2"/>
        <w:numPr>
          <w:ilvl w:val="0"/>
          <w:numId w:val="118"/>
        </w:numPr>
        <w:tabs>
          <w:tab w:val="left" w:pos="1134"/>
        </w:tabs>
        <w:rPr>
          <w:lang w:eastAsia="fr-FR"/>
        </w:rPr>
      </w:pPr>
      <w:bookmarkStart w:id="311" w:name="_Toc461526805"/>
      <w:bookmarkStart w:id="312" w:name="_Toc461617986"/>
      <w:bookmarkStart w:id="313" w:name="_Toc492972197"/>
      <w:r w:rsidRPr="00F538F7">
        <w:rPr>
          <w:lang w:eastAsia="fr-FR"/>
        </w:rPr>
        <w:t>Répartition de l'aide par type d’assistance</w:t>
      </w:r>
      <w:bookmarkStart w:id="314" w:name="_Toc400662068"/>
      <w:bookmarkStart w:id="315" w:name="_Toc400703521"/>
      <w:bookmarkStart w:id="316" w:name="_Toc424705038"/>
      <w:bookmarkStart w:id="317" w:name="_Toc368779363"/>
      <w:bookmarkEnd w:id="311"/>
      <w:bookmarkEnd w:id="312"/>
      <w:bookmarkEnd w:id="313"/>
    </w:p>
    <w:p w:rsidR="009A4DF8" w:rsidRPr="002420DA" w:rsidRDefault="009A4DF8" w:rsidP="00383FA7">
      <w:pPr>
        <w:jc w:val="both"/>
        <w:rPr>
          <w:rFonts w:ascii="Arial" w:hAnsi="Arial" w:cs="Arial"/>
        </w:rPr>
      </w:pPr>
      <w:r w:rsidRPr="002420DA">
        <w:rPr>
          <w:rFonts w:ascii="Arial" w:hAnsi="Arial" w:cs="Arial"/>
        </w:rPr>
        <w:t>La structure de l’APD par type d’assistance en 2016 fait ressortir une préd</w:t>
      </w:r>
      <w:r>
        <w:rPr>
          <w:rFonts w:ascii="Arial" w:hAnsi="Arial" w:cs="Arial"/>
        </w:rPr>
        <w:t>ominance de l’aide projet (</w:t>
      </w:r>
      <w:r w:rsidR="0013235E">
        <w:rPr>
          <w:rFonts w:ascii="Arial" w:hAnsi="Arial" w:cs="Arial"/>
        </w:rPr>
        <w:t>72</w:t>
      </w:r>
      <w:r>
        <w:rPr>
          <w:rFonts w:ascii="Arial" w:hAnsi="Arial" w:cs="Arial"/>
        </w:rPr>
        <w:t>,</w:t>
      </w:r>
      <w:r w:rsidR="0013235E">
        <w:rPr>
          <w:rFonts w:ascii="Arial" w:hAnsi="Arial" w:cs="Arial"/>
        </w:rPr>
        <w:t>4</w:t>
      </w:r>
      <w:r w:rsidRPr="002420DA">
        <w:rPr>
          <w:rFonts w:ascii="Arial" w:hAnsi="Arial" w:cs="Arial"/>
        </w:rPr>
        <w:t xml:space="preserve">%). Les appuis budgétaires viennent en deuxième position et totalisent un montant de </w:t>
      </w:r>
      <w:r w:rsidR="0013235E" w:rsidRPr="002420DA">
        <w:rPr>
          <w:rFonts w:ascii="Arial" w:hAnsi="Arial" w:cs="Arial"/>
        </w:rPr>
        <w:t>2</w:t>
      </w:r>
      <w:r w:rsidR="0013235E">
        <w:rPr>
          <w:rFonts w:ascii="Arial" w:hAnsi="Arial" w:cs="Arial"/>
        </w:rPr>
        <w:t>76</w:t>
      </w:r>
      <w:r w:rsidRPr="002420DA">
        <w:rPr>
          <w:rFonts w:ascii="Arial" w:hAnsi="Arial" w:cs="Arial"/>
        </w:rPr>
        <w:t>,</w:t>
      </w:r>
      <w:r w:rsidR="0013235E">
        <w:rPr>
          <w:rFonts w:ascii="Arial" w:hAnsi="Arial" w:cs="Arial"/>
        </w:rPr>
        <w:t>1</w:t>
      </w:r>
      <w:r w:rsidRPr="002420DA">
        <w:rPr>
          <w:rFonts w:ascii="Arial" w:hAnsi="Arial" w:cs="Arial"/>
        </w:rPr>
        <w:t xml:space="preserve">9 millions dollars US, soit </w:t>
      </w:r>
      <w:r w:rsidR="00774121" w:rsidRPr="00383FA7">
        <w:rPr>
          <w:rFonts w:ascii="Arial" w:hAnsi="Arial" w:cs="Arial"/>
        </w:rPr>
        <w:t>2</w:t>
      </w:r>
      <w:r w:rsidR="00774121">
        <w:rPr>
          <w:rFonts w:ascii="Arial" w:hAnsi="Arial" w:cs="Arial"/>
        </w:rPr>
        <w:t>4</w:t>
      </w:r>
      <w:r w:rsidRPr="00383FA7">
        <w:rPr>
          <w:rFonts w:ascii="Arial" w:hAnsi="Arial" w:cs="Arial"/>
        </w:rPr>
        <w:t>,</w:t>
      </w:r>
      <w:r w:rsidR="00774121">
        <w:rPr>
          <w:rFonts w:ascii="Arial" w:hAnsi="Arial" w:cs="Arial"/>
        </w:rPr>
        <w:t>2</w:t>
      </w:r>
      <w:r w:rsidRPr="00383FA7">
        <w:rPr>
          <w:rFonts w:ascii="Arial" w:hAnsi="Arial" w:cs="Arial"/>
        </w:rPr>
        <w:t xml:space="preserve">% </w:t>
      </w:r>
      <w:r w:rsidRPr="002420DA">
        <w:rPr>
          <w:rFonts w:ascii="Arial" w:hAnsi="Arial" w:cs="Arial"/>
        </w:rPr>
        <w:t>de l’APD en 2016</w:t>
      </w:r>
      <w:r>
        <w:rPr>
          <w:rFonts w:ascii="Arial" w:hAnsi="Arial" w:cs="Arial"/>
        </w:rPr>
        <w:t> ;</w:t>
      </w:r>
      <w:r w:rsidR="00AA7503">
        <w:rPr>
          <w:rFonts w:ascii="Arial" w:hAnsi="Arial" w:cs="Arial"/>
        </w:rPr>
        <w:t xml:space="preserve"> </w:t>
      </w:r>
      <w:r>
        <w:rPr>
          <w:rFonts w:ascii="Arial" w:hAnsi="Arial" w:cs="Arial"/>
        </w:rPr>
        <w:t>la part de l</w:t>
      </w:r>
      <w:r w:rsidRPr="002420DA">
        <w:rPr>
          <w:rFonts w:ascii="Arial" w:hAnsi="Arial" w:cs="Arial"/>
        </w:rPr>
        <w:t xml:space="preserve">’aide alimentaire ainsi que l’assistance et secours d’urgence, s’élèvent respectivement à </w:t>
      </w:r>
      <w:r w:rsidRPr="00383FA7">
        <w:rPr>
          <w:rFonts w:ascii="Arial" w:hAnsi="Arial" w:cs="Arial"/>
        </w:rPr>
        <w:t>2,8</w:t>
      </w:r>
      <w:r w:rsidRPr="002420DA">
        <w:rPr>
          <w:rFonts w:ascii="Arial" w:hAnsi="Arial" w:cs="Arial"/>
        </w:rPr>
        <w:t xml:space="preserve">% et </w:t>
      </w:r>
      <w:r w:rsidRPr="00383FA7">
        <w:rPr>
          <w:rFonts w:ascii="Arial" w:hAnsi="Arial" w:cs="Arial"/>
        </w:rPr>
        <w:t>0,6</w:t>
      </w:r>
      <w:r w:rsidRPr="002420DA">
        <w:rPr>
          <w:rFonts w:ascii="Arial" w:hAnsi="Arial" w:cs="Arial"/>
        </w:rPr>
        <w:t>%</w:t>
      </w:r>
      <w:r w:rsidR="00AA7503">
        <w:rPr>
          <w:rFonts w:ascii="Arial" w:hAnsi="Arial" w:cs="Arial"/>
        </w:rPr>
        <w:t>.</w:t>
      </w:r>
    </w:p>
    <w:p w:rsidR="009A4DF8" w:rsidRPr="000E7B2D" w:rsidRDefault="009A4DF8" w:rsidP="009A4DF8">
      <w:pPr>
        <w:jc w:val="both"/>
        <w:rPr>
          <w:rFonts w:ascii="Arial" w:hAnsi="Arial" w:cs="Arial"/>
        </w:rPr>
      </w:pPr>
      <w:r w:rsidRPr="000E7B2D">
        <w:rPr>
          <w:rFonts w:ascii="Arial" w:hAnsi="Arial" w:cs="Arial"/>
        </w:rPr>
        <w:lastRenderedPageBreak/>
        <w:t xml:space="preserve">Le tableau suivant présente la répartition de cette aide par type d’assistance. </w:t>
      </w:r>
    </w:p>
    <w:p w:rsidR="009A4DF8" w:rsidRPr="00F76D92" w:rsidRDefault="00F76D92" w:rsidP="00F76D92">
      <w:pPr>
        <w:pStyle w:val="Lgende"/>
        <w:rPr>
          <w:color w:val="auto"/>
          <w:u w:val="none"/>
        </w:rPr>
      </w:pPr>
      <w:bookmarkStart w:id="318" w:name="_Toc492895479"/>
      <w:r w:rsidRPr="00F76D92">
        <w:rPr>
          <w:color w:val="auto"/>
        </w:rPr>
        <w:t xml:space="preserve">Tableau </w:t>
      </w:r>
      <w:r w:rsidRPr="00F76D92">
        <w:rPr>
          <w:color w:val="auto"/>
        </w:rPr>
        <w:fldChar w:fldCharType="begin"/>
      </w:r>
      <w:r w:rsidRPr="00F76D92">
        <w:rPr>
          <w:color w:val="auto"/>
        </w:rPr>
        <w:instrText xml:space="preserve"> SEQ Tableau \* ARABIC </w:instrText>
      </w:r>
      <w:r w:rsidRPr="00F76D92">
        <w:rPr>
          <w:color w:val="auto"/>
        </w:rPr>
        <w:fldChar w:fldCharType="separate"/>
      </w:r>
      <w:r w:rsidR="009A1402">
        <w:rPr>
          <w:noProof/>
          <w:color w:val="auto"/>
        </w:rPr>
        <w:t>11</w:t>
      </w:r>
      <w:r w:rsidRPr="00F76D92">
        <w:rPr>
          <w:color w:val="auto"/>
        </w:rPr>
        <w:fldChar w:fldCharType="end"/>
      </w:r>
      <w:r w:rsidRPr="00F76D92">
        <w:rPr>
          <w:color w:val="auto"/>
        </w:rPr>
        <w:t> :</w:t>
      </w:r>
      <w:r w:rsidR="009A4DF8" w:rsidRPr="00F76D92">
        <w:rPr>
          <w:color w:val="auto"/>
        </w:rPr>
        <w:t xml:space="preserve"> </w:t>
      </w:r>
      <w:r w:rsidR="009A4DF8" w:rsidRPr="00F76D92">
        <w:rPr>
          <w:color w:val="auto"/>
          <w:u w:val="none"/>
        </w:rPr>
        <w:t>Structure de l’APD par type d’assistance en 2015 et 201</w:t>
      </w:r>
      <w:bookmarkEnd w:id="314"/>
      <w:bookmarkEnd w:id="315"/>
      <w:bookmarkEnd w:id="316"/>
      <w:r w:rsidR="009A4DF8" w:rsidRPr="00F76D92">
        <w:rPr>
          <w:color w:val="auto"/>
          <w:u w:val="none"/>
        </w:rPr>
        <w:t>6</w:t>
      </w:r>
      <w:bookmarkEnd w:id="318"/>
    </w:p>
    <w:tbl>
      <w:tblPr>
        <w:tblW w:w="9576" w:type="dxa"/>
        <w:tblInd w:w="75" w:type="dxa"/>
        <w:tblCellMar>
          <w:left w:w="70" w:type="dxa"/>
          <w:right w:w="70" w:type="dxa"/>
        </w:tblCellMar>
        <w:tblLook w:val="04A0" w:firstRow="1" w:lastRow="0" w:firstColumn="1" w:lastColumn="0" w:noHBand="0" w:noVBand="1"/>
      </w:tblPr>
      <w:tblGrid>
        <w:gridCol w:w="3397"/>
        <w:gridCol w:w="1560"/>
        <w:gridCol w:w="1540"/>
        <w:gridCol w:w="1255"/>
        <w:gridCol w:w="1824"/>
      </w:tblGrid>
      <w:tr w:rsidR="003C75E6" w:rsidRPr="006A39E3" w:rsidTr="00F76D92">
        <w:trPr>
          <w:trHeight w:val="452"/>
        </w:trPr>
        <w:tc>
          <w:tcPr>
            <w:tcW w:w="3397" w:type="dxa"/>
            <w:vMerge w:val="restart"/>
            <w:tcBorders>
              <w:top w:val="single" w:sz="4" w:space="0" w:color="auto"/>
              <w:left w:val="single" w:sz="4" w:space="0" w:color="auto"/>
              <w:right w:val="single" w:sz="4" w:space="0" w:color="auto"/>
            </w:tcBorders>
            <w:shd w:val="clear" w:color="000000" w:fill="CCFFCC"/>
            <w:noWrap/>
            <w:vAlign w:val="center"/>
            <w:hideMark/>
          </w:tcPr>
          <w:bookmarkEnd w:id="317"/>
          <w:p w:rsidR="00E705F2" w:rsidRPr="00A60D96" w:rsidRDefault="00E705F2" w:rsidP="00A17B97">
            <w:pPr>
              <w:spacing w:after="0" w:line="240" w:lineRule="auto"/>
              <w:jc w:val="center"/>
              <w:rPr>
                <w:rFonts w:ascii="Arial" w:eastAsia="Times New Roman" w:hAnsi="Arial" w:cs="Arial"/>
                <w:b/>
                <w:bCs/>
                <w:lang w:eastAsia="fr-FR"/>
              </w:rPr>
            </w:pPr>
            <w:r w:rsidRPr="00A60D96">
              <w:rPr>
                <w:rFonts w:ascii="Arial" w:eastAsia="Times New Roman" w:hAnsi="Arial" w:cs="Arial"/>
                <w:b/>
                <w:bCs/>
                <w:lang w:eastAsia="fr-FR"/>
              </w:rPr>
              <w:t>Type d’Assistance</w:t>
            </w:r>
          </w:p>
        </w:tc>
        <w:tc>
          <w:tcPr>
            <w:tcW w:w="1560" w:type="dxa"/>
            <w:tcBorders>
              <w:top w:val="single" w:sz="4" w:space="0" w:color="auto"/>
              <w:left w:val="nil"/>
              <w:bottom w:val="nil"/>
              <w:right w:val="nil"/>
            </w:tcBorders>
            <w:shd w:val="clear" w:color="000000" w:fill="CCFFCC"/>
            <w:noWrap/>
            <w:vAlign w:val="center"/>
            <w:hideMark/>
          </w:tcPr>
          <w:p w:rsidR="00E705F2" w:rsidRPr="00A60D96" w:rsidRDefault="00E705F2" w:rsidP="00A17B97">
            <w:pPr>
              <w:spacing w:after="0" w:line="240" w:lineRule="auto"/>
              <w:jc w:val="center"/>
              <w:rPr>
                <w:rFonts w:ascii="Arial" w:eastAsia="Times New Roman" w:hAnsi="Arial" w:cs="Arial"/>
                <w:b/>
                <w:bCs/>
                <w:lang w:eastAsia="fr-FR"/>
              </w:rPr>
            </w:pPr>
            <w:r w:rsidRPr="00A60D96">
              <w:rPr>
                <w:rFonts w:ascii="Arial" w:eastAsia="Times New Roman" w:hAnsi="Arial" w:cs="Arial"/>
                <w:b/>
                <w:bCs/>
                <w:lang w:eastAsia="fr-FR"/>
              </w:rPr>
              <w:t>2015</w:t>
            </w:r>
          </w:p>
        </w:tc>
        <w:tc>
          <w:tcPr>
            <w:tcW w:w="4619" w:type="dxa"/>
            <w:gridSpan w:val="3"/>
            <w:tcBorders>
              <w:top w:val="single" w:sz="4" w:space="0" w:color="auto"/>
              <w:left w:val="single" w:sz="4" w:space="0" w:color="auto"/>
              <w:bottom w:val="single" w:sz="4" w:space="0" w:color="auto"/>
              <w:right w:val="single" w:sz="4" w:space="0" w:color="auto"/>
            </w:tcBorders>
            <w:shd w:val="clear" w:color="000000" w:fill="CCFFCC"/>
            <w:vAlign w:val="center"/>
          </w:tcPr>
          <w:p w:rsidR="00E705F2" w:rsidRPr="00A60D96" w:rsidRDefault="00F76D92" w:rsidP="00F76D92">
            <w:pPr>
              <w:spacing w:after="0" w:line="240" w:lineRule="auto"/>
              <w:jc w:val="center"/>
              <w:rPr>
                <w:rFonts w:ascii="Arial" w:eastAsia="Times New Roman" w:hAnsi="Arial" w:cs="Arial"/>
                <w:b/>
                <w:bCs/>
                <w:lang w:eastAsia="fr-FR"/>
              </w:rPr>
            </w:pPr>
            <w:r>
              <w:rPr>
                <w:rFonts w:ascii="Arial" w:eastAsia="Times New Roman" w:hAnsi="Arial" w:cs="Arial"/>
                <w:b/>
                <w:bCs/>
                <w:lang w:eastAsia="fr-FR"/>
              </w:rPr>
              <w:t>2016</w:t>
            </w:r>
          </w:p>
        </w:tc>
      </w:tr>
      <w:tr w:rsidR="003C75E6" w:rsidRPr="006A39E3" w:rsidTr="004B2654">
        <w:trPr>
          <w:trHeight w:val="452"/>
        </w:trPr>
        <w:tc>
          <w:tcPr>
            <w:tcW w:w="3397" w:type="dxa"/>
            <w:vMerge/>
            <w:tcBorders>
              <w:left w:val="single" w:sz="4" w:space="0" w:color="auto"/>
              <w:bottom w:val="nil"/>
              <w:right w:val="single" w:sz="4" w:space="0" w:color="auto"/>
            </w:tcBorders>
            <w:shd w:val="clear" w:color="000000" w:fill="CCFFCC"/>
            <w:noWrap/>
            <w:vAlign w:val="center"/>
          </w:tcPr>
          <w:p w:rsidR="00E705F2" w:rsidRPr="00A60D96" w:rsidRDefault="00E705F2" w:rsidP="00A17B97">
            <w:pPr>
              <w:spacing w:after="0" w:line="240" w:lineRule="auto"/>
              <w:jc w:val="center"/>
              <w:rPr>
                <w:rFonts w:ascii="Arial" w:eastAsia="Times New Roman" w:hAnsi="Arial" w:cs="Arial"/>
                <w:b/>
                <w:bCs/>
                <w:lang w:eastAsia="fr-FR"/>
              </w:rPr>
            </w:pPr>
          </w:p>
        </w:tc>
        <w:tc>
          <w:tcPr>
            <w:tcW w:w="1560" w:type="dxa"/>
            <w:tcBorders>
              <w:top w:val="single" w:sz="4" w:space="0" w:color="auto"/>
              <w:left w:val="nil"/>
              <w:bottom w:val="nil"/>
              <w:right w:val="nil"/>
            </w:tcBorders>
            <w:shd w:val="clear" w:color="000000" w:fill="CCFFCC"/>
            <w:noWrap/>
            <w:vAlign w:val="center"/>
          </w:tcPr>
          <w:p w:rsidR="00E705F2" w:rsidRPr="00A60D96" w:rsidRDefault="00E705F2" w:rsidP="006375DB">
            <w:pPr>
              <w:spacing w:after="0" w:line="240" w:lineRule="auto"/>
              <w:jc w:val="center"/>
              <w:rPr>
                <w:rFonts w:ascii="Arial" w:eastAsia="Times New Roman" w:hAnsi="Arial" w:cs="Arial"/>
                <w:b/>
                <w:bCs/>
                <w:lang w:eastAsia="fr-FR"/>
              </w:rPr>
            </w:pPr>
            <w:r w:rsidRPr="00A60D96">
              <w:rPr>
                <w:rFonts w:ascii="Arial" w:eastAsia="Times New Roman" w:hAnsi="Arial" w:cs="Arial"/>
                <w:b/>
                <w:bCs/>
                <w:lang w:eastAsia="fr-FR"/>
              </w:rPr>
              <w:t>Montant</w:t>
            </w:r>
          </w:p>
          <w:p w:rsidR="00E705F2" w:rsidRPr="00A60D96" w:rsidDel="00752C67" w:rsidRDefault="00E705F2" w:rsidP="006375DB">
            <w:pPr>
              <w:spacing w:after="0" w:line="240" w:lineRule="auto"/>
              <w:jc w:val="center"/>
              <w:rPr>
                <w:rFonts w:ascii="Arial" w:eastAsia="Times New Roman" w:hAnsi="Arial" w:cs="Arial"/>
                <w:b/>
                <w:bCs/>
                <w:lang w:eastAsia="fr-FR"/>
              </w:rPr>
            </w:pPr>
            <w:r w:rsidRPr="00A60D96">
              <w:rPr>
                <w:rFonts w:ascii="Arial" w:eastAsia="Times New Roman" w:hAnsi="Arial" w:cs="Arial"/>
                <w:b/>
                <w:bCs/>
                <w:lang w:eastAsia="fr-FR"/>
              </w:rPr>
              <w:t>Millions $US</w:t>
            </w:r>
          </w:p>
        </w:tc>
        <w:tc>
          <w:tcPr>
            <w:tcW w:w="1540" w:type="dxa"/>
            <w:tcBorders>
              <w:top w:val="single" w:sz="4" w:space="0" w:color="auto"/>
              <w:left w:val="single" w:sz="4" w:space="0" w:color="auto"/>
              <w:bottom w:val="single" w:sz="4" w:space="0" w:color="auto"/>
              <w:right w:val="nil"/>
            </w:tcBorders>
            <w:shd w:val="clear" w:color="000000" w:fill="CCFFCC"/>
            <w:vAlign w:val="bottom"/>
          </w:tcPr>
          <w:p w:rsidR="00E705F2" w:rsidRPr="00A60D96" w:rsidRDefault="00E705F2" w:rsidP="00A17B97">
            <w:pPr>
              <w:spacing w:after="0" w:line="240" w:lineRule="auto"/>
              <w:jc w:val="center"/>
              <w:rPr>
                <w:rFonts w:ascii="Arial" w:eastAsia="Times New Roman" w:hAnsi="Arial" w:cs="Arial"/>
                <w:b/>
                <w:bCs/>
                <w:lang w:eastAsia="fr-FR"/>
              </w:rPr>
            </w:pPr>
            <w:r w:rsidRPr="00A60D96">
              <w:rPr>
                <w:rFonts w:ascii="Arial" w:eastAsia="Times New Roman" w:hAnsi="Arial" w:cs="Arial"/>
                <w:b/>
                <w:bCs/>
                <w:lang w:eastAsia="fr-FR"/>
              </w:rPr>
              <w:t>Montant</w:t>
            </w:r>
            <w:r w:rsidRPr="00A60D96">
              <w:rPr>
                <w:rFonts w:ascii="Arial" w:eastAsia="Times New Roman" w:hAnsi="Arial" w:cs="Arial"/>
                <w:b/>
                <w:bCs/>
                <w:lang w:eastAsia="fr-FR"/>
              </w:rPr>
              <w:br/>
              <w:t>Millions $US</w:t>
            </w:r>
          </w:p>
        </w:tc>
        <w:tc>
          <w:tcPr>
            <w:tcW w:w="1255" w:type="dxa"/>
            <w:tcBorders>
              <w:top w:val="single" w:sz="4" w:space="0" w:color="auto"/>
              <w:left w:val="single" w:sz="4" w:space="0" w:color="auto"/>
              <w:bottom w:val="nil"/>
              <w:right w:val="single" w:sz="4" w:space="0" w:color="auto"/>
            </w:tcBorders>
            <w:shd w:val="clear" w:color="000000" w:fill="CCFFCC"/>
            <w:noWrap/>
            <w:vAlign w:val="center"/>
          </w:tcPr>
          <w:p w:rsidR="00E705F2" w:rsidRPr="00A60D96" w:rsidRDefault="00E705F2" w:rsidP="00A17B97">
            <w:pPr>
              <w:spacing w:after="0" w:line="240" w:lineRule="auto"/>
              <w:jc w:val="center"/>
              <w:rPr>
                <w:rFonts w:ascii="Arial" w:eastAsia="Times New Roman" w:hAnsi="Arial" w:cs="Arial"/>
                <w:b/>
                <w:bCs/>
                <w:lang w:eastAsia="fr-FR"/>
              </w:rPr>
            </w:pPr>
            <w:r w:rsidRPr="00A60D96">
              <w:rPr>
                <w:rFonts w:ascii="Arial" w:eastAsia="Times New Roman" w:hAnsi="Arial" w:cs="Arial"/>
                <w:b/>
                <w:bCs/>
                <w:lang w:eastAsia="fr-FR"/>
              </w:rPr>
              <w:t>En % de l’APD</w:t>
            </w:r>
          </w:p>
        </w:tc>
        <w:tc>
          <w:tcPr>
            <w:tcW w:w="1824" w:type="dxa"/>
            <w:tcBorders>
              <w:top w:val="single" w:sz="4" w:space="0" w:color="auto"/>
              <w:left w:val="nil"/>
              <w:bottom w:val="single" w:sz="4" w:space="0" w:color="auto"/>
              <w:right w:val="single" w:sz="4" w:space="0" w:color="auto"/>
            </w:tcBorders>
            <w:shd w:val="clear" w:color="000000" w:fill="CCFFCC"/>
            <w:vAlign w:val="bottom"/>
          </w:tcPr>
          <w:p w:rsidR="00E705F2" w:rsidRPr="00A60D96" w:rsidRDefault="00E705F2" w:rsidP="00A17B97">
            <w:pPr>
              <w:spacing w:after="0" w:line="240" w:lineRule="auto"/>
              <w:jc w:val="center"/>
              <w:rPr>
                <w:rFonts w:ascii="Arial" w:eastAsia="Times New Roman" w:hAnsi="Arial" w:cs="Arial"/>
                <w:b/>
                <w:bCs/>
                <w:lang w:eastAsia="fr-FR"/>
              </w:rPr>
            </w:pPr>
            <w:r w:rsidRPr="00A60D96">
              <w:rPr>
                <w:rFonts w:ascii="Arial" w:eastAsia="Times New Roman" w:hAnsi="Arial" w:cs="Arial"/>
                <w:b/>
                <w:bCs/>
                <w:lang w:eastAsia="fr-FR"/>
              </w:rPr>
              <w:t>Montant</w:t>
            </w:r>
            <w:r w:rsidRPr="00A60D96">
              <w:rPr>
                <w:rFonts w:ascii="Arial" w:eastAsia="Times New Roman" w:hAnsi="Arial" w:cs="Arial"/>
                <w:b/>
                <w:bCs/>
                <w:lang w:eastAsia="fr-FR"/>
              </w:rPr>
              <w:br/>
              <w:t>Millions FCFA</w:t>
            </w:r>
          </w:p>
        </w:tc>
      </w:tr>
      <w:tr w:rsidR="003C75E6" w:rsidRPr="006A39E3" w:rsidTr="006375DB">
        <w:trPr>
          <w:trHeight w:val="157"/>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rPr>
                <w:rFonts w:ascii="Arial" w:eastAsia="Times New Roman" w:hAnsi="Arial" w:cs="Arial"/>
                <w:b/>
                <w:bCs/>
                <w:lang w:eastAsia="fr-FR"/>
              </w:rPr>
            </w:pPr>
            <w:r w:rsidRPr="00A60D96">
              <w:rPr>
                <w:rFonts w:ascii="Arial" w:eastAsia="Times New Roman" w:hAnsi="Arial" w:cs="Arial"/>
                <w:b/>
                <w:bCs/>
                <w:lang w:eastAsia="fr-FR"/>
              </w:rPr>
              <w:t>Aide projet</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664,89</w:t>
            </w:r>
          </w:p>
        </w:tc>
        <w:tc>
          <w:tcPr>
            <w:tcW w:w="1540" w:type="dxa"/>
            <w:tcBorders>
              <w:top w:val="nil"/>
              <w:left w:val="nil"/>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826,033</w:t>
            </w:r>
          </w:p>
        </w:tc>
        <w:tc>
          <w:tcPr>
            <w:tcW w:w="1255" w:type="dxa"/>
            <w:tcBorders>
              <w:top w:val="single" w:sz="4" w:space="0" w:color="auto"/>
              <w:left w:val="nil"/>
              <w:bottom w:val="single" w:sz="4" w:space="0" w:color="auto"/>
              <w:right w:val="single" w:sz="4" w:space="0" w:color="auto"/>
            </w:tcBorders>
            <w:shd w:val="clear" w:color="auto" w:fill="auto"/>
            <w:noWrap/>
            <w:vAlign w:val="center"/>
            <w:hideMark/>
          </w:tcPr>
          <w:p w:rsidR="004D41CA" w:rsidRPr="00A60D96" w:rsidRDefault="00CE4670" w:rsidP="00A17B97">
            <w:pPr>
              <w:spacing w:after="0" w:line="240" w:lineRule="auto"/>
              <w:jc w:val="right"/>
              <w:rPr>
                <w:rFonts w:ascii="Arial" w:eastAsia="Times New Roman" w:hAnsi="Arial" w:cs="Arial"/>
                <w:b/>
                <w:bCs/>
                <w:lang w:eastAsia="fr-FR"/>
              </w:rPr>
            </w:pPr>
            <w:r w:rsidRPr="006A39E3">
              <w:rPr>
                <w:rFonts w:ascii="Arial" w:eastAsia="Times New Roman" w:hAnsi="Arial" w:cs="Arial"/>
                <w:b/>
                <w:bCs/>
                <w:lang w:eastAsia="fr-FR"/>
              </w:rPr>
              <w:t>72,4</w:t>
            </w:r>
            <w:r w:rsidR="004D41CA" w:rsidRPr="00A60D96">
              <w:rPr>
                <w:rFonts w:ascii="Arial" w:eastAsia="Times New Roman" w:hAnsi="Arial" w:cs="Arial"/>
                <w:b/>
                <w:bCs/>
                <w:lang w:eastAsia="fr-FR"/>
              </w:rPr>
              <w:t>%</w:t>
            </w:r>
          </w:p>
        </w:tc>
        <w:tc>
          <w:tcPr>
            <w:tcW w:w="1824" w:type="dxa"/>
            <w:tcBorders>
              <w:top w:val="nil"/>
              <w:left w:val="nil"/>
              <w:bottom w:val="single" w:sz="4" w:space="0" w:color="auto"/>
              <w:right w:val="single" w:sz="4" w:space="0" w:color="auto"/>
            </w:tcBorders>
            <w:shd w:val="clear" w:color="auto" w:fill="auto"/>
            <w:noWrap/>
            <w:vAlign w:val="center"/>
            <w:hideMark/>
          </w:tcPr>
          <w:p w:rsidR="004D41CA" w:rsidRPr="00A60D96" w:rsidRDefault="004D41CA" w:rsidP="00CB45BC">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489 920,17</w:t>
            </w:r>
          </w:p>
        </w:tc>
      </w:tr>
      <w:tr w:rsidR="003C75E6" w:rsidRPr="006A39E3" w:rsidTr="006375DB">
        <w:trPr>
          <w:trHeight w:val="181"/>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rPr>
                <w:rFonts w:ascii="Arial" w:eastAsia="Times New Roman" w:hAnsi="Arial" w:cs="Arial"/>
                <w:lang w:eastAsia="fr-FR"/>
              </w:rPr>
            </w:pPr>
            <w:r w:rsidRPr="00A60D96">
              <w:rPr>
                <w:rFonts w:ascii="Arial" w:eastAsia="Times New Roman" w:hAnsi="Arial" w:cs="Arial"/>
                <w:lang w:eastAsia="fr-FR"/>
              </w:rPr>
              <w:t>Aide projet sans fonds communs</w:t>
            </w:r>
          </w:p>
        </w:tc>
        <w:tc>
          <w:tcPr>
            <w:tcW w:w="1560" w:type="dxa"/>
            <w:tcBorders>
              <w:top w:val="nil"/>
              <w:left w:val="nil"/>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jc w:val="right"/>
              <w:rPr>
                <w:rFonts w:ascii="Arial" w:eastAsia="Times New Roman" w:hAnsi="Arial" w:cs="Arial"/>
                <w:lang w:eastAsia="fr-FR"/>
              </w:rPr>
            </w:pPr>
            <w:r w:rsidRPr="00A60D96">
              <w:rPr>
                <w:rFonts w:ascii="Arial" w:eastAsia="Times New Roman" w:hAnsi="Arial" w:cs="Arial"/>
                <w:lang w:eastAsia="fr-FR"/>
              </w:rPr>
              <w:t>626,81</w:t>
            </w:r>
          </w:p>
        </w:tc>
        <w:tc>
          <w:tcPr>
            <w:tcW w:w="1540"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lang w:eastAsia="fr-FR"/>
              </w:rPr>
            </w:pPr>
            <w:r w:rsidRPr="00A60D96">
              <w:rPr>
                <w:rFonts w:ascii="Arial" w:eastAsia="Times New Roman" w:hAnsi="Arial" w:cs="Arial"/>
                <w:lang w:eastAsia="fr-FR"/>
              </w:rPr>
              <w:t>762,64</w:t>
            </w:r>
          </w:p>
        </w:tc>
        <w:tc>
          <w:tcPr>
            <w:tcW w:w="1255" w:type="dxa"/>
            <w:tcBorders>
              <w:top w:val="nil"/>
              <w:left w:val="nil"/>
              <w:bottom w:val="single" w:sz="4" w:space="0" w:color="auto"/>
              <w:right w:val="single" w:sz="4" w:space="0" w:color="auto"/>
            </w:tcBorders>
            <w:shd w:val="clear" w:color="auto" w:fill="auto"/>
            <w:noWrap/>
            <w:vAlign w:val="center"/>
            <w:hideMark/>
          </w:tcPr>
          <w:p w:rsidR="004D41CA" w:rsidRPr="00A60D96" w:rsidRDefault="00CE4670" w:rsidP="00A17B97">
            <w:pPr>
              <w:spacing w:after="0" w:line="240" w:lineRule="auto"/>
              <w:jc w:val="right"/>
              <w:rPr>
                <w:rFonts w:ascii="Arial" w:eastAsia="Times New Roman" w:hAnsi="Arial" w:cs="Arial"/>
                <w:lang w:eastAsia="fr-FR"/>
              </w:rPr>
            </w:pPr>
            <w:r w:rsidRPr="006A39E3">
              <w:rPr>
                <w:rFonts w:ascii="Arial" w:eastAsia="Times New Roman" w:hAnsi="Arial" w:cs="Arial"/>
                <w:lang w:eastAsia="fr-FR"/>
              </w:rPr>
              <w:t>66,</w:t>
            </w:r>
            <w:r w:rsidR="004D41CA" w:rsidRPr="00A60D96">
              <w:rPr>
                <w:rFonts w:ascii="Arial" w:eastAsia="Times New Roman" w:hAnsi="Arial" w:cs="Arial"/>
                <w:lang w:eastAsia="fr-FR"/>
              </w:rPr>
              <w:t>9%</w:t>
            </w:r>
          </w:p>
        </w:tc>
        <w:tc>
          <w:tcPr>
            <w:tcW w:w="1824"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lang w:eastAsia="fr-FR"/>
              </w:rPr>
            </w:pPr>
            <w:r w:rsidRPr="00A60D96">
              <w:rPr>
                <w:rFonts w:ascii="Arial" w:eastAsia="Times New Roman" w:hAnsi="Arial" w:cs="Arial"/>
                <w:lang w:eastAsia="fr-FR"/>
              </w:rPr>
              <w:t>452 322,38</w:t>
            </w:r>
          </w:p>
        </w:tc>
      </w:tr>
      <w:tr w:rsidR="003C75E6" w:rsidRPr="006A39E3" w:rsidTr="006375DB">
        <w:trPr>
          <w:trHeight w:val="181"/>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rPr>
                <w:rFonts w:ascii="Arial" w:eastAsia="Times New Roman" w:hAnsi="Arial" w:cs="Arial"/>
                <w:lang w:eastAsia="fr-FR"/>
              </w:rPr>
            </w:pPr>
            <w:r w:rsidRPr="00A60D96">
              <w:rPr>
                <w:rFonts w:ascii="Arial" w:eastAsia="Times New Roman" w:hAnsi="Arial" w:cs="Arial"/>
                <w:lang w:eastAsia="fr-FR"/>
              </w:rPr>
              <w:t>Aide projet avec fonds communs</w:t>
            </w:r>
          </w:p>
        </w:tc>
        <w:tc>
          <w:tcPr>
            <w:tcW w:w="1560" w:type="dxa"/>
            <w:tcBorders>
              <w:top w:val="nil"/>
              <w:left w:val="nil"/>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jc w:val="right"/>
              <w:rPr>
                <w:rFonts w:ascii="Arial" w:eastAsia="Times New Roman" w:hAnsi="Arial" w:cs="Arial"/>
                <w:lang w:eastAsia="fr-FR"/>
              </w:rPr>
            </w:pPr>
            <w:r w:rsidRPr="00A60D96">
              <w:rPr>
                <w:rFonts w:ascii="Arial" w:eastAsia="Times New Roman" w:hAnsi="Arial" w:cs="Arial"/>
                <w:lang w:eastAsia="fr-FR"/>
              </w:rPr>
              <w:t>38,08</w:t>
            </w:r>
          </w:p>
        </w:tc>
        <w:tc>
          <w:tcPr>
            <w:tcW w:w="1540"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lang w:eastAsia="fr-FR"/>
              </w:rPr>
            </w:pPr>
            <w:r w:rsidRPr="00A60D96">
              <w:rPr>
                <w:rFonts w:ascii="Arial" w:eastAsia="Times New Roman" w:hAnsi="Arial" w:cs="Arial"/>
                <w:lang w:eastAsia="fr-FR"/>
              </w:rPr>
              <w:t>63,39</w:t>
            </w:r>
          </w:p>
        </w:tc>
        <w:tc>
          <w:tcPr>
            <w:tcW w:w="1255" w:type="dxa"/>
            <w:tcBorders>
              <w:top w:val="nil"/>
              <w:left w:val="nil"/>
              <w:bottom w:val="single" w:sz="4" w:space="0" w:color="auto"/>
              <w:right w:val="single" w:sz="4" w:space="0" w:color="auto"/>
            </w:tcBorders>
            <w:shd w:val="clear" w:color="auto" w:fill="auto"/>
            <w:noWrap/>
            <w:vAlign w:val="center"/>
            <w:hideMark/>
          </w:tcPr>
          <w:p w:rsidR="004D41CA" w:rsidRPr="00A60D96" w:rsidRDefault="00CE4670" w:rsidP="00A17B97">
            <w:pPr>
              <w:spacing w:after="0" w:line="240" w:lineRule="auto"/>
              <w:jc w:val="right"/>
              <w:rPr>
                <w:rFonts w:ascii="Arial" w:eastAsia="Times New Roman" w:hAnsi="Arial" w:cs="Arial"/>
                <w:lang w:eastAsia="fr-FR"/>
              </w:rPr>
            </w:pPr>
            <w:r w:rsidRPr="006A39E3">
              <w:rPr>
                <w:rFonts w:ascii="Arial" w:eastAsia="Times New Roman" w:hAnsi="Arial" w:cs="Arial"/>
                <w:lang w:eastAsia="fr-FR"/>
              </w:rPr>
              <w:t>5,</w:t>
            </w:r>
            <w:r w:rsidR="004D41CA" w:rsidRPr="00A60D96">
              <w:rPr>
                <w:rFonts w:ascii="Arial" w:eastAsia="Times New Roman" w:hAnsi="Arial" w:cs="Arial"/>
                <w:lang w:eastAsia="fr-FR"/>
              </w:rPr>
              <w:t>6%</w:t>
            </w:r>
          </w:p>
        </w:tc>
        <w:tc>
          <w:tcPr>
            <w:tcW w:w="1824"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lang w:eastAsia="fr-FR"/>
              </w:rPr>
            </w:pPr>
            <w:r w:rsidRPr="00A60D96">
              <w:rPr>
                <w:rFonts w:ascii="Arial" w:eastAsia="Times New Roman" w:hAnsi="Arial" w:cs="Arial"/>
                <w:lang w:eastAsia="fr-FR"/>
              </w:rPr>
              <w:t>37 597,80</w:t>
            </w:r>
          </w:p>
        </w:tc>
      </w:tr>
      <w:tr w:rsidR="003C75E6" w:rsidRPr="006A39E3" w:rsidTr="006375DB">
        <w:trPr>
          <w:trHeight w:val="181"/>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rPr>
                <w:rFonts w:ascii="Arial" w:eastAsia="Times New Roman" w:hAnsi="Arial" w:cs="Arial"/>
                <w:b/>
                <w:bCs/>
                <w:lang w:eastAsia="fr-FR"/>
              </w:rPr>
            </w:pPr>
            <w:r w:rsidRPr="00A60D96">
              <w:rPr>
                <w:rFonts w:ascii="Arial" w:eastAsia="Times New Roman" w:hAnsi="Arial" w:cs="Arial"/>
                <w:b/>
                <w:bCs/>
                <w:lang w:eastAsia="fr-FR"/>
              </w:rPr>
              <w:t>Appui budgétaire</w:t>
            </w:r>
          </w:p>
        </w:tc>
        <w:tc>
          <w:tcPr>
            <w:tcW w:w="1560" w:type="dxa"/>
            <w:tcBorders>
              <w:top w:val="nil"/>
              <w:left w:val="nil"/>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402,50</w:t>
            </w:r>
          </w:p>
        </w:tc>
        <w:tc>
          <w:tcPr>
            <w:tcW w:w="1540" w:type="dxa"/>
            <w:tcBorders>
              <w:top w:val="nil"/>
              <w:left w:val="nil"/>
              <w:bottom w:val="single" w:sz="4" w:space="0" w:color="auto"/>
              <w:right w:val="single" w:sz="4" w:space="0" w:color="auto"/>
            </w:tcBorders>
            <w:shd w:val="clear" w:color="auto" w:fill="auto"/>
            <w:noWrap/>
            <w:vAlign w:val="center"/>
            <w:hideMark/>
          </w:tcPr>
          <w:p w:rsidR="004D41CA" w:rsidRPr="00A60D96" w:rsidRDefault="004D41CA" w:rsidP="00CB45BC">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276,19</w:t>
            </w:r>
          </w:p>
        </w:tc>
        <w:tc>
          <w:tcPr>
            <w:tcW w:w="1255" w:type="dxa"/>
            <w:tcBorders>
              <w:top w:val="nil"/>
              <w:left w:val="nil"/>
              <w:bottom w:val="single" w:sz="4" w:space="0" w:color="auto"/>
              <w:right w:val="single" w:sz="4" w:space="0" w:color="auto"/>
            </w:tcBorders>
            <w:shd w:val="clear" w:color="auto" w:fill="auto"/>
            <w:noWrap/>
            <w:vAlign w:val="center"/>
            <w:hideMark/>
          </w:tcPr>
          <w:p w:rsidR="004D41CA" w:rsidRPr="00A60D96" w:rsidRDefault="00CE4670" w:rsidP="00A17B97">
            <w:pPr>
              <w:spacing w:after="0" w:line="240" w:lineRule="auto"/>
              <w:jc w:val="right"/>
              <w:rPr>
                <w:rFonts w:ascii="Arial" w:eastAsia="Times New Roman" w:hAnsi="Arial" w:cs="Arial"/>
                <w:b/>
                <w:bCs/>
                <w:lang w:eastAsia="fr-FR"/>
              </w:rPr>
            </w:pPr>
            <w:r w:rsidRPr="006A39E3">
              <w:rPr>
                <w:rFonts w:ascii="Arial" w:eastAsia="Times New Roman" w:hAnsi="Arial" w:cs="Arial"/>
                <w:b/>
                <w:bCs/>
                <w:lang w:eastAsia="fr-FR"/>
              </w:rPr>
              <w:t>24,</w:t>
            </w:r>
            <w:r w:rsidR="004D41CA" w:rsidRPr="00A60D96">
              <w:rPr>
                <w:rFonts w:ascii="Arial" w:eastAsia="Times New Roman" w:hAnsi="Arial" w:cs="Arial"/>
                <w:b/>
                <w:bCs/>
                <w:lang w:eastAsia="fr-FR"/>
              </w:rPr>
              <w:t>2%</w:t>
            </w:r>
          </w:p>
        </w:tc>
        <w:tc>
          <w:tcPr>
            <w:tcW w:w="1824"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163 809,48</w:t>
            </w:r>
          </w:p>
        </w:tc>
      </w:tr>
      <w:tr w:rsidR="003C75E6" w:rsidRPr="006A39E3" w:rsidTr="006375DB">
        <w:trPr>
          <w:trHeight w:val="181"/>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rPr>
                <w:rFonts w:ascii="Arial" w:eastAsia="Times New Roman" w:hAnsi="Arial" w:cs="Arial"/>
                <w:lang w:eastAsia="fr-FR"/>
              </w:rPr>
            </w:pPr>
            <w:r w:rsidRPr="00A60D96">
              <w:rPr>
                <w:rFonts w:ascii="Arial" w:eastAsia="Times New Roman" w:hAnsi="Arial" w:cs="Arial"/>
                <w:lang w:eastAsia="fr-FR"/>
              </w:rPr>
              <w:t>Appui budgétaire général</w:t>
            </w:r>
          </w:p>
        </w:tc>
        <w:tc>
          <w:tcPr>
            <w:tcW w:w="1560" w:type="dxa"/>
            <w:tcBorders>
              <w:top w:val="nil"/>
              <w:left w:val="nil"/>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jc w:val="right"/>
              <w:rPr>
                <w:rFonts w:ascii="Arial" w:eastAsia="Times New Roman" w:hAnsi="Arial" w:cs="Arial"/>
                <w:lang w:eastAsia="fr-FR"/>
              </w:rPr>
            </w:pPr>
            <w:r w:rsidRPr="00A60D96">
              <w:rPr>
                <w:rFonts w:ascii="Arial" w:eastAsia="Times New Roman" w:hAnsi="Arial" w:cs="Arial"/>
                <w:lang w:eastAsia="fr-FR"/>
              </w:rPr>
              <w:t>313,53</w:t>
            </w:r>
          </w:p>
        </w:tc>
        <w:tc>
          <w:tcPr>
            <w:tcW w:w="1540"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lang w:eastAsia="fr-FR"/>
              </w:rPr>
            </w:pPr>
            <w:r w:rsidRPr="00A60D96">
              <w:rPr>
                <w:rFonts w:ascii="Arial" w:eastAsia="Times New Roman" w:hAnsi="Arial" w:cs="Arial"/>
                <w:lang w:eastAsia="fr-FR"/>
              </w:rPr>
              <w:t>265,52</w:t>
            </w:r>
          </w:p>
        </w:tc>
        <w:tc>
          <w:tcPr>
            <w:tcW w:w="1255"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E4670">
            <w:pPr>
              <w:spacing w:after="0" w:line="240" w:lineRule="auto"/>
              <w:jc w:val="right"/>
              <w:rPr>
                <w:rFonts w:ascii="Arial" w:eastAsia="Times New Roman" w:hAnsi="Arial" w:cs="Arial"/>
                <w:lang w:eastAsia="fr-FR"/>
              </w:rPr>
            </w:pPr>
            <w:r w:rsidRPr="00A60D96">
              <w:rPr>
                <w:rFonts w:ascii="Arial" w:eastAsia="Times New Roman" w:hAnsi="Arial" w:cs="Arial"/>
                <w:lang w:eastAsia="fr-FR"/>
              </w:rPr>
              <w:t>23,</w:t>
            </w:r>
            <w:r w:rsidR="00CE4670" w:rsidRPr="006A39E3">
              <w:rPr>
                <w:rFonts w:ascii="Arial" w:eastAsia="Times New Roman" w:hAnsi="Arial" w:cs="Arial"/>
                <w:lang w:eastAsia="fr-FR"/>
              </w:rPr>
              <w:t>3</w:t>
            </w:r>
            <w:r w:rsidRPr="00A60D96">
              <w:rPr>
                <w:rFonts w:ascii="Arial" w:eastAsia="Times New Roman" w:hAnsi="Arial" w:cs="Arial"/>
                <w:lang w:eastAsia="fr-FR"/>
              </w:rPr>
              <w:t>%</w:t>
            </w:r>
          </w:p>
        </w:tc>
        <w:tc>
          <w:tcPr>
            <w:tcW w:w="1824"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lang w:eastAsia="fr-FR"/>
              </w:rPr>
            </w:pPr>
            <w:r w:rsidRPr="00A60D96">
              <w:rPr>
                <w:rFonts w:ascii="Arial" w:eastAsia="Times New Roman" w:hAnsi="Arial" w:cs="Arial"/>
                <w:lang w:eastAsia="fr-FR"/>
              </w:rPr>
              <w:t>157 477,54</w:t>
            </w:r>
          </w:p>
        </w:tc>
      </w:tr>
      <w:tr w:rsidR="003C75E6" w:rsidRPr="006A39E3" w:rsidTr="006375DB">
        <w:trPr>
          <w:trHeight w:val="181"/>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rPr>
                <w:rFonts w:ascii="Arial" w:eastAsia="Times New Roman" w:hAnsi="Arial" w:cs="Arial"/>
                <w:lang w:eastAsia="fr-FR"/>
              </w:rPr>
            </w:pPr>
            <w:r w:rsidRPr="00A60D96">
              <w:rPr>
                <w:rFonts w:ascii="Arial" w:eastAsia="Times New Roman" w:hAnsi="Arial" w:cs="Arial"/>
                <w:lang w:eastAsia="fr-FR"/>
              </w:rPr>
              <w:t>Appui budgétaire sectoriel</w:t>
            </w:r>
          </w:p>
        </w:tc>
        <w:tc>
          <w:tcPr>
            <w:tcW w:w="1560" w:type="dxa"/>
            <w:tcBorders>
              <w:top w:val="nil"/>
              <w:left w:val="nil"/>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jc w:val="right"/>
              <w:rPr>
                <w:rFonts w:ascii="Arial" w:eastAsia="Times New Roman" w:hAnsi="Arial" w:cs="Arial"/>
                <w:lang w:eastAsia="fr-FR"/>
              </w:rPr>
            </w:pPr>
            <w:r w:rsidRPr="00A60D96">
              <w:rPr>
                <w:rFonts w:ascii="Arial" w:eastAsia="Times New Roman" w:hAnsi="Arial" w:cs="Arial"/>
                <w:lang w:eastAsia="fr-FR"/>
              </w:rPr>
              <w:t>88,97</w:t>
            </w:r>
          </w:p>
        </w:tc>
        <w:tc>
          <w:tcPr>
            <w:tcW w:w="1540"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lang w:eastAsia="fr-FR"/>
              </w:rPr>
            </w:pPr>
            <w:r w:rsidRPr="00A60D96">
              <w:rPr>
                <w:rFonts w:ascii="Arial" w:eastAsia="Times New Roman" w:hAnsi="Arial" w:cs="Arial"/>
                <w:lang w:eastAsia="fr-FR"/>
              </w:rPr>
              <w:t>10,68</w:t>
            </w:r>
          </w:p>
        </w:tc>
        <w:tc>
          <w:tcPr>
            <w:tcW w:w="1255" w:type="dxa"/>
            <w:tcBorders>
              <w:top w:val="nil"/>
              <w:left w:val="nil"/>
              <w:bottom w:val="single" w:sz="4" w:space="0" w:color="auto"/>
              <w:right w:val="single" w:sz="4" w:space="0" w:color="auto"/>
            </w:tcBorders>
            <w:shd w:val="clear" w:color="auto" w:fill="auto"/>
            <w:vAlign w:val="center"/>
            <w:hideMark/>
          </w:tcPr>
          <w:p w:rsidR="004D41CA" w:rsidRPr="00A60D96" w:rsidRDefault="00CE4670" w:rsidP="00A17B97">
            <w:pPr>
              <w:spacing w:after="0" w:line="240" w:lineRule="auto"/>
              <w:jc w:val="right"/>
              <w:rPr>
                <w:rFonts w:ascii="Arial" w:eastAsia="Times New Roman" w:hAnsi="Arial" w:cs="Arial"/>
                <w:lang w:eastAsia="fr-FR"/>
              </w:rPr>
            </w:pPr>
            <w:r w:rsidRPr="006A39E3">
              <w:rPr>
                <w:rFonts w:ascii="Arial" w:eastAsia="Times New Roman" w:hAnsi="Arial" w:cs="Arial"/>
                <w:lang w:eastAsia="fr-FR"/>
              </w:rPr>
              <w:t>0,9</w:t>
            </w:r>
            <w:r w:rsidR="004D41CA" w:rsidRPr="00A60D96">
              <w:rPr>
                <w:rFonts w:ascii="Arial" w:eastAsia="Times New Roman" w:hAnsi="Arial" w:cs="Arial"/>
                <w:lang w:eastAsia="fr-FR"/>
              </w:rPr>
              <w:t>%</w:t>
            </w:r>
          </w:p>
        </w:tc>
        <w:tc>
          <w:tcPr>
            <w:tcW w:w="1824"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lang w:eastAsia="fr-FR"/>
              </w:rPr>
            </w:pPr>
            <w:r w:rsidRPr="00A60D96">
              <w:rPr>
                <w:rFonts w:ascii="Arial" w:eastAsia="Times New Roman" w:hAnsi="Arial" w:cs="Arial"/>
                <w:lang w:eastAsia="fr-FR"/>
              </w:rPr>
              <w:t>6 331,94</w:t>
            </w:r>
          </w:p>
        </w:tc>
      </w:tr>
      <w:tr w:rsidR="003C75E6" w:rsidRPr="006A39E3" w:rsidTr="006375DB">
        <w:trPr>
          <w:trHeight w:val="181"/>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rPr>
                <w:rFonts w:ascii="Arial" w:eastAsia="Times New Roman" w:hAnsi="Arial" w:cs="Arial"/>
                <w:b/>
                <w:bCs/>
                <w:lang w:eastAsia="fr-FR"/>
              </w:rPr>
            </w:pPr>
            <w:r w:rsidRPr="00A60D96">
              <w:rPr>
                <w:rFonts w:ascii="Arial" w:eastAsia="Times New Roman" w:hAnsi="Arial" w:cs="Arial"/>
                <w:b/>
                <w:bCs/>
                <w:lang w:eastAsia="fr-FR"/>
              </w:rPr>
              <w:t>Aide alimentaire</w:t>
            </w:r>
          </w:p>
        </w:tc>
        <w:tc>
          <w:tcPr>
            <w:tcW w:w="1560" w:type="dxa"/>
            <w:tcBorders>
              <w:top w:val="nil"/>
              <w:left w:val="nil"/>
              <w:bottom w:val="single" w:sz="4" w:space="0" w:color="auto"/>
              <w:right w:val="single" w:sz="4" w:space="0" w:color="auto"/>
            </w:tcBorders>
            <w:shd w:val="clear" w:color="auto" w:fill="auto"/>
            <w:noWrap/>
            <w:vAlign w:val="center"/>
            <w:hideMark/>
          </w:tcPr>
          <w:p w:rsidR="004D41CA" w:rsidRPr="00A60D96" w:rsidRDefault="004D41CA" w:rsidP="00A17B97">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25,79</w:t>
            </w:r>
          </w:p>
        </w:tc>
        <w:tc>
          <w:tcPr>
            <w:tcW w:w="1540"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31,66</w:t>
            </w:r>
          </w:p>
        </w:tc>
        <w:tc>
          <w:tcPr>
            <w:tcW w:w="1255" w:type="dxa"/>
            <w:tcBorders>
              <w:top w:val="nil"/>
              <w:left w:val="nil"/>
              <w:bottom w:val="single" w:sz="4" w:space="0" w:color="auto"/>
              <w:right w:val="single" w:sz="4" w:space="0" w:color="auto"/>
            </w:tcBorders>
            <w:shd w:val="clear" w:color="auto" w:fill="auto"/>
            <w:noWrap/>
            <w:vAlign w:val="center"/>
            <w:hideMark/>
          </w:tcPr>
          <w:p w:rsidR="004D41CA" w:rsidRPr="00A60D96" w:rsidRDefault="00CE4670" w:rsidP="00A17B97">
            <w:pPr>
              <w:spacing w:after="0" w:line="240" w:lineRule="auto"/>
              <w:jc w:val="right"/>
              <w:rPr>
                <w:rFonts w:ascii="Arial" w:eastAsia="Times New Roman" w:hAnsi="Arial" w:cs="Arial"/>
                <w:b/>
                <w:bCs/>
                <w:lang w:eastAsia="fr-FR"/>
              </w:rPr>
            </w:pPr>
            <w:r w:rsidRPr="006A39E3">
              <w:rPr>
                <w:rFonts w:ascii="Arial" w:eastAsia="Times New Roman" w:hAnsi="Arial" w:cs="Arial"/>
                <w:b/>
                <w:bCs/>
                <w:lang w:eastAsia="fr-FR"/>
              </w:rPr>
              <w:t>2,</w:t>
            </w:r>
            <w:r w:rsidR="004D41CA" w:rsidRPr="00A60D96">
              <w:rPr>
                <w:rFonts w:ascii="Arial" w:eastAsia="Times New Roman" w:hAnsi="Arial" w:cs="Arial"/>
                <w:b/>
                <w:bCs/>
                <w:lang w:eastAsia="fr-FR"/>
              </w:rPr>
              <w:t>8%</w:t>
            </w:r>
          </w:p>
        </w:tc>
        <w:tc>
          <w:tcPr>
            <w:tcW w:w="1824"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18 778,73</w:t>
            </w:r>
          </w:p>
        </w:tc>
      </w:tr>
      <w:tr w:rsidR="003C75E6" w:rsidRPr="006A39E3" w:rsidTr="006375DB">
        <w:trPr>
          <w:trHeight w:val="157"/>
        </w:trPr>
        <w:tc>
          <w:tcPr>
            <w:tcW w:w="3397" w:type="dxa"/>
            <w:tcBorders>
              <w:top w:val="nil"/>
              <w:left w:val="single" w:sz="4" w:space="0" w:color="auto"/>
              <w:bottom w:val="single" w:sz="4" w:space="0" w:color="auto"/>
              <w:right w:val="single" w:sz="4" w:space="0" w:color="auto"/>
            </w:tcBorders>
            <w:shd w:val="clear" w:color="000000" w:fill="FFFFFF"/>
            <w:noWrap/>
            <w:vAlign w:val="center"/>
            <w:hideMark/>
          </w:tcPr>
          <w:p w:rsidR="004D41CA" w:rsidRPr="00A60D96" w:rsidRDefault="004D41CA" w:rsidP="00A17B97">
            <w:pPr>
              <w:spacing w:after="0" w:line="240" w:lineRule="auto"/>
              <w:rPr>
                <w:rFonts w:ascii="Arial" w:eastAsia="Times New Roman" w:hAnsi="Arial" w:cs="Arial"/>
                <w:b/>
                <w:bCs/>
                <w:lang w:eastAsia="fr-FR"/>
              </w:rPr>
            </w:pPr>
            <w:r w:rsidRPr="00A60D96">
              <w:rPr>
                <w:rFonts w:ascii="Arial" w:eastAsia="Times New Roman" w:hAnsi="Arial" w:cs="Arial"/>
                <w:b/>
                <w:bCs/>
                <w:lang w:eastAsia="fr-FR"/>
              </w:rPr>
              <w:t xml:space="preserve">Assistance et secours d'urgence </w:t>
            </w:r>
          </w:p>
        </w:tc>
        <w:tc>
          <w:tcPr>
            <w:tcW w:w="1560" w:type="dxa"/>
            <w:tcBorders>
              <w:top w:val="nil"/>
              <w:left w:val="nil"/>
              <w:bottom w:val="single" w:sz="4" w:space="0" w:color="auto"/>
              <w:right w:val="single" w:sz="4" w:space="0" w:color="auto"/>
            </w:tcBorders>
            <w:shd w:val="clear" w:color="000000" w:fill="FFFFFF"/>
            <w:noWrap/>
            <w:vAlign w:val="center"/>
            <w:hideMark/>
          </w:tcPr>
          <w:p w:rsidR="004D41CA" w:rsidRPr="00A60D96" w:rsidRDefault="004D41CA" w:rsidP="00A17B97">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7,16</w:t>
            </w:r>
          </w:p>
        </w:tc>
        <w:tc>
          <w:tcPr>
            <w:tcW w:w="1540"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6,34</w:t>
            </w:r>
          </w:p>
        </w:tc>
        <w:tc>
          <w:tcPr>
            <w:tcW w:w="1255" w:type="dxa"/>
            <w:tcBorders>
              <w:top w:val="nil"/>
              <w:left w:val="nil"/>
              <w:bottom w:val="single" w:sz="4" w:space="0" w:color="auto"/>
              <w:right w:val="single" w:sz="4" w:space="0" w:color="auto"/>
            </w:tcBorders>
            <w:shd w:val="clear" w:color="auto" w:fill="auto"/>
            <w:noWrap/>
            <w:vAlign w:val="center"/>
            <w:hideMark/>
          </w:tcPr>
          <w:p w:rsidR="004D41CA" w:rsidRPr="00A60D96" w:rsidRDefault="00CE4670" w:rsidP="00A17B97">
            <w:pPr>
              <w:spacing w:after="0" w:line="240" w:lineRule="auto"/>
              <w:jc w:val="right"/>
              <w:rPr>
                <w:rFonts w:ascii="Arial" w:eastAsia="Times New Roman" w:hAnsi="Arial" w:cs="Arial"/>
                <w:b/>
                <w:bCs/>
                <w:lang w:eastAsia="fr-FR"/>
              </w:rPr>
            </w:pPr>
            <w:r w:rsidRPr="006A39E3">
              <w:rPr>
                <w:rFonts w:ascii="Arial" w:eastAsia="Times New Roman" w:hAnsi="Arial" w:cs="Arial"/>
                <w:b/>
                <w:bCs/>
                <w:lang w:eastAsia="fr-FR"/>
              </w:rPr>
              <w:t>0,</w:t>
            </w:r>
            <w:r w:rsidR="004D41CA" w:rsidRPr="00A60D96">
              <w:rPr>
                <w:rFonts w:ascii="Arial" w:eastAsia="Times New Roman" w:hAnsi="Arial" w:cs="Arial"/>
                <w:b/>
                <w:bCs/>
                <w:lang w:eastAsia="fr-FR"/>
              </w:rPr>
              <w:t>6%</w:t>
            </w:r>
          </w:p>
        </w:tc>
        <w:tc>
          <w:tcPr>
            <w:tcW w:w="1824" w:type="dxa"/>
            <w:tcBorders>
              <w:top w:val="nil"/>
              <w:left w:val="nil"/>
              <w:bottom w:val="single" w:sz="4" w:space="0" w:color="auto"/>
              <w:right w:val="single" w:sz="4" w:space="0" w:color="auto"/>
            </w:tcBorders>
            <w:shd w:val="clear" w:color="auto" w:fill="auto"/>
            <w:vAlign w:val="center"/>
            <w:hideMark/>
          </w:tcPr>
          <w:p w:rsidR="004D41CA" w:rsidRPr="00A60D96" w:rsidRDefault="004D41CA" w:rsidP="00CB45BC">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3 758,47</w:t>
            </w:r>
          </w:p>
        </w:tc>
      </w:tr>
      <w:tr w:rsidR="003C75E6" w:rsidRPr="006A39E3" w:rsidTr="006375DB">
        <w:trPr>
          <w:trHeight w:val="157"/>
        </w:trPr>
        <w:tc>
          <w:tcPr>
            <w:tcW w:w="3397" w:type="dxa"/>
            <w:tcBorders>
              <w:top w:val="nil"/>
              <w:left w:val="single" w:sz="4" w:space="0" w:color="auto"/>
              <w:bottom w:val="single" w:sz="4" w:space="0" w:color="auto"/>
              <w:right w:val="single" w:sz="4" w:space="0" w:color="auto"/>
            </w:tcBorders>
            <w:shd w:val="clear" w:color="000000" w:fill="CCFFCC"/>
            <w:noWrap/>
            <w:vAlign w:val="center"/>
            <w:hideMark/>
          </w:tcPr>
          <w:p w:rsidR="004D41CA" w:rsidRPr="00A60D96" w:rsidRDefault="004D41CA" w:rsidP="00A17B97">
            <w:pPr>
              <w:spacing w:after="0" w:line="240" w:lineRule="auto"/>
              <w:rPr>
                <w:rFonts w:ascii="Arial" w:eastAsia="Times New Roman" w:hAnsi="Arial" w:cs="Arial"/>
                <w:b/>
                <w:bCs/>
                <w:lang w:eastAsia="fr-FR"/>
              </w:rPr>
            </w:pPr>
            <w:r w:rsidRPr="00A60D96">
              <w:rPr>
                <w:rFonts w:ascii="Arial" w:eastAsia="Times New Roman" w:hAnsi="Arial" w:cs="Arial"/>
                <w:b/>
                <w:bCs/>
                <w:lang w:eastAsia="fr-FR"/>
              </w:rPr>
              <w:t>Total</w:t>
            </w:r>
          </w:p>
        </w:tc>
        <w:tc>
          <w:tcPr>
            <w:tcW w:w="1560" w:type="dxa"/>
            <w:tcBorders>
              <w:top w:val="nil"/>
              <w:left w:val="nil"/>
              <w:bottom w:val="single" w:sz="4" w:space="0" w:color="auto"/>
              <w:right w:val="single" w:sz="4" w:space="0" w:color="auto"/>
            </w:tcBorders>
            <w:shd w:val="clear" w:color="000000" w:fill="CCFFCC"/>
            <w:noWrap/>
            <w:vAlign w:val="center"/>
            <w:hideMark/>
          </w:tcPr>
          <w:p w:rsidR="004D41CA" w:rsidRPr="00A60D96" w:rsidRDefault="004D41CA" w:rsidP="00CB45BC">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1 100,34</w:t>
            </w:r>
          </w:p>
        </w:tc>
        <w:tc>
          <w:tcPr>
            <w:tcW w:w="1540" w:type="dxa"/>
            <w:tcBorders>
              <w:top w:val="nil"/>
              <w:left w:val="nil"/>
              <w:bottom w:val="single" w:sz="4" w:space="0" w:color="auto"/>
              <w:right w:val="single" w:sz="4" w:space="0" w:color="auto"/>
            </w:tcBorders>
            <w:shd w:val="clear" w:color="000000" w:fill="CCFFCC"/>
            <w:noWrap/>
            <w:vAlign w:val="center"/>
            <w:hideMark/>
          </w:tcPr>
          <w:p w:rsidR="004D41CA" w:rsidRPr="00A60D96" w:rsidRDefault="004D41CA" w:rsidP="0013235E">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1 140,</w:t>
            </w:r>
            <w:r w:rsidR="0013235E" w:rsidRPr="00A60D96">
              <w:rPr>
                <w:rFonts w:ascii="Arial" w:eastAsia="Times New Roman" w:hAnsi="Arial" w:cs="Arial"/>
                <w:b/>
                <w:bCs/>
                <w:lang w:eastAsia="fr-FR"/>
              </w:rPr>
              <w:t>23</w:t>
            </w:r>
          </w:p>
        </w:tc>
        <w:tc>
          <w:tcPr>
            <w:tcW w:w="1255" w:type="dxa"/>
            <w:tcBorders>
              <w:top w:val="nil"/>
              <w:left w:val="nil"/>
              <w:bottom w:val="single" w:sz="4" w:space="0" w:color="auto"/>
              <w:right w:val="single" w:sz="4" w:space="0" w:color="auto"/>
            </w:tcBorders>
            <w:shd w:val="clear" w:color="000000" w:fill="CCFFCC"/>
            <w:noWrap/>
            <w:vAlign w:val="center"/>
            <w:hideMark/>
          </w:tcPr>
          <w:p w:rsidR="004D41CA" w:rsidRPr="00A60D96" w:rsidRDefault="00CE4670" w:rsidP="00A17B97">
            <w:pPr>
              <w:spacing w:after="0" w:line="240" w:lineRule="auto"/>
              <w:jc w:val="right"/>
              <w:rPr>
                <w:rFonts w:ascii="Arial" w:eastAsia="Times New Roman" w:hAnsi="Arial" w:cs="Arial"/>
                <w:b/>
                <w:bCs/>
                <w:lang w:eastAsia="fr-FR"/>
              </w:rPr>
            </w:pPr>
            <w:r w:rsidRPr="006A39E3">
              <w:rPr>
                <w:rFonts w:ascii="Arial" w:eastAsia="Times New Roman" w:hAnsi="Arial" w:cs="Arial"/>
                <w:b/>
                <w:bCs/>
                <w:lang w:eastAsia="fr-FR"/>
              </w:rPr>
              <w:t>100,0</w:t>
            </w:r>
            <w:r w:rsidR="004D41CA" w:rsidRPr="00A60D96">
              <w:rPr>
                <w:rFonts w:ascii="Arial" w:eastAsia="Times New Roman" w:hAnsi="Arial" w:cs="Arial"/>
                <w:b/>
                <w:bCs/>
                <w:lang w:eastAsia="fr-FR"/>
              </w:rPr>
              <w:t>%</w:t>
            </w:r>
          </w:p>
        </w:tc>
        <w:tc>
          <w:tcPr>
            <w:tcW w:w="1824" w:type="dxa"/>
            <w:tcBorders>
              <w:top w:val="nil"/>
              <w:left w:val="nil"/>
              <w:bottom w:val="single" w:sz="4" w:space="0" w:color="auto"/>
              <w:right w:val="single" w:sz="4" w:space="0" w:color="auto"/>
            </w:tcBorders>
            <w:shd w:val="clear" w:color="000000" w:fill="CCFFCC"/>
            <w:noWrap/>
            <w:vAlign w:val="center"/>
            <w:hideMark/>
          </w:tcPr>
          <w:p w:rsidR="004D41CA" w:rsidRPr="00A60D96" w:rsidRDefault="004D41CA" w:rsidP="00CB45BC">
            <w:pPr>
              <w:spacing w:after="0" w:line="240" w:lineRule="auto"/>
              <w:jc w:val="right"/>
              <w:rPr>
                <w:rFonts w:ascii="Arial" w:eastAsia="Times New Roman" w:hAnsi="Arial" w:cs="Arial"/>
                <w:b/>
                <w:bCs/>
                <w:lang w:eastAsia="fr-FR"/>
              </w:rPr>
            </w:pPr>
            <w:r w:rsidRPr="00A60D96">
              <w:rPr>
                <w:rFonts w:ascii="Arial" w:eastAsia="Times New Roman" w:hAnsi="Arial" w:cs="Arial"/>
                <w:b/>
                <w:bCs/>
                <w:lang w:eastAsia="fr-FR"/>
              </w:rPr>
              <w:t>676 266,85</w:t>
            </w:r>
          </w:p>
        </w:tc>
      </w:tr>
    </w:tbl>
    <w:p w:rsidR="009A4DF8" w:rsidRPr="006A39E3" w:rsidRDefault="009A4DF8" w:rsidP="009A4DF8">
      <w:pPr>
        <w:jc w:val="both"/>
        <w:rPr>
          <w:rFonts w:ascii="Arial" w:hAnsi="Arial" w:cs="Arial"/>
          <w:b/>
          <w:i/>
        </w:rPr>
      </w:pPr>
      <w:r w:rsidRPr="006A39E3">
        <w:rPr>
          <w:rFonts w:ascii="Arial" w:hAnsi="Arial" w:cs="Arial"/>
          <w:b/>
          <w:i/>
          <w:u w:val="single"/>
        </w:rPr>
        <w:t>Source</w:t>
      </w:r>
      <w:r w:rsidRPr="006A39E3">
        <w:rPr>
          <w:rFonts w:ascii="Arial" w:hAnsi="Arial" w:cs="Arial"/>
          <w:b/>
          <w:i/>
        </w:rPr>
        <w:t xml:space="preserve"> : </w:t>
      </w:r>
      <w:r w:rsidRPr="006A39E3">
        <w:rPr>
          <w:rFonts w:ascii="Arial" w:hAnsi="Arial" w:cs="Arial"/>
          <w:i/>
        </w:rPr>
        <w:t>PGA/DGCOOP, Juillet 2017</w:t>
      </w:r>
    </w:p>
    <w:p w:rsidR="009A4DF8" w:rsidRPr="00F76D92" w:rsidRDefault="00F76D92" w:rsidP="00F76D92">
      <w:pPr>
        <w:pStyle w:val="Lgende"/>
        <w:rPr>
          <w:bCs w:val="0"/>
          <w:color w:val="auto"/>
        </w:rPr>
      </w:pPr>
      <w:bookmarkStart w:id="319" w:name="_Toc368779228"/>
      <w:bookmarkStart w:id="320" w:name="_Toc400703573"/>
      <w:bookmarkStart w:id="321" w:name="_Toc424706031"/>
      <w:bookmarkStart w:id="322" w:name="_Toc492895735"/>
      <w:r w:rsidRPr="00F76D92">
        <w:rPr>
          <w:color w:val="auto"/>
        </w:rPr>
        <w:t xml:space="preserve">Graphique </w:t>
      </w:r>
      <w:r w:rsidRPr="00F76D92">
        <w:rPr>
          <w:color w:val="auto"/>
        </w:rPr>
        <w:fldChar w:fldCharType="begin"/>
      </w:r>
      <w:r w:rsidRPr="00F76D92">
        <w:rPr>
          <w:color w:val="auto"/>
        </w:rPr>
        <w:instrText xml:space="preserve"> SEQ Graphique \* ARABIC </w:instrText>
      </w:r>
      <w:r w:rsidRPr="00F76D92">
        <w:rPr>
          <w:color w:val="auto"/>
        </w:rPr>
        <w:fldChar w:fldCharType="separate"/>
      </w:r>
      <w:r w:rsidR="009A1402">
        <w:rPr>
          <w:noProof/>
          <w:color w:val="auto"/>
        </w:rPr>
        <w:t>2</w:t>
      </w:r>
      <w:r w:rsidRPr="00F76D92">
        <w:rPr>
          <w:color w:val="auto"/>
        </w:rPr>
        <w:fldChar w:fldCharType="end"/>
      </w:r>
      <w:r w:rsidR="009A4DF8" w:rsidRPr="00F76D92">
        <w:rPr>
          <w:bCs w:val="0"/>
          <w:color w:val="auto"/>
        </w:rPr>
        <w:t xml:space="preserve"> : </w:t>
      </w:r>
      <w:r w:rsidR="009A4DF8" w:rsidRPr="00F76D92">
        <w:rPr>
          <w:bCs w:val="0"/>
          <w:color w:val="auto"/>
          <w:u w:val="none"/>
        </w:rPr>
        <w:t>Répartition de l’APD par type d’assistance en 201</w:t>
      </w:r>
      <w:bookmarkEnd w:id="319"/>
      <w:bookmarkEnd w:id="320"/>
      <w:bookmarkEnd w:id="321"/>
      <w:r w:rsidR="009A4DF8" w:rsidRPr="00F76D92">
        <w:rPr>
          <w:bCs w:val="0"/>
          <w:color w:val="auto"/>
          <w:u w:val="none"/>
        </w:rPr>
        <w:t>6</w:t>
      </w:r>
      <w:bookmarkEnd w:id="322"/>
    </w:p>
    <w:p w:rsidR="00A17B97" w:rsidRPr="00CB45BC" w:rsidRDefault="00A17B97" w:rsidP="003022DC">
      <w:pPr>
        <w:suppressAutoHyphens/>
        <w:spacing w:after="40" w:line="240" w:lineRule="auto"/>
        <w:rPr>
          <w:rFonts w:ascii="Arial" w:hAnsi="Arial" w:cs="Arial"/>
          <w:b/>
          <w:bCs/>
          <w:color w:val="FF0000"/>
          <w:lang w:eastAsia="ar-SA"/>
        </w:rPr>
      </w:pPr>
      <w:r w:rsidRPr="00CB45BC">
        <w:rPr>
          <w:noProof/>
          <w:color w:val="FF0000"/>
          <w:lang w:eastAsia="fr-FR"/>
        </w:rPr>
        <w:drawing>
          <wp:inline distT="0" distB="0" distL="0" distR="0" wp14:anchorId="0D5AB5BC" wp14:editId="6BFAA172">
            <wp:extent cx="5760720" cy="1880559"/>
            <wp:effectExtent l="0" t="0" r="11430" b="5715"/>
            <wp:docPr id="10" name="Graphique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9A4DF8" w:rsidRPr="00D93250" w:rsidRDefault="009A4DF8" w:rsidP="009A4DF8">
      <w:pPr>
        <w:jc w:val="both"/>
        <w:rPr>
          <w:rFonts w:ascii="Arial" w:hAnsi="Arial" w:cs="Arial"/>
          <w:b/>
          <w:i/>
        </w:rPr>
      </w:pPr>
      <w:r w:rsidRPr="00D93250">
        <w:rPr>
          <w:rFonts w:ascii="Arial" w:hAnsi="Arial" w:cs="Arial"/>
          <w:b/>
          <w:i/>
          <w:u w:val="single"/>
        </w:rPr>
        <w:t>Source</w:t>
      </w:r>
      <w:r w:rsidRPr="00060AE4">
        <w:rPr>
          <w:rFonts w:ascii="Arial" w:hAnsi="Arial" w:cs="Arial"/>
          <w:b/>
          <w:i/>
        </w:rPr>
        <w:t> : PGA/DGCOOP, Juillet 2017</w:t>
      </w:r>
    </w:p>
    <w:p w:rsidR="009A4DF8" w:rsidRPr="002D1974" w:rsidRDefault="009A4DF8" w:rsidP="008D7758">
      <w:pPr>
        <w:pStyle w:val="Titre3"/>
        <w:numPr>
          <w:ilvl w:val="0"/>
          <w:numId w:val="121"/>
        </w:numPr>
        <w:ind w:left="993"/>
        <w:rPr>
          <w:lang w:eastAsia="fr-FR"/>
        </w:rPr>
      </w:pPr>
      <w:bookmarkStart w:id="323" w:name="_Toc368483806"/>
      <w:bookmarkStart w:id="324" w:name="_Toc368779693"/>
      <w:bookmarkStart w:id="325" w:name="_Toc399933257"/>
      <w:bookmarkStart w:id="326" w:name="_Toc400643297"/>
      <w:bookmarkStart w:id="327" w:name="_Toc427009747"/>
      <w:bookmarkStart w:id="328" w:name="_Toc461526806"/>
      <w:bookmarkStart w:id="329" w:name="_Toc461617987"/>
      <w:bookmarkStart w:id="330" w:name="_Toc492972198"/>
      <w:r w:rsidRPr="002D1974">
        <w:rPr>
          <w:lang w:eastAsia="fr-FR"/>
        </w:rPr>
        <w:t>L'aide projet</w:t>
      </w:r>
      <w:bookmarkEnd w:id="323"/>
      <w:bookmarkEnd w:id="324"/>
      <w:bookmarkEnd w:id="325"/>
      <w:bookmarkEnd w:id="326"/>
      <w:bookmarkEnd w:id="327"/>
      <w:bookmarkEnd w:id="328"/>
      <w:bookmarkEnd w:id="329"/>
      <w:bookmarkEnd w:id="330"/>
    </w:p>
    <w:p w:rsidR="00645382" w:rsidRPr="00645382" w:rsidRDefault="00645382" w:rsidP="00645382">
      <w:pPr>
        <w:jc w:val="both"/>
        <w:rPr>
          <w:rFonts w:ascii="Arial" w:hAnsi="Arial" w:cs="Arial"/>
        </w:rPr>
      </w:pPr>
      <w:bookmarkStart w:id="331" w:name="_Toc368483807"/>
      <w:bookmarkStart w:id="332" w:name="_Toc424711000"/>
      <w:bookmarkStart w:id="333" w:name="_Toc427009748"/>
      <w:bookmarkStart w:id="334" w:name="_Toc461526807"/>
      <w:bookmarkStart w:id="335" w:name="_Toc461617988"/>
      <w:r w:rsidRPr="00645382">
        <w:rPr>
          <w:rFonts w:ascii="Arial" w:hAnsi="Arial" w:cs="Arial"/>
        </w:rPr>
        <w:t>L’aide projet, constituée de l’aide projet sans fonds commun et de l’aide projet avec fonds communs a été de 826,03 millions dollars US en 2016 contre 664,89 millions dollars US un an plus tôt, soit une augmentation de 161,14 millions dollars US (+24,2%).</w:t>
      </w:r>
    </w:p>
    <w:p w:rsidR="009A4DF8" w:rsidRPr="00387F4A" w:rsidRDefault="009A4DF8" w:rsidP="008D7758">
      <w:pPr>
        <w:pStyle w:val="Titre4"/>
        <w:numPr>
          <w:ilvl w:val="0"/>
          <w:numId w:val="126"/>
        </w:numPr>
        <w:tabs>
          <w:tab w:val="left" w:pos="1134"/>
        </w:tabs>
        <w:ind w:left="2205" w:hanging="220"/>
        <w:rPr>
          <w:lang w:eastAsia="fr-FR"/>
        </w:rPr>
      </w:pPr>
      <w:bookmarkStart w:id="336" w:name="_Toc492972199"/>
      <w:r w:rsidRPr="00387F4A">
        <w:rPr>
          <w:lang w:eastAsia="fr-FR"/>
        </w:rPr>
        <w:t>L’aide projet sans fonds communs</w:t>
      </w:r>
      <w:bookmarkEnd w:id="331"/>
      <w:bookmarkEnd w:id="332"/>
      <w:bookmarkEnd w:id="333"/>
      <w:bookmarkEnd w:id="334"/>
      <w:bookmarkEnd w:id="335"/>
      <w:bookmarkEnd w:id="336"/>
    </w:p>
    <w:p w:rsidR="00645382" w:rsidRPr="00645382" w:rsidRDefault="00645382" w:rsidP="00645382">
      <w:pPr>
        <w:jc w:val="both"/>
        <w:rPr>
          <w:rFonts w:ascii="Arial" w:hAnsi="Arial" w:cs="Arial"/>
        </w:rPr>
      </w:pPr>
      <w:bookmarkStart w:id="337" w:name="_Toc400662156"/>
      <w:bookmarkStart w:id="338" w:name="_Toc400703522"/>
      <w:bookmarkStart w:id="339" w:name="_Toc424705039"/>
      <w:r w:rsidRPr="00645382">
        <w:rPr>
          <w:rFonts w:ascii="Arial" w:hAnsi="Arial" w:cs="Arial"/>
        </w:rPr>
        <w:t>L’aide projet sans fonds communs est l’instrument courant de financement des projets et programmes de développement au Burkina Faso. L’aide projet sans fonds communs s’est située à 762,63 millions dollars US en 2016, en hausse de 21,7% par rapport à 2015 où elle était de 626,81 millions dollars US. Le montant de 2016 représente 66,9% de l’APD totale et 92,3% de l’aide projet. On y enregistre une forte proportion des dons (75,3%) par rapport aux prêts (24,7%).</w:t>
      </w:r>
    </w:p>
    <w:p w:rsidR="00645382" w:rsidRDefault="00645382" w:rsidP="00645382">
      <w:pPr>
        <w:jc w:val="both"/>
        <w:rPr>
          <w:rFonts w:ascii="Arial" w:hAnsi="Arial" w:cs="Arial"/>
        </w:rPr>
      </w:pPr>
      <w:r w:rsidRPr="00645382">
        <w:rPr>
          <w:rFonts w:ascii="Arial" w:hAnsi="Arial" w:cs="Arial"/>
        </w:rPr>
        <w:t>Parmi les principaux partenaires qui ont fourni ce type d’aide en 2016 figurent la Banque Mondiale avec 144,10 millions dollars US, soit 18,7%, la France avec 136,93 millions dollars US soit 17,9%, le Système des Nations Unies avec 61,99 millions dollars US (8,1%), l’Union Européenne avec 60,39 millions dollars, soit 7,9% et le Groupe BAD/FAD avec 51,88 millions dollars US, soit 6,8%.</w:t>
      </w:r>
    </w:p>
    <w:p w:rsidR="003D6C65" w:rsidRPr="00645382" w:rsidRDefault="003D6C65" w:rsidP="00645382">
      <w:pPr>
        <w:jc w:val="both"/>
        <w:rPr>
          <w:rFonts w:ascii="Arial" w:hAnsi="Arial" w:cs="Arial"/>
        </w:rPr>
      </w:pPr>
    </w:p>
    <w:p w:rsidR="009A4DF8" w:rsidRPr="00F76D92" w:rsidRDefault="00F76D92" w:rsidP="00F76D92">
      <w:pPr>
        <w:pStyle w:val="Lgende"/>
        <w:rPr>
          <w:color w:val="auto"/>
        </w:rPr>
      </w:pPr>
      <w:bookmarkStart w:id="340" w:name="_Toc492895480"/>
      <w:r w:rsidRPr="00F76D92">
        <w:rPr>
          <w:color w:val="auto"/>
        </w:rPr>
        <w:lastRenderedPageBreak/>
        <w:t xml:space="preserve">Tableau </w:t>
      </w:r>
      <w:r w:rsidRPr="00F76D92">
        <w:rPr>
          <w:color w:val="auto"/>
        </w:rPr>
        <w:fldChar w:fldCharType="begin"/>
      </w:r>
      <w:r w:rsidRPr="00F76D92">
        <w:rPr>
          <w:color w:val="auto"/>
        </w:rPr>
        <w:instrText xml:space="preserve"> SEQ Tableau \* ARABIC </w:instrText>
      </w:r>
      <w:r w:rsidRPr="00F76D92">
        <w:rPr>
          <w:color w:val="auto"/>
        </w:rPr>
        <w:fldChar w:fldCharType="separate"/>
      </w:r>
      <w:r w:rsidR="009A1402">
        <w:rPr>
          <w:noProof/>
          <w:color w:val="auto"/>
        </w:rPr>
        <w:t>12</w:t>
      </w:r>
      <w:r w:rsidRPr="00F76D92">
        <w:rPr>
          <w:color w:val="auto"/>
        </w:rPr>
        <w:fldChar w:fldCharType="end"/>
      </w:r>
      <w:r>
        <w:rPr>
          <w:color w:val="auto"/>
        </w:rPr>
        <w:t> :</w:t>
      </w:r>
      <w:r w:rsidR="009A4DF8" w:rsidRPr="00F76D92">
        <w:rPr>
          <w:color w:val="auto"/>
        </w:rPr>
        <w:t xml:space="preserve"> </w:t>
      </w:r>
      <w:r w:rsidR="009A4DF8" w:rsidRPr="00F76D92">
        <w:rPr>
          <w:color w:val="auto"/>
          <w:u w:val="none"/>
        </w:rPr>
        <w:t>Principales caractéristiques de l’aide projet sans fonds communs en 201</w:t>
      </w:r>
      <w:bookmarkEnd w:id="337"/>
      <w:bookmarkEnd w:id="338"/>
      <w:bookmarkEnd w:id="339"/>
      <w:r w:rsidR="009A4DF8" w:rsidRPr="00F76D92">
        <w:rPr>
          <w:color w:val="auto"/>
          <w:u w:val="none"/>
        </w:rPr>
        <w:t>6</w:t>
      </w:r>
      <w:bookmarkEnd w:id="340"/>
      <w:r w:rsidR="009A4DF8" w:rsidRPr="00F76D92">
        <w:rPr>
          <w:color w:val="auto"/>
        </w:rPr>
        <w:t xml:space="preserve"> </w:t>
      </w:r>
    </w:p>
    <w:tbl>
      <w:tblPr>
        <w:tblW w:w="9004" w:type="dxa"/>
        <w:tblInd w:w="75" w:type="dxa"/>
        <w:tblCellMar>
          <w:left w:w="70" w:type="dxa"/>
          <w:right w:w="70" w:type="dxa"/>
        </w:tblCellMar>
        <w:tblLook w:val="04A0" w:firstRow="1" w:lastRow="0" w:firstColumn="1" w:lastColumn="0" w:noHBand="0" w:noVBand="1"/>
      </w:tblPr>
      <w:tblGrid>
        <w:gridCol w:w="4175"/>
        <w:gridCol w:w="2306"/>
        <w:gridCol w:w="2523"/>
      </w:tblGrid>
      <w:tr w:rsidR="00A17B97" w:rsidRPr="00297A25" w:rsidTr="00A17B97">
        <w:trPr>
          <w:trHeight w:val="237"/>
        </w:trPr>
        <w:tc>
          <w:tcPr>
            <w:tcW w:w="4175" w:type="dxa"/>
            <w:tcBorders>
              <w:top w:val="single" w:sz="4" w:space="0" w:color="auto"/>
              <w:left w:val="single" w:sz="4" w:space="0" w:color="auto"/>
              <w:bottom w:val="single" w:sz="4" w:space="0" w:color="auto"/>
              <w:right w:val="single" w:sz="4" w:space="0" w:color="auto"/>
            </w:tcBorders>
            <w:shd w:val="clear" w:color="000000" w:fill="CCFFFF"/>
            <w:vAlign w:val="center"/>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Désignation</w:t>
            </w:r>
          </w:p>
        </w:tc>
        <w:tc>
          <w:tcPr>
            <w:tcW w:w="2306" w:type="dxa"/>
            <w:tcBorders>
              <w:top w:val="single" w:sz="4" w:space="0" w:color="auto"/>
              <w:left w:val="nil"/>
              <w:bottom w:val="single" w:sz="4" w:space="0" w:color="auto"/>
              <w:right w:val="single" w:sz="4" w:space="0" w:color="auto"/>
            </w:tcBorders>
            <w:shd w:val="clear" w:color="000000" w:fill="CCFFFF"/>
            <w:vAlign w:val="center"/>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Montant en millions $US</w:t>
            </w:r>
          </w:p>
        </w:tc>
        <w:tc>
          <w:tcPr>
            <w:tcW w:w="2523" w:type="dxa"/>
            <w:tcBorders>
              <w:top w:val="single" w:sz="4" w:space="0" w:color="auto"/>
              <w:left w:val="nil"/>
              <w:bottom w:val="single" w:sz="4" w:space="0" w:color="auto"/>
              <w:right w:val="single" w:sz="4" w:space="0" w:color="auto"/>
            </w:tcBorders>
            <w:shd w:val="clear" w:color="000000" w:fill="CCFFFF"/>
            <w:vAlign w:val="center"/>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Part en % de l’APD totale</w:t>
            </w:r>
          </w:p>
        </w:tc>
      </w:tr>
      <w:tr w:rsidR="00A17B97" w:rsidRPr="00297A25" w:rsidTr="00A17B97">
        <w:trPr>
          <w:trHeight w:val="129"/>
        </w:trPr>
        <w:tc>
          <w:tcPr>
            <w:tcW w:w="4175" w:type="dxa"/>
            <w:tcBorders>
              <w:top w:val="nil"/>
              <w:left w:val="single" w:sz="4" w:space="0" w:color="auto"/>
              <w:bottom w:val="single" w:sz="4" w:space="0" w:color="auto"/>
              <w:right w:val="single" w:sz="4" w:space="0" w:color="auto"/>
            </w:tcBorders>
            <w:shd w:val="clear" w:color="auto" w:fill="auto"/>
            <w:vAlign w:val="bottom"/>
            <w:hideMark/>
          </w:tcPr>
          <w:p w:rsidR="00A17B97" w:rsidRPr="00297A25" w:rsidRDefault="00A17B97" w:rsidP="00A17B97">
            <w:pPr>
              <w:spacing w:after="0" w:line="240" w:lineRule="auto"/>
              <w:jc w:val="both"/>
              <w:rPr>
                <w:rFonts w:ascii="Arial" w:eastAsia="Times New Roman" w:hAnsi="Arial" w:cs="Arial"/>
                <w:b/>
                <w:bCs/>
                <w:lang w:eastAsia="fr-FR"/>
              </w:rPr>
            </w:pPr>
            <w:r w:rsidRPr="00297A25">
              <w:rPr>
                <w:rFonts w:ascii="Arial" w:eastAsia="Times New Roman" w:hAnsi="Arial" w:cs="Arial"/>
                <w:b/>
                <w:bCs/>
                <w:lang w:eastAsia="fr-FR"/>
              </w:rPr>
              <w:t>Aide projet sans fonds communs</w:t>
            </w:r>
          </w:p>
        </w:tc>
        <w:tc>
          <w:tcPr>
            <w:tcW w:w="2306" w:type="dxa"/>
            <w:tcBorders>
              <w:top w:val="nil"/>
              <w:left w:val="nil"/>
              <w:bottom w:val="single" w:sz="4" w:space="0" w:color="000000"/>
              <w:right w:val="single" w:sz="4" w:space="0" w:color="000000"/>
            </w:tcBorders>
            <w:shd w:val="clear" w:color="auto" w:fill="auto"/>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762,63</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6A39E3" w:rsidP="00A17B97">
            <w:pPr>
              <w:spacing w:after="0" w:line="240" w:lineRule="auto"/>
              <w:jc w:val="center"/>
              <w:rPr>
                <w:rFonts w:ascii="Arial" w:eastAsia="Times New Roman" w:hAnsi="Arial" w:cs="Arial"/>
                <w:b/>
                <w:bCs/>
                <w:lang w:eastAsia="fr-FR"/>
              </w:rPr>
            </w:pPr>
            <w:r>
              <w:rPr>
                <w:rFonts w:ascii="Arial" w:eastAsia="Times New Roman" w:hAnsi="Arial" w:cs="Arial"/>
                <w:b/>
                <w:bCs/>
                <w:lang w:eastAsia="fr-FR"/>
              </w:rPr>
              <w:t>66,9</w:t>
            </w:r>
            <w:r w:rsidR="00A17B97" w:rsidRPr="00297A25">
              <w:rPr>
                <w:rFonts w:ascii="Arial" w:eastAsia="Times New Roman" w:hAnsi="Arial" w:cs="Arial"/>
                <w:b/>
                <w:bCs/>
                <w:lang w:eastAsia="fr-FR"/>
              </w:rPr>
              <w:t>%</w:t>
            </w:r>
          </w:p>
        </w:tc>
      </w:tr>
      <w:tr w:rsidR="00A17B97" w:rsidRPr="00297A25" w:rsidTr="00A17B97">
        <w:trPr>
          <w:trHeight w:val="242"/>
        </w:trPr>
        <w:tc>
          <w:tcPr>
            <w:tcW w:w="4175" w:type="dxa"/>
            <w:tcBorders>
              <w:top w:val="nil"/>
              <w:left w:val="single" w:sz="4" w:space="0" w:color="auto"/>
              <w:bottom w:val="single" w:sz="4" w:space="0" w:color="auto"/>
              <w:right w:val="single" w:sz="4" w:space="0" w:color="auto"/>
            </w:tcBorders>
            <w:shd w:val="clear" w:color="auto" w:fill="auto"/>
            <w:vAlign w:val="center"/>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Bailleurs</w:t>
            </w:r>
          </w:p>
        </w:tc>
        <w:tc>
          <w:tcPr>
            <w:tcW w:w="2306" w:type="dxa"/>
            <w:tcBorders>
              <w:top w:val="nil"/>
              <w:left w:val="nil"/>
              <w:bottom w:val="single" w:sz="4" w:space="0" w:color="auto"/>
              <w:right w:val="single" w:sz="4" w:space="0" w:color="auto"/>
            </w:tcBorders>
            <w:shd w:val="clear" w:color="auto" w:fill="auto"/>
            <w:vAlign w:val="center"/>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Montant en millions $US</w:t>
            </w:r>
          </w:p>
        </w:tc>
        <w:tc>
          <w:tcPr>
            <w:tcW w:w="2523" w:type="dxa"/>
            <w:tcBorders>
              <w:top w:val="nil"/>
              <w:left w:val="nil"/>
              <w:bottom w:val="single" w:sz="4" w:space="0" w:color="auto"/>
              <w:right w:val="single" w:sz="4" w:space="0" w:color="auto"/>
            </w:tcBorders>
            <w:shd w:val="clear" w:color="auto" w:fill="auto"/>
            <w:vAlign w:val="center"/>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Part en % de l’aide projet sans fonds communs</w:t>
            </w:r>
          </w:p>
        </w:tc>
      </w:tr>
      <w:tr w:rsidR="00A17B97" w:rsidRPr="00297A25" w:rsidTr="00A17B97">
        <w:trPr>
          <w:trHeight w:val="112"/>
        </w:trPr>
        <w:tc>
          <w:tcPr>
            <w:tcW w:w="4175" w:type="dxa"/>
            <w:tcBorders>
              <w:top w:val="nil"/>
              <w:left w:val="single" w:sz="4" w:space="0" w:color="auto"/>
              <w:bottom w:val="single" w:sz="4" w:space="0" w:color="auto"/>
              <w:right w:val="single" w:sz="4" w:space="0" w:color="auto"/>
            </w:tcBorders>
            <w:shd w:val="clear" w:color="auto" w:fill="auto"/>
            <w:vAlign w:val="bottom"/>
            <w:hideMark/>
          </w:tcPr>
          <w:p w:rsidR="00A17B97" w:rsidRPr="00297A25" w:rsidRDefault="00A17B97" w:rsidP="00A17B97">
            <w:pPr>
              <w:spacing w:after="0" w:line="240" w:lineRule="auto"/>
              <w:jc w:val="both"/>
              <w:rPr>
                <w:rFonts w:ascii="Arial" w:eastAsia="Times New Roman" w:hAnsi="Arial" w:cs="Arial"/>
                <w:b/>
                <w:bCs/>
                <w:lang w:eastAsia="fr-FR"/>
              </w:rPr>
            </w:pPr>
            <w:r w:rsidRPr="00297A25">
              <w:rPr>
                <w:rFonts w:ascii="Arial" w:eastAsia="Times New Roman" w:hAnsi="Arial" w:cs="Arial"/>
                <w:b/>
                <w:bCs/>
                <w:lang w:eastAsia="fr-FR"/>
              </w:rPr>
              <w:t xml:space="preserve">Principaux Bailleurs : </w:t>
            </w:r>
          </w:p>
        </w:tc>
        <w:tc>
          <w:tcPr>
            <w:tcW w:w="2306" w:type="dxa"/>
            <w:tcBorders>
              <w:top w:val="nil"/>
              <w:left w:val="nil"/>
              <w:bottom w:val="single" w:sz="4" w:space="0" w:color="auto"/>
              <w:right w:val="single" w:sz="4" w:space="0" w:color="auto"/>
            </w:tcBorders>
            <w:shd w:val="clear" w:color="auto" w:fill="auto"/>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455,30</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59,70</w:t>
            </w:r>
          </w:p>
        </w:tc>
      </w:tr>
      <w:tr w:rsidR="00A17B97" w:rsidRPr="00297A25" w:rsidTr="00A17B97">
        <w:trPr>
          <w:trHeight w:val="107"/>
        </w:trPr>
        <w:tc>
          <w:tcPr>
            <w:tcW w:w="4175" w:type="dxa"/>
            <w:tcBorders>
              <w:top w:val="nil"/>
              <w:left w:val="single" w:sz="4" w:space="0" w:color="000000"/>
              <w:bottom w:val="single" w:sz="4" w:space="0" w:color="000000"/>
              <w:right w:val="single" w:sz="4" w:space="0" w:color="000000"/>
            </w:tcBorders>
            <w:shd w:val="clear" w:color="auto" w:fill="auto"/>
            <w:vAlign w:val="bottom"/>
            <w:hideMark/>
          </w:tcPr>
          <w:p w:rsidR="00A17B97" w:rsidRPr="00297A25" w:rsidRDefault="00A17B97" w:rsidP="00A17B97">
            <w:pPr>
              <w:spacing w:after="0" w:line="240" w:lineRule="auto"/>
              <w:rPr>
                <w:rFonts w:ascii="Arial" w:eastAsia="Times New Roman" w:hAnsi="Arial" w:cs="Arial"/>
                <w:b/>
                <w:bCs/>
                <w:lang w:eastAsia="fr-FR"/>
              </w:rPr>
            </w:pPr>
            <w:r w:rsidRPr="00297A25">
              <w:rPr>
                <w:rFonts w:ascii="Arial" w:eastAsia="Times New Roman" w:hAnsi="Arial" w:cs="Arial"/>
                <w:b/>
                <w:bCs/>
                <w:lang w:eastAsia="fr-FR"/>
              </w:rPr>
              <w:t>BM</w:t>
            </w:r>
          </w:p>
        </w:tc>
        <w:tc>
          <w:tcPr>
            <w:tcW w:w="2306" w:type="dxa"/>
            <w:tcBorders>
              <w:top w:val="nil"/>
              <w:left w:val="nil"/>
              <w:bottom w:val="single" w:sz="4" w:space="0" w:color="000000"/>
              <w:right w:val="single" w:sz="4" w:space="0" w:color="000000"/>
            </w:tcBorders>
            <w:shd w:val="clear" w:color="auto" w:fill="auto"/>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144,10</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18,90</w:t>
            </w:r>
          </w:p>
        </w:tc>
      </w:tr>
      <w:tr w:rsidR="00A17B97" w:rsidRPr="00297A25" w:rsidTr="00A17B97">
        <w:trPr>
          <w:trHeight w:val="107"/>
        </w:trPr>
        <w:tc>
          <w:tcPr>
            <w:tcW w:w="4175" w:type="dxa"/>
            <w:tcBorders>
              <w:top w:val="nil"/>
              <w:left w:val="single" w:sz="4" w:space="0" w:color="000000"/>
              <w:bottom w:val="single" w:sz="4" w:space="0" w:color="000000"/>
              <w:right w:val="single" w:sz="4" w:space="0" w:color="000000"/>
            </w:tcBorders>
            <w:shd w:val="clear" w:color="auto" w:fill="auto"/>
            <w:vAlign w:val="bottom"/>
            <w:hideMark/>
          </w:tcPr>
          <w:p w:rsidR="00A17B97" w:rsidRPr="00297A25" w:rsidRDefault="00A17B97" w:rsidP="00A17B97">
            <w:pPr>
              <w:spacing w:after="0" w:line="240" w:lineRule="auto"/>
              <w:rPr>
                <w:rFonts w:ascii="Arial" w:eastAsia="Times New Roman" w:hAnsi="Arial" w:cs="Arial"/>
                <w:b/>
                <w:bCs/>
                <w:lang w:eastAsia="fr-FR"/>
              </w:rPr>
            </w:pPr>
            <w:r w:rsidRPr="00297A25">
              <w:rPr>
                <w:rFonts w:ascii="Arial" w:eastAsia="Times New Roman" w:hAnsi="Arial" w:cs="Arial"/>
                <w:b/>
                <w:bCs/>
                <w:lang w:eastAsia="fr-FR"/>
              </w:rPr>
              <w:t xml:space="preserve">France </w:t>
            </w:r>
          </w:p>
        </w:tc>
        <w:tc>
          <w:tcPr>
            <w:tcW w:w="2306" w:type="dxa"/>
            <w:tcBorders>
              <w:top w:val="nil"/>
              <w:left w:val="nil"/>
              <w:bottom w:val="single" w:sz="4" w:space="0" w:color="000000"/>
              <w:right w:val="single" w:sz="4" w:space="0" w:color="000000"/>
            </w:tcBorders>
            <w:shd w:val="clear" w:color="auto" w:fill="auto"/>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136,93</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17,96</w:t>
            </w:r>
          </w:p>
        </w:tc>
      </w:tr>
      <w:tr w:rsidR="00A17B97" w:rsidRPr="00297A25" w:rsidTr="00A17B97">
        <w:trPr>
          <w:trHeight w:val="107"/>
        </w:trPr>
        <w:tc>
          <w:tcPr>
            <w:tcW w:w="4175" w:type="dxa"/>
            <w:tcBorders>
              <w:top w:val="nil"/>
              <w:left w:val="single" w:sz="4" w:space="0" w:color="000000"/>
              <w:bottom w:val="single" w:sz="4" w:space="0" w:color="000000"/>
              <w:right w:val="single" w:sz="4" w:space="0" w:color="000000"/>
            </w:tcBorders>
            <w:shd w:val="clear" w:color="auto" w:fill="auto"/>
            <w:vAlign w:val="bottom"/>
            <w:hideMark/>
          </w:tcPr>
          <w:p w:rsidR="00A17B97" w:rsidRPr="00297A25" w:rsidRDefault="00A17B97" w:rsidP="00A17B97">
            <w:pPr>
              <w:spacing w:after="0" w:line="240" w:lineRule="auto"/>
              <w:rPr>
                <w:rFonts w:ascii="Arial" w:eastAsia="Times New Roman" w:hAnsi="Arial" w:cs="Arial"/>
                <w:b/>
                <w:bCs/>
                <w:lang w:eastAsia="fr-FR"/>
              </w:rPr>
            </w:pPr>
            <w:r w:rsidRPr="00297A25">
              <w:rPr>
                <w:rFonts w:ascii="Arial" w:eastAsia="Times New Roman" w:hAnsi="Arial" w:cs="Arial"/>
                <w:b/>
                <w:bCs/>
                <w:lang w:eastAsia="fr-FR"/>
              </w:rPr>
              <w:t>SNU</w:t>
            </w:r>
          </w:p>
        </w:tc>
        <w:tc>
          <w:tcPr>
            <w:tcW w:w="2306" w:type="dxa"/>
            <w:tcBorders>
              <w:top w:val="nil"/>
              <w:left w:val="nil"/>
              <w:bottom w:val="single" w:sz="4" w:space="0" w:color="000000"/>
              <w:right w:val="single" w:sz="4" w:space="0" w:color="000000"/>
            </w:tcBorders>
            <w:shd w:val="clear" w:color="auto" w:fill="auto"/>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61,99</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8,13</w:t>
            </w:r>
          </w:p>
        </w:tc>
      </w:tr>
      <w:tr w:rsidR="00A17B97" w:rsidRPr="00297A25" w:rsidTr="00A17B97">
        <w:trPr>
          <w:trHeight w:val="107"/>
        </w:trPr>
        <w:tc>
          <w:tcPr>
            <w:tcW w:w="4175" w:type="dxa"/>
            <w:tcBorders>
              <w:top w:val="nil"/>
              <w:left w:val="single" w:sz="4" w:space="0" w:color="000000"/>
              <w:bottom w:val="single" w:sz="4" w:space="0" w:color="000000"/>
              <w:right w:val="single" w:sz="4" w:space="0" w:color="000000"/>
            </w:tcBorders>
            <w:shd w:val="clear" w:color="auto" w:fill="auto"/>
            <w:vAlign w:val="bottom"/>
            <w:hideMark/>
          </w:tcPr>
          <w:p w:rsidR="00A17B97" w:rsidRPr="00297A25" w:rsidRDefault="00A17B97" w:rsidP="00A17B97">
            <w:pPr>
              <w:spacing w:after="0" w:line="240" w:lineRule="auto"/>
              <w:rPr>
                <w:rFonts w:ascii="Arial" w:eastAsia="Times New Roman" w:hAnsi="Arial" w:cs="Arial"/>
                <w:b/>
                <w:bCs/>
                <w:lang w:eastAsia="fr-FR"/>
              </w:rPr>
            </w:pPr>
            <w:r w:rsidRPr="00297A25">
              <w:rPr>
                <w:rFonts w:ascii="Arial" w:eastAsia="Times New Roman" w:hAnsi="Arial" w:cs="Arial"/>
                <w:b/>
                <w:bCs/>
                <w:lang w:eastAsia="fr-FR"/>
              </w:rPr>
              <w:t>UE</w:t>
            </w:r>
          </w:p>
        </w:tc>
        <w:tc>
          <w:tcPr>
            <w:tcW w:w="2306" w:type="dxa"/>
            <w:tcBorders>
              <w:top w:val="nil"/>
              <w:left w:val="nil"/>
              <w:bottom w:val="single" w:sz="4" w:space="0" w:color="000000"/>
              <w:right w:val="single" w:sz="4" w:space="0" w:color="000000"/>
            </w:tcBorders>
            <w:shd w:val="clear" w:color="auto" w:fill="auto"/>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60,39</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7,92</w:t>
            </w:r>
          </w:p>
        </w:tc>
      </w:tr>
      <w:tr w:rsidR="00A17B97" w:rsidRPr="00297A25" w:rsidTr="00A17B97">
        <w:trPr>
          <w:trHeight w:val="107"/>
        </w:trPr>
        <w:tc>
          <w:tcPr>
            <w:tcW w:w="4175" w:type="dxa"/>
            <w:tcBorders>
              <w:top w:val="nil"/>
              <w:left w:val="single" w:sz="4" w:space="0" w:color="000000"/>
              <w:bottom w:val="single" w:sz="4" w:space="0" w:color="000000"/>
              <w:right w:val="single" w:sz="4" w:space="0" w:color="000000"/>
            </w:tcBorders>
            <w:shd w:val="clear" w:color="auto" w:fill="auto"/>
            <w:vAlign w:val="bottom"/>
            <w:hideMark/>
          </w:tcPr>
          <w:p w:rsidR="00A17B97" w:rsidRPr="00297A25" w:rsidRDefault="00A17B97" w:rsidP="00A17B97">
            <w:pPr>
              <w:spacing w:after="0" w:line="240" w:lineRule="auto"/>
              <w:rPr>
                <w:rFonts w:ascii="Arial" w:eastAsia="Times New Roman" w:hAnsi="Arial" w:cs="Arial"/>
                <w:b/>
                <w:bCs/>
                <w:lang w:eastAsia="fr-FR"/>
              </w:rPr>
            </w:pPr>
            <w:r w:rsidRPr="00297A25">
              <w:rPr>
                <w:rFonts w:ascii="Arial" w:eastAsia="Times New Roman" w:hAnsi="Arial" w:cs="Arial"/>
                <w:b/>
                <w:bCs/>
                <w:lang w:eastAsia="fr-FR"/>
              </w:rPr>
              <w:t>BAD/FAD</w:t>
            </w:r>
          </w:p>
        </w:tc>
        <w:tc>
          <w:tcPr>
            <w:tcW w:w="2306" w:type="dxa"/>
            <w:tcBorders>
              <w:top w:val="nil"/>
              <w:left w:val="nil"/>
              <w:bottom w:val="single" w:sz="4" w:space="0" w:color="000000"/>
              <w:right w:val="single" w:sz="4" w:space="0" w:color="000000"/>
            </w:tcBorders>
            <w:shd w:val="clear" w:color="auto" w:fill="auto"/>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51,88</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6,80</w:t>
            </w:r>
          </w:p>
        </w:tc>
      </w:tr>
      <w:tr w:rsidR="00A17B97" w:rsidRPr="00297A25" w:rsidTr="00A17B97">
        <w:trPr>
          <w:trHeight w:val="112"/>
        </w:trPr>
        <w:tc>
          <w:tcPr>
            <w:tcW w:w="4175" w:type="dxa"/>
            <w:tcBorders>
              <w:top w:val="nil"/>
              <w:left w:val="single" w:sz="4" w:space="0" w:color="auto"/>
              <w:bottom w:val="single" w:sz="4" w:space="0" w:color="auto"/>
              <w:right w:val="single" w:sz="4" w:space="0" w:color="auto"/>
            </w:tcBorders>
            <w:shd w:val="clear" w:color="auto" w:fill="auto"/>
            <w:vAlign w:val="bottom"/>
            <w:hideMark/>
          </w:tcPr>
          <w:p w:rsidR="00A17B97" w:rsidRPr="00297A25" w:rsidRDefault="00A17B97" w:rsidP="00A17B97">
            <w:pPr>
              <w:spacing w:after="0" w:line="240" w:lineRule="auto"/>
              <w:rPr>
                <w:rFonts w:ascii="Arial" w:eastAsia="Times New Roman" w:hAnsi="Arial" w:cs="Arial"/>
                <w:b/>
                <w:bCs/>
                <w:lang w:eastAsia="fr-FR"/>
              </w:rPr>
            </w:pPr>
            <w:r w:rsidRPr="00297A25">
              <w:rPr>
                <w:rFonts w:ascii="Arial" w:eastAsia="Times New Roman" w:hAnsi="Arial" w:cs="Arial"/>
                <w:b/>
                <w:bCs/>
                <w:lang w:eastAsia="fr-FR"/>
              </w:rPr>
              <w:t>Autres</w:t>
            </w:r>
          </w:p>
        </w:tc>
        <w:tc>
          <w:tcPr>
            <w:tcW w:w="2306" w:type="dxa"/>
            <w:tcBorders>
              <w:top w:val="nil"/>
              <w:left w:val="nil"/>
              <w:bottom w:val="single" w:sz="4" w:space="0" w:color="auto"/>
              <w:right w:val="single" w:sz="4" w:space="0" w:color="auto"/>
            </w:tcBorders>
            <w:shd w:val="clear" w:color="auto" w:fill="auto"/>
            <w:vAlign w:val="bottom"/>
            <w:hideMark/>
          </w:tcPr>
          <w:p w:rsidR="00A17B97" w:rsidRPr="00297A25" w:rsidRDefault="00A17B97" w:rsidP="00A17B97">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307,33</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40,30</w:t>
            </w:r>
          </w:p>
        </w:tc>
      </w:tr>
      <w:tr w:rsidR="00A17B97" w:rsidRPr="00297A25" w:rsidTr="00F76D92">
        <w:trPr>
          <w:trHeight w:val="452"/>
        </w:trPr>
        <w:tc>
          <w:tcPr>
            <w:tcW w:w="4175" w:type="dxa"/>
            <w:tcBorders>
              <w:top w:val="nil"/>
              <w:left w:val="single" w:sz="4" w:space="0" w:color="auto"/>
              <w:bottom w:val="single" w:sz="4" w:space="0" w:color="auto"/>
              <w:right w:val="single" w:sz="4" w:space="0" w:color="auto"/>
            </w:tcBorders>
            <w:shd w:val="clear" w:color="auto" w:fill="CCFFFF"/>
            <w:vAlign w:val="center"/>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Répartition par conditions</w:t>
            </w:r>
          </w:p>
        </w:tc>
        <w:tc>
          <w:tcPr>
            <w:tcW w:w="2306" w:type="dxa"/>
            <w:tcBorders>
              <w:top w:val="nil"/>
              <w:left w:val="nil"/>
              <w:bottom w:val="single" w:sz="4" w:space="0" w:color="auto"/>
              <w:right w:val="single" w:sz="4" w:space="0" w:color="auto"/>
            </w:tcBorders>
            <w:shd w:val="clear" w:color="auto" w:fill="CCFFFF"/>
            <w:vAlign w:val="center"/>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Montant (millions de $US)</w:t>
            </w:r>
          </w:p>
        </w:tc>
        <w:tc>
          <w:tcPr>
            <w:tcW w:w="2523" w:type="dxa"/>
            <w:tcBorders>
              <w:top w:val="nil"/>
              <w:left w:val="nil"/>
              <w:bottom w:val="single" w:sz="4" w:space="0" w:color="auto"/>
              <w:right w:val="single" w:sz="4" w:space="0" w:color="auto"/>
            </w:tcBorders>
            <w:shd w:val="clear" w:color="auto" w:fill="CCFFFF"/>
            <w:vAlign w:val="center"/>
            <w:hideMark/>
          </w:tcPr>
          <w:p w:rsidR="00A17B97" w:rsidRPr="00297A25" w:rsidRDefault="00A17B97" w:rsidP="00A17B97">
            <w:pPr>
              <w:spacing w:after="0" w:line="240" w:lineRule="auto"/>
              <w:jc w:val="center"/>
              <w:rPr>
                <w:rFonts w:ascii="Arial" w:eastAsia="Times New Roman" w:hAnsi="Arial" w:cs="Arial"/>
                <w:b/>
                <w:bCs/>
                <w:lang w:eastAsia="fr-FR"/>
              </w:rPr>
            </w:pPr>
            <w:r w:rsidRPr="00297A25">
              <w:rPr>
                <w:rFonts w:ascii="Arial" w:eastAsia="Times New Roman" w:hAnsi="Arial" w:cs="Arial"/>
                <w:b/>
                <w:bCs/>
                <w:lang w:eastAsia="fr-FR"/>
              </w:rPr>
              <w:t>en % de l’aide projet sans fonds communs</w:t>
            </w:r>
          </w:p>
        </w:tc>
      </w:tr>
      <w:tr w:rsidR="00A17B97" w:rsidRPr="00297A25" w:rsidTr="00A17B97">
        <w:trPr>
          <w:trHeight w:val="112"/>
        </w:trPr>
        <w:tc>
          <w:tcPr>
            <w:tcW w:w="4175" w:type="dxa"/>
            <w:tcBorders>
              <w:top w:val="nil"/>
              <w:left w:val="single" w:sz="4" w:space="0" w:color="auto"/>
              <w:bottom w:val="single" w:sz="4" w:space="0" w:color="auto"/>
              <w:right w:val="single" w:sz="4" w:space="0" w:color="auto"/>
            </w:tcBorders>
            <w:shd w:val="clear" w:color="auto" w:fill="auto"/>
            <w:vAlign w:val="bottom"/>
            <w:hideMark/>
          </w:tcPr>
          <w:p w:rsidR="00A17B97" w:rsidRPr="00297A25" w:rsidRDefault="00A17B97" w:rsidP="00A17B97">
            <w:pPr>
              <w:spacing w:after="0" w:line="240" w:lineRule="auto"/>
              <w:rPr>
                <w:rFonts w:ascii="Arial" w:eastAsia="Times New Roman" w:hAnsi="Arial" w:cs="Arial"/>
                <w:b/>
                <w:bCs/>
                <w:lang w:eastAsia="fr-FR"/>
              </w:rPr>
            </w:pPr>
            <w:r w:rsidRPr="00297A25">
              <w:rPr>
                <w:rFonts w:ascii="Arial" w:eastAsia="Times New Roman" w:hAnsi="Arial" w:cs="Arial"/>
                <w:b/>
                <w:bCs/>
                <w:lang w:eastAsia="fr-FR"/>
              </w:rPr>
              <w:t>Dons</w:t>
            </w:r>
          </w:p>
        </w:tc>
        <w:tc>
          <w:tcPr>
            <w:tcW w:w="2306" w:type="dxa"/>
            <w:tcBorders>
              <w:top w:val="nil"/>
              <w:left w:val="nil"/>
              <w:bottom w:val="single" w:sz="4" w:space="0" w:color="000000"/>
              <w:right w:val="single" w:sz="4" w:space="0" w:color="000000"/>
            </w:tcBorders>
            <w:shd w:val="clear" w:color="auto" w:fill="auto"/>
            <w:hideMark/>
          </w:tcPr>
          <w:p w:rsidR="00A17B97" w:rsidRPr="00297A25" w:rsidRDefault="00A17B97" w:rsidP="00A17B97">
            <w:pPr>
              <w:spacing w:after="0" w:line="240" w:lineRule="auto"/>
              <w:jc w:val="right"/>
              <w:rPr>
                <w:rFonts w:ascii="Arial" w:eastAsia="Times New Roman" w:hAnsi="Arial" w:cs="Arial"/>
                <w:lang w:eastAsia="fr-FR"/>
              </w:rPr>
            </w:pPr>
            <w:r w:rsidRPr="00297A25">
              <w:rPr>
                <w:rFonts w:ascii="Arial" w:eastAsia="Times New Roman" w:hAnsi="Arial" w:cs="Arial"/>
                <w:lang w:eastAsia="fr-FR"/>
              </w:rPr>
              <w:t>574,43</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A17B97" w:rsidP="006A39E3">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75,3</w:t>
            </w:r>
          </w:p>
        </w:tc>
      </w:tr>
      <w:tr w:rsidR="00A17B97" w:rsidRPr="00297A25" w:rsidTr="00A17B97">
        <w:trPr>
          <w:trHeight w:val="112"/>
        </w:trPr>
        <w:tc>
          <w:tcPr>
            <w:tcW w:w="4175" w:type="dxa"/>
            <w:tcBorders>
              <w:top w:val="nil"/>
              <w:left w:val="single" w:sz="4" w:space="0" w:color="auto"/>
              <w:bottom w:val="single" w:sz="4" w:space="0" w:color="auto"/>
              <w:right w:val="single" w:sz="4" w:space="0" w:color="auto"/>
            </w:tcBorders>
            <w:shd w:val="clear" w:color="auto" w:fill="auto"/>
            <w:vAlign w:val="bottom"/>
            <w:hideMark/>
          </w:tcPr>
          <w:p w:rsidR="00A17B97" w:rsidRPr="00297A25" w:rsidRDefault="00A17B97" w:rsidP="00A17B97">
            <w:pPr>
              <w:spacing w:after="0" w:line="240" w:lineRule="auto"/>
              <w:rPr>
                <w:rFonts w:ascii="Arial" w:eastAsia="Times New Roman" w:hAnsi="Arial" w:cs="Arial"/>
                <w:b/>
                <w:bCs/>
                <w:lang w:eastAsia="fr-FR"/>
              </w:rPr>
            </w:pPr>
            <w:r w:rsidRPr="00297A25">
              <w:rPr>
                <w:rFonts w:ascii="Arial" w:eastAsia="Times New Roman" w:hAnsi="Arial" w:cs="Arial"/>
                <w:b/>
                <w:bCs/>
                <w:lang w:eastAsia="fr-FR"/>
              </w:rPr>
              <w:t>Prêts</w:t>
            </w:r>
          </w:p>
        </w:tc>
        <w:tc>
          <w:tcPr>
            <w:tcW w:w="2306" w:type="dxa"/>
            <w:tcBorders>
              <w:top w:val="nil"/>
              <w:left w:val="nil"/>
              <w:bottom w:val="single" w:sz="4" w:space="0" w:color="000000"/>
              <w:right w:val="single" w:sz="4" w:space="0" w:color="000000"/>
            </w:tcBorders>
            <w:shd w:val="clear" w:color="auto" w:fill="auto"/>
            <w:hideMark/>
          </w:tcPr>
          <w:p w:rsidR="00A17B97" w:rsidRPr="00297A25" w:rsidRDefault="00A17B97" w:rsidP="00A17B97">
            <w:pPr>
              <w:spacing w:after="0" w:line="240" w:lineRule="auto"/>
              <w:jc w:val="right"/>
              <w:rPr>
                <w:rFonts w:ascii="Arial" w:eastAsia="Times New Roman" w:hAnsi="Arial" w:cs="Arial"/>
                <w:lang w:eastAsia="fr-FR"/>
              </w:rPr>
            </w:pPr>
            <w:r w:rsidRPr="00297A25">
              <w:rPr>
                <w:rFonts w:ascii="Arial" w:eastAsia="Times New Roman" w:hAnsi="Arial" w:cs="Arial"/>
                <w:lang w:eastAsia="fr-FR"/>
              </w:rPr>
              <w:t>188,21</w:t>
            </w:r>
          </w:p>
        </w:tc>
        <w:tc>
          <w:tcPr>
            <w:tcW w:w="2523" w:type="dxa"/>
            <w:tcBorders>
              <w:top w:val="nil"/>
              <w:left w:val="nil"/>
              <w:bottom w:val="single" w:sz="4" w:space="0" w:color="auto"/>
              <w:right w:val="single" w:sz="4" w:space="0" w:color="auto"/>
            </w:tcBorders>
            <w:shd w:val="clear" w:color="auto" w:fill="auto"/>
            <w:noWrap/>
            <w:vAlign w:val="bottom"/>
            <w:hideMark/>
          </w:tcPr>
          <w:p w:rsidR="00A17B97" w:rsidRPr="00297A25" w:rsidRDefault="00A17B97" w:rsidP="006A39E3">
            <w:pPr>
              <w:spacing w:after="0" w:line="240" w:lineRule="auto"/>
              <w:jc w:val="center"/>
              <w:rPr>
                <w:rFonts w:ascii="Arial" w:eastAsia="Times New Roman" w:hAnsi="Arial" w:cs="Arial"/>
                <w:lang w:eastAsia="fr-FR"/>
              </w:rPr>
            </w:pPr>
            <w:r w:rsidRPr="00297A25">
              <w:rPr>
                <w:rFonts w:ascii="Arial" w:eastAsia="Times New Roman" w:hAnsi="Arial" w:cs="Arial"/>
                <w:lang w:eastAsia="fr-FR"/>
              </w:rPr>
              <w:t>24,</w:t>
            </w:r>
            <w:r w:rsidR="006A39E3">
              <w:rPr>
                <w:rFonts w:ascii="Arial" w:eastAsia="Times New Roman" w:hAnsi="Arial" w:cs="Arial"/>
                <w:lang w:eastAsia="fr-FR"/>
              </w:rPr>
              <w:t>7</w:t>
            </w:r>
          </w:p>
        </w:tc>
      </w:tr>
    </w:tbl>
    <w:p w:rsidR="009A4DF8" w:rsidRPr="00387F4A" w:rsidRDefault="009A4DF8" w:rsidP="009A4DF8">
      <w:pPr>
        <w:tabs>
          <w:tab w:val="left" w:pos="2160"/>
        </w:tabs>
        <w:jc w:val="both"/>
        <w:rPr>
          <w:rFonts w:ascii="Arial" w:hAnsi="Arial" w:cs="Arial"/>
          <w:bCs/>
          <w:i/>
        </w:rPr>
      </w:pPr>
      <w:r w:rsidRPr="00387F4A">
        <w:rPr>
          <w:rFonts w:ascii="Arial" w:hAnsi="Arial" w:cs="Arial"/>
          <w:b/>
          <w:bCs/>
          <w:i/>
          <w:u w:val="single"/>
        </w:rPr>
        <w:t>Source</w:t>
      </w:r>
      <w:r w:rsidRPr="00387F4A">
        <w:rPr>
          <w:rFonts w:ascii="Arial" w:hAnsi="Arial" w:cs="Arial"/>
          <w:b/>
          <w:bCs/>
          <w:i/>
        </w:rPr>
        <w:t> </w:t>
      </w:r>
      <w:r w:rsidRPr="00387F4A">
        <w:rPr>
          <w:rFonts w:ascii="Arial" w:hAnsi="Arial" w:cs="Arial"/>
          <w:bCs/>
          <w:i/>
        </w:rPr>
        <w:t>: PGA/DGCOOP, Juillet 201</w:t>
      </w:r>
      <w:r>
        <w:rPr>
          <w:rFonts w:ascii="Arial" w:hAnsi="Arial" w:cs="Arial"/>
          <w:bCs/>
          <w:i/>
        </w:rPr>
        <w:t>7</w:t>
      </w:r>
    </w:p>
    <w:p w:rsidR="00645382" w:rsidRPr="00223BB0" w:rsidRDefault="00645382" w:rsidP="00645382">
      <w:pPr>
        <w:rPr>
          <w:rFonts w:ascii="Arial" w:hAnsi="Arial" w:cs="Arial"/>
        </w:rPr>
      </w:pPr>
      <w:bookmarkStart w:id="341" w:name="_Toc368779229"/>
      <w:bookmarkStart w:id="342" w:name="_Toc400703574"/>
      <w:bookmarkStart w:id="343" w:name="_Toc424706032"/>
      <w:r w:rsidRPr="00387F4A">
        <w:rPr>
          <w:rFonts w:ascii="Arial" w:hAnsi="Arial" w:cs="Arial"/>
        </w:rPr>
        <w:t>Le graphique ci-dessous présente les contributions des dix principaux PTF qui ont fourni de l’Aide projet sans fonds communs en 2016.</w:t>
      </w:r>
    </w:p>
    <w:p w:rsidR="001251D5" w:rsidRPr="00F76D92" w:rsidRDefault="00F76D92" w:rsidP="00F76D92">
      <w:pPr>
        <w:pStyle w:val="Lgende"/>
        <w:rPr>
          <w:color w:val="auto"/>
          <w:u w:val="none"/>
        </w:rPr>
      </w:pPr>
      <w:bookmarkStart w:id="344" w:name="_Toc492895736"/>
      <w:r w:rsidRPr="00F76D92">
        <w:rPr>
          <w:color w:val="auto"/>
        </w:rPr>
        <w:t xml:space="preserve">Graphique </w:t>
      </w:r>
      <w:r w:rsidRPr="00F76D92">
        <w:rPr>
          <w:color w:val="auto"/>
        </w:rPr>
        <w:fldChar w:fldCharType="begin"/>
      </w:r>
      <w:r w:rsidRPr="00F76D92">
        <w:rPr>
          <w:color w:val="auto"/>
        </w:rPr>
        <w:instrText xml:space="preserve"> SEQ Graphique \* ARABIC </w:instrText>
      </w:r>
      <w:r w:rsidRPr="00F76D92">
        <w:rPr>
          <w:color w:val="auto"/>
        </w:rPr>
        <w:fldChar w:fldCharType="separate"/>
      </w:r>
      <w:r w:rsidR="009A1402">
        <w:rPr>
          <w:noProof/>
          <w:color w:val="auto"/>
        </w:rPr>
        <w:t>3</w:t>
      </w:r>
      <w:r w:rsidRPr="00F76D92">
        <w:rPr>
          <w:color w:val="auto"/>
        </w:rPr>
        <w:fldChar w:fldCharType="end"/>
      </w:r>
      <w:r>
        <w:rPr>
          <w:color w:val="auto"/>
        </w:rPr>
        <w:t> :</w:t>
      </w:r>
      <w:r w:rsidR="009A4DF8" w:rsidRPr="00F76D92">
        <w:rPr>
          <w:color w:val="auto"/>
        </w:rPr>
        <w:t xml:space="preserve"> </w:t>
      </w:r>
      <w:r w:rsidR="009A4DF8" w:rsidRPr="00F76D92">
        <w:rPr>
          <w:color w:val="auto"/>
          <w:u w:val="none"/>
        </w:rPr>
        <w:t xml:space="preserve">Contribution des 10 principaux bailleurs faisant de l’Aide projet sans fonds </w:t>
      </w:r>
      <w:bookmarkEnd w:id="341"/>
      <w:r w:rsidR="009A4DF8" w:rsidRPr="00F76D92">
        <w:rPr>
          <w:color w:val="auto"/>
          <w:u w:val="none"/>
        </w:rPr>
        <w:t>communs en 201</w:t>
      </w:r>
      <w:bookmarkEnd w:id="342"/>
      <w:r w:rsidR="009A4DF8" w:rsidRPr="00F76D92">
        <w:rPr>
          <w:color w:val="auto"/>
          <w:u w:val="none"/>
        </w:rPr>
        <w:t>6 (en millions dollars US)</w:t>
      </w:r>
      <w:bookmarkEnd w:id="343"/>
      <w:bookmarkEnd w:id="344"/>
    </w:p>
    <w:p w:rsidR="009A4DF8" w:rsidRPr="003206FB" w:rsidRDefault="00A17B97" w:rsidP="003022DC">
      <w:pPr>
        <w:tabs>
          <w:tab w:val="left" w:pos="2160"/>
        </w:tabs>
        <w:spacing w:after="40" w:line="240" w:lineRule="auto"/>
        <w:jc w:val="both"/>
        <w:rPr>
          <w:rFonts w:ascii="Arial" w:hAnsi="Arial" w:cs="Arial"/>
          <w:noProof/>
          <w:lang w:eastAsia="fr-FR"/>
        </w:rPr>
      </w:pPr>
      <w:r w:rsidRPr="003206FB">
        <w:rPr>
          <w:noProof/>
          <w:lang w:eastAsia="fr-FR"/>
        </w:rPr>
        <w:drawing>
          <wp:inline distT="0" distB="0" distL="0" distR="0" wp14:anchorId="09108A19" wp14:editId="5A8E8FC3">
            <wp:extent cx="5760720" cy="2053087"/>
            <wp:effectExtent l="0" t="0" r="11430" b="4445"/>
            <wp:docPr id="11" name="Graphique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9A4DF8" w:rsidRPr="00387F4A" w:rsidRDefault="009A4DF8" w:rsidP="009A4DF8">
      <w:pPr>
        <w:tabs>
          <w:tab w:val="left" w:pos="2160"/>
        </w:tabs>
        <w:jc w:val="both"/>
        <w:rPr>
          <w:rFonts w:ascii="Arial" w:hAnsi="Arial" w:cs="Arial"/>
          <w:bCs/>
          <w:i/>
        </w:rPr>
      </w:pPr>
      <w:r w:rsidRPr="00387F4A">
        <w:rPr>
          <w:rFonts w:ascii="Arial" w:hAnsi="Arial" w:cs="Arial"/>
          <w:b/>
          <w:bCs/>
          <w:i/>
          <w:u w:val="single"/>
        </w:rPr>
        <w:t>Source</w:t>
      </w:r>
      <w:r w:rsidRPr="00387F4A">
        <w:rPr>
          <w:rFonts w:ascii="Arial" w:hAnsi="Arial" w:cs="Arial"/>
          <w:b/>
          <w:bCs/>
          <w:i/>
        </w:rPr>
        <w:t xml:space="preserve"> : </w:t>
      </w:r>
      <w:r w:rsidRPr="00387F4A">
        <w:rPr>
          <w:rFonts w:ascii="Arial" w:hAnsi="Arial" w:cs="Arial"/>
          <w:bCs/>
          <w:i/>
        </w:rPr>
        <w:t>PGA/DGCOOP, Juillet 201</w:t>
      </w:r>
      <w:r>
        <w:rPr>
          <w:rFonts w:ascii="Arial" w:hAnsi="Arial" w:cs="Arial"/>
          <w:bCs/>
          <w:i/>
        </w:rPr>
        <w:t>7</w:t>
      </w:r>
    </w:p>
    <w:p w:rsidR="00645382" w:rsidRPr="007F400B" w:rsidRDefault="00645382" w:rsidP="00645382">
      <w:pPr>
        <w:jc w:val="both"/>
        <w:rPr>
          <w:rFonts w:ascii="Arial" w:hAnsi="Arial" w:cs="Arial"/>
        </w:rPr>
      </w:pPr>
      <w:bookmarkStart w:id="345" w:name="_Toc336091056"/>
      <w:bookmarkStart w:id="346" w:name="_Toc368483808"/>
      <w:bookmarkStart w:id="347" w:name="_Toc399933258"/>
      <w:bookmarkStart w:id="348" w:name="_Toc424711001"/>
      <w:bookmarkStart w:id="349" w:name="_Toc427009749"/>
      <w:bookmarkStart w:id="350" w:name="_Toc461526808"/>
      <w:bookmarkStart w:id="351" w:name="_Toc461617989"/>
      <w:r w:rsidRPr="007F400B">
        <w:rPr>
          <w:rFonts w:ascii="Arial" w:hAnsi="Arial" w:cs="Arial"/>
        </w:rPr>
        <w:t>Les principaux projets bénéfici</w:t>
      </w:r>
      <w:r>
        <w:rPr>
          <w:rFonts w:ascii="Arial" w:hAnsi="Arial" w:cs="Arial"/>
        </w:rPr>
        <w:t>aires</w:t>
      </w:r>
      <w:r w:rsidRPr="007F400B">
        <w:rPr>
          <w:rFonts w:ascii="Arial" w:hAnsi="Arial" w:cs="Arial"/>
        </w:rPr>
        <w:t xml:space="preserve"> de </w:t>
      </w:r>
      <w:r>
        <w:rPr>
          <w:rFonts w:ascii="Arial" w:hAnsi="Arial" w:cs="Arial"/>
        </w:rPr>
        <w:t>l</w:t>
      </w:r>
      <w:r w:rsidRPr="00387F4A">
        <w:rPr>
          <w:rFonts w:ascii="Arial" w:hAnsi="Arial" w:cs="Arial"/>
        </w:rPr>
        <w:t xml:space="preserve">’aide projet sans fonds communs </w:t>
      </w:r>
      <w:r w:rsidRPr="007F400B">
        <w:rPr>
          <w:rFonts w:ascii="Arial" w:hAnsi="Arial" w:cs="Arial"/>
        </w:rPr>
        <w:t>en 2016 sont :</w:t>
      </w:r>
    </w:p>
    <w:p w:rsidR="00645382" w:rsidRPr="00645382" w:rsidRDefault="00645382" w:rsidP="008D7758">
      <w:pPr>
        <w:pStyle w:val="Paragraphedeliste"/>
        <w:numPr>
          <w:ilvl w:val="0"/>
          <w:numId w:val="111"/>
        </w:numPr>
        <w:jc w:val="both"/>
        <w:rPr>
          <w:rFonts w:ascii="Arial" w:hAnsi="Arial" w:cs="Arial"/>
        </w:rPr>
      </w:pPr>
      <w:r w:rsidRPr="00645382">
        <w:rPr>
          <w:rFonts w:ascii="Arial" w:hAnsi="Arial" w:cs="Arial"/>
        </w:rPr>
        <w:t>le  Partenariat mondial pour l’éducation (PME)  financé par la France pour un montant de 30,21 millions dollars US ;</w:t>
      </w:r>
    </w:p>
    <w:p w:rsidR="00645382" w:rsidRPr="00645382" w:rsidRDefault="00645382" w:rsidP="008D7758">
      <w:pPr>
        <w:pStyle w:val="Paragraphedeliste"/>
        <w:numPr>
          <w:ilvl w:val="0"/>
          <w:numId w:val="111"/>
        </w:numPr>
        <w:jc w:val="both"/>
        <w:rPr>
          <w:rFonts w:ascii="Arial" w:hAnsi="Arial" w:cs="Arial"/>
        </w:rPr>
      </w:pPr>
      <w:r w:rsidRPr="00645382">
        <w:rPr>
          <w:rFonts w:ascii="Arial" w:hAnsi="Arial" w:cs="Arial"/>
        </w:rPr>
        <w:t>le projet sectoriel eau en milieu urbain (urban sector water project), financé par la Banque Mondiale pour un montant de 29,30 millions dollars US ;</w:t>
      </w:r>
    </w:p>
    <w:p w:rsidR="00645382" w:rsidRPr="00645382" w:rsidRDefault="00645382" w:rsidP="008D7758">
      <w:pPr>
        <w:pStyle w:val="Paragraphedeliste"/>
        <w:numPr>
          <w:ilvl w:val="0"/>
          <w:numId w:val="111"/>
        </w:numPr>
        <w:jc w:val="both"/>
        <w:rPr>
          <w:rFonts w:ascii="Arial" w:hAnsi="Arial" w:cs="Arial"/>
        </w:rPr>
      </w:pPr>
      <w:r w:rsidRPr="00645382">
        <w:rPr>
          <w:rFonts w:ascii="Arial" w:hAnsi="Arial" w:cs="Arial"/>
        </w:rPr>
        <w:t>l’appui budgétaire du programme économique régional PER UEMOA, financé par la France à hauteur de 25,71 millions dollars US ;</w:t>
      </w:r>
    </w:p>
    <w:p w:rsidR="00645382" w:rsidRPr="00645382" w:rsidRDefault="00645382" w:rsidP="008D7758">
      <w:pPr>
        <w:pStyle w:val="Paragraphedeliste"/>
        <w:numPr>
          <w:ilvl w:val="0"/>
          <w:numId w:val="111"/>
        </w:numPr>
        <w:jc w:val="both"/>
        <w:rPr>
          <w:rFonts w:ascii="Arial" w:hAnsi="Arial" w:cs="Arial"/>
        </w:rPr>
      </w:pPr>
      <w:r w:rsidRPr="00645382">
        <w:rPr>
          <w:rFonts w:ascii="Arial" w:hAnsi="Arial" w:cs="Arial"/>
        </w:rPr>
        <w:t>le Programme d’appui aux filières agro-sylvo-pastorales (PAFASP) financé par la Banque Mondiale pour un montant de 21,60 millions dollars US ;</w:t>
      </w:r>
    </w:p>
    <w:p w:rsidR="00645382" w:rsidRDefault="00645382" w:rsidP="008D7758">
      <w:pPr>
        <w:pStyle w:val="Paragraphedeliste"/>
        <w:numPr>
          <w:ilvl w:val="0"/>
          <w:numId w:val="111"/>
        </w:numPr>
        <w:jc w:val="both"/>
        <w:rPr>
          <w:rFonts w:ascii="Arial" w:hAnsi="Arial" w:cs="Arial"/>
        </w:rPr>
      </w:pPr>
      <w:r w:rsidRPr="00645382">
        <w:rPr>
          <w:rFonts w:ascii="Arial" w:hAnsi="Arial" w:cs="Arial"/>
        </w:rPr>
        <w:t>L’assainissement des quartiers périphériques de Ouagadougou financé par BAD/FAD pour un montant de 20,95 millions dollars US.</w:t>
      </w:r>
    </w:p>
    <w:p w:rsidR="003D6C65" w:rsidRPr="00645382" w:rsidRDefault="003D6C65" w:rsidP="008D7758">
      <w:pPr>
        <w:pStyle w:val="Paragraphedeliste"/>
        <w:numPr>
          <w:ilvl w:val="0"/>
          <w:numId w:val="111"/>
        </w:numPr>
        <w:jc w:val="both"/>
        <w:rPr>
          <w:rFonts w:ascii="Arial" w:hAnsi="Arial" w:cs="Arial"/>
        </w:rPr>
      </w:pPr>
    </w:p>
    <w:p w:rsidR="009A4DF8" w:rsidRPr="00243045" w:rsidRDefault="009A4DF8" w:rsidP="008D7758">
      <w:pPr>
        <w:pStyle w:val="Titre4"/>
        <w:numPr>
          <w:ilvl w:val="0"/>
          <w:numId w:val="126"/>
        </w:numPr>
        <w:tabs>
          <w:tab w:val="left" w:pos="1134"/>
        </w:tabs>
        <w:ind w:left="2205" w:hanging="220"/>
        <w:rPr>
          <w:lang w:eastAsia="fr-FR"/>
        </w:rPr>
      </w:pPr>
      <w:bookmarkStart w:id="352" w:name="_Toc492972200"/>
      <w:r w:rsidRPr="00243045">
        <w:rPr>
          <w:lang w:eastAsia="fr-FR"/>
        </w:rPr>
        <w:lastRenderedPageBreak/>
        <w:t>L’Aide projet avec fonds communs</w:t>
      </w:r>
      <w:bookmarkEnd w:id="345"/>
      <w:bookmarkEnd w:id="346"/>
      <w:bookmarkEnd w:id="347"/>
      <w:bookmarkEnd w:id="348"/>
      <w:bookmarkEnd w:id="349"/>
      <w:bookmarkEnd w:id="350"/>
      <w:bookmarkEnd w:id="351"/>
      <w:bookmarkEnd w:id="352"/>
    </w:p>
    <w:p w:rsidR="00645382" w:rsidRPr="00645382" w:rsidRDefault="00645382" w:rsidP="00645382">
      <w:pPr>
        <w:jc w:val="both"/>
        <w:rPr>
          <w:rFonts w:ascii="Arial" w:hAnsi="Arial" w:cs="Arial"/>
        </w:rPr>
      </w:pPr>
      <w:bookmarkStart w:id="353" w:name="_Toc368779365"/>
      <w:r w:rsidRPr="00645382">
        <w:rPr>
          <w:rFonts w:ascii="Arial" w:hAnsi="Arial" w:cs="Arial"/>
        </w:rPr>
        <w:t>Les fonds communs ou paniers communs constituent une modalité de financement préconisée par les engagements internationaux sur l’efficacité de l’aide en vue d’harmoniser les procédures et les conditions de décaissements. Un des PTF, chef de file, assure la coordination avec le Gouvernement dans sa mise en œuvre.</w:t>
      </w:r>
    </w:p>
    <w:p w:rsidR="00645382" w:rsidRPr="00645382" w:rsidRDefault="00645382" w:rsidP="00645382">
      <w:pPr>
        <w:jc w:val="both"/>
        <w:rPr>
          <w:rFonts w:ascii="Arial" w:hAnsi="Arial" w:cs="Arial"/>
        </w:rPr>
      </w:pPr>
      <w:r w:rsidRPr="00645382">
        <w:rPr>
          <w:rFonts w:ascii="Arial" w:hAnsi="Arial" w:cs="Arial"/>
        </w:rPr>
        <w:t>En 2016, l’aide projet avec fonds communs est évaluée à 63,39 millions dollars US contre 38,08 millions dollars US en 2015, soit une hausse de 66,5%. Elle a représenté 5,6% de l’APD totale et 7,7% de l’aide projet en 2016. Les trois bailleurs qui ont le plus contribué à ce type d’assistance ont été la Suède, la France et le Canada avec des parts respectives de 29,8%, 18,3% et 15,9%. L’aide projet avec fonds communs de 2016 a été exclusivement fournie sous forme de dons.</w:t>
      </w:r>
    </w:p>
    <w:p w:rsidR="009A4DF8" w:rsidRPr="00387F4A" w:rsidRDefault="009A4DF8" w:rsidP="009A4DF8">
      <w:pPr>
        <w:jc w:val="both"/>
        <w:rPr>
          <w:rFonts w:ascii="Arial" w:hAnsi="Arial" w:cs="Arial"/>
        </w:rPr>
      </w:pPr>
      <w:r w:rsidRPr="00387F4A">
        <w:rPr>
          <w:rFonts w:ascii="Arial" w:hAnsi="Arial" w:cs="Arial"/>
        </w:rPr>
        <w:t>Le tableau ci-dessous présente la liste des principaux bailleurs de fonds ayant apporté une aide projet avec fonds commun.</w:t>
      </w:r>
    </w:p>
    <w:p w:rsidR="00A17B97" w:rsidRPr="00F76D92" w:rsidRDefault="00F76D92" w:rsidP="00F76D92">
      <w:pPr>
        <w:pStyle w:val="Lgende"/>
        <w:rPr>
          <w:color w:val="auto"/>
          <w:u w:val="none"/>
        </w:rPr>
      </w:pPr>
      <w:bookmarkStart w:id="354" w:name="_Toc492895481"/>
      <w:r w:rsidRPr="00F76D92">
        <w:rPr>
          <w:color w:val="auto"/>
        </w:rPr>
        <w:t xml:space="preserve">Tableau </w:t>
      </w:r>
      <w:r w:rsidRPr="00F76D92">
        <w:rPr>
          <w:color w:val="auto"/>
        </w:rPr>
        <w:fldChar w:fldCharType="begin"/>
      </w:r>
      <w:r w:rsidRPr="00F76D92">
        <w:rPr>
          <w:color w:val="auto"/>
        </w:rPr>
        <w:instrText xml:space="preserve"> SEQ Tableau \* ARABIC </w:instrText>
      </w:r>
      <w:r w:rsidRPr="00F76D92">
        <w:rPr>
          <w:color w:val="auto"/>
        </w:rPr>
        <w:fldChar w:fldCharType="separate"/>
      </w:r>
      <w:r w:rsidR="009A1402">
        <w:rPr>
          <w:noProof/>
          <w:color w:val="auto"/>
        </w:rPr>
        <w:t>13</w:t>
      </w:r>
      <w:r w:rsidRPr="00F76D92">
        <w:rPr>
          <w:color w:val="auto"/>
        </w:rPr>
        <w:fldChar w:fldCharType="end"/>
      </w:r>
      <w:r w:rsidRPr="00F76D92">
        <w:rPr>
          <w:color w:val="auto"/>
        </w:rPr>
        <w:t> :</w:t>
      </w:r>
      <w:r w:rsidR="009A4DF8" w:rsidRPr="00F76D92">
        <w:rPr>
          <w:color w:val="auto"/>
        </w:rPr>
        <w:t xml:space="preserve"> </w:t>
      </w:r>
      <w:r w:rsidR="009A4DF8" w:rsidRPr="00F76D92">
        <w:rPr>
          <w:color w:val="auto"/>
          <w:u w:val="none"/>
        </w:rPr>
        <w:t>Principales caractéristiques de l’aide projet avec fonds communs en 2016</w:t>
      </w:r>
      <w:bookmarkEnd w:id="354"/>
    </w:p>
    <w:tbl>
      <w:tblPr>
        <w:tblW w:w="9689" w:type="dxa"/>
        <w:tblInd w:w="75" w:type="dxa"/>
        <w:tblCellMar>
          <w:left w:w="70" w:type="dxa"/>
          <w:right w:w="70" w:type="dxa"/>
        </w:tblCellMar>
        <w:tblLook w:val="04A0" w:firstRow="1" w:lastRow="0" w:firstColumn="1" w:lastColumn="0" w:noHBand="0" w:noVBand="1"/>
      </w:tblPr>
      <w:tblGrid>
        <w:gridCol w:w="4604"/>
        <w:gridCol w:w="2361"/>
        <w:gridCol w:w="2724"/>
      </w:tblGrid>
      <w:tr w:rsidR="00A17B97" w:rsidRPr="003206FB" w:rsidTr="00F76D92">
        <w:trPr>
          <w:trHeight w:val="259"/>
        </w:trPr>
        <w:tc>
          <w:tcPr>
            <w:tcW w:w="4604" w:type="dxa"/>
            <w:tcBorders>
              <w:top w:val="single" w:sz="4" w:space="0" w:color="auto"/>
              <w:left w:val="single" w:sz="4" w:space="0" w:color="auto"/>
              <w:bottom w:val="single" w:sz="4" w:space="0" w:color="auto"/>
              <w:right w:val="single" w:sz="4" w:space="0" w:color="auto"/>
            </w:tcBorders>
            <w:shd w:val="clear" w:color="000000" w:fill="CCFFFF"/>
            <w:vAlign w:val="center"/>
            <w:hideMark/>
          </w:tcPr>
          <w:p w:rsidR="00A17B97" w:rsidRPr="003206FB" w:rsidRDefault="00A17B97" w:rsidP="00A17B97">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Désignation</w:t>
            </w:r>
          </w:p>
        </w:tc>
        <w:tc>
          <w:tcPr>
            <w:tcW w:w="2361" w:type="dxa"/>
            <w:tcBorders>
              <w:top w:val="single" w:sz="4" w:space="0" w:color="auto"/>
              <w:left w:val="nil"/>
              <w:bottom w:val="single" w:sz="4" w:space="0" w:color="auto"/>
              <w:right w:val="single" w:sz="4" w:space="0" w:color="auto"/>
            </w:tcBorders>
            <w:shd w:val="clear" w:color="000000" w:fill="CCFFFF"/>
            <w:vAlign w:val="center"/>
            <w:hideMark/>
          </w:tcPr>
          <w:p w:rsidR="00A17B97" w:rsidRPr="003206FB" w:rsidRDefault="00A17B97" w:rsidP="00A17B97">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Montant en millions $US</w:t>
            </w:r>
          </w:p>
        </w:tc>
        <w:tc>
          <w:tcPr>
            <w:tcW w:w="2724" w:type="dxa"/>
            <w:tcBorders>
              <w:top w:val="single" w:sz="4" w:space="0" w:color="auto"/>
              <w:left w:val="nil"/>
              <w:bottom w:val="single" w:sz="4" w:space="0" w:color="auto"/>
              <w:right w:val="single" w:sz="4" w:space="0" w:color="auto"/>
            </w:tcBorders>
            <w:shd w:val="clear" w:color="000000" w:fill="CCFFFF"/>
            <w:vAlign w:val="center"/>
            <w:hideMark/>
          </w:tcPr>
          <w:p w:rsidR="00A17B97" w:rsidRPr="003206FB" w:rsidRDefault="00A17B97" w:rsidP="00A17B97">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Part en % de l’APD totale</w:t>
            </w:r>
          </w:p>
        </w:tc>
      </w:tr>
      <w:tr w:rsidR="00A17B97" w:rsidRPr="003206FB" w:rsidTr="00F76D92">
        <w:trPr>
          <w:trHeight w:val="141"/>
        </w:trPr>
        <w:tc>
          <w:tcPr>
            <w:tcW w:w="4604" w:type="dxa"/>
            <w:tcBorders>
              <w:top w:val="nil"/>
              <w:left w:val="single" w:sz="4" w:space="0" w:color="auto"/>
              <w:bottom w:val="single" w:sz="4" w:space="0" w:color="auto"/>
              <w:right w:val="single" w:sz="4" w:space="0" w:color="auto"/>
            </w:tcBorders>
            <w:shd w:val="clear" w:color="auto" w:fill="auto"/>
            <w:vAlign w:val="bottom"/>
            <w:hideMark/>
          </w:tcPr>
          <w:p w:rsidR="00A17B97" w:rsidRPr="003206FB" w:rsidRDefault="00A17B97" w:rsidP="00A17B97">
            <w:pPr>
              <w:spacing w:after="0" w:line="240" w:lineRule="auto"/>
              <w:jc w:val="both"/>
              <w:rPr>
                <w:rFonts w:ascii="Arial" w:eastAsia="Times New Roman" w:hAnsi="Arial" w:cs="Arial"/>
                <w:b/>
                <w:bCs/>
                <w:lang w:eastAsia="fr-FR"/>
              </w:rPr>
            </w:pPr>
            <w:r w:rsidRPr="003206FB">
              <w:rPr>
                <w:rFonts w:ascii="Arial" w:eastAsia="Times New Roman" w:hAnsi="Arial" w:cs="Arial"/>
                <w:b/>
                <w:bCs/>
                <w:lang w:eastAsia="fr-FR"/>
              </w:rPr>
              <w:t>Aide projet avec fonds communs</w:t>
            </w:r>
          </w:p>
        </w:tc>
        <w:tc>
          <w:tcPr>
            <w:tcW w:w="2361" w:type="dxa"/>
            <w:tcBorders>
              <w:top w:val="nil"/>
              <w:left w:val="nil"/>
              <w:bottom w:val="single" w:sz="4" w:space="0" w:color="000000"/>
              <w:right w:val="single" w:sz="4" w:space="0" w:color="000000"/>
            </w:tcBorders>
            <w:shd w:val="clear" w:color="auto" w:fill="auto"/>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63,39</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4A7A16" w:rsidP="00A17B97">
            <w:pPr>
              <w:spacing w:after="0" w:line="240" w:lineRule="auto"/>
              <w:jc w:val="center"/>
              <w:rPr>
                <w:rFonts w:ascii="Arial" w:eastAsia="Times New Roman" w:hAnsi="Arial" w:cs="Arial"/>
                <w:b/>
                <w:bCs/>
                <w:lang w:eastAsia="fr-FR"/>
              </w:rPr>
            </w:pPr>
            <w:r>
              <w:rPr>
                <w:rFonts w:ascii="Arial" w:eastAsia="Times New Roman" w:hAnsi="Arial" w:cs="Arial"/>
                <w:b/>
                <w:bCs/>
                <w:lang w:eastAsia="fr-FR"/>
              </w:rPr>
              <w:t>5,</w:t>
            </w:r>
            <w:r w:rsidR="00A17B97" w:rsidRPr="003206FB">
              <w:rPr>
                <w:rFonts w:ascii="Arial" w:eastAsia="Times New Roman" w:hAnsi="Arial" w:cs="Arial"/>
                <w:b/>
                <w:bCs/>
                <w:lang w:eastAsia="fr-FR"/>
              </w:rPr>
              <w:t>6%</w:t>
            </w:r>
          </w:p>
        </w:tc>
      </w:tr>
      <w:tr w:rsidR="00A17B97" w:rsidRPr="003206FB" w:rsidTr="00F76D92">
        <w:trPr>
          <w:trHeight w:val="264"/>
        </w:trPr>
        <w:tc>
          <w:tcPr>
            <w:tcW w:w="4604" w:type="dxa"/>
            <w:tcBorders>
              <w:top w:val="nil"/>
              <w:left w:val="single" w:sz="4" w:space="0" w:color="auto"/>
              <w:bottom w:val="single" w:sz="4" w:space="0" w:color="auto"/>
              <w:right w:val="single" w:sz="4" w:space="0" w:color="auto"/>
            </w:tcBorders>
            <w:shd w:val="clear" w:color="auto" w:fill="auto"/>
            <w:vAlign w:val="center"/>
            <w:hideMark/>
          </w:tcPr>
          <w:p w:rsidR="00A17B97" w:rsidRPr="003206FB" w:rsidRDefault="00A17B97" w:rsidP="00A17B97">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Bailleurs</w:t>
            </w:r>
          </w:p>
        </w:tc>
        <w:tc>
          <w:tcPr>
            <w:tcW w:w="2361" w:type="dxa"/>
            <w:tcBorders>
              <w:top w:val="nil"/>
              <w:left w:val="nil"/>
              <w:bottom w:val="single" w:sz="4" w:space="0" w:color="auto"/>
              <w:right w:val="single" w:sz="4" w:space="0" w:color="auto"/>
            </w:tcBorders>
            <w:shd w:val="clear" w:color="auto" w:fill="auto"/>
            <w:vAlign w:val="center"/>
            <w:hideMark/>
          </w:tcPr>
          <w:p w:rsidR="00A17B97" w:rsidRPr="003206FB" w:rsidRDefault="00A17B97" w:rsidP="00A17B97">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Montant en millions $US</w:t>
            </w:r>
          </w:p>
        </w:tc>
        <w:tc>
          <w:tcPr>
            <w:tcW w:w="2724" w:type="dxa"/>
            <w:tcBorders>
              <w:top w:val="nil"/>
              <w:left w:val="nil"/>
              <w:bottom w:val="single" w:sz="4" w:space="0" w:color="auto"/>
              <w:right w:val="single" w:sz="4" w:space="0" w:color="auto"/>
            </w:tcBorders>
            <w:shd w:val="clear" w:color="auto" w:fill="auto"/>
            <w:vAlign w:val="center"/>
            <w:hideMark/>
          </w:tcPr>
          <w:p w:rsidR="00A17B97" w:rsidRPr="003206FB" w:rsidRDefault="00A17B97" w:rsidP="00A17B97">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Part en % de l’aide projet sans fonds communs</w:t>
            </w:r>
          </w:p>
        </w:tc>
      </w:tr>
      <w:tr w:rsidR="00A17B97" w:rsidRPr="003206FB" w:rsidTr="00F76D92">
        <w:trPr>
          <w:trHeight w:val="122"/>
        </w:trPr>
        <w:tc>
          <w:tcPr>
            <w:tcW w:w="4604" w:type="dxa"/>
            <w:tcBorders>
              <w:top w:val="nil"/>
              <w:left w:val="single" w:sz="4" w:space="0" w:color="auto"/>
              <w:bottom w:val="single" w:sz="4" w:space="0" w:color="auto"/>
              <w:right w:val="single" w:sz="4" w:space="0" w:color="auto"/>
            </w:tcBorders>
            <w:shd w:val="clear" w:color="auto" w:fill="auto"/>
            <w:vAlign w:val="bottom"/>
            <w:hideMark/>
          </w:tcPr>
          <w:p w:rsidR="00A17B97" w:rsidRPr="003206FB" w:rsidRDefault="00A17B97" w:rsidP="00A17B97">
            <w:pPr>
              <w:spacing w:after="0" w:line="240" w:lineRule="auto"/>
              <w:jc w:val="both"/>
              <w:rPr>
                <w:rFonts w:ascii="Arial" w:eastAsia="Times New Roman" w:hAnsi="Arial" w:cs="Arial"/>
                <w:b/>
                <w:bCs/>
                <w:lang w:eastAsia="fr-FR"/>
              </w:rPr>
            </w:pPr>
            <w:r w:rsidRPr="003206FB">
              <w:rPr>
                <w:rFonts w:ascii="Arial" w:eastAsia="Times New Roman" w:hAnsi="Arial" w:cs="Arial"/>
                <w:b/>
                <w:bCs/>
                <w:lang w:eastAsia="fr-FR"/>
              </w:rPr>
              <w:t xml:space="preserve">Principaux Bailleurs : </w:t>
            </w:r>
          </w:p>
        </w:tc>
        <w:tc>
          <w:tcPr>
            <w:tcW w:w="2361" w:type="dxa"/>
            <w:tcBorders>
              <w:top w:val="nil"/>
              <w:left w:val="nil"/>
              <w:bottom w:val="single" w:sz="4" w:space="0" w:color="auto"/>
              <w:right w:val="single" w:sz="4" w:space="0" w:color="auto"/>
            </w:tcBorders>
            <w:shd w:val="clear" w:color="auto" w:fill="auto"/>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55,37</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A17B97" w:rsidP="004A7A16">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87,</w:t>
            </w:r>
            <w:r w:rsidR="004A7A16">
              <w:rPr>
                <w:rFonts w:ascii="Arial" w:eastAsia="Times New Roman" w:hAnsi="Arial" w:cs="Arial"/>
                <w:b/>
                <w:bCs/>
                <w:lang w:eastAsia="fr-FR"/>
              </w:rPr>
              <w:t>4</w:t>
            </w:r>
          </w:p>
        </w:tc>
      </w:tr>
      <w:tr w:rsidR="00A17B97" w:rsidRPr="003206FB" w:rsidTr="00F76D92">
        <w:trPr>
          <w:trHeight w:val="117"/>
        </w:trPr>
        <w:tc>
          <w:tcPr>
            <w:tcW w:w="4604" w:type="dxa"/>
            <w:tcBorders>
              <w:top w:val="nil"/>
              <w:left w:val="single" w:sz="4" w:space="0" w:color="000000"/>
              <w:bottom w:val="single" w:sz="4" w:space="0" w:color="000000"/>
              <w:right w:val="single" w:sz="4" w:space="0" w:color="000000"/>
            </w:tcBorders>
            <w:shd w:val="clear" w:color="auto" w:fill="auto"/>
            <w:vAlign w:val="bottom"/>
            <w:hideMark/>
          </w:tcPr>
          <w:p w:rsidR="00A17B97" w:rsidRPr="003206FB" w:rsidRDefault="00A17B97" w:rsidP="00A17B97">
            <w:pPr>
              <w:spacing w:after="0" w:line="240" w:lineRule="auto"/>
              <w:rPr>
                <w:rFonts w:ascii="Arial" w:eastAsia="Times New Roman" w:hAnsi="Arial" w:cs="Arial"/>
                <w:b/>
                <w:bCs/>
                <w:lang w:eastAsia="fr-FR"/>
              </w:rPr>
            </w:pPr>
            <w:r w:rsidRPr="003206FB">
              <w:rPr>
                <w:rFonts w:ascii="Arial" w:eastAsia="Times New Roman" w:hAnsi="Arial" w:cs="Arial"/>
                <w:b/>
                <w:bCs/>
                <w:lang w:eastAsia="fr-FR"/>
              </w:rPr>
              <w:t xml:space="preserve">  Suède</w:t>
            </w:r>
          </w:p>
        </w:tc>
        <w:tc>
          <w:tcPr>
            <w:tcW w:w="2361" w:type="dxa"/>
            <w:tcBorders>
              <w:top w:val="nil"/>
              <w:left w:val="nil"/>
              <w:bottom w:val="single" w:sz="4" w:space="0" w:color="000000"/>
              <w:right w:val="single" w:sz="4" w:space="0" w:color="000000"/>
            </w:tcBorders>
            <w:shd w:val="clear" w:color="auto" w:fill="auto"/>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18,86</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A17B97" w:rsidP="004A7A16">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29,</w:t>
            </w:r>
            <w:r w:rsidR="004A7A16">
              <w:rPr>
                <w:rFonts w:ascii="Arial" w:eastAsia="Times New Roman" w:hAnsi="Arial" w:cs="Arial"/>
                <w:lang w:eastAsia="fr-FR"/>
              </w:rPr>
              <w:t>8</w:t>
            </w:r>
          </w:p>
        </w:tc>
      </w:tr>
      <w:tr w:rsidR="00A17B97" w:rsidRPr="003206FB" w:rsidTr="00F76D92">
        <w:trPr>
          <w:trHeight w:val="117"/>
        </w:trPr>
        <w:tc>
          <w:tcPr>
            <w:tcW w:w="4604" w:type="dxa"/>
            <w:tcBorders>
              <w:top w:val="nil"/>
              <w:left w:val="single" w:sz="4" w:space="0" w:color="000000"/>
              <w:bottom w:val="single" w:sz="4" w:space="0" w:color="000000"/>
              <w:right w:val="single" w:sz="4" w:space="0" w:color="000000"/>
            </w:tcBorders>
            <w:shd w:val="clear" w:color="auto" w:fill="auto"/>
            <w:vAlign w:val="bottom"/>
            <w:hideMark/>
          </w:tcPr>
          <w:p w:rsidR="00A17B97" w:rsidRPr="003206FB" w:rsidRDefault="00A17B97" w:rsidP="00A17B97">
            <w:pPr>
              <w:spacing w:after="0" w:line="240" w:lineRule="auto"/>
              <w:rPr>
                <w:rFonts w:ascii="Arial" w:eastAsia="Times New Roman" w:hAnsi="Arial" w:cs="Arial"/>
                <w:b/>
                <w:bCs/>
                <w:lang w:eastAsia="fr-FR"/>
              </w:rPr>
            </w:pPr>
            <w:r w:rsidRPr="003206FB">
              <w:rPr>
                <w:rFonts w:ascii="Arial" w:eastAsia="Times New Roman" w:hAnsi="Arial" w:cs="Arial"/>
                <w:b/>
                <w:bCs/>
                <w:lang w:eastAsia="fr-FR"/>
              </w:rPr>
              <w:t xml:space="preserve">  </w:t>
            </w:r>
            <w:r w:rsidR="001251D5">
              <w:rPr>
                <w:rFonts w:ascii="Arial" w:eastAsia="Times New Roman" w:hAnsi="Arial" w:cs="Arial"/>
                <w:b/>
                <w:bCs/>
                <w:lang w:eastAsia="fr-FR"/>
              </w:rPr>
              <w:t>France</w:t>
            </w:r>
          </w:p>
        </w:tc>
        <w:tc>
          <w:tcPr>
            <w:tcW w:w="2361" w:type="dxa"/>
            <w:tcBorders>
              <w:top w:val="nil"/>
              <w:left w:val="nil"/>
              <w:bottom w:val="single" w:sz="4" w:space="0" w:color="000000"/>
              <w:right w:val="single" w:sz="4" w:space="0" w:color="000000"/>
            </w:tcBorders>
            <w:shd w:val="clear" w:color="auto" w:fill="auto"/>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11,62</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4A7A16" w:rsidP="00A17B97">
            <w:pPr>
              <w:spacing w:after="0" w:line="240" w:lineRule="auto"/>
              <w:jc w:val="center"/>
              <w:rPr>
                <w:rFonts w:ascii="Arial" w:eastAsia="Times New Roman" w:hAnsi="Arial" w:cs="Arial"/>
                <w:lang w:eastAsia="fr-FR"/>
              </w:rPr>
            </w:pPr>
            <w:r>
              <w:rPr>
                <w:rFonts w:ascii="Arial" w:eastAsia="Times New Roman" w:hAnsi="Arial" w:cs="Arial"/>
                <w:lang w:eastAsia="fr-FR"/>
              </w:rPr>
              <w:t>18,3</w:t>
            </w:r>
          </w:p>
        </w:tc>
      </w:tr>
      <w:tr w:rsidR="00A17B97" w:rsidRPr="003206FB" w:rsidTr="00F76D92">
        <w:trPr>
          <w:trHeight w:val="117"/>
        </w:trPr>
        <w:tc>
          <w:tcPr>
            <w:tcW w:w="4604" w:type="dxa"/>
            <w:tcBorders>
              <w:top w:val="nil"/>
              <w:left w:val="single" w:sz="4" w:space="0" w:color="000000"/>
              <w:bottom w:val="single" w:sz="4" w:space="0" w:color="000000"/>
              <w:right w:val="single" w:sz="4" w:space="0" w:color="000000"/>
            </w:tcBorders>
            <w:shd w:val="clear" w:color="auto" w:fill="auto"/>
            <w:vAlign w:val="bottom"/>
            <w:hideMark/>
          </w:tcPr>
          <w:p w:rsidR="00A17B97" w:rsidRPr="003206FB" w:rsidRDefault="00A17B97" w:rsidP="00A17B97">
            <w:pPr>
              <w:spacing w:after="0" w:line="240" w:lineRule="auto"/>
              <w:rPr>
                <w:rFonts w:ascii="Arial" w:eastAsia="Times New Roman" w:hAnsi="Arial" w:cs="Arial"/>
                <w:b/>
                <w:bCs/>
                <w:lang w:eastAsia="fr-FR"/>
              </w:rPr>
            </w:pPr>
            <w:r w:rsidRPr="003206FB">
              <w:rPr>
                <w:rFonts w:ascii="Arial" w:eastAsia="Times New Roman" w:hAnsi="Arial" w:cs="Arial"/>
                <w:b/>
                <w:bCs/>
                <w:lang w:eastAsia="fr-FR"/>
              </w:rPr>
              <w:t xml:space="preserve">  Canada</w:t>
            </w:r>
          </w:p>
        </w:tc>
        <w:tc>
          <w:tcPr>
            <w:tcW w:w="2361" w:type="dxa"/>
            <w:tcBorders>
              <w:top w:val="nil"/>
              <w:left w:val="nil"/>
              <w:bottom w:val="single" w:sz="4" w:space="0" w:color="000000"/>
              <w:right w:val="single" w:sz="4" w:space="0" w:color="000000"/>
            </w:tcBorders>
            <w:shd w:val="clear" w:color="auto" w:fill="auto"/>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10,13</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4A7A16" w:rsidP="00A17B97">
            <w:pPr>
              <w:spacing w:after="0" w:line="240" w:lineRule="auto"/>
              <w:jc w:val="center"/>
              <w:rPr>
                <w:rFonts w:ascii="Arial" w:eastAsia="Times New Roman" w:hAnsi="Arial" w:cs="Arial"/>
                <w:lang w:eastAsia="fr-FR"/>
              </w:rPr>
            </w:pPr>
            <w:r>
              <w:rPr>
                <w:rFonts w:ascii="Arial" w:eastAsia="Times New Roman" w:hAnsi="Arial" w:cs="Arial"/>
                <w:lang w:eastAsia="fr-FR"/>
              </w:rPr>
              <w:t>15,9</w:t>
            </w:r>
          </w:p>
        </w:tc>
      </w:tr>
      <w:tr w:rsidR="00A17B97" w:rsidRPr="003206FB" w:rsidTr="00F76D92">
        <w:trPr>
          <w:trHeight w:val="117"/>
        </w:trPr>
        <w:tc>
          <w:tcPr>
            <w:tcW w:w="4604" w:type="dxa"/>
            <w:tcBorders>
              <w:top w:val="nil"/>
              <w:left w:val="single" w:sz="4" w:space="0" w:color="000000"/>
              <w:bottom w:val="single" w:sz="4" w:space="0" w:color="000000"/>
              <w:right w:val="single" w:sz="4" w:space="0" w:color="000000"/>
            </w:tcBorders>
            <w:shd w:val="clear" w:color="auto" w:fill="auto"/>
            <w:vAlign w:val="bottom"/>
            <w:hideMark/>
          </w:tcPr>
          <w:p w:rsidR="00A17B97" w:rsidRPr="003206FB" w:rsidRDefault="00A17B97" w:rsidP="00A17B97">
            <w:pPr>
              <w:spacing w:after="0" w:line="240" w:lineRule="auto"/>
              <w:rPr>
                <w:rFonts w:ascii="Arial" w:eastAsia="Times New Roman" w:hAnsi="Arial" w:cs="Arial"/>
                <w:b/>
                <w:bCs/>
                <w:lang w:eastAsia="fr-FR"/>
              </w:rPr>
            </w:pPr>
            <w:r w:rsidRPr="003206FB">
              <w:rPr>
                <w:rFonts w:ascii="Arial" w:eastAsia="Times New Roman" w:hAnsi="Arial" w:cs="Arial"/>
                <w:b/>
                <w:bCs/>
                <w:lang w:eastAsia="fr-FR"/>
              </w:rPr>
              <w:t xml:space="preserve">  </w:t>
            </w:r>
            <w:r w:rsidR="001251D5">
              <w:rPr>
                <w:rFonts w:ascii="Arial" w:eastAsia="Times New Roman" w:hAnsi="Arial" w:cs="Arial"/>
                <w:b/>
                <w:bCs/>
                <w:lang w:eastAsia="fr-FR"/>
              </w:rPr>
              <w:t>Luxembourg</w:t>
            </w:r>
          </w:p>
        </w:tc>
        <w:tc>
          <w:tcPr>
            <w:tcW w:w="2361" w:type="dxa"/>
            <w:tcBorders>
              <w:top w:val="nil"/>
              <w:left w:val="nil"/>
              <w:bottom w:val="single" w:sz="4" w:space="0" w:color="000000"/>
              <w:right w:val="single" w:sz="4" w:space="0" w:color="000000"/>
            </w:tcBorders>
            <w:shd w:val="clear" w:color="auto" w:fill="auto"/>
            <w:hideMark/>
          </w:tcPr>
          <w:p w:rsidR="00A17B97" w:rsidRPr="003206FB" w:rsidRDefault="00A17B97" w:rsidP="004A7A16">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7,5</w:t>
            </w:r>
            <w:r w:rsidR="004A7A16">
              <w:rPr>
                <w:rFonts w:ascii="Arial" w:eastAsia="Times New Roman" w:hAnsi="Arial" w:cs="Arial"/>
                <w:lang w:eastAsia="fr-FR"/>
              </w:rPr>
              <w:t>5</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4A7A16" w:rsidP="00A17B97">
            <w:pPr>
              <w:spacing w:after="0" w:line="240" w:lineRule="auto"/>
              <w:jc w:val="center"/>
              <w:rPr>
                <w:rFonts w:ascii="Arial" w:eastAsia="Times New Roman" w:hAnsi="Arial" w:cs="Arial"/>
                <w:lang w:eastAsia="fr-FR"/>
              </w:rPr>
            </w:pPr>
            <w:r>
              <w:rPr>
                <w:rFonts w:ascii="Arial" w:eastAsia="Times New Roman" w:hAnsi="Arial" w:cs="Arial"/>
                <w:lang w:eastAsia="fr-FR"/>
              </w:rPr>
              <w:t>11,9</w:t>
            </w:r>
          </w:p>
        </w:tc>
      </w:tr>
      <w:tr w:rsidR="00A17B97" w:rsidRPr="003206FB" w:rsidTr="00F76D92">
        <w:trPr>
          <w:trHeight w:val="117"/>
        </w:trPr>
        <w:tc>
          <w:tcPr>
            <w:tcW w:w="4604" w:type="dxa"/>
            <w:tcBorders>
              <w:top w:val="nil"/>
              <w:left w:val="single" w:sz="4" w:space="0" w:color="000000"/>
              <w:bottom w:val="single" w:sz="4" w:space="0" w:color="000000"/>
              <w:right w:val="single" w:sz="4" w:space="0" w:color="000000"/>
            </w:tcBorders>
            <w:shd w:val="clear" w:color="auto" w:fill="auto"/>
            <w:vAlign w:val="bottom"/>
            <w:hideMark/>
          </w:tcPr>
          <w:p w:rsidR="00A17B97" w:rsidRPr="003206FB" w:rsidRDefault="00A17B97" w:rsidP="00A17B97">
            <w:pPr>
              <w:spacing w:after="0" w:line="240" w:lineRule="auto"/>
              <w:rPr>
                <w:rFonts w:ascii="Arial" w:eastAsia="Times New Roman" w:hAnsi="Arial" w:cs="Arial"/>
                <w:b/>
                <w:bCs/>
                <w:lang w:eastAsia="fr-FR"/>
              </w:rPr>
            </w:pPr>
            <w:r w:rsidRPr="003206FB">
              <w:rPr>
                <w:rFonts w:ascii="Arial" w:eastAsia="Times New Roman" w:hAnsi="Arial" w:cs="Arial"/>
                <w:b/>
                <w:bCs/>
                <w:lang w:eastAsia="fr-FR"/>
              </w:rPr>
              <w:t xml:space="preserve">  Danemark</w:t>
            </w:r>
          </w:p>
        </w:tc>
        <w:tc>
          <w:tcPr>
            <w:tcW w:w="2361" w:type="dxa"/>
            <w:tcBorders>
              <w:top w:val="nil"/>
              <w:left w:val="nil"/>
              <w:bottom w:val="single" w:sz="4" w:space="0" w:color="000000"/>
              <w:right w:val="single" w:sz="4" w:space="0" w:color="000000"/>
            </w:tcBorders>
            <w:shd w:val="clear" w:color="auto" w:fill="auto"/>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7,22</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A17B97" w:rsidP="004A7A16">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11,</w:t>
            </w:r>
            <w:r w:rsidR="004A7A16">
              <w:rPr>
                <w:rFonts w:ascii="Arial" w:eastAsia="Times New Roman" w:hAnsi="Arial" w:cs="Arial"/>
                <w:lang w:eastAsia="fr-FR"/>
              </w:rPr>
              <w:t>4</w:t>
            </w:r>
          </w:p>
        </w:tc>
      </w:tr>
      <w:tr w:rsidR="00A17B97" w:rsidRPr="003206FB" w:rsidTr="00F76D92">
        <w:trPr>
          <w:trHeight w:val="122"/>
        </w:trPr>
        <w:tc>
          <w:tcPr>
            <w:tcW w:w="4604" w:type="dxa"/>
            <w:tcBorders>
              <w:top w:val="nil"/>
              <w:left w:val="single" w:sz="4" w:space="0" w:color="auto"/>
              <w:bottom w:val="single" w:sz="4" w:space="0" w:color="auto"/>
              <w:right w:val="single" w:sz="4" w:space="0" w:color="auto"/>
            </w:tcBorders>
            <w:shd w:val="clear" w:color="auto" w:fill="auto"/>
            <w:vAlign w:val="bottom"/>
            <w:hideMark/>
          </w:tcPr>
          <w:p w:rsidR="00A17B97" w:rsidRPr="003206FB" w:rsidRDefault="00A17B97" w:rsidP="00A17B97">
            <w:pPr>
              <w:spacing w:after="0" w:line="240" w:lineRule="auto"/>
              <w:rPr>
                <w:rFonts w:ascii="Arial" w:eastAsia="Times New Roman" w:hAnsi="Arial" w:cs="Arial"/>
                <w:b/>
                <w:bCs/>
                <w:lang w:eastAsia="fr-FR"/>
              </w:rPr>
            </w:pPr>
            <w:r w:rsidRPr="003206FB">
              <w:rPr>
                <w:rFonts w:ascii="Arial" w:eastAsia="Times New Roman" w:hAnsi="Arial" w:cs="Arial"/>
                <w:b/>
                <w:bCs/>
                <w:lang w:eastAsia="fr-FR"/>
              </w:rPr>
              <w:t>Autres</w:t>
            </w:r>
          </w:p>
        </w:tc>
        <w:tc>
          <w:tcPr>
            <w:tcW w:w="2361" w:type="dxa"/>
            <w:tcBorders>
              <w:top w:val="nil"/>
              <w:left w:val="nil"/>
              <w:bottom w:val="single" w:sz="4" w:space="0" w:color="auto"/>
              <w:right w:val="single" w:sz="4" w:space="0" w:color="auto"/>
            </w:tcBorders>
            <w:shd w:val="clear" w:color="auto" w:fill="auto"/>
            <w:vAlign w:val="bottom"/>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8,02</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A17B97" w:rsidP="004A7A16">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12,6</w:t>
            </w:r>
          </w:p>
        </w:tc>
      </w:tr>
      <w:tr w:rsidR="00A17B97" w:rsidRPr="003206FB" w:rsidTr="00F76D92">
        <w:trPr>
          <w:trHeight w:val="495"/>
        </w:trPr>
        <w:tc>
          <w:tcPr>
            <w:tcW w:w="4604" w:type="dxa"/>
            <w:tcBorders>
              <w:top w:val="nil"/>
              <w:left w:val="single" w:sz="4" w:space="0" w:color="auto"/>
              <w:bottom w:val="single" w:sz="4" w:space="0" w:color="auto"/>
              <w:right w:val="single" w:sz="4" w:space="0" w:color="auto"/>
            </w:tcBorders>
            <w:shd w:val="clear" w:color="auto" w:fill="CCFFFF"/>
            <w:vAlign w:val="center"/>
            <w:hideMark/>
          </w:tcPr>
          <w:p w:rsidR="00A17B97" w:rsidRPr="003206FB" w:rsidRDefault="00A17B97" w:rsidP="00A17B97">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Répartition par conditions</w:t>
            </w:r>
          </w:p>
        </w:tc>
        <w:tc>
          <w:tcPr>
            <w:tcW w:w="2361" w:type="dxa"/>
            <w:tcBorders>
              <w:top w:val="nil"/>
              <w:left w:val="nil"/>
              <w:bottom w:val="single" w:sz="4" w:space="0" w:color="auto"/>
              <w:right w:val="single" w:sz="4" w:space="0" w:color="auto"/>
            </w:tcBorders>
            <w:shd w:val="clear" w:color="auto" w:fill="CCFFFF"/>
            <w:vAlign w:val="center"/>
            <w:hideMark/>
          </w:tcPr>
          <w:p w:rsidR="00A17B97" w:rsidRPr="003206FB" w:rsidRDefault="00A17B97" w:rsidP="00A17B97">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Montant (millions de $US)</w:t>
            </w:r>
          </w:p>
        </w:tc>
        <w:tc>
          <w:tcPr>
            <w:tcW w:w="2724" w:type="dxa"/>
            <w:tcBorders>
              <w:top w:val="nil"/>
              <w:left w:val="nil"/>
              <w:bottom w:val="single" w:sz="4" w:space="0" w:color="auto"/>
              <w:right w:val="single" w:sz="4" w:space="0" w:color="auto"/>
            </w:tcBorders>
            <w:shd w:val="clear" w:color="auto" w:fill="CCFFFF"/>
            <w:vAlign w:val="center"/>
            <w:hideMark/>
          </w:tcPr>
          <w:p w:rsidR="00A17B97" w:rsidRPr="003206FB" w:rsidRDefault="00A17B97" w:rsidP="00A17B97">
            <w:pPr>
              <w:spacing w:after="0" w:line="240" w:lineRule="auto"/>
              <w:jc w:val="center"/>
              <w:rPr>
                <w:rFonts w:ascii="Arial" w:eastAsia="Times New Roman" w:hAnsi="Arial" w:cs="Arial"/>
                <w:b/>
                <w:bCs/>
                <w:lang w:eastAsia="fr-FR"/>
              </w:rPr>
            </w:pPr>
            <w:r w:rsidRPr="003206FB">
              <w:rPr>
                <w:rFonts w:ascii="Arial" w:eastAsia="Times New Roman" w:hAnsi="Arial" w:cs="Arial"/>
                <w:b/>
                <w:bCs/>
                <w:lang w:eastAsia="fr-FR"/>
              </w:rPr>
              <w:t>en % de l’aide projet avec fonds communs</w:t>
            </w:r>
          </w:p>
        </w:tc>
      </w:tr>
      <w:tr w:rsidR="00A17B97" w:rsidRPr="003206FB" w:rsidTr="00F76D92">
        <w:trPr>
          <w:trHeight w:val="122"/>
        </w:trPr>
        <w:tc>
          <w:tcPr>
            <w:tcW w:w="4604" w:type="dxa"/>
            <w:tcBorders>
              <w:top w:val="nil"/>
              <w:left w:val="single" w:sz="4" w:space="0" w:color="auto"/>
              <w:bottom w:val="single" w:sz="4" w:space="0" w:color="auto"/>
              <w:right w:val="single" w:sz="4" w:space="0" w:color="auto"/>
            </w:tcBorders>
            <w:shd w:val="clear" w:color="auto" w:fill="auto"/>
            <w:vAlign w:val="bottom"/>
            <w:hideMark/>
          </w:tcPr>
          <w:p w:rsidR="00A17B97" w:rsidRPr="003206FB" w:rsidRDefault="00A17B97" w:rsidP="00A17B97">
            <w:pPr>
              <w:spacing w:after="0" w:line="240" w:lineRule="auto"/>
              <w:rPr>
                <w:rFonts w:ascii="Arial" w:eastAsia="Times New Roman" w:hAnsi="Arial" w:cs="Arial"/>
                <w:b/>
                <w:bCs/>
                <w:lang w:eastAsia="fr-FR"/>
              </w:rPr>
            </w:pPr>
            <w:r w:rsidRPr="003206FB">
              <w:rPr>
                <w:rFonts w:ascii="Arial" w:eastAsia="Times New Roman" w:hAnsi="Arial" w:cs="Arial"/>
                <w:b/>
                <w:bCs/>
                <w:lang w:eastAsia="fr-FR"/>
              </w:rPr>
              <w:t>Dons</w:t>
            </w:r>
          </w:p>
        </w:tc>
        <w:tc>
          <w:tcPr>
            <w:tcW w:w="2361" w:type="dxa"/>
            <w:tcBorders>
              <w:top w:val="nil"/>
              <w:left w:val="nil"/>
              <w:bottom w:val="single" w:sz="4" w:space="0" w:color="auto"/>
              <w:right w:val="single" w:sz="4" w:space="0" w:color="auto"/>
            </w:tcBorders>
            <w:shd w:val="clear" w:color="auto" w:fill="auto"/>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63,39</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4A7A16" w:rsidP="00A17B97">
            <w:pPr>
              <w:spacing w:after="0" w:line="240" w:lineRule="auto"/>
              <w:jc w:val="center"/>
              <w:rPr>
                <w:rFonts w:ascii="Arial" w:eastAsia="Times New Roman" w:hAnsi="Arial" w:cs="Arial"/>
                <w:lang w:eastAsia="fr-FR"/>
              </w:rPr>
            </w:pPr>
            <w:r>
              <w:rPr>
                <w:rFonts w:ascii="Arial" w:eastAsia="Times New Roman" w:hAnsi="Arial" w:cs="Arial"/>
                <w:lang w:eastAsia="fr-FR"/>
              </w:rPr>
              <w:t>100,0</w:t>
            </w:r>
          </w:p>
        </w:tc>
      </w:tr>
      <w:tr w:rsidR="00A17B97" w:rsidRPr="003206FB" w:rsidTr="00F76D92">
        <w:trPr>
          <w:trHeight w:val="122"/>
        </w:trPr>
        <w:tc>
          <w:tcPr>
            <w:tcW w:w="4604" w:type="dxa"/>
            <w:tcBorders>
              <w:top w:val="nil"/>
              <w:left w:val="single" w:sz="4" w:space="0" w:color="auto"/>
              <w:bottom w:val="single" w:sz="4" w:space="0" w:color="auto"/>
              <w:right w:val="single" w:sz="4" w:space="0" w:color="auto"/>
            </w:tcBorders>
            <w:shd w:val="clear" w:color="auto" w:fill="auto"/>
            <w:vAlign w:val="bottom"/>
            <w:hideMark/>
          </w:tcPr>
          <w:p w:rsidR="00A17B97" w:rsidRPr="003206FB" w:rsidRDefault="00A17B97" w:rsidP="00A17B97">
            <w:pPr>
              <w:spacing w:after="0" w:line="240" w:lineRule="auto"/>
              <w:rPr>
                <w:rFonts w:ascii="Arial" w:eastAsia="Times New Roman" w:hAnsi="Arial" w:cs="Arial"/>
                <w:b/>
                <w:bCs/>
                <w:lang w:eastAsia="fr-FR"/>
              </w:rPr>
            </w:pPr>
            <w:r w:rsidRPr="003206FB">
              <w:rPr>
                <w:rFonts w:ascii="Arial" w:eastAsia="Times New Roman" w:hAnsi="Arial" w:cs="Arial"/>
                <w:b/>
                <w:bCs/>
                <w:lang w:eastAsia="fr-FR"/>
              </w:rPr>
              <w:t>Prêts</w:t>
            </w:r>
          </w:p>
        </w:tc>
        <w:tc>
          <w:tcPr>
            <w:tcW w:w="2361" w:type="dxa"/>
            <w:tcBorders>
              <w:top w:val="nil"/>
              <w:left w:val="nil"/>
              <w:bottom w:val="single" w:sz="4" w:space="0" w:color="auto"/>
              <w:right w:val="single" w:sz="4" w:space="0" w:color="auto"/>
            </w:tcBorders>
            <w:shd w:val="clear" w:color="auto" w:fill="auto"/>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0,00</w:t>
            </w:r>
          </w:p>
        </w:tc>
        <w:tc>
          <w:tcPr>
            <w:tcW w:w="2724" w:type="dxa"/>
            <w:tcBorders>
              <w:top w:val="nil"/>
              <w:left w:val="nil"/>
              <w:bottom w:val="single" w:sz="4" w:space="0" w:color="auto"/>
              <w:right w:val="single" w:sz="4" w:space="0" w:color="auto"/>
            </w:tcBorders>
            <w:shd w:val="clear" w:color="auto" w:fill="auto"/>
            <w:noWrap/>
            <w:vAlign w:val="bottom"/>
            <w:hideMark/>
          </w:tcPr>
          <w:p w:rsidR="00A17B97" w:rsidRPr="003206FB" w:rsidRDefault="00A17B97" w:rsidP="00A17B97">
            <w:pPr>
              <w:spacing w:after="0" w:line="240" w:lineRule="auto"/>
              <w:jc w:val="center"/>
              <w:rPr>
                <w:rFonts w:ascii="Arial" w:eastAsia="Times New Roman" w:hAnsi="Arial" w:cs="Arial"/>
                <w:lang w:eastAsia="fr-FR"/>
              </w:rPr>
            </w:pPr>
            <w:r w:rsidRPr="003206FB">
              <w:rPr>
                <w:rFonts w:ascii="Arial" w:eastAsia="Times New Roman" w:hAnsi="Arial" w:cs="Arial"/>
                <w:lang w:eastAsia="fr-FR"/>
              </w:rPr>
              <w:t>0,00</w:t>
            </w:r>
          </w:p>
        </w:tc>
      </w:tr>
    </w:tbl>
    <w:p w:rsidR="009A4DF8" w:rsidRPr="00A17B97" w:rsidRDefault="00E476AA" w:rsidP="009A4DF8">
      <w:pPr>
        <w:jc w:val="both"/>
        <w:rPr>
          <w:rFonts w:ascii="Arial" w:hAnsi="Arial" w:cs="Arial"/>
          <w:color w:val="FF0000"/>
        </w:rPr>
      </w:pPr>
      <w:r w:rsidRPr="00387F4A">
        <w:rPr>
          <w:rFonts w:ascii="Arial" w:hAnsi="Arial" w:cs="Arial"/>
          <w:color w:val="FF0000"/>
        </w:rPr>
        <w:fldChar w:fldCharType="begin"/>
      </w:r>
      <w:r w:rsidR="009A4DF8" w:rsidRPr="00387F4A">
        <w:rPr>
          <w:rFonts w:ascii="Arial" w:hAnsi="Arial" w:cs="Arial"/>
          <w:color w:val="FF0000"/>
        </w:rPr>
        <w:instrText xml:space="preserve"> LINK Excel.Sheet.12 "C:\\Users\\PRCI-SE\\Desktop\\RCD2015\\Doc A1 RCD 2015\\TABLEAUX &amp; GRAPH_ RCD 2015_version _13-06-16.xlsx" "8. 10 baiileurs-AP avec FC,!L7C2:L19C4" \a \f 4 \h  \* MERGEFORMAT </w:instrText>
      </w:r>
      <w:r w:rsidRPr="00387F4A">
        <w:rPr>
          <w:rFonts w:ascii="Arial" w:hAnsi="Arial" w:cs="Arial"/>
          <w:color w:val="FF0000"/>
        </w:rPr>
        <w:fldChar w:fldCharType="end"/>
      </w:r>
      <w:r w:rsidR="009A4DF8" w:rsidRPr="00387F4A">
        <w:rPr>
          <w:rFonts w:ascii="Arial" w:hAnsi="Arial" w:cs="Arial"/>
          <w:b/>
          <w:i/>
          <w:u w:val="single"/>
          <w:lang w:eastAsia="fr-FR"/>
        </w:rPr>
        <w:t>Source </w:t>
      </w:r>
      <w:r w:rsidR="009A4DF8" w:rsidRPr="00387F4A">
        <w:rPr>
          <w:rFonts w:ascii="Arial" w:hAnsi="Arial" w:cs="Arial"/>
          <w:b/>
          <w:i/>
          <w:lang w:eastAsia="fr-FR"/>
        </w:rPr>
        <w:t xml:space="preserve">: </w:t>
      </w:r>
      <w:r w:rsidR="009A4DF8" w:rsidRPr="00387F4A">
        <w:rPr>
          <w:rFonts w:ascii="Arial" w:hAnsi="Arial" w:cs="Arial"/>
          <w:i/>
          <w:lang w:eastAsia="fr-FR"/>
        </w:rPr>
        <w:t xml:space="preserve">PGA/DGCOOP, </w:t>
      </w:r>
      <w:r w:rsidR="009A4DF8" w:rsidRPr="00387F4A">
        <w:rPr>
          <w:rFonts w:ascii="Arial" w:hAnsi="Arial" w:cs="Arial"/>
          <w:bCs/>
          <w:i/>
        </w:rPr>
        <w:t>Juillet 201</w:t>
      </w:r>
      <w:r w:rsidR="009A4DF8">
        <w:rPr>
          <w:rFonts w:ascii="Arial" w:hAnsi="Arial" w:cs="Arial"/>
          <w:bCs/>
          <w:i/>
        </w:rPr>
        <w:t>7</w:t>
      </w:r>
    </w:p>
    <w:p w:rsidR="00645382" w:rsidRPr="00002E09" w:rsidRDefault="00645382" w:rsidP="00645382">
      <w:pPr>
        <w:jc w:val="both"/>
        <w:rPr>
          <w:rFonts w:ascii="Arial" w:hAnsi="Arial" w:cs="Arial"/>
        </w:rPr>
      </w:pPr>
      <w:bookmarkStart w:id="355" w:name="_Toc400662245"/>
      <w:bookmarkStart w:id="356" w:name="_Toc400703523"/>
      <w:bookmarkStart w:id="357" w:name="_Toc424705040"/>
      <w:bookmarkEnd w:id="353"/>
      <w:r w:rsidRPr="00002E09">
        <w:rPr>
          <w:rFonts w:ascii="Arial" w:hAnsi="Arial" w:cs="Arial"/>
        </w:rPr>
        <w:t>Ce type d’assistance a été destiné en 2016</w:t>
      </w:r>
      <w:r w:rsidRPr="00060AE4">
        <w:rPr>
          <w:rFonts w:ascii="Arial" w:hAnsi="Arial" w:cs="Arial"/>
        </w:rPr>
        <w:t xml:space="preserve">, principalement aux secteurs de l’Education pour un montant de 22,82 millions dollars US, de l’environnement, eau et assainissement avec </w:t>
      </w:r>
      <w:r>
        <w:rPr>
          <w:rFonts w:ascii="Arial" w:hAnsi="Arial" w:cs="Arial"/>
        </w:rPr>
        <w:t>22,34</w:t>
      </w:r>
      <w:r w:rsidRPr="00060AE4">
        <w:rPr>
          <w:rFonts w:ascii="Arial" w:hAnsi="Arial" w:cs="Arial"/>
        </w:rPr>
        <w:t xml:space="preserve"> millions dollars US et de la gouvernance administrative et locale pour 7,57 millions dollars US. </w:t>
      </w:r>
    </w:p>
    <w:p w:rsidR="00645382" w:rsidRPr="00E47C74" w:rsidRDefault="00645382" w:rsidP="00645382">
      <w:pPr>
        <w:rPr>
          <w:rFonts w:ascii="Arial" w:hAnsi="Arial" w:cs="Arial"/>
        </w:rPr>
      </w:pPr>
      <w:r w:rsidRPr="00E47C74">
        <w:rPr>
          <w:rFonts w:ascii="Arial" w:hAnsi="Arial" w:cs="Arial"/>
        </w:rPr>
        <w:t xml:space="preserve">Les principaux projets ayant bénéficié de </w:t>
      </w:r>
      <w:r>
        <w:rPr>
          <w:rFonts w:ascii="Arial" w:hAnsi="Arial" w:cs="Arial"/>
        </w:rPr>
        <w:t>l</w:t>
      </w:r>
      <w:r w:rsidRPr="00387F4A">
        <w:rPr>
          <w:rFonts w:ascii="Arial" w:hAnsi="Arial" w:cs="Arial"/>
        </w:rPr>
        <w:t xml:space="preserve">’aide projet </w:t>
      </w:r>
      <w:r>
        <w:rPr>
          <w:rFonts w:ascii="Arial" w:hAnsi="Arial" w:cs="Arial"/>
        </w:rPr>
        <w:t>avec</w:t>
      </w:r>
      <w:r w:rsidRPr="00387F4A">
        <w:rPr>
          <w:rFonts w:ascii="Arial" w:hAnsi="Arial" w:cs="Arial"/>
        </w:rPr>
        <w:t xml:space="preserve"> fonds communs </w:t>
      </w:r>
      <w:r w:rsidRPr="00E47C74">
        <w:rPr>
          <w:rFonts w:ascii="Arial" w:hAnsi="Arial" w:cs="Arial"/>
        </w:rPr>
        <w:t>en 2016 sont :</w:t>
      </w:r>
    </w:p>
    <w:p w:rsidR="00645382" w:rsidRPr="00914340" w:rsidRDefault="00645382" w:rsidP="00B92B11">
      <w:pPr>
        <w:numPr>
          <w:ilvl w:val="0"/>
          <w:numId w:val="37"/>
        </w:numPr>
        <w:contextualSpacing/>
        <w:jc w:val="both"/>
        <w:rPr>
          <w:rFonts w:ascii="Arial" w:hAnsi="Arial" w:cs="Arial"/>
        </w:rPr>
      </w:pPr>
      <w:r w:rsidRPr="00914340">
        <w:rPr>
          <w:rFonts w:ascii="Arial" w:hAnsi="Arial" w:cs="Arial"/>
        </w:rPr>
        <w:t>le Plan d’action pour la gestion intégrée des ressources en eau (PAGIRE) (Nouveau) 2016-2030</w:t>
      </w:r>
      <w:r>
        <w:rPr>
          <w:rFonts w:ascii="Arial" w:hAnsi="Arial" w:cs="Arial"/>
        </w:rPr>
        <w:t xml:space="preserve">, </w:t>
      </w:r>
    </w:p>
    <w:p w:rsidR="00645382" w:rsidRPr="00914340" w:rsidRDefault="00645382" w:rsidP="00B92B11">
      <w:pPr>
        <w:numPr>
          <w:ilvl w:val="0"/>
          <w:numId w:val="37"/>
        </w:numPr>
        <w:contextualSpacing/>
        <w:jc w:val="both"/>
        <w:rPr>
          <w:rFonts w:ascii="Arial" w:hAnsi="Arial" w:cs="Arial"/>
        </w:rPr>
      </w:pPr>
      <w:r w:rsidRPr="00914340">
        <w:rPr>
          <w:rFonts w:ascii="Arial" w:hAnsi="Arial" w:cs="Arial"/>
        </w:rPr>
        <w:t xml:space="preserve">le Projet </w:t>
      </w:r>
      <w:r>
        <w:rPr>
          <w:rFonts w:ascii="Arial" w:hAnsi="Arial" w:cs="Arial"/>
        </w:rPr>
        <w:t>d’</w:t>
      </w:r>
      <w:r w:rsidRPr="00914340">
        <w:rPr>
          <w:rFonts w:ascii="Arial" w:hAnsi="Arial" w:cs="Arial"/>
        </w:rPr>
        <w:t>appui à l’éducation de base au Burkina Faso</w:t>
      </w:r>
      <w:r>
        <w:rPr>
          <w:rFonts w:ascii="Arial" w:hAnsi="Arial" w:cs="Arial"/>
        </w:rPr>
        <w:t> </w:t>
      </w:r>
      <w:r w:rsidRPr="00914340">
        <w:rPr>
          <w:rFonts w:ascii="Arial" w:hAnsi="Arial" w:cs="Arial"/>
        </w:rPr>
        <w:t>;</w:t>
      </w:r>
    </w:p>
    <w:p w:rsidR="00645382" w:rsidRPr="00914340" w:rsidRDefault="00645382" w:rsidP="00B92B11">
      <w:pPr>
        <w:numPr>
          <w:ilvl w:val="0"/>
          <w:numId w:val="37"/>
        </w:numPr>
        <w:contextualSpacing/>
        <w:jc w:val="both"/>
        <w:rPr>
          <w:rFonts w:ascii="Arial" w:hAnsi="Arial" w:cs="Arial"/>
        </w:rPr>
      </w:pPr>
      <w:r w:rsidRPr="00914340">
        <w:rPr>
          <w:rFonts w:ascii="Arial" w:hAnsi="Arial" w:cs="Arial"/>
        </w:rPr>
        <w:t>le Programme d’appui à la bonne gouvernance au Burkina Faso;</w:t>
      </w:r>
    </w:p>
    <w:p w:rsidR="00645382" w:rsidRPr="00914340" w:rsidRDefault="00645382" w:rsidP="00B92B11">
      <w:pPr>
        <w:numPr>
          <w:ilvl w:val="0"/>
          <w:numId w:val="37"/>
        </w:numPr>
        <w:contextualSpacing/>
        <w:jc w:val="both"/>
        <w:rPr>
          <w:rFonts w:ascii="Arial" w:hAnsi="Arial" w:cs="Arial"/>
        </w:rPr>
      </w:pPr>
      <w:r w:rsidRPr="00914340">
        <w:rPr>
          <w:rFonts w:ascii="Arial" w:hAnsi="Arial" w:cs="Arial"/>
        </w:rPr>
        <w:t xml:space="preserve">le Projet </w:t>
      </w:r>
      <w:r>
        <w:rPr>
          <w:rFonts w:ascii="Arial" w:hAnsi="Arial" w:cs="Arial"/>
        </w:rPr>
        <w:t>d’</w:t>
      </w:r>
      <w:r w:rsidRPr="00914340">
        <w:rPr>
          <w:rFonts w:ascii="Arial" w:hAnsi="Arial" w:cs="Arial"/>
        </w:rPr>
        <w:t>appui à la mise en œuvre de la politique nationale en matière d’enseignement technique et de formation professionnelle (BKF 018) 2009-2013</w:t>
      </w:r>
      <w:r>
        <w:rPr>
          <w:rFonts w:ascii="Arial" w:hAnsi="Arial" w:cs="Arial"/>
        </w:rPr>
        <w:t> </w:t>
      </w:r>
      <w:r w:rsidRPr="00914340">
        <w:rPr>
          <w:rFonts w:ascii="Arial" w:hAnsi="Arial" w:cs="Arial"/>
        </w:rPr>
        <w:t>;</w:t>
      </w:r>
    </w:p>
    <w:p w:rsidR="00433D86" w:rsidRDefault="00645382" w:rsidP="00F76D92">
      <w:pPr>
        <w:numPr>
          <w:ilvl w:val="0"/>
          <w:numId w:val="37"/>
        </w:numPr>
        <w:contextualSpacing/>
        <w:jc w:val="both"/>
        <w:rPr>
          <w:rFonts w:ascii="Arial" w:hAnsi="Arial" w:cs="Arial"/>
        </w:rPr>
      </w:pPr>
      <w:r w:rsidRPr="00914340">
        <w:rPr>
          <w:rFonts w:ascii="Arial" w:hAnsi="Arial" w:cs="Arial"/>
        </w:rPr>
        <w:t>le Programme éducation de base.</w:t>
      </w:r>
    </w:p>
    <w:p w:rsidR="003D6C65" w:rsidRDefault="003D6C65" w:rsidP="003D6C65">
      <w:pPr>
        <w:contextualSpacing/>
        <w:jc w:val="both"/>
        <w:rPr>
          <w:rFonts w:ascii="Arial" w:hAnsi="Arial" w:cs="Arial"/>
        </w:rPr>
      </w:pPr>
    </w:p>
    <w:p w:rsidR="003D6C65" w:rsidRPr="00F76D92" w:rsidRDefault="003D6C65" w:rsidP="003D6C65">
      <w:pPr>
        <w:contextualSpacing/>
        <w:jc w:val="both"/>
        <w:rPr>
          <w:rFonts w:ascii="Arial" w:hAnsi="Arial" w:cs="Arial"/>
        </w:rPr>
      </w:pPr>
    </w:p>
    <w:p w:rsidR="001251D5" w:rsidRPr="00F76D92" w:rsidRDefault="00F76D92" w:rsidP="00F76D92">
      <w:pPr>
        <w:pStyle w:val="Lgende"/>
        <w:rPr>
          <w:color w:val="auto"/>
        </w:rPr>
      </w:pPr>
      <w:bookmarkStart w:id="358" w:name="_Toc492895737"/>
      <w:r w:rsidRPr="00F76D92">
        <w:rPr>
          <w:color w:val="auto"/>
        </w:rPr>
        <w:lastRenderedPageBreak/>
        <w:t xml:space="preserve">Graphique </w:t>
      </w:r>
      <w:r w:rsidRPr="00F76D92">
        <w:rPr>
          <w:color w:val="auto"/>
        </w:rPr>
        <w:fldChar w:fldCharType="begin"/>
      </w:r>
      <w:r w:rsidRPr="00F76D92">
        <w:rPr>
          <w:color w:val="auto"/>
        </w:rPr>
        <w:instrText xml:space="preserve"> SEQ Graphique \* ARABIC </w:instrText>
      </w:r>
      <w:r w:rsidRPr="00F76D92">
        <w:rPr>
          <w:color w:val="auto"/>
        </w:rPr>
        <w:fldChar w:fldCharType="separate"/>
      </w:r>
      <w:r w:rsidR="009A1402">
        <w:rPr>
          <w:noProof/>
          <w:color w:val="auto"/>
        </w:rPr>
        <w:t>4</w:t>
      </w:r>
      <w:r w:rsidRPr="00F76D92">
        <w:rPr>
          <w:color w:val="auto"/>
        </w:rPr>
        <w:fldChar w:fldCharType="end"/>
      </w:r>
      <w:r w:rsidR="00CB45BC" w:rsidRPr="00F76D92">
        <w:rPr>
          <w:color w:val="auto"/>
        </w:rPr>
        <w:t xml:space="preserve"> : </w:t>
      </w:r>
      <w:r w:rsidR="00CB45BC" w:rsidRPr="00F76D92">
        <w:rPr>
          <w:color w:val="auto"/>
          <w:u w:val="none"/>
        </w:rPr>
        <w:t>Contribution des 10 principaux bailleurs faisant de l’Aide projet avec fonds communs en 2016 (en millions dollars US)</w:t>
      </w:r>
      <w:bookmarkEnd w:id="358"/>
    </w:p>
    <w:p w:rsidR="00CB45BC" w:rsidRDefault="00CB45BC" w:rsidP="00CB45BC">
      <w:pPr>
        <w:contextualSpacing/>
        <w:jc w:val="both"/>
        <w:rPr>
          <w:rFonts w:ascii="Arial" w:hAnsi="Arial" w:cs="Arial"/>
        </w:rPr>
      </w:pPr>
      <w:r>
        <w:rPr>
          <w:noProof/>
          <w:lang w:eastAsia="fr-FR"/>
        </w:rPr>
        <w:drawing>
          <wp:inline distT="0" distB="0" distL="0" distR="0" wp14:anchorId="2A2E0BE6" wp14:editId="438B4B26">
            <wp:extent cx="5760720" cy="2076450"/>
            <wp:effectExtent l="0" t="0" r="11430" b="0"/>
            <wp:docPr id="12" name="Graphique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CB45BC" w:rsidRPr="00243045" w:rsidRDefault="00CB45BC" w:rsidP="00CB45BC">
      <w:pPr>
        <w:jc w:val="both"/>
        <w:rPr>
          <w:rFonts w:ascii="Arial" w:hAnsi="Arial" w:cs="Arial"/>
          <w:color w:val="FF0000"/>
        </w:rPr>
      </w:pPr>
      <w:r w:rsidRPr="00387F4A">
        <w:rPr>
          <w:rFonts w:ascii="Arial" w:hAnsi="Arial" w:cs="Arial"/>
          <w:color w:val="FF0000"/>
        </w:rPr>
        <w:fldChar w:fldCharType="begin"/>
      </w:r>
      <w:r w:rsidRPr="00387F4A">
        <w:rPr>
          <w:rFonts w:ascii="Arial" w:hAnsi="Arial" w:cs="Arial"/>
          <w:color w:val="FF0000"/>
        </w:rPr>
        <w:instrText xml:space="preserve"> LINK Excel.Sheet.12 "C:\\Users\\PRCI-SE\\Desktop\\RCD2015\\Doc A1 RCD 2015\\TABLEAUX &amp; GRAPH_ RCD 2015_version _13-06-16.xlsx" "8. 10 baiileurs-AP avec FC,!L7C2:L19C4" \a \f 4 \h  \* MERGEFORMAT </w:instrText>
      </w:r>
      <w:r w:rsidRPr="00387F4A">
        <w:rPr>
          <w:rFonts w:ascii="Arial" w:hAnsi="Arial" w:cs="Arial"/>
          <w:color w:val="FF0000"/>
        </w:rPr>
        <w:fldChar w:fldCharType="end"/>
      </w:r>
      <w:r w:rsidRPr="00387F4A">
        <w:rPr>
          <w:rFonts w:ascii="Arial" w:hAnsi="Arial" w:cs="Arial"/>
          <w:b/>
          <w:i/>
          <w:u w:val="single"/>
          <w:lang w:eastAsia="fr-FR"/>
        </w:rPr>
        <w:t>Source </w:t>
      </w:r>
      <w:r w:rsidRPr="00387F4A">
        <w:rPr>
          <w:rFonts w:ascii="Arial" w:hAnsi="Arial" w:cs="Arial"/>
          <w:b/>
          <w:i/>
          <w:lang w:eastAsia="fr-FR"/>
        </w:rPr>
        <w:t xml:space="preserve">: </w:t>
      </w:r>
      <w:r w:rsidRPr="00387F4A">
        <w:rPr>
          <w:rFonts w:ascii="Arial" w:hAnsi="Arial" w:cs="Arial"/>
          <w:i/>
          <w:lang w:eastAsia="fr-FR"/>
        </w:rPr>
        <w:t xml:space="preserve">PGA/DGCOOP, </w:t>
      </w:r>
      <w:r w:rsidRPr="00387F4A">
        <w:rPr>
          <w:rFonts w:ascii="Arial" w:hAnsi="Arial" w:cs="Arial"/>
          <w:bCs/>
          <w:i/>
        </w:rPr>
        <w:t>Juillet 201</w:t>
      </w:r>
      <w:r>
        <w:rPr>
          <w:rFonts w:ascii="Arial" w:hAnsi="Arial" w:cs="Arial"/>
          <w:bCs/>
          <w:i/>
        </w:rPr>
        <w:t>7</w:t>
      </w:r>
    </w:p>
    <w:p w:rsidR="009A4DF8" w:rsidRPr="00243045" w:rsidRDefault="009A4DF8" w:rsidP="008D7758">
      <w:pPr>
        <w:pStyle w:val="Titre4"/>
        <w:numPr>
          <w:ilvl w:val="0"/>
          <w:numId w:val="126"/>
        </w:numPr>
        <w:tabs>
          <w:tab w:val="left" w:pos="1134"/>
        </w:tabs>
        <w:ind w:left="2205" w:hanging="220"/>
        <w:rPr>
          <w:lang w:eastAsia="fr-FR"/>
        </w:rPr>
      </w:pPr>
      <w:bookmarkStart w:id="359" w:name="_Toc427009750"/>
      <w:bookmarkStart w:id="360" w:name="_Toc424711002"/>
      <w:bookmarkStart w:id="361" w:name="_Toc399933259"/>
      <w:bookmarkStart w:id="362" w:name="_Toc368483809"/>
      <w:bookmarkStart w:id="363" w:name="_Toc461526809"/>
      <w:bookmarkStart w:id="364" w:name="_Toc461617990"/>
      <w:bookmarkStart w:id="365" w:name="_Toc492972201"/>
      <w:bookmarkEnd w:id="355"/>
      <w:bookmarkEnd w:id="356"/>
      <w:bookmarkEnd w:id="357"/>
      <w:r w:rsidRPr="00243045">
        <w:rPr>
          <w:lang w:eastAsia="fr-FR"/>
        </w:rPr>
        <w:t>L’assistance technique</w:t>
      </w:r>
      <w:bookmarkEnd w:id="359"/>
      <w:bookmarkEnd w:id="360"/>
      <w:bookmarkEnd w:id="361"/>
      <w:bookmarkEnd w:id="362"/>
      <w:bookmarkEnd w:id="363"/>
      <w:bookmarkEnd w:id="364"/>
      <w:bookmarkEnd w:id="365"/>
    </w:p>
    <w:p w:rsidR="009A4DF8" w:rsidRPr="005D1120" w:rsidRDefault="009A4DF8" w:rsidP="009A4DF8">
      <w:pPr>
        <w:tabs>
          <w:tab w:val="left" w:pos="6660"/>
        </w:tabs>
        <w:spacing w:after="120"/>
        <w:ind w:right="284"/>
        <w:jc w:val="both"/>
        <w:rPr>
          <w:rFonts w:ascii="Arial" w:hAnsi="Arial" w:cs="Arial"/>
        </w:rPr>
      </w:pPr>
      <w:bookmarkStart w:id="366" w:name="_Toc368779366"/>
      <w:bookmarkStart w:id="367" w:name="_Toc335610136"/>
      <w:r w:rsidRPr="005D1120">
        <w:rPr>
          <w:rFonts w:ascii="Arial" w:hAnsi="Arial" w:cs="Arial"/>
        </w:rPr>
        <w:t xml:space="preserve">L’assistance technique ou la coopération technique comprend la coopération technique autonome et la coopération technique intégrée aux projets et programmes d’investissement. L’APD allouée à cette coopération en 2016 s’élève à </w:t>
      </w:r>
      <w:r w:rsidRPr="005D1120">
        <w:rPr>
          <w:rFonts w:ascii="Arial" w:hAnsi="Arial" w:cs="Arial"/>
          <w:bCs/>
          <w:lang w:eastAsia="fr-FR"/>
        </w:rPr>
        <w:t>14,76</w:t>
      </w:r>
      <w:r>
        <w:rPr>
          <w:rFonts w:ascii="Arial" w:hAnsi="Arial" w:cs="Arial"/>
          <w:bCs/>
          <w:lang w:eastAsia="fr-FR"/>
        </w:rPr>
        <w:t xml:space="preserve"> </w:t>
      </w:r>
      <w:r w:rsidRPr="005D1120">
        <w:rPr>
          <w:rFonts w:ascii="Arial" w:hAnsi="Arial" w:cs="Arial"/>
        </w:rPr>
        <w:t xml:space="preserve">millions dollars US contre 11,99 millions dollars US en 2015, soit une hausse de </w:t>
      </w:r>
      <w:r>
        <w:rPr>
          <w:rFonts w:ascii="Arial" w:hAnsi="Arial" w:cs="Arial"/>
        </w:rPr>
        <w:t>23,1</w:t>
      </w:r>
      <w:r w:rsidRPr="005D1120">
        <w:rPr>
          <w:rFonts w:ascii="Arial" w:hAnsi="Arial" w:cs="Arial"/>
        </w:rPr>
        <w:t>%.</w:t>
      </w:r>
    </w:p>
    <w:p w:rsidR="009A4DF8" w:rsidRPr="009D2E65" w:rsidRDefault="009A4DF8" w:rsidP="009A4DF8">
      <w:pPr>
        <w:tabs>
          <w:tab w:val="left" w:pos="6660"/>
        </w:tabs>
        <w:spacing w:after="120"/>
        <w:ind w:right="284"/>
        <w:jc w:val="both"/>
        <w:rPr>
          <w:rFonts w:ascii="Arial" w:hAnsi="Arial" w:cs="Arial"/>
        </w:rPr>
      </w:pPr>
      <w:r w:rsidRPr="009D2E65">
        <w:rPr>
          <w:rFonts w:ascii="Arial" w:hAnsi="Arial" w:cs="Arial"/>
        </w:rPr>
        <w:t>L’aide déboursée au profit de la coopération technique autonome en 2016 se chiffre à 5,02 millions dollars US contre 3,91 millions dollars US en 2015, soit une hausse de</w:t>
      </w:r>
      <w:r>
        <w:rPr>
          <w:rFonts w:ascii="Arial" w:hAnsi="Arial" w:cs="Arial"/>
        </w:rPr>
        <w:t xml:space="preserve"> 28,4%. Elle représente 34,0</w:t>
      </w:r>
      <w:r w:rsidRPr="009D2E65">
        <w:rPr>
          <w:rFonts w:ascii="Arial" w:hAnsi="Arial" w:cs="Arial"/>
        </w:rPr>
        <w:t>% du montant total de la coopération technique.</w:t>
      </w:r>
    </w:p>
    <w:p w:rsidR="009A4DF8" w:rsidRPr="009D2E65" w:rsidRDefault="009A4DF8" w:rsidP="009A4DF8">
      <w:pPr>
        <w:tabs>
          <w:tab w:val="left" w:pos="6660"/>
        </w:tabs>
        <w:spacing w:after="120"/>
        <w:ind w:right="284"/>
        <w:jc w:val="both"/>
        <w:rPr>
          <w:rFonts w:ascii="Arial" w:hAnsi="Arial" w:cs="Arial"/>
        </w:rPr>
      </w:pPr>
      <w:r w:rsidRPr="009D2E65">
        <w:rPr>
          <w:rFonts w:ascii="Arial" w:hAnsi="Arial" w:cs="Arial"/>
        </w:rPr>
        <w:t xml:space="preserve">Le montant accordé en 2016 à la coopération technique intégrée s’élève à 9,74 millions dollars US contre 8,08 millions dollars US en 2015, soit une hausse de </w:t>
      </w:r>
      <w:r>
        <w:rPr>
          <w:rFonts w:ascii="Arial" w:hAnsi="Arial" w:cs="Arial"/>
        </w:rPr>
        <w:t>20,5%. Elle représente 65,9</w:t>
      </w:r>
      <w:r w:rsidRPr="009D2E65">
        <w:rPr>
          <w:rFonts w:ascii="Arial" w:hAnsi="Arial" w:cs="Arial"/>
        </w:rPr>
        <w:t>% du montant total de la coopération technique.</w:t>
      </w:r>
    </w:p>
    <w:p w:rsidR="009A4DF8" w:rsidRPr="0005651E" w:rsidRDefault="009A4DF8" w:rsidP="009A4DF8">
      <w:pPr>
        <w:tabs>
          <w:tab w:val="left" w:pos="6660"/>
        </w:tabs>
        <w:spacing w:after="120"/>
        <w:ind w:right="284"/>
        <w:jc w:val="both"/>
        <w:rPr>
          <w:rFonts w:ascii="Arial" w:hAnsi="Arial" w:cs="Arial"/>
        </w:rPr>
      </w:pPr>
      <w:r w:rsidRPr="0005651E">
        <w:rPr>
          <w:rFonts w:ascii="Arial" w:hAnsi="Arial" w:cs="Arial"/>
        </w:rPr>
        <w:t>Les déboursements effectués en 2016 au titre de la coopération technique proviennent principalement de l’Union Européenne (29,84 millions dollars US),</w:t>
      </w:r>
      <w:r>
        <w:rPr>
          <w:rFonts w:ascii="Arial" w:hAnsi="Arial" w:cs="Arial"/>
        </w:rPr>
        <w:t xml:space="preserve"> </w:t>
      </w:r>
      <w:r w:rsidRPr="0005651E">
        <w:rPr>
          <w:rFonts w:ascii="Arial" w:hAnsi="Arial" w:cs="Arial"/>
        </w:rPr>
        <w:t>de l’UNICEF (24,95 millions de dollars US), de la France (12,00 millions dollars US), du Japon (9,54 millions dollars US) et du Danemark (7,55 millions dollars US).</w:t>
      </w:r>
    </w:p>
    <w:p w:rsidR="009A4DF8" w:rsidRPr="0005651E" w:rsidRDefault="009A4DF8" w:rsidP="009A4DF8">
      <w:pPr>
        <w:tabs>
          <w:tab w:val="left" w:pos="6660"/>
        </w:tabs>
        <w:spacing w:after="240"/>
        <w:ind w:right="284"/>
        <w:jc w:val="both"/>
        <w:rPr>
          <w:rFonts w:ascii="Arial" w:hAnsi="Arial" w:cs="Arial"/>
        </w:rPr>
      </w:pPr>
      <w:r w:rsidRPr="0005651E">
        <w:rPr>
          <w:rFonts w:ascii="Arial" w:hAnsi="Arial" w:cs="Arial"/>
        </w:rPr>
        <w:t>En termes de nombre de coopérants, le Japon arrive en tête (197), suivi de l’Union Européenne (30), de la Chine Taïwan (29</w:t>
      </w:r>
      <w:r>
        <w:rPr>
          <w:rFonts w:ascii="Arial" w:hAnsi="Arial" w:cs="Arial"/>
        </w:rPr>
        <w:t>)</w:t>
      </w:r>
      <w:r w:rsidRPr="0005651E">
        <w:rPr>
          <w:rFonts w:ascii="Arial" w:hAnsi="Arial" w:cs="Arial"/>
        </w:rPr>
        <w:t xml:space="preserve"> et du Danemark (23).</w:t>
      </w:r>
    </w:p>
    <w:p w:rsidR="009A4DF8" w:rsidRPr="00F76D92" w:rsidRDefault="00F76D92" w:rsidP="00F76D92">
      <w:pPr>
        <w:pStyle w:val="Lgende"/>
        <w:rPr>
          <w:color w:val="auto"/>
          <w:u w:val="none"/>
        </w:rPr>
      </w:pPr>
      <w:bookmarkStart w:id="368" w:name="_Toc492895482"/>
      <w:bookmarkEnd w:id="366"/>
      <w:bookmarkEnd w:id="367"/>
      <w:r w:rsidRPr="00F76D92">
        <w:rPr>
          <w:color w:val="auto"/>
        </w:rPr>
        <w:t xml:space="preserve">Tableau </w:t>
      </w:r>
      <w:r w:rsidRPr="00F76D92">
        <w:rPr>
          <w:color w:val="auto"/>
        </w:rPr>
        <w:fldChar w:fldCharType="begin"/>
      </w:r>
      <w:r w:rsidRPr="00F76D92">
        <w:rPr>
          <w:color w:val="auto"/>
        </w:rPr>
        <w:instrText xml:space="preserve"> SEQ Tableau \* ARABIC </w:instrText>
      </w:r>
      <w:r w:rsidRPr="00F76D92">
        <w:rPr>
          <w:color w:val="auto"/>
        </w:rPr>
        <w:fldChar w:fldCharType="separate"/>
      </w:r>
      <w:r w:rsidR="009A1402">
        <w:rPr>
          <w:noProof/>
          <w:color w:val="auto"/>
        </w:rPr>
        <w:t>14</w:t>
      </w:r>
      <w:r w:rsidRPr="00F76D92">
        <w:rPr>
          <w:color w:val="auto"/>
        </w:rPr>
        <w:fldChar w:fldCharType="end"/>
      </w:r>
      <w:r w:rsidR="009A4DF8" w:rsidRPr="00F76D92">
        <w:rPr>
          <w:color w:val="auto"/>
        </w:rPr>
        <w:t xml:space="preserve"> : </w:t>
      </w:r>
      <w:r w:rsidR="009A4DF8" w:rsidRPr="00F76D92">
        <w:rPr>
          <w:color w:val="auto"/>
          <w:u w:val="none"/>
        </w:rPr>
        <w:t>Situation synthétique par bailleur de la coopération technique en 2016 (en millions dollars US)</w:t>
      </w:r>
      <w:bookmarkEnd w:id="368"/>
      <w:r w:rsidR="009A4DF8" w:rsidRPr="00F76D92">
        <w:rPr>
          <w:color w:val="auto"/>
          <w:u w:val="none"/>
        </w:rPr>
        <w:t xml:space="preserve"> </w:t>
      </w:r>
    </w:p>
    <w:tbl>
      <w:tblPr>
        <w:tblW w:w="4964" w:type="pct"/>
        <w:tblCellMar>
          <w:left w:w="70" w:type="dxa"/>
          <w:right w:w="70" w:type="dxa"/>
        </w:tblCellMar>
        <w:tblLook w:val="04A0" w:firstRow="1" w:lastRow="0" w:firstColumn="1" w:lastColumn="0" w:noHBand="0" w:noVBand="1"/>
      </w:tblPr>
      <w:tblGrid>
        <w:gridCol w:w="2732"/>
        <w:gridCol w:w="1468"/>
        <w:gridCol w:w="1168"/>
        <w:gridCol w:w="849"/>
        <w:gridCol w:w="1452"/>
        <w:gridCol w:w="2181"/>
      </w:tblGrid>
      <w:tr w:rsidR="009A4DF8" w:rsidRPr="003022DC" w:rsidTr="003022DC">
        <w:trPr>
          <w:trHeight w:val="570"/>
        </w:trPr>
        <w:tc>
          <w:tcPr>
            <w:tcW w:w="1387"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Bailleur de fonds</w:t>
            </w:r>
          </w:p>
        </w:tc>
        <w:tc>
          <w:tcPr>
            <w:tcW w:w="1338" w:type="pct"/>
            <w:gridSpan w:val="2"/>
            <w:tcBorders>
              <w:top w:val="single" w:sz="4" w:space="0" w:color="auto"/>
              <w:left w:val="nil"/>
              <w:bottom w:val="single" w:sz="4" w:space="0" w:color="auto"/>
              <w:right w:val="single" w:sz="4" w:space="0" w:color="000000"/>
            </w:tcBorders>
            <w:shd w:val="clear" w:color="auto" w:fill="auto"/>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Montants par type de coopération technique</w:t>
            </w:r>
          </w:p>
        </w:tc>
        <w:tc>
          <w:tcPr>
            <w:tcW w:w="43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Total</w:t>
            </w:r>
          </w:p>
        </w:tc>
        <w:tc>
          <w:tcPr>
            <w:tcW w:w="737"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 dans la CT totale</w:t>
            </w:r>
          </w:p>
        </w:tc>
        <w:tc>
          <w:tcPr>
            <w:tcW w:w="1107"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Nombre de coopérants</w:t>
            </w:r>
          </w:p>
        </w:tc>
      </w:tr>
      <w:tr w:rsidR="009A4DF8" w:rsidRPr="003022DC" w:rsidTr="003022DC">
        <w:trPr>
          <w:trHeight w:val="265"/>
        </w:trPr>
        <w:tc>
          <w:tcPr>
            <w:tcW w:w="1387" w:type="pct"/>
            <w:vMerge/>
            <w:tcBorders>
              <w:top w:val="single" w:sz="4" w:space="0" w:color="auto"/>
              <w:left w:val="single" w:sz="4" w:space="0" w:color="auto"/>
              <w:bottom w:val="single" w:sz="4" w:space="0" w:color="000000"/>
              <w:right w:val="single" w:sz="4" w:space="0" w:color="auto"/>
            </w:tcBorders>
            <w:vAlign w:val="center"/>
            <w:hideMark/>
          </w:tcPr>
          <w:p w:rsidR="009A4DF8" w:rsidRPr="003022DC" w:rsidRDefault="009A4DF8" w:rsidP="009A4DF8">
            <w:pPr>
              <w:spacing w:after="0"/>
              <w:rPr>
                <w:rFonts w:asciiTheme="minorHAnsi" w:hAnsiTheme="minorHAnsi" w:cstheme="minorHAnsi"/>
                <w:b/>
                <w:bCs/>
                <w:lang w:eastAsia="fr-FR"/>
              </w:rPr>
            </w:pP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b/>
                <w:bCs/>
                <w:lang w:eastAsia="fr-FR"/>
              </w:rPr>
            </w:pPr>
            <w:r w:rsidRPr="003022DC">
              <w:rPr>
                <w:rFonts w:asciiTheme="minorHAnsi" w:hAnsiTheme="minorHAnsi" w:cstheme="minorHAnsi"/>
                <w:b/>
                <w:bCs/>
                <w:lang w:eastAsia="fr-FR"/>
              </w:rPr>
              <w:t>Autonome</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b/>
                <w:bCs/>
                <w:lang w:eastAsia="fr-FR"/>
              </w:rPr>
            </w:pPr>
            <w:r w:rsidRPr="003022DC">
              <w:rPr>
                <w:rFonts w:asciiTheme="minorHAnsi" w:hAnsiTheme="minorHAnsi" w:cstheme="minorHAnsi"/>
                <w:b/>
                <w:bCs/>
                <w:lang w:eastAsia="fr-FR"/>
              </w:rPr>
              <w:t>Intégrée</w:t>
            </w:r>
          </w:p>
        </w:tc>
        <w:tc>
          <w:tcPr>
            <w:tcW w:w="431" w:type="pct"/>
            <w:vMerge/>
            <w:tcBorders>
              <w:top w:val="single" w:sz="4" w:space="0" w:color="auto"/>
              <w:left w:val="single" w:sz="4" w:space="0" w:color="auto"/>
              <w:bottom w:val="single" w:sz="4" w:space="0" w:color="000000"/>
              <w:right w:val="single" w:sz="4" w:space="0" w:color="auto"/>
            </w:tcBorders>
            <w:vAlign w:val="center"/>
            <w:hideMark/>
          </w:tcPr>
          <w:p w:rsidR="009A4DF8" w:rsidRPr="003022DC" w:rsidRDefault="009A4DF8" w:rsidP="009A4DF8">
            <w:pPr>
              <w:spacing w:after="0"/>
              <w:rPr>
                <w:rFonts w:asciiTheme="minorHAnsi" w:hAnsiTheme="minorHAnsi" w:cstheme="minorHAnsi"/>
                <w:b/>
                <w:bCs/>
                <w:lang w:eastAsia="fr-FR"/>
              </w:rPr>
            </w:pPr>
          </w:p>
        </w:tc>
        <w:tc>
          <w:tcPr>
            <w:tcW w:w="737" w:type="pct"/>
            <w:vMerge/>
            <w:tcBorders>
              <w:top w:val="single" w:sz="4" w:space="0" w:color="auto"/>
              <w:left w:val="single" w:sz="4" w:space="0" w:color="auto"/>
              <w:bottom w:val="single" w:sz="4" w:space="0" w:color="000000"/>
              <w:right w:val="single" w:sz="4" w:space="0" w:color="auto"/>
            </w:tcBorders>
            <w:vAlign w:val="center"/>
            <w:hideMark/>
          </w:tcPr>
          <w:p w:rsidR="009A4DF8" w:rsidRPr="003022DC" w:rsidRDefault="009A4DF8" w:rsidP="009A4DF8">
            <w:pPr>
              <w:spacing w:after="0"/>
              <w:rPr>
                <w:rFonts w:asciiTheme="minorHAnsi" w:hAnsiTheme="minorHAnsi" w:cstheme="minorHAnsi"/>
                <w:b/>
                <w:bCs/>
                <w:lang w:eastAsia="fr-FR"/>
              </w:rPr>
            </w:pPr>
          </w:p>
        </w:tc>
        <w:tc>
          <w:tcPr>
            <w:tcW w:w="1107" w:type="pct"/>
            <w:vMerge/>
            <w:tcBorders>
              <w:top w:val="single" w:sz="4" w:space="0" w:color="auto"/>
              <w:left w:val="single" w:sz="4" w:space="0" w:color="auto"/>
              <w:bottom w:val="single" w:sz="4" w:space="0" w:color="000000"/>
              <w:right w:val="single" w:sz="4" w:space="0" w:color="auto"/>
            </w:tcBorders>
            <w:vAlign w:val="center"/>
            <w:hideMark/>
          </w:tcPr>
          <w:p w:rsidR="009A4DF8" w:rsidRPr="003022DC" w:rsidRDefault="009A4DF8" w:rsidP="009A4DF8">
            <w:pPr>
              <w:spacing w:after="0"/>
              <w:rPr>
                <w:rFonts w:asciiTheme="minorHAnsi" w:hAnsiTheme="minorHAnsi" w:cstheme="minorHAnsi"/>
                <w:b/>
                <w:bCs/>
                <w:lang w:eastAsia="fr-FR"/>
              </w:rPr>
            </w:pP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Chine Taïwan</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0,20</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0,20</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1,37</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29</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Danemark</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1,12</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1,12</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7,55</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23</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France</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1,33</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0,44</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1,77</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12,00</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8</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Italie</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0,02</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0,02</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0,04</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0,29</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5</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Japon</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1,41</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1,41</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9,54</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197</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Luxembourg</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0,57</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0,57</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3,89</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7</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Oxfam Québec</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15</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Suède</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0,68</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0,68</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4,61</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1</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lastRenderedPageBreak/>
              <w:t>UNICEF</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1,38</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2,30</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3,68</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24,95</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14</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Union Européenne</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4,41</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4,41</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29,84</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30</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lang w:eastAsia="fr-FR"/>
              </w:rPr>
            </w:pPr>
            <w:r w:rsidRPr="003022DC">
              <w:rPr>
                <w:rFonts w:asciiTheme="minorHAnsi" w:hAnsiTheme="minorHAnsi" w:cstheme="minorHAnsi"/>
                <w:lang w:eastAsia="fr-FR"/>
              </w:rPr>
              <w:t>CRS</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0,00</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0,88</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0,88</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lang w:eastAsia="fr-FR"/>
              </w:rPr>
            </w:pPr>
            <w:r w:rsidRPr="003022DC">
              <w:rPr>
                <w:rFonts w:asciiTheme="minorHAnsi" w:hAnsiTheme="minorHAnsi" w:cstheme="minorHAnsi"/>
                <w:lang w:eastAsia="fr-FR"/>
              </w:rPr>
              <w:t>5,96</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7</w:t>
            </w:r>
          </w:p>
        </w:tc>
      </w:tr>
      <w:tr w:rsidR="009A4DF8" w:rsidRPr="003022DC" w:rsidTr="003022DC">
        <w:trPr>
          <w:trHeight w:val="265"/>
        </w:trPr>
        <w:tc>
          <w:tcPr>
            <w:tcW w:w="1387" w:type="pct"/>
            <w:tcBorders>
              <w:top w:val="nil"/>
              <w:left w:val="single" w:sz="4" w:space="0" w:color="auto"/>
              <w:bottom w:val="single" w:sz="4" w:space="0" w:color="auto"/>
              <w:right w:val="single" w:sz="4" w:space="0" w:color="auto"/>
            </w:tcBorders>
            <w:shd w:val="clear" w:color="auto" w:fill="auto"/>
            <w:noWrap/>
            <w:vAlign w:val="bottom"/>
            <w:hideMark/>
          </w:tcPr>
          <w:p w:rsidR="009A4DF8" w:rsidRPr="003022DC" w:rsidRDefault="009A4DF8" w:rsidP="009A4DF8">
            <w:pPr>
              <w:spacing w:after="0"/>
              <w:rPr>
                <w:rFonts w:asciiTheme="minorHAnsi" w:hAnsiTheme="minorHAnsi" w:cstheme="minorHAnsi"/>
                <w:b/>
                <w:bCs/>
                <w:lang w:eastAsia="fr-FR"/>
              </w:rPr>
            </w:pPr>
            <w:r w:rsidRPr="003022DC">
              <w:rPr>
                <w:rFonts w:asciiTheme="minorHAnsi" w:hAnsiTheme="minorHAnsi" w:cstheme="minorHAnsi"/>
                <w:b/>
                <w:bCs/>
                <w:lang w:eastAsia="fr-FR"/>
              </w:rPr>
              <w:t>Total général</w:t>
            </w:r>
          </w:p>
        </w:tc>
        <w:tc>
          <w:tcPr>
            <w:tcW w:w="745"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b/>
                <w:bCs/>
                <w:lang w:eastAsia="fr-FR"/>
              </w:rPr>
            </w:pPr>
            <w:r w:rsidRPr="003022DC">
              <w:rPr>
                <w:rFonts w:asciiTheme="minorHAnsi" w:hAnsiTheme="minorHAnsi" w:cstheme="minorHAnsi"/>
                <w:b/>
                <w:bCs/>
                <w:lang w:eastAsia="fr-FR"/>
              </w:rPr>
              <w:t>5,02</w:t>
            </w:r>
          </w:p>
        </w:tc>
        <w:tc>
          <w:tcPr>
            <w:tcW w:w="593"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b/>
                <w:bCs/>
                <w:lang w:eastAsia="fr-FR"/>
              </w:rPr>
            </w:pPr>
            <w:r w:rsidRPr="003022DC">
              <w:rPr>
                <w:rFonts w:asciiTheme="minorHAnsi" w:hAnsiTheme="minorHAnsi" w:cstheme="minorHAnsi"/>
                <w:b/>
                <w:bCs/>
                <w:lang w:eastAsia="fr-FR"/>
              </w:rPr>
              <w:t>9,74</w:t>
            </w:r>
          </w:p>
        </w:tc>
        <w:tc>
          <w:tcPr>
            <w:tcW w:w="431"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b/>
                <w:bCs/>
                <w:lang w:eastAsia="fr-FR"/>
              </w:rPr>
            </w:pPr>
            <w:r w:rsidRPr="003022DC">
              <w:rPr>
                <w:rFonts w:asciiTheme="minorHAnsi" w:hAnsiTheme="minorHAnsi" w:cstheme="minorHAnsi"/>
                <w:b/>
                <w:bCs/>
                <w:lang w:eastAsia="fr-FR"/>
              </w:rPr>
              <w:t>14,76</w:t>
            </w:r>
          </w:p>
        </w:tc>
        <w:tc>
          <w:tcPr>
            <w:tcW w:w="73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right"/>
              <w:rPr>
                <w:rFonts w:asciiTheme="minorHAnsi" w:hAnsiTheme="minorHAnsi" w:cstheme="minorHAnsi"/>
                <w:b/>
                <w:bCs/>
                <w:lang w:eastAsia="fr-FR"/>
              </w:rPr>
            </w:pPr>
            <w:r w:rsidRPr="003022DC">
              <w:rPr>
                <w:rFonts w:asciiTheme="minorHAnsi" w:hAnsiTheme="minorHAnsi" w:cstheme="minorHAnsi"/>
                <w:b/>
                <w:bCs/>
                <w:lang w:eastAsia="fr-FR"/>
              </w:rPr>
              <w:t>100</w:t>
            </w:r>
          </w:p>
        </w:tc>
        <w:tc>
          <w:tcPr>
            <w:tcW w:w="1107" w:type="pct"/>
            <w:tcBorders>
              <w:top w:val="nil"/>
              <w:left w:val="nil"/>
              <w:bottom w:val="single" w:sz="4" w:space="0" w:color="auto"/>
              <w:right w:val="single" w:sz="4" w:space="0" w:color="auto"/>
            </w:tcBorders>
            <w:shd w:val="clear" w:color="auto" w:fill="auto"/>
            <w:noWrap/>
            <w:vAlign w:val="bottom"/>
            <w:hideMark/>
          </w:tcPr>
          <w:p w:rsidR="009A4DF8" w:rsidRPr="003022DC" w:rsidRDefault="009A4DF8" w:rsidP="009A4DF8">
            <w:pPr>
              <w:spacing w:after="0"/>
              <w:jc w:val="center"/>
              <w:rPr>
                <w:rFonts w:asciiTheme="minorHAnsi" w:hAnsiTheme="minorHAnsi" w:cstheme="minorHAnsi"/>
                <w:b/>
                <w:bCs/>
                <w:lang w:eastAsia="fr-FR"/>
              </w:rPr>
            </w:pPr>
            <w:r w:rsidRPr="003022DC">
              <w:rPr>
                <w:rFonts w:asciiTheme="minorHAnsi" w:hAnsiTheme="minorHAnsi" w:cstheme="minorHAnsi"/>
                <w:b/>
                <w:bCs/>
                <w:lang w:eastAsia="fr-FR"/>
              </w:rPr>
              <w:t>336</w:t>
            </w:r>
          </w:p>
        </w:tc>
      </w:tr>
    </w:tbl>
    <w:p w:rsidR="009A4DF8" w:rsidRPr="003022DC" w:rsidRDefault="009A4DF8" w:rsidP="003022DC">
      <w:pPr>
        <w:shd w:val="clear" w:color="auto" w:fill="FFFFFF"/>
        <w:tabs>
          <w:tab w:val="left" w:pos="6660"/>
        </w:tabs>
        <w:ind w:right="284"/>
        <w:jc w:val="both"/>
        <w:rPr>
          <w:rFonts w:ascii="Arial" w:hAnsi="Arial" w:cs="Arial"/>
          <w:bCs/>
          <w:i/>
        </w:rPr>
      </w:pPr>
      <w:r w:rsidRPr="005F0CE0">
        <w:rPr>
          <w:rFonts w:ascii="Arial" w:hAnsi="Arial" w:cs="Arial"/>
          <w:b/>
          <w:i/>
          <w:u w:val="single"/>
          <w:lang w:eastAsia="fr-FR"/>
        </w:rPr>
        <w:t>Source </w:t>
      </w:r>
      <w:r w:rsidRPr="005F0CE0">
        <w:rPr>
          <w:rFonts w:ascii="Arial" w:hAnsi="Arial" w:cs="Arial"/>
          <w:i/>
          <w:lang w:eastAsia="fr-FR"/>
        </w:rPr>
        <w:t xml:space="preserve">: DGCOOP, </w:t>
      </w:r>
      <w:r w:rsidRPr="005F0CE0">
        <w:rPr>
          <w:rFonts w:ascii="Arial" w:hAnsi="Arial" w:cs="Arial"/>
          <w:bCs/>
          <w:i/>
        </w:rPr>
        <w:t>Juillet 2017</w:t>
      </w:r>
    </w:p>
    <w:p w:rsidR="009A4DF8" w:rsidRPr="002D1974" w:rsidRDefault="009A4DF8" w:rsidP="008D7758">
      <w:pPr>
        <w:pStyle w:val="Titre3"/>
        <w:numPr>
          <w:ilvl w:val="0"/>
          <w:numId w:val="121"/>
        </w:numPr>
        <w:ind w:left="993"/>
        <w:rPr>
          <w:lang w:eastAsia="fr-FR"/>
        </w:rPr>
      </w:pPr>
      <w:bookmarkStart w:id="369" w:name="_Toc492972202"/>
      <w:bookmarkStart w:id="370" w:name="_Toc427009751"/>
      <w:bookmarkStart w:id="371" w:name="_Toc461526810"/>
      <w:bookmarkStart w:id="372" w:name="_Toc461617991"/>
      <w:r w:rsidRPr="002D1974">
        <w:rPr>
          <w:lang w:eastAsia="fr-FR"/>
        </w:rPr>
        <w:t>L'appui budgétaire</w:t>
      </w:r>
      <w:bookmarkEnd w:id="369"/>
      <w:r w:rsidRPr="002D1974">
        <w:rPr>
          <w:lang w:eastAsia="fr-FR"/>
        </w:rPr>
        <w:t xml:space="preserve"> </w:t>
      </w:r>
    </w:p>
    <w:p w:rsidR="00356AF2" w:rsidRPr="00B525B1" w:rsidRDefault="00496903" w:rsidP="00356AF2">
      <w:pPr>
        <w:autoSpaceDE w:val="0"/>
        <w:autoSpaceDN w:val="0"/>
        <w:adjustRightInd w:val="0"/>
        <w:jc w:val="both"/>
        <w:rPr>
          <w:rFonts w:ascii="Arial" w:hAnsi="Arial" w:cs="Arial"/>
          <w:lang w:eastAsia="fr-FR"/>
        </w:rPr>
      </w:pPr>
      <w:r w:rsidRPr="00496903">
        <w:rPr>
          <w:rFonts w:ascii="Arial" w:hAnsi="Arial" w:cs="Arial"/>
          <w:lang w:eastAsia="fr-FR"/>
        </w:rPr>
        <w:t xml:space="preserve">L’appui budgétaire est une assistance qui ne s’inscrit pas dans le cadre de projets précis ou de coopération technique, mais correspond plutôt à des objectifs plus larges de développement économique et/ou qui est fournie dans le but précis d'améliorer la balance des paiements du pays bénéficiaire et de mettre à sa disposition des devises. </w:t>
      </w:r>
    </w:p>
    <w:p w:rsidR="00356AF2" w:rsidRPr="00B525B1" w:rsidRDefault="00356AF2" w:rsidP="008D7758">
      <w:pPr>
        <w:pStyle w:val="Titre4"/>
        <w:numPr>
          <w:ilvl w:val="0"/>
          <w:numId w:val="127"/>
        </w:numPr>
        <w:ind w:left="2205" w:hanging="220"/>
        <w:rPr>
          <w:lang w:eastAsia="fr-FR"/>
        </w:rPr>
      </w:pPr>
      <w:bookmarkStart w:id="373" w:name="_Toc492972203"/>
      <w:r w:rsidRPr="00B525B1">
        <w:rPr>
          <w:lang w:eastAsia="fr-FR"/>
        </w:rPr>
        <w:t>L'Appui budgétaire général</w:t>
      </w:r>
      <w:bookmarkEnd w:id="373"/>
    </w:p>
    <w:p w:rsidR="00496903" w:rsidRPr="00496903" w:rsidRDefault="00496903" w:rsidP="00496903">
      <w:pPr>
        <w:autoSpaceDE w:val="0"/>
        <w:autoSpaceDN w:val="0"/>
        <w:adjustRightInd w:val="0"/>
        <w:jc w:val="both"/>
        <w:rPr>
          <w:rFonts w:ascii="Arial" w:hAnsi="Arial" w:cs="Arial"/>
          <w:lang w:eastAsia="fr-FR"/>
        </w:rPr>
      </w:pPr>
      <w:r w:rsidRPr="00496903">
        <w:rPr>
          <w:rFonts w:ascii="Arial" w:hAnsi="Arial" w:cs="Arial"/>
          <w:lang w:eastAsia="fr-FR"/>
        </w:rPr>
        <w:t xml:space="preserve">L'Appui budgétaire général (ABG) mobilisé par le Burkina Faso en 2016 a été de 265,51 millions dollars US contre 313,53 millions dollars US en 2015, soit une baisse de 15,31%. Sa part dans l’APD totale s’est située à 23,29% contre 28,5% en 2015. Il a été octroyé sous forme de prêts à hauteur de 138,22 millions dollars US (52,06%) et de subventions à hauteur de 127,30 millions dollars US (47,94%). </w:t>
      </w:r>
    </w:p>
    <w:p w:rsidR="00496903" w:rsidRPr="00496903" w:rsidRDefault="00496903" w:rsidP="00496903">
      <w:pPr>
        <w:autoSpaceDE w:val="0"/>
        <w:autoSpaceDN w:val="0"/>
        <w:adjustRightInd w:val="0"/>
        <w:jc w:val="both"/>
        <w:rPr>
          <w:rFonts w:ascii="Arial" w:hAnsi="Arial" w:cs="Arial"/>
          <w:lang w:eastAsia="fr-FR"/>
        </w:rPr>
      </w:pPr>
      <w:r w:rsidRPr="00496903">
        <w:rPr>
          <w:rFonts w:ascii="Arial" w:hAnsi="Arial" w:cs="Arial"/>
          <w:lang w:eastAsia="fr-FR"/>
        </w:rPr>
        <w:t>Cette contre-performance au niveau des ABG s’explique entre autres par l’arrivée à terme de la stratégie pays avec la Banque africaine de développement (BAD) et par la fin des programmes avec l’Allemagne et la Suède.</w:t>
      </w:r>
    </w:p>
    <w:p w:rsidR="00496903" w:rsidRPr="00496903" w:rsidRDefault="00496903" w:rsidP="00496903">
      <w:pPr>
        <w:autoSpaceDE w:val="0"/>
        <w:autoSpaceDN w:val="0"/>
        <w:adjustRightInd w:val="0"/>
        <w:jc w:val="both"/>
        <w:rPr>
          <w:rFonts w:ascii="Arial" w:hAnsi="Arial" w:cs="Arial"/>
          <w:lang w:eastAsia="fr-FR"/>
        </w:rPr>
      </w:pPr>
      <w:r w:rsidRPr="00496903">
        <w:rPr>
          <w:rFonts w:ascii="Arial" w:hAnsi="Arial" w:cs="Arial"/>
          <w:lang w:eastAsia="fr-FR"/>
        </w:rPr>
        <w:t>Les bailleurs qui ont le plus contribué en 2016 sont respectivement la Banque Mondiale avec 152,69 millions dollars US (57,51%) et l’Union Européenne (UE) pour 64,27 millions dollars US (24,20%).</w:t>
      </w:r>
    </w:p>
    <w:p w:rsidR="003022DC" w:rsidRPr="00496903" w:rsidRDefault="00496903" w:rsidP="00496903">
      <w:pPr>
        <w:autoSpaceDE w:val="0"/>
        <w:autoSpaceDN w:val="0"/>
        <w:adjustRightInd w:val="0"/>
        <w:jc w:val="both"/>
        <w:rPr>
          <w:rFonts w:ascii="Arial" w:hAnsi="Arial" w:cs="Arial"/>
          <w:lang w:eastAsia="fr-FR"/>
        </w:rPr>
      </w:pPr>
      <w:r w:rsidRPr="00496903">
        <w:rPr>
          <w:rFonts w:ascii="Arial" w:hAnsi="Arial" w:cs="Arial"/>
          <w:lang w:eastAsia="fr-FR"/>
        </w:rPr>
        <w:t>Les principaux donateurs de l’ABG sont : la Banque Mondiale, l’UE, le FMI, la France et la Suisse. Ils ont fourni 265,51 millions dollars US, soit 100% de l’ABG total.</w:t>
      </w:r>
    </w:p>
    <w:p w:rsidR="00496903" w:rsidRPr="00F76D92" w:rsidRDefault="00F76D92" w:rsidP="00F76D92">
      <w:pPr>
        <w:pStyle w:val="Lgende"/>
        <w:rPr>
          <w:color w:val="auto"/>
        </w:rPr>
      </w:pPr>
      <w:bookmarkStart w:id="374" w:name="_Toc492895483"/>
      <w:r w:rsidRPr="00F76D92">
        <w:rPr>
          <w:color w:val="auto"/>
        </w:rPr>
        <w:t xml:space="preserve">Tableau </w:t>
      </w:r>
      <w:r w:rsidRPr="00F76D92">
        <w:rPr>
          <w:color w:val="auto"/>
        </w:rPr>
        <w:fldChar w:fldCharType="begin"/>
      </w:r>
      <w:r w:rsidRPr="00F76D92">
        <w:rPr>
          <w:color w:val="auto"/>
        </w:rPr>
        <w:instrText xml:space="preserve"> SEQ Tableau \* ARABIC </w:instrText>
      </w:r>
      <w:r w:rsidRPr="00F76D92">
        <w:rPr>
          <w:color w:val="auto"/>
        </w:rPr>
        <w:fldChar w:fldCharType="separate"/>
      </w:r>
      <w:r w:rsidR="009A1402">
        <w:rPr>
          <w:noProof/>
          <w:color w:val="auto"/>
        </w:rPr>
        <w:t>15</w:t>
      </w:r>
      <w:r w:rsidRPr="00F76D92">
        <w:rPr>
          <w:color w:val="auto"/>
        </w:rPr>
        <w:fldChar w:fldCharType="end"/>
      </w:r>
      <w:r w:rsidRPr="00F76D92">
        <w:rPr>
          <w:color w:val="auto"/>
        </w:rPr>
        <w:t> :</w:t>
      </w:r>
      <w:r w:rsidR="00496903" w:rsidRPr="00F76D92">
        <w:rPr>
          <w:color w:val="auto"/>
        </w:rPr>
        <w:t xml:space="preserve"> </w:t>
      </w:r>
      <w:r w:rsidR="00496903" w:rsidRPr="00F76D92">
        <w:rPr>
          <w:color w:val="auto"/>
          <w:u w:val="none"/>
        </w:rPr>
        <w:t>Principales caractéristiques de l’Appui Budgétaire Général en 2016</w:t>
      </w:r>
      <w:bookmarkEnd w:id="374"/>
    </w:p>
    <w:tbl>
      <w:tblPr>
        <w:tblW w:w="8943" w:type="dxa"/>
        <w:tblInd w:w="75" w:type="dxa"/>
        <w:tblCellMar>
          <w:left w:w="70" w:type="dxa"/>
          <w:right w:w="70" w:type="dxa"/>
        </w:tblCellMar>
        <w:tblLook w:val="04A0" w:firstRow="1" w:lastRow="0" w:firstColumn="1" w:lastColumn="0" w:noHBand="0" w:noVBand="1"/>
      </w:tblPr>
      <w:tblGrid>
        <w:gridCol w:w="3835"/>
        <w:gridCol w:w="2469"/>
        <w:gridCol w:w="2639"/>
      </w:tblGrid>
      <w:tr w:rsidR="00496903" w:rsidRPr="00917840" w:rsidTr="00496903">
        <w:trPr>
          <w:trHeight w:val="247"/>
        </w:trPr>
        <w:tc>
          <w:tcPr>
            <w:tcW w:w="3835" w:type="dxa"/>
            <w:tcBorders>
              <w:top w:val="single" w:sz="8" w:space="0" w:color="auto"/>
              <w:left w:val="single" w:sz="4" w:space="0" w:color="auto"/>
              <w:bottom w:val="single" w:sz="4" w:space="0" w:color="auto"/>
              <w:right w:val="single" w:sz="4" w:space="0" w:color="auto"/>
            </w:tcBorders>
            <w:shd w:val="clear" w:color="000000" w:fill="CCFFFF"/>
            <w:vAlign w:val="center"/>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Désignation</w:t>
            </w:r>
          </w:p>
        </w:tc>
        <w:tc>
          <w:tcPr>
            <w:tcW w:w="2469" w:type="dxa"/>
            <w:tcBorders>
              <w:top w:val="single" w:sz="4" w:space="0" w:color="auto"/>
              <w:left w:val="nil"/>
              <w:bottom w:val="single" w:sz="4" w:space="0" w:color="auto"/>
              <w:right w:val="single" w:sz="4" w:space="0" w:color="auto"/>
            </w:tcBorders>
            <w:shd w:val="clear" w:color="000000" w:fill="CCFFFF"/>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Montant (millions de $US</w:t>
            </w:r>
          </w:p>
        </w:tc>
        <w:tc>
          <w:tcPr>
            <w:tcW w:w="2639" w:type="dxa"/>
            <w:tcBorders>
              <w:top w:val="single" w:sz="4" w:space="0" w:color="auto"/>
              <w:left w:val="nil"/>
              <w:bottom w:val="single" w:sz="4" w:space="0" w:color="auto"/>
              <w:right w:val="single" w:sz="4" w:space="0" w:color="auto"/>
            </w:tcBorders>
            <w:shd w:val="clear" w:color="000000" w:fill="CCFFFF"/>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En % du total de l'APD</w:t>
            </w:r>
          </w:p>
        </w:tc>
      </w:tr>
      <w:tr w:rsidR="00496903" w:rsidRPr="00917840" w:rsidTr="00496903">
        <w:trPr>
          <w:trHeight w:val="127"/>
        </w:trPr>
        <w:tc>
          <w:tcPr>
            <w:tcW w:w="3835" w:type="dxa"/>
            <w:tcBorders>
              <w:top w:val="nil"/>
              <w:left w:val="single" w:sz="4" w:space="0" w:color="auto"/>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Aide Budgétaire Général</w:t>
            </w:r>
          </w:p>
        </w:tc>
        <w:tc>
          <w:tcPr>
            <w:tcW w:w="2469" w:type="dxa"/>
            <w:tcBorders>
              <w:top w:val="nil"/>
              <w:left w:val="nil"/>
              <w:bottom w:val="single" w:sz="4" w:space="0" w:color="auto"/>
              <w:right w:val="single" w:sz="4" w:space="0" w:color="auto"/>
            </w:tcBorders>
            <w:shd w:val="clear" w:color="auto" w:fill="auto"/>
            <w:noWrap/>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265,51</w:t>
            </w:r>
          </w:p>
        </w:tc>
        <w:tc>
          <w:tcPr>
            <w:tcW w:w="2639" w:type="dxa"/>
            <w:tcBorders>
              <w:top w:val="nil"/>
              <w:left w:val="nil"/>
              <w:bottom w:val="single" w:sz="4" w:space="0" w:color="auto"/>
              <w:right w:val="single" w:sz="4" w:space="0" w:color="auto"/>
            </w:tcBorders>
            <w:shd w:val="clear" w:color="auto" w:fill="auto"/>
            <w:hideMark/>
          </w:tcPr>
          <w:p w:rsidR="00496903" w:rsidRPr="00917840" w:rsidRDefault="00782BF2" w:rsidP="00496903">
            <w:pPr>
              <w:spacing w:after="0" w:line="240" w:lineRule="auto"/>
              <w:jc w:val="center"/>
              <w:rPr>
                <w:rFonts w:ascii="Arial" w:eastAsia="Times New Roman" w:hAnsi="Arial" w:cs="Arial"/>
                <w:b/>
                <w:bCs/>
                <w:lang w:eastAsia="fr-FR"/>
              </w:rPr>
            </w:pPr>
            <w:r>
              <w:rPr>
                <w:rFonts w:ascii="Arial" w:eastAsia="Times New Roman" w:hAnsi="Arial" w:cs="Arial"/>
                <w:b/>
                <w:bCs/>
                <w:lang w:eastAsia="fr-FR"/>
              </w:rPr>
              <w:t>23,3</w:t>
            </w:r>
          </w:p>
        </w:tc>
      </w:tr>
      <w:tr w:rsidR="00496903" w:rsidRPr="00917840" w:rsidTr="00496903">
        <w:trPr>
          <w:trHeight w:val="381"/>
        </w:trPr>
        <w:tc>
          <w:tcPr>
            <w:tcW w:w="3835" w:type="dxa"/>
            <w:tcBorders>
              <w:top w:val="nil"/>
              <w:left w:val="single" w:sz="4" w:space="0" w:color="auto"/>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Bailleurs</w:t>
            </w:r>
          </w:p>
        </w:tc>
        <w:tc>
          <w:tcPr>
            <w:tcW w:w="2469" w:type="dxa"/>
            <w:tcBorders>
              <w:top w:val="nil"/>
              <w:left w:val="nil"/>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Montant (millions de $US</w:t>
            </w:r>
          </w:p>
        </w:tc>
        <w:tc>
          <w:tcPr>
            <w:tcW w:w="2639" w:type="dxa"/>
            <w:tcBorders>
              <w:top w:val="nil"/>
              <w:left w:val="nil"/>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 xml:space="preserve">En % du total de l’Aide Budgétaire </w:t>
            </w:r>
            <w:r w:rsidRPr="00142A4B">
              <w:rPr>
                <w:rFonts w:ascii="Arial" w:eastAsia="Times New Roman" w:hAnsi="Arial" w:cs="Arial"/>
                <w:b/>
                <w:bCs/>
                <w:lang w:eastAsia="fr-FR"/>
              </w:rPr>
              <w:t>Générale</w:t>
            </w:r>
          </w:p>
        </w:tc>
      </w:tr>
      <w:tr w:rsidR="00496903" w:rsidRPr="00917840" w:rsidTr="00496903">
        <w:trPr>
          <w:trHeight w:val="139"/>
        </w:trPr>
        <w:tc>
          <w:tcPr>
            <w:tcW w:w="3835" w:type="dxa"/>
            <w:tcBorders>
              <w:top w:val="nil"/>
              <w:left w:val="single" w:sz="4" w:space="0" w:color="auto"/>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Principaux donateurs</w:t>
            </w:r>
          </w:p>
        </w:tc>
        <w:tc>
          <w:tcPr>
            <w:tcW w:w="2469" w:type="dxa"/>
            <w:tcBorders>
              <w:top w:val="nil"/>
              <w:left w:val="nil"/>
              <w:bottom w:val="single" w:sz="4" w:space="0" w:color="auto"/>
              <w:right w:val="single" w:sz="4" w:space="0" w:color="auto"/>
            </w:tcBorders>
            <w:shd w:val="clear" w:color="auto" w:fill="auto"/>
            <w:noWrap/>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265,51</w:t>
            </w:r>
          </w:p>
        </w:tc>
        <w:tc>
          <w:tcPr>
            <w:tcW w:w="2639" w:type="dxa"/>
            <w:tcBorders>
              <w:top w:val="nil"/>
              <w:left w:val="nil"/>
              <w:bottom w:val="single" w:sz="4" w:space="0" w:color="auto"/>
              <w:right w:val="single" w:sz="4" w:space="0" w:color="auto"/>
            </w:tcBorders>
            <w:shd w:val="clear" w:color="auto" w:fill="auto"/>
            <w:vAlign w:val="bottom"/>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100,00</w:t>
            </w:r>
          </w:p>
        </w:tc>
      </w:tr>
      <w:tr w:rsidR="00496903" w:rsidRPr="00917840" w:rsidTr="00496903">
        <w:trPr>
          <w:trHeight w:val="139"/>
        </w:trPr>
        <w:tc>
          <w:tcPr>
            <w:tcW w:w="3835" w:type="dxa"/>
            <w:tcBorders>
              <w:top w:val="nil"/>
              <w:left w:val="single" w:sz="4" w:space="0" w:color="000000"/>
              <w:bottom w:val="single" w:sz="4" w:space="0" w:color="000000"/>
              <w:right w:val="single" w:sz="4" w:space="0" w:color="000000"/>
            </w:tcBorders>
            <w:shd w:val="clear" w:color="auto" w:fill="auto"/>
            <w:vAlign w:val="bottom"/>
            <w:hideMark/>
          </w:tcPr>
          <w:p w:rsidR="00496903" w:rsidRPr="00917840" w:rsidRDefault="00496903" w:rsidP="00496903">
            <w:pPr>
              <w:spacing w:after="0" w:line="240" w:lineRule="auto"/>
              <w:rPr>
                <w:rFonts w:ascii="Arial" w:eastAsia="Times New Roman" w:hAnsi="Arial" w:cs="Arial"/>
                <w:b/>
                <w:bCs/>
                <w:sz w:val="20"/>
                <w:szCs w:val="20"/>
                <w:lang w:eastAsia="fr-FR"/>
              </w:rPr>
            </w:pPr>
            <w:r w:rsidRPr="00917840">
              <w:rPr>
                <w:rFonts w:ascii="Arial" w:eastAsia="Times New Roman" w:hAnsi="Arial" w:cs="Arial"/>
                <w:b/>
                <w:bCs/>
                <w:sz w:val="20"/>
                <w:szCs w:val="20"/>
                <w:lang w:eastAsia="fr-FR"/>
              </w:rPr>
              <w:t>BM</w:t>
            </w:r>
          </w:p>
        </w:tc>
        <w:tc>
          <w:tcPr>
            <w:tcW w:w="2469" w:type="dxa"/>
            <w:tcBorders>
              <w:top w:val="nil"/>
              <w:left w:val="nil"/>
              <w:bottom w:val="single" w:sz="4" w:space="0" w:color="000000"/>
              <w:right w:val="single" w:sz="4" w:space="0" w:color="000000"/>
            </w:tcBorders>
            <w:shd w:val="clear" w:color="auto" w:fill="auto"/>
            <w:hideMark/>
          </w:tcPr>
          <w:p w:rsidR="00496903" w:rsidRPr="00917840" w:rsidRDefault="00496903" w:rsidP="00496903">
            <w:pPr>
              <w:spacing w:after="0" w:line="240" w:lineRule="auto"/>
              <w:jc w:val="right"/>
              <w:rPr>
                <w:rFonts w:ascii="Arial" w:eastAsia="Times New Roman" w:hAnsi="Arial" w:cs="Arial"/>
                <w:sz w:val="20"/>
                <w:szCs w:val="20"/>
                <w:lang w:eastAsia="fr-FR"/>
              </w:rPr>
            </w:pPr>
            <w:r w:rsidRPr="00917840">
              <w:rPr>
                <w:rFonts w:ascii="Arial" w:eastAsia="Times New Roman" w:hAnsi="Arial" w:cs="Arial"/>
                <w:sz w:val="20"/>
                <w:szCs w:val="20"/>
                <w:lang w:eastAsia="fr-FR"/>
              </w:rPr>
              <w:t>152,69</w:t>
            </w:r>
          </w:p>
        </w:tc>
        <w:tc>
          <w:tcPr>
            <w:tcW w:w="2639" w:type="dxa"/>
            <w:tcBorders>
              <w:top w:val="nil"/>
              <w:left w:val="nil"/>
              <w:bottom w:val="single" w:sz="4" w:space="0" w:color="auto"/>
              <w:right w:val="single" w:sz="4" w:space="0" w:color="auto"/>
            </w:tcBorders>
            <w:shd w:val="clear" w:color="auto" w:fill="auto"/>
            <w:vAlign w:val="bottom"/>
            <w:hideMark/>
          </w:tcPr>
          <w:p w:rsidR="00496903" w:rsidRPr="00917840" w:rsidRDefault="00782BF2" w:rsidP="00496903">
            <w:pPr>
              <w:spacing w:after="0" w:line="240" w:lineRule="auto"/>
              <w:jc w:val="center"/>
              <w:rPr>
                <w:rFonts w:ascii="Arial" w:eastAsia="Times New Roman" w:hAnsi="Arial" w:cs="Arial"/>
                <w:lang w:eastAsia="fr-FR"/>
              </w:rPr>
            </w:pPr>
            <w:r>
              <w:rPr>
                <w:rFonts w:ascii="Arial" w:eastAsia="Times New Roman" w:hAnsi="Arial" w:cs="Arial"/>
                <w:lang w:eastAsia="fr-FR"/>
              </w:rPr>
              <w:t>57,5</w:t>
            </w:r>
          </w:p>
        </w:tc>
      </w:tr>
      <w:tr w:rsidR="00496903" w:rsidRPr="00917840" w:rsidTr="00496903">
        <w:trPr>
          <w:trHeight w:val="139"/>
        </w:trPr>
        <w:tc>
          <w:tcPr>
            <w:tcW w:w="3835" w:type="dxa"/>
            <w:tcBorders>
              <w:top w:val="nil"/>
              <w:left w:val="single" w:sz="4" w:space="0" w:color="000000"/>
              <w:bottom w:val="single" w:sz="4" w:space="0" w:color="000000"/>
              <w:right w:val="single" w:sz="4" w:space="0" w:color="000000"/>
            </w:tcBorders>
            <w:shd w:val="clear" w:color="auto" w:fill="auto"/>
            <w:vAlign w:val="bottom"/>
            <w:hideMark/>
          </w:tcPr>
          <w:p w:rsidR="00496903" w:rsidRPr="00917840" w:rsidRDefault="00496903" w:rsidP="00496903">
            <w:pPr>
              <w:spacing w:after="0" w:line="240" w:lineRule="auto"/>
              <w:rPr>
                <w:rFonts w:ascii="Arial" w:eastAsia="Times New Roman" w:hAnsi="Arial" w:cs="Arial"/>
                <w:b/>
                <w:bCs/>
                <w:sz w:val="20"/>
                <w:szCs w:val="20"/>
                <w:lang w:eastAsia="fr-FR"/>
              </w:rPr>
            </w:pPr>
            <w:r w:rsidRPr="00917840">
              <w:rPr>
                <w:rFonts w:ascii="Arial" w:eastAsia="Times New Roman" w:hAnsi="Arial" w:cs="Arial"/>
                <w:b/>
                <w:bCs/>
                <w:sz w:val="20"/>
                <w:szCs w:val="20"/>
                <w:lang w:eastAsia="fr-FR"/>
              </w:rPr>
              <w:t>UE</w:t>
            </w:r>
          </w:p>
        </w:tc>
        <w:tc>
          <w:tcPr>
            <w:tcW w:w="2469" w:type="dxa"/>
            <w:tcBorders>
              <w:top w:val="nil"/>
              <w:left w:val="nil"/>
              <w:bottom w:val="single" w:sz="4" w:space="0" w:color="000000"/>
              <w:right w:val="single" w:sz="4" w:space="0" w:color="000000"/>
            </w:tcBorders>
            <w:shd w:val="clear" w:color="auto" w:fill="auto"/>
            <w:hideMark/>
          </w:tcPr>
          <w:p w:rsidR="00496903" w:rsidRPr="00917840" w:rsidRDefault="00496903" w:rsidP="00496903">
            <w:pPr>
              <w:spacing w:after="0" w:line="240" w:lineRule="auto"/>
              <w:jc w:val="right"/>
              <w:rPr>
                <w:rFonts w:ascii="Arial" w:eastAsia="Times New Roman" w:hAnsi="Arial" w:cs="Arial"/>
                <w:sz w:val="20"/>
                <w:szCs w:val="20"/>
                <w:lang w:eastAsia="fr-FR"/>
              </w:rPr>
            </w:pPr>
            <w:r w:rsidRPr="00917840">
              <w:rPr>
                <w:rFonts w:ascii="Arial" w:eastAsia="Times New Roman" w:hAnsi="Arial" w:cs="Arial"/>
                <w:sz w:val="20"/>
                <w:szCs w:val="20"/>
                <w:lang w:eastAsia="fr-FR"/>
              </w:rPr>
              <w:t>64,27</w:t>
            </w:r>
          </w:p>
        </w:tc>
        <w:tc>
          <w:tcPr>
            <w:tcW w:w="2639" w:type="dxa"/>
            <w:tcBorders>
              <w:top w:val="nil"/>
              <w:left w:val="nil"/>
              <w:bottom w:val="single" w:sz="4" w:space="0" w:color="auto"/>
              <w:right w:val="single" w:sz="4" w:space="0" w:color="auto"/>
            </w:tcBorders>
            <w:shd w:val="clear" w:color="auto" w:fill="auto"/>
            <w:vAlign w:val="bottom"/>
            <w:hideMark/>
          </w:tcPr>
          <w:p w:rsidR="00496903" w:rsidRPr="00917840" w:rsidRDefault="00782BF2" w:rsidP="00496903">
            <w:pPr>
              <w:spacing w:after="0" w:line="240" w:lineRule="auto"/>
              <w:jc w:val="center"/>
              <w:rPr>
                <w:rFonts w:ascii="Arial" w:eastAsia="Times New Roman" w:hAnsi="Arial" w:cs="Arial"/>
                <w:lang w:eastAsia="fr-FR"/>
              </w:rPr>
            </w:pPr>
            <w:r>
              <w:rPr>
                <w:rFonts w:ascii="Arial" w:eastAsia="Times New Roman" w:hAnsi="Arial" w:cs="Arial"/>
                <w:lang w:eastAsia="fr-FR"/>
              </w:rPr>
              <w:t>24,2</w:t>
            </w:r>
          </w:p>
        </w:tc>
      </w:tr>
      <w:tr w:rsidR="00496903" w:rsidRPr="00917840" w:rsidTr="00496903">
        <w:trPr>
          <w:trHeight w:val="139"/>
        </w:trPr>
        <w:tc>
          <w:tcPr>
            <w:tcW w:w="3835" w:type="dxa"/>
            <w:tcBorders>
              <w:top w:val="nil"/>
              <w:left w:val="single" w:sz="4" w:space="0" w:color="000000"/>
              <w:bottom w:val="single" w:sz="4" w:space="0" w:color="000000"/>
              <w:right w:val="single" w:sz="4" w:space="0" w:color="000000"/>
            </w:tcBorders>
            <w:shd w:val="clear" w:color="auto" w:fill="auto"/>
            <w:vAlign w:val="bottom"/>
            <w:hideMark/>
          </w:tcPr>
          <w:p w:rsidR="00496903" w:rsidRPr="00917840" w:rsidRDefault="00496903" w:rsidP="00496903">
            <w:pPr>
              <w:spacing w:after="0" w:line="240" w:lineRule="auto"/>
              <w:rPr>
                <w:rFonts w:ascii="Arial" w:eastAsia="Times New Roman" w:hAnsi="Arial" w:cs="Arial"/>
                <w:b/>
                <w:bCs/>
                <w:sz w:val="20"/>
                <w:szCs w:val="20"/>
                <w:lang w:eastAsia="fr-FR"/>
              </w:rPr>
            </w:pPr>
            <w:r w:rsidRPr="00917840">
              <w:rPr>
                <w:rFonts w:ascii="Arial" w:eastAsia="Times New Roman" w:hAnsi="Arial" w:cs="Arial"/>
                <w:b/>
                <w:bCs/>
                <w:sz w:val="20"/>
                <w:szCs w:val="20"/>
                <w:lang w:eastAsia="fr-FR"/>
              </w:rPr>
              <w:t>FMI</w:t>
            </w:r>
          </w:p>
        </w:tc>
        <w:tc>
          <w:tcPr>
            <w:tcW w:w="2469" w:type="dxa"/>
            <w:tcBorders>
              <w:top w:val="nil"/>
              <w:left w:val="nil"/>
              <w:bottom w:val="single" w:sz="4" w:space="0" w:color="000000"/>
              <w:right w:val="single" w:sz="4" w:space="0" w:color="000000"/>
            </w:tcBorders>
            <w:shd w:val="clear" w:color="auto" w:fill="auto"/>
            <w:hideMark/>
          </w:tcPr>
          <w:p w:rsidR="00496903" w:rsidRPr="00917840" w:rsidRDefault="00496903" w:rsidP="00496903">
            <w:pPr>
              <w:spacing w:after="0" w:line="240" w:lineRule="auto"/>
              <w:jc w:val="right"/>
              <w:rPr>
                <w:rFonts w:ascii="Arial" w:eastAsia="Times New Roman" w:hAnsi="Arial" w:cs="Arial"/>
                <w:sz w:val="20"/>
                <w:szCs w:val="20"/>
                <w:lang w:eastAsia="fr-FR"/>
              </w:rPr>
            </w:pPr>
            <w:r w:rsidRPr="00917840">
              <w:rPr>
                <w:rFonts w:ascii="Arial" w:eastAsia="Times New Roman" w:hAnsi="Arial" w:cs="Arial"/>
                <w:sz w:val="20"/>
                <w:szCs w:val="20"/>
                <w:lang w:eastAsia="fr-FR"/>
              </w:rPr>
              <w:t>32,04</w:t>
            </w:r>
          </w:p>
        </w:tc>
        <w:tc>
          <w:tcPr>
            <w:tcW w:w="2639" w:type="dxa"/>
            <w:tcBorders>
              <w:top w:val="nil"/>
              <w:left w:val="nil"/>
              <w:bottom w:val="single" w:sz="4" w:space="0" w:color="auto"/>
              <w:right w:val="single" w:sz="4" w:space="0" w:color="auto"/>
            </w:tcBorders>
            <w:shd w:val="clear" w:color="auto" w:fill="auto"/>
            <w:vAlign w:val="bottom"/>
            <w:hideMark/>
          </w:tcPr>
          <w:p w:rsidR="00496903" w:rsidRPr="00917840" w:rsidRDefault="00496903" w:rsidP="00782BF2">
            <w:pPr>
              <w:spacing w:after="0" w:line="240" w:lineRule="auto"/>
              <w:jc w:val="center"/>
              <w:rPr>
                <w:rFonts w:ascii="Arial" w:eastAsia="Times New Roman" w:hAnsi="Arial" w:cs="Arial"/>
                <w:lang w:eastAsia="fr-FR"/>
              </w:rPr>
            </w:pPr>
            <w:r w:rsidRPr="00917840">
              <w:rPr>
                <w:rFonts w:ascii="Arial" w:eastAsia="Times New Roman" w:hAnsi="Arial" w:cs="Arial"/>
                <w:lang w:eastAsia="fr-FR"/>
              </w:rPr>
              <w:t>12,</w:t>
            </w:r>
            <w:r w:rsidR="00782BF2">
              <w:rPr>
                <w:rFonts w:ascii="Arial" w:eastAsia="Times New Roman" w:hAnsi="Arial" w:cs="Arial"/>
                <w:lang w:eastAsia="fr-FR"/>
              </w:rPr>
              <w:t>1</w:t>
            </w:r>
          </w:p>
        </w:tc>
      </w:tr>
      <w:tr w:rsidR="00496903" w:rsidRPr="00917840" w:rsidTr="00496903">
        <w:trPr>
          <w:trHeight w:val="139"/>
        </w:trPr>
        <w:tc>
          <w:tcPr>
            <w:tcW w:w="3835" w:type="dxa"/>
            <w:tcBorders>
              <w:top w:val="nil"/>
              <w:left w:val="single" w:sz="4" w:space="0" w:color="000000"/>
              <w:bottom w:val="single" w:sz="4" w:space="0" w:color="000000"/>
              <w:right w:val="single" w:sz="4" w:space="0" w:color="000000"/>
            </w:tcBorders>
            <w:shd w:val="clear" w:color="auto" w:fill="auto"/>
            <w:vAlign w:val="bottom"/>
            <w:hideMark/>
          </w:tcPr>
          <w:p w:rsidR="00496903" w:rsidRPr="00917840" w:rsidRDefault="00496903" w:rsidP="00496903">
            <w:pPr>
              <w:spacing w:after="0" w:line="240" w:lineRule="auto"/>
              <w:rPr>
                <w:rFonts w:ascii="Arial" w:eastAsia="Times New Roman" w:hAnsi="Arial" w:cs="Arial"/>
                <w:b/>
                <w:bCs/>
                <w:sz w:val="20"/>
                <w:szCs w:val="20"/>
                <w:lang w:eastAsia="fr-FR"/>
              </w:rPr>
            </w:pPr>
            <w:r w:rsidRPr="00917840">
              <w:rPr>
                <w:rFonts w:ascii="Arial" w:eastAsia="Times New Roman" w:hAnsi="Arial" w:cs="Arial"/>
                <w:b/>
                <w:bCs/>
                <w:sz w:val="20"/>
                <w:szCs w:val="20"/>
                <w:lang w:eastAsia="fr-FR"/>
              </w:rPr>
              <w:t>France</w:t>
            </w:r>
          </w:p>
        </w:tc>
        <w:tc>
          <w:tcPr>
            <w:tcW w:w="2469" w:type="dxa"/>
            <w:tcBorders>
              <w:top w:val="nil"/>
              <w:left w:val="nil"/>
              <w:bottom w:val="single" w:sz="4" w:space="0" w:color="000000"/>
              <w:right w:val="single" w:sz="4" w:space="0" w:color="000000"/>
            </w:tcBorders>
            <w:shd w:val="clear" w:color="auto" w:fill="auto"/>
            <w:hideMark/>
          </w:tcPr>
          <w:p w:rsidR="00496903" w:rsidRPr="00917840" w:rsidRDefault="00496903" w:rsidP="00496903">
            <w:pPr>
              <w:spacing w:after="0" w:line="240" w:lineRule="auto"/>
              <w:jc w:val="right"/>
              <w:rPr>
                <w:rFonts w:ascii="Arial" w:eastAsia="Times New Roman" w:hAnsi="Arial" w:cs="Arial"/>
                <w:sz w:val="20"/>
                <w:szCs w:val="20"/>
                <w:lang w:eastAsia="fr-FR"/>
              </w:rPr>
            </w:pPr>
            <w:r w:rsidRPr="00917840">
              <w:rPr>
                <w:rFonts w:ascii="Arial" w:eastAsia="Times New Roman" w:hAnsi="Arial" w:cs="Arial"/>
                <w:sz w:val="20"/>
                <w:szCs w:val="20"/>
                <w:lang w:eastAsia="fr-FR"/>
              </w:rPr>
              <w:t>8,35</w:t>
            </w:r>
          </w:p>
        </w:tc>
        <w:tc>
          <w:tcPr>
            <w:tcW w:w="2639" w:type="dxa"/>
            <w:tcBorders>
              <w:top w:val="nil"/>
              <w:left w:val="nil"/>
              <w:bottom w:val="single" w:sz="4" w:space="0" w:color="auto"/>
              <w:right w:val="single" w:sz="4" w:space="0" w:color="auto"/>
            </w:tcBorders>
            <w:shd w:val="clear" w:color="auto" w:fill="auto"/>
            <w:vAlign w:val="bottom"/>
            <w:hideMark/>
          </w:tcPr>
          <w:p w:rsidR="00496903" w:rsidRPr="00917840" w:rsidRDefault="00782BF2" w:rsidP="00496903">
            <w:pPr>
              <w:spacing w:after="0" w:line="240" w:lineRule="auto"/>
              <w:jc w:val="center"/>
              <w:rPr>
                <w:rFonts w:ascii="Arial" w:eastAsia="Times New Roman" w:hAnsi="Arial" w:cs="Arial"/>
                <w:lang w:eastAsia="fr-FR"/>
              </w:rPr>
            </w:pPr>
            <w:r>
              <w:rPr>
                <w:rFonts w:ascii="Arial" w:eastAsia="Times New Roman" w:hAnsi="Arial" w:cs="Arial"/>
                <w:lang w:eastAsia="fr-FR"/>
              </w:rPr>
              <w:t>3,2</w:t>
            </w:r>
          </w:p>
        </w:tc>
      </w:tr>
      <w:tr w:rsidR="00496903" w:rsidRPr="00917840" w:rsidTr="00496903">
        <w:trPr>
          <w:trHeight w:val="139"/>
        </w:trPr>
        <w:tc>
          <w:tcPr>
            <w:tcW w:w="3835" w:type="dxa"/>
            <w:tcBorders>
              <w:top w:val="nil"/>
              <w:left w:val="single" w:sz="4" w:space="0" w:color="000000"/>
              <w:bottom w:val="single" w:sz="4" w:space="0" w:color="000000"/>
              <w:right w:val="single" w:sz="4" w:space="0" w:color="000000"/>
            </w:tcBorders>
            <w:shd w:val="clear" w:color="auto" w:fill="auto"/>
            <w:vAlign w:val="bottom"/>
            <w:hideMark/>
          </w:tcPr>
          <w:p w:rsidR="00496903" w:rsidRPr="00917840" w:rsidRDefault="00496903" w:rsidP="00496903">
            <w:pPr>
              <w:spacing w:after="0" w:line="240" w:lineRule="auto"/>
              <w:rPr>
                <w:rFonts w:ascii="Arial" w:eastAsia="Times New Roman" w:hAnsi="Arial" w:cs="Arial"/>
                <w:b/>
                <w:bCs/>
                <w:sz w:val="20"/>
                <w:szCs w:val="20"/>
                <w:lang w:eastAsia="fr-FR"/>
              </w:rPr>
            </w:pPr>
            <w:r w:rsidRPr="00917840">
              <w:rPr>
                <w:rFonts w:ascii="Arial" w:eastAsia="Times New Roman" w:hAnsi="Arial" w:cs="Arial"/>
                <w:b/>
                <w:bCs/>
                <w:sz w:val="20"/>
                <w:szCs w:val="20"/>
                <w:lang w:eastAsia="fr-FR"/>
              </w:rPr>
              <w:t>Suisse</w:t>
            </w:r>
          </w:p>
        </w:tc>
        <w:tc>
          <w:tcPr>
            <w:tcW w:w="2469" w:type="dxa"/>
            <w:tcBorders>
              <w:top w:val="nil"/>
              <w:left w:val="nil"/>
              <w:bottom w:val="single" w:sz="4" w:space="0" w:color="000000"/>
              <w:right w:val="single" w:sz="4" w:space="0" w:color="000000"/>
            </w:tcBorders>
            <w:shd w:val="clear" w:color="auto" w:fill="auto"/>
            <w:hideMark/>
          </w:tcPr>
          <w:p w:rsidR="00496903" w:rsidRPr="00917840" w:rsidRDefault="00496903" w:rsidP="00496903">
            <w:pPr>
              <w:spacing w:after="0" w:line="240" w:lineRule="auto"/>
              <w:jc w:val="right"/>
              <w:rPr>
                <w:rFonts w:ascii="Arial" w:eastAsia="Times New Roman" w:hAnsi="Arial" w:cs="Arial"/>
                <w:sz w:val="20"/>
                <w:szCs w:val="20"/>
                <w:lang w:eastAsia="fr-FR"/>
              </w:rPr>
            </w:pPr>
            <w:r w:rsidRPr="00917840">
              <w:rPr>
                <w:rFonts w:ascii="Arial" w:eastAsia="Times New Roman" w:hAnsi="Arial" w:cs="Arial"/>
                <w:sz w:val="20"/>
                <w:szCs w:val="20"/>
                <w:lang w:eastAsia="fr-FR"/>
              </w:rPr>
              <w:t>8,16</w:t>
            </w:r>
          </w:p>
        </w:tc>
        <w:tc>
          <w:tcPr>
            <w:tcW w:w="2639" w:type="dxa"/>
            <w:tcBorders>
              <w:top w:val="nil"/>
              <w:left w:val="nil"/>
              <w:bottom w:val="single" w:sz="4" w:space="0" w:color="auto"/>
              <w:right w:val="single" w:sz="4" w:space="0" w:color="auto"/>
            </w:tcBorders>
            <w:shd w:val="clear" w:color="auto" w:fill="auto"/>
            <w:vAlign w:val="bottom"/>
            <w:hideMark/>
          </w:tcPr>
          <w:p w:rsidR="00496903" w:rsidRPr="00A60D96" w:rsidRDefault="00782BF2" w:rsidP="00496903">
            <w:pPr>
              <w:spacing w:after="0" w:line="240" w:lineRule="auto"/>
              <w:jc w:val="center"/>
              <w:rPr>
                <w:rFonts w:ascii="Arial" w:eastAsia="Times New Roman" w:hAnsi="Arial" w:cs="Arial"/>
                <w:bCs/>
                <w:lang w:eastAsia="fr-FR"/>
              </w:rPr>
            </w:pPr>
            <w:r>
              <w:rPr>
                <w:rFonts w:ascii="Arial" w:eastAsia="Times New Roman" w:hAnsi="Arial" w:cs="Arial"/>
                <w:bCs/>
                <w:lang w:eastAsia="fr-FR"/>
              </w:rPr>
              <w:t>3,1</w:t>
            </w:r>
          </w:p>
        </w:tc>
      </w:tr>
      <w:tr w:rsidR="00496903" w:rsidRPr="00917840" w:rsidTr="00496903">
        <w:trPr>
          <w:trHeight w:val="509"/>
        </w:trPr>
        <w:tc>
          <w:tcPr>
            <w:tcW w:w="3835" w:type="dxa"/>
            <w:tcBorders>
              <w:top w:val="nil"/>
              <w:left w:val="single" w:sz="4" w:space="0" w:color="auto"/>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Répartition par conditions</w:t>
            </w:r>
          </w:p>
        </w:tc>
        <w:tc>
          <w:tcPr>
            <w:tcW w:w="2469" w:type="dxa"/>
            <w:tcBorders>
              <w:top w:val="nil"/>
              <w:left w:val="nil"/>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Montant (millions de $US</w:t>
            </w:r>
          </w:p>
        </w:tc>
        <w:tc>
          <w:tcPr>
            <w:tcW w:w="2639" w:type="dxa"/>
            <w:tcBorders>
              <w:top w:val="nil"/>
              <w:left w:val="nil"/>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b/>
                <w:bCs/>
                <w:lang w:eastAsia="fr-FR"/>
              </w:rPr>
            </w:pPr>
            <w:r w:rsidRPr="00917840">
              <w:rPr>
                <w:rFonts w:ascii="Arial" w:eastAsia="Times New Roman" w:hAnsi="Arial" w:cs="Arial"/>
                <w:b/>
                <w:bCs/>
                <w:lang w:eastAsia="fr-FR"/>
              </w:rPr>
              <w:t xml:space="preserve">En % du total de l’appui budgétaire </w:t>
            </w:r>
            <w:r w:rsidRPr="00142A4B">
              <w:rPr>
                <w:rFonts w:ascii="Arial" w:eastAsia="Times New Roman" w:hAnsi="Arial" w:cs="Arial"/>
                <w:b/>
                <w:bCs/>
                <w:lang w:eastAsia="fr-FR"/>
              </w:rPr>
              <w:t>général</w:t>
            </w:r>
          </w:p>
        </w:tc>
      </w:tr>
      <w:tr w:rsidR="00496903" w:rsidRPr="00917840" w:rsidTr="00496903">
        <w:trPr>
          <w:trHeight w:val="127"/>
        </w:trPr>
        <w:tc>
          <w:tcPr>
            <w:tcW w:w="3835" w:type="dxa"/>
            <w:tcBorders>
              <w:top w:val="nil"/>
              <w:left w:val="single" w:sz="4" w:space="0" w:color="auto"/>
              <w:bottom w:val="single" w:sz="4" w:space="0" w:color="auto"/>
              <w:right w:val="single" w:sz="4" w:space="0" w:color="auto"/>
            </w:tcBorders>
            <w:shd w:val="clear" w:color="auto" w:fill="auto"/>
            <w:hideMark/>
          </w:tcPr>
          <w:p w:rsidR="00496903" w:rsidRPr="00917840" w:rsidRDefault="00496903" w:rsidP="00496903">
            <w:pPr>
              <w:spacing w:after="0" w:line="240" w:lineRule="auto"/>
              <w:rPr>
                <w:rFonts w:ascii="Arial" w:eastAsia="Times New Roman" w:hAnsi="Arial" w:cs="Arial"/>
                <w:b/>
                <w:bCs/>
                <w:lang w:eastAsia="fr-FR"/>
              </w:rPr>
            </w:pPr>
            <w:r w:rsidRPr="00917840">
              <w:rPr>
                <w:rFonts w:ascii="Arial" w:eastAsia="Times New Roman" w:hAnsi="Arial" w:cs="Arial"/>
                <w:b/>
                <w:bCs/>
                <w:lang w:eastAsia="fr-FR"/>
              </w:rPr>
              <w:t>Prêts</w:t>
            </w:r>
          </w:p>
        </w:tc>
        <w:tc>
          <w:tcPr>
            <w:tcW w:w="2469" w:type="dxa"/>
            <w:tcBorders>
              <w:top w:val="nil"/>
              <w:left w:val="nil"/>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lang w:eastAsia="fr-FR"/>
              </w:rPr>
            </w:pPr>
            <w:r w:rsidRPr="00917840">
              <w:rPr>
                <w:rFonts w:ascii="Arial" w:eastAsia="Times New Roman" w:hAnsi="Arial" w:cs="Arial"/>
                <w:lang w:eastAsia="fr-FR"/>
              </w:rPr>
              <w:t>138,22</w:t>
            </w:r>
          </w:p>
        </w:tc>
        <w:tc>
          <w:tcPr>
            <w:tcW w:w="2639" w:type="dxa"/>
            <w:tcBorders>
              <w:top w:val="nil"/>
              <w:left w:val="nil"/>
              <w:bottom w:val="single" w:sz="4" w:space="0" w:color="auto"/>
              <w:right w:val="single" w:sz="4" w:space="0" w:color="auto"/>
            </w:tcBorders>
            <w:shd w:val="clear" w:color="auto" w:fill="auto"/>
            <w:hideMark/>
          </w:tcPr>
          <w:p w:rsidR="00496903" w:rsidRPr="00917840" w:rsidRDefault="00782BF2" w:rsidP="00496903">
            <w:pPr>
              <w:spacing w:after="0" w:line="240" w:lineRule="auto"/>
              <w:jc w:val="center"/>
              <w:rPr>
                <w:rFonts w:ascii="Arial" w:eastAsia="Times New Roman" w:hAnsi="Arial" w:cs="Arial"/>
                <w:lang w:eastAsia="fr-FR"/>
              </w:rPr>
            </w:pPr>
            <w:r>
              <w:rPr>
                <w:rFonts w:ascii="Arial" w:eastAsia="Times New Roman" w:hAnsi="Arial" w:cs="Arial"/>
                <w:lang w:eastAsia="fr-FR"/>
              </w:rPr>
              <w:t>52,1</w:t>
            </w:r>
          </w:p>
        </w:tc>
      </w:tr>
      <w:tr w:rsidR="00496903" w:rsidRPr="00917840" w:rsidTr="00496903">
        <w:trPr>
          <w:trHeight w:val="127"/>
        </w:trPr>
        <w:tc>
          <w:tcPr>
            <w:tcW w:w="3835" w:type="dxa"/>
            <w:tcBorders>
              <w:top w:val="nil"/>
              <w:left w:val="single" w:sz="4" w:space="0" w:color="auto"/>
              <w:bottom w:val="single" w:sz="4" w:space="0" w:color="auto"/>
              <w:right w:val="single" w:sz="4" w:space="0" w:color="auto"/>
            </w:tcBorders>
            <w:shd w:val="clear" w:color="auto" w:fill="auto"/>
            <w:hideMark/>
          </w:tcPr>
          <w:p w:rsidR="00496903" w:rsidRPr="00917840" w:rsidRDefault="00496903" w:rsidP="00496903">
            <w:pPr>
              <w:spacing w:after="0" w:line="240" w:lineRule="auto"/>
              <w:rPr>
                <w:rFonts w:ascii="Arial" w:eastAsia="Times New Roman" w:hAnsi="Arial" w:cs="Arial"/>
                <w:b/>
                <w:bCs/>
                <w:lang w:eastAsia="fr-FR"/>
              </w:rPr>
            </w:pPr>
            <w:r w:rsidRPr="00917840">
              <w:rPr>
                <w:rFonts w:ascii="Arial" w:eastAsia="Times New Roman" w:hAnsi="Arial" w:cs="Arial"/>
                <w:b/>
                <w:bCs/>
                <w:lang w:eastAsia="fr-FR"/>
              </w:rPr>
              <w:t>Dons</w:t>
            </w:r>
          </w:p>
        </w:tc>
        <w:tc>
          <w:tcPr>
            <w:tcW w:w="2469" w:type="dxa"/>
            <w:tcBorders>
              <w:top w:val="nil"/>
              <w:left w:val="nil"/>
              <w:bottom w:val="single" w:sz="4" w:space="0" w:color="auto"/>
              <w:right w:val="single" w:sz="4" w:space="0" w:color="auto"/>
            </w:tcBorders>
            <w:shd w:val="clear" w:color="auto" w:fill="auto"/>
            <w:hideMark/>
          </w:tcPr>
          <w:p w:rsidR="00496903" w:rsidRPr="00917840" w:rsidRDefault="00496903" w:rsidP="00496903">
            <w:pPr>
              <w:spacing w:after="0" w:line="240" w:lineRule="auto"/>
              <w:jc w:val="center"/>
              <w:rPr>
                <w:rFonts w:ascii="Arial" w:eastAsia="Times New Roman" w:hAnsi="Arial" w:cs="Arial"/>
                <w:lang w:eastAsia="fr-FR"/>
              </w:rPr>
            </w:pPr>
            <w:r w:rsidRPr="00917840">
              <w:rPr>
                <w:rFonts w:ascii="Arial" w:eastAsia="Times New Roman" w:hAnsi="Arial" w:cs="Arial"/>
                <w:lang w:eastAsia="fr-FR"/>
              </w:rPr>
              <w:t>127,30</w:t>
            </w:r>
          </w:p>
        </w:tc>
        <w:tc>
          <w:tcPr>
            <w:tcW w:w="2639" w:type="dxa"/>
            <w:tcBorders>
              <w:top w:val="nil"/>
              <w:left w:val="nil"/>
              <w:bottom w:val="single" w:sz="4" w:space="0" w:color="auto"/>
              <w:right w:val="single" w:sz="4" w:space="0" w:color="auto"/>
            </w:tcBorders>
            <w:shd w:val="clear" w:color="auto" w:fill="auto"/>
            <w:hideMark/>
          </w:tcPr>
          <w:p w:rsidR="00496903" w:rsidRPr="00917840" w:rsidRDefault="00782BF2" w:rsidP="00496903">
            <w:pPr>
              <w:spacing w:after="0" w:line="240" w:lineRule="auto"/>
              <w:jc w:val="center"/>
              <w:rPr>
                <w:rFonts w:ascii="Arial" w:eastAsia="Times New Roman" w:hAnsi="Arial" w:cs="Arial"/>
                <w:lang w:eastAsia="fr-FR"/>
              </w:rPr>
            </w:pPr>
            <w:r>
              <w:rPr>
                <w:rFonts w:ascii="Arial" w:eastAsia="Times New Roman" w:hAnsi="Arial" w:cs="Arial"/>
                <w:lang w:eastAsia="fr-FR"/>
              </w:rPr>
              <w:t>47,9</w:t>
            </w:r>
          </w:p>
        </w:tc>
      </w:tr>
    </w:tbl>
    <w:p w:rsidR="00496903" w:rsidRDefault="00496903" w:rsidP="00496903">
      <w:pPr>
        <w:jc w:val="both"/>
        <w:rPr>
          <w:rFonts w:ascii="Arial" w:hAnsi="Arial" w:cs="Arial"/>
          <w:bCs/>
          <w:i/>
        </w:rPr>
      </w:pPr>
      <w:r w:rsidRPr="00496903">
        <w:rPr>
          <w:rFonts w:ascii="Arial" w:hAnsi="Arial" w:cs="Arial"/>
          <w:b/>
          <w:bCs/>
          <w:i/>
          <w:u w:val="single"/>
        </w:rPr>
        <w:t>Source :</w:t>
      </w:r>
      <w:r w:rsidRPr="00496903">
        <w:rPr>
          <w:rFonts w:ascii="Arial" w:hAnsi="Arial" w:cs="Arial"/>
          <w:bCs/>
          <w:i/>
        </w:rPr>
        <w:t xml:space="preserve"> PGA/DG-COOP, Juillet 2017.</w:t>
      </w:r>
    </w:p>
    <w:p w:rsidR="003D6C65" w:rsidRDefault="003D6C65" w:rsidP="00496903">
      <w:pPr>
        <w:jc w:val="both"/>
        <w:rPr>
          <w:rFonts w:ascii="Arial" w:hAnsi="Arial" w:cs="Arial"/>
          <w:bCs/>
          <w:i/>
        </w:rPr>
      </w:pPr>
    </w:p>
    <w:p w:rsidR="003D6C65" w:rsidRDefault="003D6C65" w:rsidP="00496903">
      <w:pPr>
        <w:jc w:val="both"/>
        <w:rPr>
          <w:rFonts w:ascii="Arial" w:hAnsi="Arial" w:cs="Arial"/>
          <w:bCs/>
          <w:i/>
        </w:rPr>
      </w:pPr>
    </w:p>
    <w:p w:rsidR="003D6C65" w:rsidRPr="00496903" w:rsidRDefault="003D6C65" w:rsidP="00496903">
      <w:pPr>
        <w:jc w:val="both"/>
        <w:rPr>
          <w:rFonts w:ascii="Arial" w:hAnsi="Arial" w:cs="Arial"/>
          <w:bCs/>
          <w:i/>
        </w:rPr>
      </w:pPr>
    </w:p>
    <w:p w:rsidR="00496903" w:rsidRPr="00F76D92" w:rsidRDefault="00F76D92" w:rsidP="00F76D92">
      <w:pPr>
        <w:pStyle w:val="Lgende"/>
        <w:rPr>
          <w:bCs w:val="0"/>
          <w:iCs/>
          <w:color w:val="auto"/>
          <w:lang w:eastAsia="fr-FR"/>
        </w:rPr>
      </w:pPr>
      <w:bookmarkStart w:id="375" w:name="_Toc492895738"/>
      <w:r w:rsidRPr="00F76D92">
        <w:rPr>
          <w:color w:val="auto"/>
        </w:rPr>
        <w:t xml:space="preserve">Graphique </w:t>
      </w:r>
      <w:r w:rsidRPr="00F76D92">
        <w:rPr>
          <w:color w:val="auto"/>
        </w:rPr>
        <w:fldChar w:fldCharType="begin"/>
      </w:r>
      <w:r w:rsidRPr="00F76D92">
        <w:rPr>
          <w:color w:val="auto"/>
        </w:rPr>
        <w:instrText xml:space="preserve"> SEQ Graphique \* ARABIC </w:instrText>
      </w:r>
      <w:r w:rsidRPr="00F76D92">
        <w:rPr>
          <w:color w:val="auto"/>
        </w:rPr>
        <w:fldChar w:fldCharType="separate"/>
      </w:r>
      <w:r w:rsidR="009A1402">
        <w:rPr>
          <w:noProof/>
          <w:color w:val="auto"/>
        </w:rPr>
        <w:t>5</w:t>
      </w:r>
      <w:r w:rsidRPr="00F76D92">
        <w:rPr>
          <w:color w:val="auto"/>
        </w:rPr>
        <w:fldChar w:fldCharType="end"/>
      </w:r>
      <w:r w:rsidR="00496903" w:rsidRPr="00F76D92">
        <w:rPr>
          <w:bCs w:val="0"/>
          <w:iCs/>
          <w:color w:val="auto"/>
          <w:lang w:eastAsia="fr-FR"/>
        </w:rPr>
        <w:t xml:space="preserve"> : </w:t>
      </w:r>
      <w:r w:rsidR="00496903" w:rsidRPr="00F76D92">
        <w:rPr>
          <w:bCs w:val="0"/>
          <w:iCs/>
          <w:color w:val="auto"/>
          <w:u w:val="none"/>
          <w:lang w:eastAsia="fr-FR"/>
        </w:rPr>
        <w:t>Contribution des principaux donateurs de l’ABG</w:t>
      </w:r>
      <w:bookmarkEnd w:id="375"/>
      <w:r w:rsidR="00496903" w:rsidRPr="00F76D92">
        <w:rPr>
          <w:bCs w:val="0"/>
          <w:iCs/>
          <w:color w:val="auto"/>
          <w:lang w:eastAsia="fr-FR"/>
        </w:rPr>
        <w:t xml:space="preserve"> </w:t>
      </w:r>
    </w:p>
    <w:p w:rsidR="00496903" w:rsidRPr="00496903" w:rsidRDefault="00496903" w:rsidP="009B71CE">
      <w:pPr>
        <w:pStyle w:val="Paragraphedeliste"/>
        <w:spacing w:after="0"/>
        <w:ind w:left="0"/>
        <w:contextualSpacing w:val="0"/>
        <w:jc w:val="both"/>
        <w:rPr>
          <w:rFonts w:ascii="Arial" w:hAnsi="Arial" w:cs="Arial"/>
          <w:b/>
          <w:bCs/>
          <w:i/>
          <w:iCs/>
          <w:lang w:eastAsia="fr-FR"/>
        </w:rPr>
      </w:pPr>
      <w:r w:rsidRPr="00917840">
        <w:rPr>
          <w:noProof/>
          <w:lang w:eastAsia="fr-FR"/>
        </w:rPr>
        <w:drawing>
          <wp:inline distT="0" distB="0" distL="0" distR="0" wp14:anchorId="51CECD6A" wp14:editId="05AB48D5">
            <wp:extent cx="5724525" cy="1809750"/>
            <wp:effectExtent l="0" t="0" r="9525" b="0"/>
            <wp:docPr id="13" name="Graphique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496903" w:rsidRPr="00496903" w:rsidRDefault="00496903" w:rsidP="00496903">
      <w:pPr>
        <w:tabs>
          <w:tab w:val="left" w:pos="2160"/>
        </w:tabs>
        <w:jc w:val="both"/>
        <w:rPr>
          <w:rFonts w:ascii="Arial" w:hAnsi="Arial" w:cs="Arial"/>
          <w:bCs/>
          <w:i/>
          <w:sz w:val="18"/>
          <w:szCs w:val="18"/>
        </w:rPr>
      </w:pPr>
      <w:r w:rsidRPr="00496903">
        <w:rPr>
          <w:rFonts w:ascii="Arial" w:hAnsi="Arial" w:cs="Arial"/>
          <w:b/>
          <w:bCs/>
          <w:i/>
          <w:sz w:val="18"/>
          <w:szCs w:val="18"/>
          <w:u w:val="single"/>
        </w:rPr>
        <w:t>Source</w:t>
      </w:r>
      <w:r w:rsidRPr="00496903">
        <w:rPr>
          <w:rFonts w:ascii="Arial" w:hAnsi="Arial" w:cs="Arial"/>
          <w:b/>
          <w:bCs/>
          <w:i/>
          <w:sz w:val="18"/>
          <w:szCs w:val="18"/>
        </w:rPr>
        <w:t xml:space="preserve"> : </w:t>
      </w:r>
      <w:r w:rsidR="00F76D92">
        <w:rPr>
          <w:rFonts w:ascii="Arial" w:hAnsi="Arial" w:cs="Arial"/>
          <w:bCs/>
          <w:i/>
          <w:sz w:val="18"/>
          <w:szCs w:val="18"/>
        </w:rPr>
        <w:t>PGA/DGCOOP, Juillet 2017</w:t>
      </w:r>
    </w:p>
    <w:p w:rsidR="00356AF2" w:rsidRPr="00243045" w:rsidRDefault="00356AF2" w:rsidP="008D7758">
      <w:pPr>
        <w:pStyle w:val="Titre4"/>
        <w:numPr>
          <w:ilvl w:val="0"/>
          <w:numId w:val="127"/>
        </w:numPr>
        <w:ind w:left="2205" w:hanging="220"/>
        <w:rPr>
          <w:lang w:eastAsia="fr-FR"/>
        </w:rPr>
      </w:pPr>
      <w:bookmarkStart w:id="376" w:name="_Toc492972204"/>
      <w:r w:rsidRPr="00243045">
        <w:rPr>
          <w:lang w:eastAsia="fr-FR"/>
        </w:rPr>
        <w:t>L’Appui budgétaire sectoriel</w:t>
      </w:r>
      <w:bookmarkEnd w:id="376"/>
    </w:p>
    <w:p w:rsidR="00751926" w:rsidRPr="00917840" w:rsidRDefault="00751926" w:rsidP="00751926">
      <w:pPr>
        <w:jc w:val="both"/>
        <w:rPr>
          <w:rFonts w:ascii="Arial" w:hAnsi="Arial" w:cs="Arial"/>
        </w:rPr>
      </w:pPr>
      <w:r w:rsidRPr="00917840">
        <w:rPr>
          <w:rFonts w:ascii="Arial" w:hAnsi="Arial" w:cs="Arial"/>
        </w:rPr>
        <w:t xml:space="preserve">L’Appui budgétaire sectoriel (ABS) est une aide destinée à financer la mise en œuvre de la politique du Gouvernement au niveau sectoriel. En 2016, les montants de l’ABS, livrés en totalité en dons, ont été de 10,68 millions dollars US contre </w:t>
      </w:r>
      <w:r w:rsidR="003F3223">
        <w:rPr>
          <w:rFonts w:ascii="Arial" w:hAnsi="Arial" w:cs="Arial"/>
        </w:rPr>
        <w:t>88,97</w:t>
      </w:r>
      <w:r w:rsidRPr="00917840">
        <w:rPr>
          <w:rFonts w:ascii="Arial" w:hAnsi="Arial" w:cs="Arial"/>
        </w:rPr>
        <w:t xml:space="preserve"> millions dollars US en 2015, soit une baisse de </w:t>
      </w:r>
      <w:r w:rsidR="005546DD">
        <w:rPr>
          <w:rFonts w:ascii="Arial" w:hAnsi="Arial" w:cs="Arial"/>
        </w:rPr>
        <w:t>87,99</w:t>
      </w:r>
      <w:r w:rsidRPr="00917840">
        <w:rPr>
          <w:rFonts w:ascii="Arial" w:hAnsi="Arial" w:cs="Arial"/>
        </w:rPr>
        <w:t xml:space="preserve">%. L’ABS a représenté 0,97 % de l’APD totale reçue en 2016 contre 8,1% en 2015. </w:t>
      </w:r>
    </w:p>
    <w:p w:rsidR="00FB460A" w:rsidRPr="00917840" w:rsidRDefault="00751926" w:rsidP="00751926">
      <w:pPr>
        <w:jc w:val="both"/>
        <w:rPr>
          <w:rFonts w:ascii="Arial" w:hAnsi="Arial" w:cs="Arial"/>
        </w:rPr>
      </w:pPr>
      <w:r w:rsidRPr="00917840">
        <w:rPr>
          <w:rFonts w:ascii="Arial" w:hAnsi="Arial" w:cs="Arial"/>
        </w:rPr>
        <w:t>Cette diminution 25 s’explique principalement par la fin du programme d’appui budgétaire sectoriel de la BAD et le non décaissement de l’Appui budgétaire sectoriel de l’Union Européenne.</w:t>
      </w:r>
    </w:p>
    <w:p w:rsidR="00751926" w:rsidRPr="00F76D92" w:rsidRDefault="00F76D92" w:rsidP="00F76D92">
      <w:pPr>
        <w:pStyle w:val="Lgende"/>
        <w:rPr>
          <w:color w:val="auto"/>
          <w:u w:val="none"/>
        </w:rPr>
      </w:pPr>
      <w:bookmarkStart w:id="377" w:name="_Toc492895484"/>
      <w:r w:rsidRPr="00F76D92">
        <w:rPr>
          <w:color w:val="auto"/>
        </w:rPr>
        <w:t xml:space="preserve">Tableau </w:t>
      </w:r>
      <w:r w:rsidRPr="00F76D92">
        <w:rPr>
          <w:color w:val="auto"/>
        </w:rPr>
        <w:fldChar w:fldCharType="begin"/>
      </w:r>
      <w:r w:rsidRPr="00F76D92">
        <w:rPr>
          <w:color w:val="auto"/>
        </w:rPr>
        <w:instrText xml:space="preserve"> SEQ Tableau \* ARABIC </w:instrText>
      </w:r>
      <w:r w:rsidRPr="00F76D92">
        <w:rPr>
          <w:color w:val="auto"/>
        </w:rPr>
        <w:fldChar w:fldCharType="separate"/>
      </w:r>
      <w:r w:rsidR="009A1402">
        <w:rPr>
          <w:noProof/>
          <w:color w:val="auto"/>
        </w:rPr>
        <w:t>16</w:t>
      </w:r>
      <w:r w:rsidRPr="00F76D92">
        <w:rPr>
          <w:color w:val="auto"/>
        </w:rPr>
        <w:fldChar w:fldCharType="end"/>
      </w:r>
      <w:r w:rsidRPr="00F76D92">
        <w:rPr>
          <w:color w:val="auto"/>
        </w:rPr>
        <w:t> :</w:t>
      </w:r>
      <w:r w:rsidR="00751926" w:rsidRPr="00F76D92">
        <w:rPr>
          <w:color w:val="auto"/>
        </w:rPr>
        <w:t xml:space="preserve"> </w:t>
      </w:r>
      <w:r w:rsidR="00751926" w:rsidRPr="00F76D92">
        <w:rPr>
          <w:color w:val="auto"/>
          <w:u w:val="none"/>
        </w:rPr>
        <w:t>Caractéristiques de l'Appui Budgétaire Sectoriel en 2016</w:t>
      </w:r>
      <w:bookmarkEnd w:id="377"/>
    </w:p>
    <w:tbl>
      <w:tblPr>
        <w:tblW w:w="9694" w:type="dxa"/>
        <w:tblInd w:w="75" w:type="dxa"/>
        <w:tblCellMar>
          <w:left w:w="70" w:type="dxa"/>
          <w:right w:w="70" w:type="dxa"/>
        </w:tblCellMar>
        <w:tblLook w:val="04A0" w:firstRow="1" w:lastRow="0" w:firstColumn="1" w:lastColumn="0" w:noHBand="0" w:noVBand="1"/>
      </w:tblPr>
      <w:tblGrid>
        <w:gridCol w:w="5529"/>
        <w:gridCol w:w="2021"/>
        <w:gridCol w:w="2144"/>
      </w:tblGrid>
      <w:tr w:rsidR="00751926" w:rsidRPr="00917840" w:rsidTr="00F76D92">
        <w:trPr>
          <w:trHeight w:val="305"/>
        </w:trPr>
        <w:tc>
          <w:tcPr>
            <w:tcW w:w="5529" w:type="dxa"/>
            <w:tcBorders>
              <w:top w:val="single" w:sz="4" w:space="0" w:color="auto"/>
              <w:left w:val="single" w:sz="4" w:space="0" w:color="auto"/>
              <w:bottom w:val="single" w:sz="4" w:space="0" w:color="auto"/>
              <w:right w:val="single" w:sz="4" w:space="0" w:color="auto"/>
            </w:tcBorders>
            <w:shd w:val="clear" w:color="000000" w:fill="CCFFFF"/>
            <w:vAlign w:val="center"/>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Désignation</w:t>
            </w:r>
          </w:p>
        </w:tc>
        <w:tc>
          <w:tcPr>
            <w:tcW w:w="2021" w:type="dxa"/>
            <w:tcBorders>
              <w:top w:val="single" w:sz="4" w:space="0" w:color="auto"/>
              <w:left w:val="nil"/>
              <w:bottom w:val="single" w:sz="4" w:space="0" w:color="auto"/>
              <w:right w:val="single" w:sz="4" w:space="0" w:color="auto"/>
            </w:tcBorders>
            <w:shd w:val="clear" w:color="000000" w:fill="CCFFFF"/>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Montant (millions de $US</w:t>
            </w:r>
          </w:p>
        </w:tc>
        <w:tc>
          <w:tcPr>
            <w:tcW w:w="2144" w:type="dxa"/>
            <w:tcBorders>
              <w:top w:val="single" w:sz="4" w:space="0" w:color="auto"/>
              <w:left w:val="nil"/>
              <w:bottom w:val="single" w:sz="4" w:space="0" w:color="auto"/>
              <w:right w:val="single" w:sz="4" w:space="0" w:color="auto"/>
            </w:tcBorders>
            <w:shd w:val="clear" w:color="000000" w:fill="CCFFFF"/>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En % du total de l'APD</w:t>
            </w:r>
          </w:p>
        </w:tc>
      </w:tr>
      <w:tr w:rsidR="00751926" w:rsidRPr="00917840" w:rsidTr="00F76D92">
        <w:trPr>
          <w:trHeight w:val="161"/>
        </w:trPr>
        <w:tc>
          <w:tcPr>
            <w:tcW w:w="5529" w:type="dxa"/>
            <w:tcBorders>
              <w:top w:val="nil"/>
              <w:left w:val="single" w:sz="4" w:space="0" w:color="auto"/>
              <w:bottom w:val="single" w:sz="4" w:space="0" w:color="auto"/>
              <w:right w:val="single" w:sz="4" w:space="0" w:color="auto"/>
            </w:tcBorders>
            <w:shd w:val="clear" w:color="auto" w:fill="auto"/>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Aide Budgétaire sectoriel</w:t>
            </w:r>
          </w:p>
        </w:tc>
        <w:tc>
          <w:tcPr>
            <w:tcW w:w="2021" w:type="dxa"/>
            <w:tcBorders>
              <w:top w:val="nil"/>
              <w:left w:val="nil"/>
              <w:bottom w:val="single" w:sz="4" w:space="0" w:color="auto"/>
              <w:right w:val="single" w:sz="4" w:space="0" w:color="auto"/>
            </w:tcBorders>
            <w:shd w:val="clear" w:color="auto" w:fill="auto"/>
            <w:noWrap/>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10,68</w:t>
            </w:r>
          </w:p>
        </w:tc>
        <w:tc>
          <w:tcPr>
            <w:tcW w:w="2144" w:type="dxa"/>
            <w:tcBorders>
              <w:top w:val="nil"/>
              <w:left w:val="nil"/>
              <w:bottom w:val="single" w:sz="4" w:space="0" w:color="auto"/>
              <w:right w:val="single" w:sz="4" w:space="0" w:color="auto"/>
            </w:tcBorders>
            <w:shd w:val="clear" w:color="auto" w:fill="auto"/>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0,97%</w:t>
            </w:r>
          </w:p>
        </w:tc>
      </w:tr>
      <w:tr w:rsidR="00751926" w:rsidRPr="00917840" w:rsidTr="00F76D92">
        <w:trPr>
          <w:trHeight w:val="305"/>
        </w:trPr>
        <w:tc>
          <w:tcPr>
            <w:tcW w:w="5529" w:type="dxa"/>
            <w:tcBorders>
              <w:top w:val="nil"/>
              <w:left w:val="single" w:sz="4" w:space="0" w:color="auto"/>
              <w:bottom w:val="single" w:sz="4" w:space="0" w:color="auto"/>
              <w:right w:val="single" w:sz="4" w:space="0" w:color="auto"/>
            </w:tcBorders>
            <w:shd w:val="clear" w:color="auto" w:fill="auto"/>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Bailleurs</w:t>
            </w:r>
          </w:p>
        </w:tc>
        <w:tc>
          <w:tcPr>
            <w:tcW w:w="2021" w:type="dxa"/>
            <w:tcBorders>
              <w:top w:val="nil"/>
              <w:left w:val="nil"/>
              <w:bottom w:val="single" w:sz="4" w:space="0" w:color="auto"/>
              <w:right w:val="single" w:sz="4" w:space="0" w:color="auto"/>
            </w:tcBorders>
            <w:shd w:val="clear" w:color="auto" w:fill="auto"/>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Montant (millions de $US</w:t>
            </w:r>
          </w:p>
        </w:tc>
        <w:tc>
          <w:tcPr>
            <w:tcW w:w="2144" w:type="dxa"/>
            <w:tcBorders>
              <w:top w:val="nil"/>
              <w:left w:val="nil"/>
              <w:bottom w:val="single" w:sz="4" w:space="0" w:color="auto"/>
              <w:right w:val="single" w:sz="4" w:space="0" w:color="auto"/>
            </w:tcBorders>
            <w:shd w:val="clear" w:color="auto" w:fill="auto"/>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En % du total de l’Aide Budgétaire Sectoriel</w:t>
            </w:r>
          </w:p>
        </w:tc>
      </w:tr>
      <w:tr w:rsidR="00751926" w:rsidRPr="00917840" w:rsidTr="00F76D92">
        <w:trPr>
          <w:trHeight w:val="161"/>
        </w:trPr>
        <w:tc>
          <w:tcPr>
            <w:tcW w:w="5529" w:type="dxa"/>
            <w:tcBorders>
              <w:top w:val="nil"/>
              <w:left w:val="single" w:sz="4" w:space="0" w:color="auto"/>
              <w:bottom w:val="single" w:sz="4" w:space="0" w:color="auto"/>
              <w:right w:val="single" w:sz="4" w:space="0" w:color="auto"/>
            </w:tcBorders>
            <w:shd w:val="clear" w:color="auto" w:fill="auto"/>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Principaux donateurs</w:t>
            </w:r>
          </w:p>
        </w:tc>
        <w:tc>
          <w:tcPr>
            <w:tcW w:w="2021" w:type="dxa"/>
            <w:tcBorders>
              <w:top w:val="nil"/>
              <w:left w:val="nil"/>
              <w:bottom w:val="single" w:sz="4" w:space="0" w:color="auto"/>
              <w:right w:val="single" w:sz="4" w:space="0" w:color="auto"/>
            </w:tcBorders>
            <w:shd w:val="clear" w:color="auto" w:fill="auto"/>
            <w:noWrap/>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10,68</w:t>
            </w:r>
          </w:p>
        </w:tc>
        <w:tc>
          <w:tcPr>
            <w:tcW w:w="2144" w:type="dxa"/>
            <w:tcBorders>
              <w:top w:val="nil"/>
              <w:left w:val="nil"/>
              <w:bottom w:val="single" w:sz="4" w:space="0" w:color="auto"/>
              <w:right w:val="single" w:sz="4" w:space="0" w:color="auto"/>
            </w:tcBorders>
            <w:shd w:val="clear" w:color="auto" w:fill="auto"/>
            <w:vAlign w:val="bottom"/>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100,00</w:t>
            </w:r>
          </w:p>
        </w:tc>
      </w:tr>
      <w:tr w:rsidR="00751926" w:rsidRPr="00917840" w:rsidTr="00F76D92">
        <w:trPr>
          <w:trHeight w:val="161"/>
        </w:trPr>
        <w:tc>
          <w:tcPr>
            <w:tcW w:w="5529" w:type="dxa"/>
            <w:tcBorders>
              <w:top w:val="nil"/>
              <w:left w:val="single" w:sz="4" w:space="0" w:color="000000"/>
              <w:bottom w:val="single" w:sz="4" w:space="0" w:color="000000"/>
              <w:right w:val="single" w:sz="4" w:space="0" w:color="000000"/>
            </w:tcBorders>
            <w:shd w:val="clear" w:color="auto" w:fill="auto"/>
            <w:vAlign w:val="bottom"/>
            <w:hideMark/>
          </w:tcPr>
          <w:p w:rsidR="00751926" w:rsidRPr="00917840" w:rsidRDefault="00751926" w:rsidP="0032736F">
            <w:pPr>
              <w:spacing w:after="0" w:line="240" w:lineRule="auto"/>
              <w:rPr>
                <w:rFonts w:ascii="Arial" w:eastAsia="Times New Roman" w:hAnsi="Arial" w:cs="Arial"/>
                <w:b/>
                <w:bCs/>
                <w:sz w:val="20"/>
                <w:szCs w:val="20"/>
                <w:lang w:eastAsia="fr-FR"/>
              </w:rPr>
            </w:pPr>
            <w:r w:rsidRPr="00917840">
              <w:rPr>
                <w:rFonts w:ascii="Arial" w:eastAsia="Times New Roman" w:hAnsi="Arial" w:cs="Arial"/>
                <w:b/>
                <w:bCs/>
                <w:sz w:val="20"/>
                <w:szCs w:val="20"/>
                <w:lang w:eastAsia="fr-FR"/>
              </w:rPr>
              <w:t xml:space="preserve">Danemark </w:t>
            </w:r>
          </w:p>
        </w:tc>
        <w:tc>
          <w:tcPr>
            <w:tcW w:w="2021" w:type="dxa"/>
            <w:tcBorders>
              <w:top w:val="nil"/>
              <w:left w:val="nil"/>
              <w:bottom w:val="single" w:sz="4" w:space="0" w:color="000000"/>
              <w:right w:val="single" w:sz="4" w:space="0" w:color="000000"/>
            </w:tcBorders>
            <w:shd w:val="clear" w:color="auto" w:fill="auto"/>
            <w:hideMark/>
          </w:tcPr>
          <w:p w:rsidR="00751926" w:rsidRPr="00917840" w:rsidRDefault="00751926" w:rsidP="0032736F">
            <w:pPr>
              <w:spacing w:after="0" w:line="240" w:lineRule="auto"/>
              <w:jc w:val="center"/>
              <w:rPr>
                <w:rFonts w:ascii="Arial" w:eastAsia="Times New Roman" w:hAnsi="Arial" w:cs="Arial"/>
                <w:sz w:val="20"/>
                <w:szCs w:val="20"/>
                <w:lang w:eastAsia="fr-FR"/>
              </w:rPr>
            </w:pPr>
            <w:r w:rsidRPr="00917840">
              <w:rPr>
                <w:rFonts w:ascii="Arial" w:eastAsia="Times New Roman" w:hAnsi="Arial" w:cs="Arial"/>
                <w:sz w:val="20"/>
                <w:szCs w:val="20"/>
                <w:lang w:eastAsia="fr-FR"/>
              </w:rPr>
              <w:t>6,85</w:t>
            </w:r>
          </w:p>
        </w:tc>
        <w:tc>
          <w:tcPr>
            <w:tcW w:w="2144" w:type="dxa"/>
            <w:tcBorders>
              <w:top w:val="nil"/>
              <w:left w:val="nil"/>
              <w:bottom w:val="single" w:sz="4" w:space="0" w:color="auto"/>
              <w:right w:val="single" w:sz="4" w:space="0" w:color="auto"/>
            </w:tcBorders>
            <w:shd w:val="clear" w:color="auto" w:fill="auto"/>
            <w:vAlign w:val="bottom"/>
            <w:hideMark/>
          </w:tcPr>
          <w:p w:rsidR="00751926" w:rsidRPr="00917840" w:rsidRDefault="00751926" w:rsidP="0032736F">
            <w:pPr>
              <w:spacing w:after="0" w:line="240" w:lineRule="auto"/>
              <w:jc w:val="center"/>
              <w:rPr>
                <w:rFonts w:ascii="Arial" w:eastAsia="Times New Roman" w:hAnsi="Arial" w:cs="Arial"/>
                <w:sz w:val="18"/>
                <w:szCs w:val="18"/>
                <w:lang w:eastAsia="fr-FR"/>
              </w:rPr>
            </w:pPr>
            <w:r w:rsidRPr="00917840">
              <w:rPr>
                <w:rFonts w:ascii="Arial" w:eastAsia="Times New Roman" w:hAnsi="Arial" w:cs="Arial"/>
                <w:sz w:val="18"/>
                <w:szCs w:val="18"/>
                <w:lang w:eastAsia="fr-FR"/>
              </w:rPr>
              <w:t>64,19</w:t>
            </w:r>
          </w:p>
        </w:tc>
      </w:tr>
      <w:tr w:rsidR="00751926" w:rsidRPr="00917840" w:rsidTr="00F76D92">
        <w:trPr>
          <w:trHeight w:val="161"/>
        </w:trPr>
        <w:tc>
          <w:tcPr>
            <w:tcW w:w="5529" w:type="dxa"/>
            <w:tcBorders>
              <w:top w:val="nil"/>
              <w:left w:val="single" w:sz="4" w:space="0" w:color="000000"/>
              <w:bottom w:val="single" w:sz="4" w:space="0" w:color="000000"/>
              <w:right w:val="single" w:sz="4" w:space="0" w:color="000000"/>
            </w:tcBorders>
            <w:shd w:val="clear" w:color="auto" w:fill="auto"/>
            <w:vAlign w:val="bottom"/>
            <w:hideMark/>
          </w:tcPr>
          <w:p w:rsidR="00751926" w:rsidRPr="00917840" w:rsidRDefault="00751926" w:rsidP="0032736F">
            <w:pPr>
              <w:spacing w:after="0" w:line="240" w:lineRule="auto"/>
              <w:rPr>
                <w:rFonts w:ascii="Arial" w:eastAsia="Times New Roman" w:hAnsi="Arial" w:cs="Arial"/>
                <w:b/>
                <w:bCs/>
                <w:sz w:val="20"/>
                <w:szCs w:val="20"/>
                <w:lang w:eastAsia="fr-FR"/>
              </w:rPr>
            </w:pPr>
            <w:r w:rsidRPr="00917840">
              <w:rPr>
                <w:rFonts w:ascii="Arial" w:eastAsia="Times New Roman" w:hAnsi="Arial" w:cs="Arial"/>
                <w:b/>
                <w:bCs/>
                <w:sz w:val="20"/>
                <w:szCs w:val="20"/>
                <w:lang w:eastAsia="fr-FR"/>
              </w:rPr>
              <w:t>UE</w:t>
            </w:r>
          </w:p>
        </w:tc>
        <w:tc>
          <w:tcPr>
            <w:tcW w:w="2021" w:type="dxa"/>
            <w:tcBorders>
              <w:top w:val="nil"/>
              <w:left w:val="nil"/>
              <w:bottom w:val="single" w:sz="4" w:space="0" w:color="000000"/>
              <w:right w:val="single" w:sz="4" w:space="0" w:color="000000"/>
            </w:tcBorders>
            <w:shd w:val="clear" w:color="auto" w:fill="auto"/>
            <w:hideMark/>
          </w:tcPr>
          <w:p w:rsidR="00751926" w:rsidRPr="00917840" w:rsidRDefault="00751926" w:rsidP="0032736F">
            <w:pPr>
              <w:spacing w:after="0" w:line="240" w:lineRule="auto"/>
              <w:jc w:val="center"/>
              <w:rPr>
                <w:rFonts w:ascii="Arial" w:eastAsia="Times New Roman" w:hAnsi="Arial" w:cs="Arial"/>
                <w:sz w:val="20"/>
                <w:szCs w:val="20"/>
                <w:lang w:eastAsia="fr-FR"/>
              </w:rPr>
            </w:pPr>
            <w:r w:rsidRPr="00917840">
              <w:rPr>
                <w:rFonts w:ascii="Arial" w:eastAsia="Times New Roman" w:hAnsi="Arial" w:cs="Arial"/>
                <w:sz w:val="20"/>
                <w:szCs w:val="20"/>
                <w:lang w:eastAsia="fr-FR"/>
              </w:rPr>
              <w:t>3,82</w:t>
            </w:r>
          </w:p>
        </w:tc>
        <w:tc>
          <w:tcPr>
            <w:tcW w:w="2144" w:type="dxa"/>
            <w:tcBorders>
              <w:top w:val="nil"/>
              <w:left w:val="nil"/>
              <w:bottom w:val="single" w:sz="4" w:space="0" w:color="auto"/>
              <w:right w:val="single" w:sz="4" w:space="0" w:color="auto"/>
            </w:tcBorders>
            <w:shd w:val="clear" w:color="auto" w:fill="auto"/>
            <w:vAlign w:val="bottom"/>
            <w:hideMark/>
          </w:tcPr>
          <w:p w:rsidR="00751926" w:rsidRPr="00917840" w:rsidRDefault="00751926" w:rsidP="0032736F">
            <w:pPr>
              <w:spacing w:after="0" w:line="240" w:lineRule="auto"/>
              <w:jc w:val="center"/>
              <w:rPr>
                <w:rFonts w:ascii="Arial" w:eastAsia="Times New Roman" w:hAnsi="Arial" w:cs="Arial"/>
                <w:sz w:val="18"/>
                <w:szCs w:val="18"/>
                <w:lang w:eastAsia="fr-FR"/>
              </w:rPr>
            </w:pPr>
            <w:r w:rsidRPr="00917840">
              <w:rPr>
                <w:rFonts w:ascii="Arial" w:eastAsia="Times New Roman" w:hAnsi="Arial" w:cs="Arial"/>
                <w:sz w:val="18"/>
                <w:szCs w:val="18"/>
                <w:lang w:eastAsia="fr-FR"/>
              </w:rPr>
              <w:t>35,81</w:t>
            </w:r>
          </w:p>
        </w:tc>
      </w:tr>
      <w:tr w:rsidR="00751926" w:rsidRPr="00917840" w:rsidTr="00F76D92">
        <w:trPr>
          <w:trHeight w:val="305"/>
        </w:trPr>
        <w:tc>
          <w:tcPr>
            <w:tcW w:w="5529" w:type="dxa"/>
            <w:tcBorders>
              <w:top w:val="nil"/>
              <w:left w:val="single" w:sz="4" w:space="0" w:color="auto"/>
              <w:bottom w:val="single" w:sz="4" w:space="0" w:color="auto"/>
              <w:right w:val="single" w:sz="4" w:space="0" w:color="auto"/>
            </w:tcBorders>
            <w:shd w:val="clear" w:color="auto" w:fill="CCFFFF"/>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Répartition par conditions</w:t>
            </w:r>
          </w:p>
        </w:tc>
        <w:tc>
          <w:tcPr>
            <w:tcW w:w="2021" w:type="dxa"/>
            <w:tcBorders>
              <w:top w:val="nil"/>
              <w:left w:val="nil"/>
              <w:bottom w:val="single" w:sz="4" w:space="0" w:color="auto"/>
              <w:right w:val="single" w:sz="4" w:space="0" w:color="auto"/>
            </w:tcBorders>
            <w:shd w:val="clear" w:color="auto" w:fill="CCFFFF"/>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Montant (millions de $US</w:t>
            </w:r>
          </w:p>
        </w:tc>
        <w:tc>
          <w:tcPr>
            <w:tcW w:w="2144" w:type="dxa"/>
            <w:tcBorders>
              <w:top w:val="nil"/>
              <w:left w:val="nil"/>
              <w:bottom w:val="single" w:sz="4" w:space="0" w:color="auto"/>
              <w:right w:val="single" w:sz="4" w:space="0" w:color="auto"/>
            </w:tcBorders>
            <w:shd w:val="clear" w:color="auto" w:fill="CCFFFF"/>
            <w:hideMark/>
          </w:tcPr>
          <w:p w:rsidR="00751926" w:rsidRPr="00917840" w:rsidRDefault="00751926" w:rsidP="0032736F">
            <w:pPr>
              <w:spacing w:after="0" w:line="240" w:lineRule="auto"/>
              <w:jc w:val="center"/>
              <w:rPr>
                <w:rFonts w:ascii="Arial" w:eastAsia="Times New Roman" w:hAnsi="Arial" w:cs="Arial"/>
                <w:b/>
                <w:bCs/>
                <w:sz w:val="18"/>
                <w:szCs w:val="18"/>
                <w:lang w:eastAsia="fr-FR"/>
              </w:rPr>
            </w:pPr>
            <w:r w:rsidRPr="00917840">
              <w:rPr>
                <w:rFonts w:ascii="Arial" w:eastAsia="Times New Roman" w:hAnsi="Arial" w:cs="Arial"/>
                <w:b/>
                <w:bCs/>
                <w:sz w:val="18"/>
                <w:szCs w:val="18"/>
                <w:lang w:eastAsia="fr-FR"/>
              </w:rPr>
              <w:t>En % du total de l’appui budgétaire sectoriel</w:t>
            </w:r>
          </w:p>
        </w:tc>
      </w:tr>
      <w:tr w:rsidR="00751926" w:rsidRPr="00917840" w:rsidTr="00F76D92">
        <w:trPr>
          <w:trHeight w:val="161"/>
        </w:trPr>
        <w:tc>
          <w:tcPr>
            <w:tcW w:w="5529" w:type="dxa"/>
            <w:tcBorders>
              <w:top w:val="nil"/>
              <w:left w:val="single" w:sz="4" w:space="0" w:color="auto"/>
              <w:bottom w:val="single" w:sz="4" w:space="0" w:color="auto"/>
              <w:right w:val="single" w:sz="4" w:space="0" w:color="auto"/>
            </w:tcBorders>
            <w:shd w:val="clear" w:color="000000" w:fill="FFFFFF"/>
            <w:noWrap/>
            <w:vAlign w:val="bottom"/>
            <w:hideMark/>
          </w:tcPr>
          <w:p w:rsidR="00751926" w:rsidRPr="00917840" w:rsidRDefault="00751926" w:rsidP="0032736F">
            <w:pPr>
              <w:spacing w:after="0" w:line="240" w:lineRule="auto"/>
              <w:rPr>
                <w:rFonts w:ascii="Arial" w:eastAsia="Times New Roman" w:hAnsi="Arial" w:cs="Arial"/>
                <w:sz w:val="20"/>
                <w:szCs w:val="20"/>
                <w:lang w:eastAsia="fr-FR"/>
              </w:rPr>
            </w:pPr>
            <w:r w:rsidRPr="00917840">
              <w:rPr>
                <w:rFonts w:ascii="Arial" w:eastAsia="Times New Roman" w:hAnsi="Arial" w:cs="Arial"/>
                <w:sz w:val="20"/>
                <w:szCs w:val="20"/>
                <w:lang w:eastAsia="fr-FR"/>
              </w:rPr>
              <w:t xml:space="preserve">  Prêts </w:t>
            </w:r>
          </w:p>
        </w:tc>
        <w:tc>
          <w:tcPr>
            <w:tcW w:w="2021" w:type="dxa"/>
            <w:tcBorders>
              <w:top w:val="nil"/>
              <w:left w:val="nil"/>
              <w:bottom w:val="single" w:sz="4" w:space="0" w:color="auto"/>
              <w:right w:val="single" w:sz="4" w:space="0" w:color="auto"/>
            </w:tcBorders>
            <w:shd w:val="clear" w:color="auto" w:fill="auto"/>
            <w:vAlign w:val="bottom"/>
            <w:hideMark/>
          </w:tcPr>
          <w:p w:rsidR="00751926" w:rsidRPr="00917840" w:rsidRDefault="00751926" w:rsidP="0032736F">
            <w:pPr>
              <w:spacing w:after="0" w:line="240" w:lineRule="auto"/>
              <w:jc w:val="center"/>
              <w:rPr>
                <w:rFonts w:ascii="Arial" w:eastAsia="Times New Roman" w:hAnsi="Arial" w:cs="Arial"/>
                <w:sz w:val="18"/>
                <w:szCs w:val="18"/>
                <w:lang w:eastAsia="fr-FR"/>
              </w:rPr>
            </w:pPr>
            <w:r w:rsidRPr="00917840">
              <w:rPr>
                <w:rFonts w:ascii="Arial" w:eastAsia="Times New Roman" w:hAnsi="Arial" w:cs="Arial"/>
                <w:sz w:val="18"/>
                <w:szCs w:val="18"/>
                <w:lang w:eastAsia="fr-FR"/>
              </w:rPr>
              <w:t>-</w:t>
            </w:r>
          </w:p>
        </w:tc>
        <w:tc>
          <w:tcPr>
            <w:tcW w:w="2144" w:type="dxa"/>
            <w:tcBorders>
              <w:top w:val="nil"/>
              <w:left w:val="nil"/>
              <w:bottom w:val="single" w:sz="4" w:space="0" w:color="auto"/>
              <w:right w:val="single" w:sz="4" w:space="0" w:color="auto"/>
            </w:tcBorders>
            <w:shd w:val="clear" w:color="auto" w:fill="auto"/>
            <w:vAlign w:val="center"/>
            <w:hideMark/>
          </w:tcPr>
          <w:p w:rsidR="00751926" w:rsidRPr="00917840" w:rsidRDefault="00751926" w:rsidP="0032736F">
            <w:pPr>
              <w:spacing w:after="0" w:line="240" w:lineRule="auto"/>
              <w:jc w:val="center"/>
              <w:rPr>
                <w:rFonts w:ascii="Arial" w:eastAsia="Times New Roman" w:hAnsi="Arial" w:cs="Arial"/>
                <w:sz w:val="18"/>
                <w:szCs w:val="18"/>
                <w:lang w:eastAsia="fr-FR"/>
              </w:rPr>
            </w:pPr>
            <w:r w:rsidRPr="00917840">
              <w:rPr>
                <w:rFonts w:ascii="Arial" w:eastAsia="Times New Roman" w:hAnsi="Arial" w:cs="Arial"/>
                <w:sz w:val="18"/>
                <w:szCs w:val="18"/>
                <w:lang w:eastAsia="fr-FR"/>
              </w:rPr>
              <w:t>0</w:t>
            </w:r>
          </w:p>
        </w:tc>
      </w:tr>
      <w:tr w:rsidR="00751926" w:rsidRPr="00917840" w:rsidTr="00F76D92">
        <w:trPr>
          <w:trHeight w:val="161"/>
        </w:trPr>
        <w:tc>
          <w:tcPr>
            <w:tcW w:w="5529" w:type="dxa"/>
            <w:tcBorders>
              <w:top w:val="nil"/>
              <w:left w:val="single" w:sz="4" w:space="0" w:color="auto"/>
              <w:bottom w:val="single" w:sz="4" w:space="0" w:color="auto"/>
              <w:right w:val="single" w:sz="4" w:space="0" w:color="auto"/>
            </w:tcBorders>
            <w:shd w:val="clear" w:color="000000" w:fill="FFFFFF"/>
            <w:noWrap/>
            <w:vAlign w:val="bottom"/>
            <w:hideMark/>
          </w:tcPr>
          <w:p w:rsidR="00751926" w:rsidRPr="00917840" w:rsidRDefault="00751926" w:rsidP="0032736F">
            <w:pPr>
              <w:spacing w:after="0" w:line="240" w:lineRule="auto"/>
              <w:rPr>
                <w:rFonts w:ascii="Arial" w:eastAsia="Times New Roman" w:hAnsi="Arial" w:cs="Arial"/>
                <w:sz w:val="20"/>
                <w:szCs w:val="20"/>
                <w:lang w:eastAsia="fr-FR"/>
              </w:rPr>
            </w:pPr>
            <w:r w:rsidRPr="00917840">
              <w:rPr>
                <w:rFonts w:ascii="Arial" w:eastAsia="Times New Roman" w:hAnsi="Arial" w:cs="Arial"/>
                <w:sz w:val="20"/>
                <w:szCs w:val="20"/>
                <w:lang w:eastAsia="fr-FR"/>
              </w:rPr>
              <w:t xml:space="preserve">  Subventions </w:t>
            </w:r>
          </w:p>
        </w:tc>
        <w:tc>
          <w:tcPr>
            <w:tcW w:w="2021" w:type="dxa"/>
            <w:tcBorders>
              <w:top w:val="nil"/>
              <w:left w:val="nil"/>
              <w:bottom w:val="single" w:sz="4" w:space="0" w:color="000000"/>
              <w:right w:val="single" w:sz="4" w:space="0" w:color="000000"/>
            </w:tcBorders>
            <w:shd w:val="clear" w:color="auto" w:fill="auto"/>
            <w:hideMark/>
          </w:tcPr>
          <w:p w:rsidR="00751926" w:rsidRPr="00917840" w:rsidRDefault="00751926" w:rsidP="0032736F">
            <w:pPr>
              <w:spacing w:after="0" w:line="240" w:lineRule="auto"/>
              <w:jc w:val="center"/>
              <w:rPr>
                <w:rFonts w:ascii="Arial" w:eastAsia="Times New Roman" w:hAnsi="Arial" w:cs="Arial"/>
                <w:sz w:val="20"/>
                <w:szCs w:val="20"/>
                <w:lang w:eastAsia="fr-FR"/>
              </w:rPr>
            </w:pPr>
            <w:r w:rsidRPr="00917840">
              <w:rPr>
                <w:rFonts w:ascii="Arial" w:eastAsia="Times New Roman" w:hAnsi="Arial" w:cs="Arial"/>
                <w:sz w:val="20"/>
                <w:szCs w:val="20"/>
                <w:lang w:eastAsia="fr-FR"/>
              </w:rPr>
              <w:t>10,68</w:t>
            </w:r>
          </w:p>
        </w:tc>
        <w:tc>
          <w:tcPr>
            <w:tcW w:w="2144" w:type="dxa"/>
            <w:tcBorders>
              <w:top w:val="nil"/>
              <w:left w:val="nil"/>
              <w:bottom w:val="single" w:sz="4" w:space="0" w:color="auto"/>
              <w:right w:val="single" w:sz="4" w:space="0" w:color="auto"/>
            </w:tcBorders>
            <w:shd w:val="clear" w:color="auto" w:fill="auto"/>
            <w:vAlign w:val="center"/>
            <w:hideMark/>
          </w:tcPr>
          <w:p w:rsidR="00751926" w:rsidRPr="00917840" w:rsidRDefault="00751926" w:rsidP="0032736F">
            <w:pPr>
              <w:spacing w:after="0" w:line="240" w:lineRule="auto"/>
              <w:jc w:val="center"/>
              <w:rPr>
                <w:rFonts w:ascii="Arial" w:eastAsia="Times New Roman" w:hAnsi="Arial" w:cs="Arial"/>
                <w:sz w:val="18"/>
                <w:szCs w:val="18"/>
                <w:lang w:eastAsia="fr-FR"/>
              </w:rPr>
            </w:pPr>
            <w:r w:rsidRPr="00917840">
              <w:rPr>
                <w:rFonts w:ascii="Arial" w:eastAsia="Times New Roman" w:hAnsi="Arial" w:cs="Arial"/>
                <w:sz w:val="18"/>
                <w:szCs w:val="18"/>
                <w:lang w:eastAsia="fr-FR"/>
              </w:rPr>
              <w:t>100</w:t>
            </w:r>
          </w:p>
        </w:tc>
      </w:tr>
    </w:tbl>
    <w:p w:rsidR="00751926" w:rsidRPr="00917840" w:rsidRDefault="00751926" w:rsidP="00751926">
      <w:pPr>
        <w:jc w:val="both"/>
        <w:rPr>
          <w:rFonts w:ascii="Arial" w:hAnsi="Arial" w:cs="Arial"/>
          <w:bCs/>
        </w:rPr>
      </w:pPr>
      <w:r w:rsidRPr="00917840">
        <w:rPr>
          <w:rFonts w:ascii="Arial" w:hAnsi="Arial" w:cs="Arial"/>
          <w:b/>
          <w:bCs/>
          <w:u w:val="single"/>
        </w:rPr>
        <w:t>Source :</w:t>
      </w:r>
      <w:r w:rsidRPr="00917840">
        <w:rPr>
          <w:rFonts w:ascii="Arial" w:hAnsi="Arial" w:cs="Arial"/>
          <w:bCs/>
        </w:rPr>
        <w:t xml:space="preserve"> PGA/DG-COOP, </w:t>
      </w:r>
      <w:r w:rsidRPr="00917840">
        <w:rPr>
          <w:rFonts w:ascii="Arial" w:hAnsi="Arial" w:cs="Arial"/>
          <w:bCs/>
          <w:i/>
        </w:rPr>
        <w:t>Juillet 2017</w:t>
      </w:r>
    </w:p>
    <w:p w:rsidR="00751926" w:rsidRPr="00917840" w:rsidRDefault="00751926" w:rsidP="00751926">
      <w:pPr>
        <w:rPr>
          <w:rFonts w:ascii="Arial" w:hAnsi="Arial" w:cs="Arial"/>
          <w:bCs/>
          <w:sz w:val="18"/>
          <w:szCs w:val="18"/>
        </w:rPr>
      </w:pPr>
      <w:r w:rsidRPr="00917840">
        <w:rPr>
          <w:rFonts w:ascii="Arial" w:hAnsi="Arial" w:cs="Arial"/>
        </w:rPr>
        <w:t>Les deux bailleurs qui ont accordé ces ABS sont :</w:t>
      </w:r>
    </w:p>
    <w:p w:rsidR="00751926" w:rsidRPr="00917840" w:rsidRDefault="00751926" w:rsidP="00B92B11">
      <w:pPr>
        <w:numPr>
          <w:ilvl w:val="0"/>
          <w:numId w:val="39"/>
        </w:numPr>
        <w:spacing w:after="0"/>
        <w:jc w:val="both"/>
        <w:rPr>
          <w:rFonts w:ascii="Arial" w:hAnsi="Arial" w:cs="Arial"/>
        </w:rPr>
      </w:pPr>
      <w:r w:rsidRPr="00917840">
        <w:rPr>
          <w:rFonts w:ascii="Arial" w:hAnsi="Arial" w:cs="Arial"/>
        </w:rPr>
        <w:t>le Danemark pour un montant de 6,85 millions dollars US, soit 64,19% des appuis budgétaires sectoriels et de ;</w:t>
      </w:r>
    </w:p>
    <w:p w:rsidR="00751926" w:rsidRPr="00917840" w:rsidRDefault="00751926" w:rsidP="00B92B11">
      <w:pPr>
        <w:numPr>
          <w:ilvl w:val="0"/>
          <w:numId w:val="39"/>
        </w:numPr>
        <w:spacing w:after="0"/>
        <w:jc w:val="both"/>
        <w:rPr>
          <w:rFonts w:ascii="Arial" w:hAnsi="Arial" w:cs="Arial"/>
        </w:rPr>
      </w:pPr>
      <w:r w:rsidRPr="00917840">
        <w:rPr>
          <w:rFonts w:ascii="Arial" w:hAnsi="Arial" w:cs="Arial"/>
        </w:rPr>
        <w:t>l’Union Européenne avec une contribution qui s’élève à 3,82 millions dollars US, soit 35,81% des appuis budgétaires sectoriels.</w:t>
      </w:r>
    </w:p>
    <w:p w:rsidR="009A4DF8" w:rsidRPr="002D1974" w:rsidRDefault="009A4DF8" w:rsidP="008D7758">
      <w:pPr>
        <w:pStyle w:val="Titre3"/>
        <w:numPr>
          <w:ilvl w:val="0"/>
          <w:numId w:val="121"/>
        </w:numPr>
        <w:ind w:left="993"/>
        <w:rPr>
          <w:lang w:eastAsia="fr-FR"/>
        </w:rPr>
      </w:pPr>
      <w:bookmarkStart w:id="378" w:name="_Toc492972205"/>
      <w:bookmarkEnd w:id="370"/>
      <w:bookmarkEnd w:id="371"/>
      <w:bookmarkEnd w:id="372"/>
      <w:r w:rsidRPr="002D1974">
        <w:rPr>
          <w:lang w:eastAsia="fr-FR"/>
        </w:rPr>
        <w:t>L'aide alimentaire</w:t>
      </w:r>
      <w:bookmarkEnd w:id="378"/>
      <w:r w:rsidRPr="002D1974">
        <w:rPr>
          <w:lang w:eastAsia="fr-FR"/>
        </w:rPr>
        <w:t xml:space="preserve"> </w:t>
      </w:r>
    </w:p>
    <w:p w:rsidR="009A4DF8" w:rsidRDefault="009A4DF8" w:rsidP="009A4DF8">
      <w:pPr>
        <w:rPr>
          <w:rFonts w:ascii="Arial" w:hAnsi="Arial" w:cs="Arial"/>
        </w:rPr>
      </w:pPr>
      <w:r w:rsidRPr="002420DA">
        <w:rPr>
          <w:rFonts w:ascii="Arial" w:hAnsi="Arial" w:cs="Arial"/>
        </w:rPr>
        <w:t xml:space="preserve">Selon l’Organisation des Nations Unies pour l’Alimentation et l’Agriculture (FAO), l’aide alimentaire s’entend de l’ensemble des vivres reçus à des fins de développement, y compris les financements (dons et prêts) destinés à leur achat. Les composantes essentielles de cette aide sont les vivres contre travail et ceux vendus pour financer des projets de développement. </w:t>
      </w:r>
    </w:p>
    <w:p w:rsidR="009A4DF8" w:rsidRPr="00773D63" w:rsidRDefault="009A4DF8" w:rsidP="009A4DF8">
      <w:pPr>
        <w:jc w:val="both"/>
        <w:rPr>
          <w:rFonts w:ascii="Arial" w:hAnsi="Arial" w:cs="Arial"/>
        </w:rPr>
      </w:pPr>
      <w:r w:rsidRPr="00773D63">
        <w:rPr>
          <w:rFonts w:ascii="Arial" w:hAnsi="Arial" w:cs="Arial"/>
        </w:rPr>
        <w:lastRenderedPageBreak/>
        <w:t xml:space="preserve">Le volume total de l’aide alimentaire s’est établi à </w:t>
      </w:r>
      <w:r w:rsidRPr="00773D63">
        <w:rPr>
          <w:rFonts w:ascii="Arial" w:hAnsi="Arial" w:cs="Arial"/>
          <w:bCs/>
          <w:lang w:eastAsia="fr-FR"/>
        </w:rPr>
        <w:t>31,66</w:t>
      </w:r>
      <w:r>
        <w:rPr>
          <w:rFonts w:ascii="Arial" w:hAnsi="Arial" w:cs="Arial"/>
          <w:bCs/>
          <w:lang w:eastAsia="fr-FR"/>
        </w:rPr>
        <w:t xml:space="preserve"> </w:t>
      </w:r>
      <w:r w:rsidRPr="00773D63">
        <w:rPr>
          <w:rFonts w:ascii="Arial" w:hAnsi="Arial" w:cs="Arial"/>
        </w:rPr>
        <w:t xml:space="preserve">millions dollars US en 2016 contre un montant de </w:t>
      </w:r>
      <w:r w:rsidRPr="00773D63">
        <w:rPr>
          <w:rFonts w:ascii="Arial" w:hAnsi="Arial" w:cs="Arial"/>
          <w:bCs/>
          <w:lang w:eastAsia="fr-FR"/>
        </w:rPr>
        <w:t>25,79</w:t>
      </w:r>
      <w:r>
        <w:rPr>
          <w:rFonts w:ascii="Arial" w:hAnsi="Arial" w:cs="Arial"/>
          <w:bCs/>
          <w:lang w:eastAsia="fr-FR"/>
        </w:rPr>
        <w:t xml:space="preserve"> </w:t>
      </w:r>
      <w:r w:rsidRPr="00773D63">
        <w:rPr>
          <w:rFonts w:ascii="Arial" w:hAnsi="Arial" w:cs="Arial"/>
        </w:rPr>
        <w:t xml:space="preserve">millions dollars US en 2015, soit une hausse de </w:t>
      </w:r>
      <w:r>
        <w:rPr>
          <w:rFonts w:ascii="Arial" w:hAnsi="Arial" w:cs="Arial"/>
        </w:rPr>
        <w:t>22,8</w:t>
      </w:r>
      <w:r w:rsidRPr="00773D63">
        <w:rPr>
          <w:rFonts w:ascii="Arial" w:hAnsi="Arial" w:cs="Arial"/>
        </w:rPr>
        <w:t>%. Sa par</w:t>
      </w:r>
      <w:r>
        <w:rPr>
          <w:rFonts w:ascii="Arial" w:hAnsi="Arial" w:cs="Arial"/>
        </w:rPr>
        <w:t>t dans l’APD totale a été de 2,</w:t>
      </w:r>
      <w:r w:rsidRPr="00773D63">
        <w:rPr>
          <w:rFonts w:ascii="Arial" w:hAnsi="Arial" w:cs="Arial"/>
        </w:rPr>
        <w:t>8%. Elle a été accordée principalement sous forme de dons et les principaux fournisseurs sont les suivants :</w:t>
      </w:r>
    </w:p>
    <w:p w:rsidR="009A4DF8" w:rsidRPr="00773D63" w:rsidRDefault="009A4DF8" w:rsidP="00B92B11">
      <w:pPr>
        <w:numPr>
          <w:ilvl w:val="0"/>
          <w:numId w:val="38"/>
        </w:numPr>
        <w:contextualSpacing/>
        <w:jc w:val="both"/>
        <w:rPr>
          <w:rFonts w:ascii="Arial" w:hAnsi="Arial" w:cs="Arial"/>
        </w:rPr>
      </w:pPr>
      <w:r w:rsidRPr="00773D63">
        <w:rPr>
          <w:rFonts w:ascii="Arial" w:hAnsi="Arial" w:cs="Arial"/>
        </w:rPr>
        <w:t xml:space="preserve">le Programme Alimentaire Mondial (PAM) pour un montant de </w:t>
      </w:r>
      <w:r w:rsidRPr="00773D63">
        <w:rPr>
          <w:rFonts w:ascii="Arial" w:hAnsi="Arial" w:cs="Arial"/>
          <w:lang w:eastAsia="fr-FR"/>
        </w:rPr>
        <w:t xml:space="preserve">28,54 </w:t>
      </w:r>
      <w:r w:rsidRPr="00773D63">
        <w:rPr>
          <w:rFonts w:ascii="Arial" w:hAnsi="Arial" w:cs="Arial"/>
        </w:rPr>
        <w:t xml:space="preserve">millions dollars US, soit </w:t>
      </w:r>
      <w:r>
        <w:rPr>
          <w:rFonts w:ascii="Arial" w:hAnsi="Arial" w:cs="Arial"/>
          <w:bCs/>
          <w:lang w:eastAsia="fr-FR"/>
        </w:rPr>
        <w:t>90,2</w:t>
      </w:r>
      <w:r w:rsidRPr="00773D63">
        <w:rPr>
          <w:rFonts w:ascii="Arial" w:hAnsi="Arial" w:cs="Arial"/>
        </w:rPr>
        <w:t>% de l’aide alimentaire ;</w:t>
      </w:r>
    </w:p>
    <w:p w:rsidR="009A4DF8" w:rsidRPr="003022DC" w:rsidRDefault="009A4DF8" w:rsidP="00B92B11">
      <w:pPr>
        <w:numPr>
          <w:ilvl w:val="0"/>
          <w:numId w:val="38"/>
        </w:numPr>
        <w:ind w:left="714" w:hanging="357"/>
        <w:jc w:val="both"/>
        <w:rPr>
          <w:rFonts w:ascii="Arial" w:hAnsi="Arial" w:cs="Arial"/>
        </w:rPr>
      </w:pPr>
      <w:r w:rsidRPr="00773D63">
        <w:rPr>
          <w:rFonts w:ascii="Arial" w:hAnsi="Arial" w:cs="Arial"/>
        </w:rPr>
        <w:t xml:space="preserve">le Japon dont la contribution s’élève à </w:t>
      </w:r>
      <w:r w:rsidRPr="00773D63">
        <w:rPr>
          <w:rFonts w:ascii="Arial" w:hAnsi="Arial" w:cs="Arial"/>
          <w:lang w:eastAsia="fr-FR"/>
        </w:rPr>
        <w:t xml:space="preserve">3,12 </w:t>
      </w:r>
      <w:r w:rsidRPr="00773D63">
        <w:rPr>
          <w:rFonts w:ascii="Arial" w:hAnsi="Arial" w:cs="Arial"/>
        </w:rPr>
        <w:t xml:space="preserve">millions dollars US, soit </w:t>
      </w:r>
      <w:r>
        <w:rPr>
          <w:rFonts w:ascii="Arial" w:hAnsi="Arial" w:cs="Arial"/>
          <w:bCs/>
          <w:lang w:eastAsia="fr-FR"/>
        </w:rPr>
        <w:t>9,9</w:t>
      </w:r>
      <w:r w:rsidRPr="00773D63">
        <w:rPr>
          <w:rFonts w:ascii="Arial" w:hAnsi="Arial" w:cs="Arial"/>
        </w:rPr>
        <w:t>% de l’aide alimentaire.</w:t>
      </w:r>
    </w:p>
    <w:p w:rsidR="009A4DF8" w:rsidRPr="00571C91" w:rsidRDefault="009A4DF8" w:rsidP="009A4DF8">
      <w:pPr>
        <w:rPr>
          <w:rFonts w:ascii="Arial" w:hAnsi="Arial" w:cs="Arial"/>
          <w:b/>
        </w:rPr>
      </w:pPr>
      <w:r w:rsidRPr="00571C91">
        <w:rPr>
          <w:rFonts w:ascii="Arial" w:hAnsi="Arial" w:cs="Arial"/>
          <w:b/>
          <w:u w:val="single"/>
        </w:rPr>
        <w:t>Tableau 20</w:t>
      </w:r>
      <w:r w:rsidRPr="00571C91">
        <w:rPr>
          <w:rFonts w:ascii="Arial" w:hAnsi="Arial" w:cs="Arial"/>
          <w:b/>
        </w:rPr>
        <w:t>: Principales caractéristiques de l’aide alimentaire en 2016</w:t>
      </w:r>
    </w:p>
    <w:tbl>
      <w:tblPr>
        <w:tblW w:w="9134" w:type="dxa"/>
        <w:tblInd w:w="75" w:type="dxa"/>
        <w:tblCellMar>
          <w:left w:w="70" w:type="dxa"/>
          <w:right w:w="70" w:type="dxa"/>
        </w:tblCellMar>
        <w:tblLook w:val="04A0" w:firstRow="1" w:lastRow="0" w:firstColumn="1" w:lastColumn="0" w:noHBand="0" w:noVBand="1"/>
      </w:tblPr>
      <w:tblGrid>
        <w:gridCol w:w="3792"/>
        <w:gridCol w:w="2279"/>
        <w:gridCol w:w="3063"/>
      </w:tblGrid>
      <w:tr w:rsidR="00571C91" w:rsidRPr="00571C91" w:rsidTr="00CB45BC">
        <w:trPr>
          <w:trHeight w:val="351"/>
        </w:trPr>
        <w:tc>
          <w:tcPr>
            <w:tcW w:w="3792" w:type="dxa"/>
            <w:tcBorders>
              <w:top w:val="single" w:sz="8" w:space="0" w:color="auto"/>
              <w:left w:val="single" w:sz="4" w:space="0" w:color="auto"/>
              <w:bottom w:val="single" w:sz="4" w:space="0" w:color="auto"/>
              <w:right w:val="single" w:sz="4" w:space="0" w:color="auto"/>
            </w:tcBorders>
            <w:shd w:val="clear" w:color="000000" w:fill="CCFFFF"/>
            <w:vAlign w:val="center"/>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Désignation</w:t>
            </w:r>
          </w:p>
        </w:tc>
        <w:tc>
          <w:tcPr>
            <w:tcW w:w="2279" w:type="dxa"/>
            <w:tcBorders>
              <w:top w:val="single" w:sz="8" w:space="0" w:color="auto"/>
              <w:left w:val="nil"/>
              <w:bottom w:val="single" w:sz="4" w:space="0" w:color="auto"/>
              <w:right w:val="single" w:sz="4" w:space="0" w:color="auto"/>
            </w:tcBorders>
            <w:shd w:val="clear" w:color="000000" w:fill="CCFFFF"/>
            <w:vAlign w:val="center"/>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Montant en millions $US</w:t>
            </w:r>
          </w:p>
        </w:tc>
        <w:tc>
          <w:tcPr>
            <w:tcW w:w="3063" w:type="dxa"/>
            <w:tcBorders>
              <w:top w:val="single" w:sz="8" w:space="0" w:color="auto"/>
              <w:left w:val="nil"/>
              <w:bottom w:val="single" w:sz="4" w:space="0" w:color="auto"/>
              <w:right w:val="single" w:sz="4" w:space="0" w:color="auto"/>
            </w:tcBorders>
            <w:shd w:val="clear" w:color="000000" w:fill="CCFFFF"/>
            <w:vAlign w:val="center"/>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 xml:space="preserve">Part en % de l’APD totale </w:t>
            </w:r>
          </w:p>
        </w:tc>
      </w:tr>
      <w:tr w:rsidR="00571C91" w:rsidRPr="00571C91" w:rsidTr="00CB45BC">
        <w:trPr>
          <w:trHeight w:val="229"/>
        </w:trPr>
        <w:tc>
          <w:tcPr>
            <w:tcW w:w="3792"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Aide alimentaire</w:t>
            </w:r>
          </w:p>
        </w:tc>
        <w:tc>
          <w:tcPr>
            <w:tcW w:w="2279"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31,66</w:t>
            </w:r>
          </w:p>
        </w:tc>
        <w:tc>
          <w:tcPr>
            <w:tcW w:w="3063"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2,78</w:t>
            </w:r>
          </w:p>
        </w:tc>
      </w:tr>
      <w:tr w:rsidR="00571C91" w:rsidRPr="00571C91" w:rsidTr="00CB45BC">
        <w:trPr>
          <w:trHeight w:val="229"/>
        </w:trPr>
        <w:tc>
          <w:tcPr>
            <w:tcW w:w="3792"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Bailleurs</w:t>
            </w:r>
          </w:p>
        </w:tc>
        <w:tc>
          <w:tcPr>
            <w:tcW w:w="2279"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Montant en millions $US</w:t>
            </w:r>
          </w:p>
        </w:tc>
        <w:tc>
          <w:tcPr>
            <w:tcW w:w="3063"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Part en % de l'aide alimentaire</w:t>
            </w:r>
          </w:p>
        </w:tc>
      </w:tr>
      <w:tr w:rsidR="00571C91" w:rsidRPr="00571C91" w:rsidTr="00CB45BC">
        <w:trPr>
          <w:trHeight w:val="229"/>
        </w:trPr>
        <w:tc>
          <w:tcPr>
            <w:tcW w:w="3792"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Principaux donateurs</w:t>
            </w:r>
          </w:p>
        </w:tc>
        <w:tc>
          <w:tcPr>
            <w:tcW w:w="2279"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31,66</w:t>
            </w:r>
          </w:p>
        </w:tc>
        <w:tc>
          <w:tcPr>
            <w:tcW w:w="3063"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100</w:t>
            </w:r>
          </w:p>
        </w:tc>
      </w:tr>
      <w:tr w:rsidR="00571C91" w:rsidRPr="00571C91" w:rsidTr="00CB45BC">
        <w:trPr>
          <w:trHeight w:val="229"/>
        </w:trPr>
        <w:tc>
          <w:tcPr>
            <w:tcW w:w="3792" w:type="dxa"/>
            <w:tcBorders>
              <w:top w:val="nil"/>
              <w:left w:val="single" w:sz="4" w:space="0" w:color="000000"/>
              <w:bottom w:val="single" w:sz="4" w:space="0" w:color="000000"/>
              <w:right w:val="single" w:sz="4" w:space="0" w:color="000000"/>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SNU</w:t>
            </w:r>
          </w:p>
        </w:tc>
        <w:tc>
          <w:tcPr>
            <w:tcW w:w="2279" w:type="dxa"/>
            <w:tcBorders>
              <w:top w:val="nil"/>
              <w:left w:val="nil"/>
              <w:bottom w:val="single" w:sz="4" w:space="0" w:color="000000"/>
              <w:right w:val="single" w:sz="4" w:space="0" w:color="000000"/>
            </w:tcBorders>
            <w:shd w:val="clear" w:color="auto" w:fill="auto"/>
            <w:hideMark/>
          </w:tcPr>
          <w:p w:rsidR="00CB45BC" w:rsidRPr="00CB45BC" w:rsidRDefault="00CB45BC" w:rsidP="00CB45BC">
            <w:pPr>
              <w:spacing w:after="0" w:line="240" w:lineRule="auto"/>
              <w:jc w:val="right"/>
              <w:rPr>
                <w:rFonts w:ascii="Arial" w:eastAsia="Times New Roman" w:hAnsi="Arial" w:cs="Arial"/>
                <w:sz w:val="20"/>
                <w:szCs w:val="20"/>
                <w:lang w:eastAsia="fr-FR"/>
              </w:rPr>
            </w:pPr>
            <w:r w:rsidRPr="00CB45BC">
              <w:rPr>
                <w:rFonts w:ascii="Arial" w:eastAsia="Times New Roman" w:hAnsi="Arial" w:cs="Arial"/>
                <w:sz w:val="20"/>
                <w:szCs w:val="20"/>
                <w:lang w:eastAsia="fr-FR"/>
              </w:rPr>
              <w:t>28,54</w:t>
            </w:r>
          </w:p>
        </w:tc>
        <w:tc>
          <w:tcPr>
            <w:tcW w:w="3063"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90,15</w:t>
            </w:r>
          </w:p>
        </w:tc>
      </w:tr>
      <w:tr w:rsidR="00571C91" w:rsidRPr="00571C91" w:rsidTr="00CB45BC">
        <w:trPr>
          <w:trHeight w:val="229"/>
        </w:trPr>
        <w:tc>
          <w:tcPr>
            <w:tcW w:w="3792" w:type="dxa"/>
            <w:tcBorders>
              <w:top w:val="nil"/>
              <w:left w:val="single" w:sz="4" w:space="0" w:color="000000"/>
              <w:bottom w:val="single" w:sz="4" w:space="0" w:color="000000"/>
              <w:right w:val="single" w:sz="4" w:space="0" w:color="000000"/>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Japon</w:t>
            </w:r>
          </w:p>
        </w:tc>
        <w:tc>
          <w:tcPr>
            <w:tcW w:w="2279" w:type="dxa"/>
            <w:tcBorders>
              <w:top w:val="nil"/>
              <w:left w:val="nil"/>
              <w:bottom w:val="single" w:sz="4" w:space="0" w:color="000000"/>
              <w:right w:val="single" w:sz="4" w:space="0" w:color="000000"/>
            </w:tcBorders>
            <w:shd w:val="clear" w:color="auto" w:fill="auto"/>
            <w:hideMark/>
          </w:tcPr>
          <w:p w:rsidR="00CB45BC" w:rsidRPr="00CB45BC" w:rsidRDefault="00CB45BC" w:rsidP="00CB45BC">
            <w:pPr>
              <w:spacing w:after="0" w:line="240" w:lineRule="auto"/>
              <w:jc w:val="right"/>
              <w:rPr>
                <w:rFonts w:ascii="Arial" w:eastAsia="Times New Roman" w:hAnsi="Arial" w:cs="Arial"/>
                <w:sz w:val="20"/>
                <w:szCs w:val="20"/>
                <w:lang w:eastAsia="fr-FR"/>
              </w:rPr>
            </w:pPr>
            <w:r w:rsidRPr="00CB45BC">
              <w:rPr>
                <w:rFonts w:ascii="Arial" w:eastAsia="Times New Roman" w:hAnsi="Arial" w:cs="Arial"/>
                <w:sz w:val="20"/>
                <w:szCs w:val="20"/>
                <w:lang w:eastAsia="fr-FR"/>
              </w:rPr>
              <w:t>3,12</w:t>
            </w:r>
          </w:p>
        </w:tc>
        <w:tc>
          <w:tcPr>
            <w:tcW w:w="3063"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9,85</w:t>
            </w:r>
          </w:p>
        </w:tc>
      </w:tr>
      <w:tr w:rsidR="00571C91" w:rsidRPr="00571C91" w:rsidTr="00E605A1">
        <w:trPr>
          <w:trHeight w:val="229"/>
        </w:trPr>
        <w:tc>
          <w:tcPr>
            <w:tcW w:w="3792" w:type="dxa"/>
            <w:tcBorders>
              <w:top w:val="nil"/>
              <w:left w:val="single" w:sz="4" w:space="0" w:color="auto"/>
              <w:bottom w:val="single" w:sz="4" w:space="0" w:color="auto"/>
              <w:right w:val="single" w:sz="4" w:space="0" w:color="auto"/>
            </w:tcBorders>
            <w:shd w:val="clear" w:color="auto" w:fill="CCFFFF"/>
            <w:vAlign w:val="center"/>
            <w:hideMark/>
          </w:tcPr>
          <w:p w:rsidR="00CB45BC" w:rsidRPr="00CB45BC" w:rsidRDefault="00CB45BC" w:rsidP="00E605A1">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Répartition par conditions</w:t>
            </w:r>
          </w:p>
        </w:tc>
        <w:tc>
          <w:tcPr>
            <w:tcW w:w="2279" w:type="dxa"/>
            <w:tcBorders>
              <w:top w:val="nil"/>
              <w:left w:val="nil"/>
              <w:bottom w:val="single" w:sz="4" w:space="0" w:color="auto"/>
              <w:right w:val="single" w:sz="4" w:space="0" w:color="auto"/>
            </w:tcBorders>
            <w:shd w:val="clear" w:color="auto" w:fill="CCFFFF"/>
            <w:noWrap/>
            <w:vAlign w:val="center"/>
            <w:hideMark/>
          </w:tcPr>
          <w:p w:rsidR="00CB45BC" w:rsidRPr="00CB45BC" w:rsidRDefault="00CB45BC" w:rsidP="00E605A1">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Montant en millions de $US</w:t>
            </w:r>
          </w:p>
        </w:tc>
        <w:tc>
          <w:tcPr>
            <w:tcW w:w="3063" w:type="dxa"/>
            <w:tcBorders>
              <w:top w:val="nil"/>
              <w:left w:val="nil"/>
              <w:bottom w:val="single" w:sz="4" w:space="0" w:color="auto"/>
              <w:right w:val="single" w:sz="4" w:space="0" w:color="auto"/>
            </w:tcBorders>
            <w:shd w:val="clear" w:color="auto" w:fill="CCFFFF"/>
            <w:vAlign w:val="center"/>
            <w:hideMark/>
          </w:tcPr>
          <w:p w:rsidR="00CB45BC" w:rsidRPr="00CB45BC" w:rsidRDefault="00CB45BC" w:rsidP="00E605A1">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En % de l’aide alimentaire</w:t>
            </w:r>
          </w:p>
        </w:tc>
      </w:tr>
      <w:tr w:rsidR="00571C91" w:rsidRPr="00571C91" w:rsidTr="00CB45BC">
        <w:trPr>
          <w:trHeight w:val="229"/>
        </w:trPr>
        <w:tc>
          <w:tcPr>
            <w:tcW w:w="3792"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Prêts</w:t>
            </w:r>
          </w:p>
        </w:tc>
        <w:tc>
          <w:tcPr>
            <w:tcW w:w="2279"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0,00</w:t>
            </w:r>
          </w:p>
        </w:tc>
        <w:tc>
          <w:tcPr>
            <w:tcW w:w="3063"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0</w:t>
            </w:r>
          </w:p>
        </w:tc>
      </w:tr>
      <w:tr w:rsidR="00571C91" w:rsidRPr="00571C91" w:rsidTr="00CB45BC">
        <w:trPr>
          <w:trHeight w:val="229"/>
        </w:trPr>
        <w:tc>
          <w:tcPr>
            <w:tcW w:w="3792"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Dons</w:t>
            </w:r>
          </w:p>
        </w:tc>
        <w:tc>
          <w:tcPr>
            <w:tcW w:w="2279"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31,66</w:t>
            </w:r>
          </w:p>
        </w:tc>
        <w:tc>
          <w:tcPr>
            <w:tcW w:w="3063"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100</w:t>
            </w:r>
          </w:p>
        </w:tc>
      </w:tr>
    </w:tbl>
    <w:p w:rsidR="009A4DF8" w:rsidRPr="00773D63" w:rsidRDefault="009A4DF8" w:rsidP="009A4DF8">
      <w:pPr>
        <w:rPr>
          <w:rFonts w:ascii="Arial" w:hAnsi="Arial" w:cs="Arial"/>
          <w:bCs/>
          <w:i/>
        </w:rPr>
      </w:pPr>
      <w:r w:rsidRPr="00773D63">
        <w:rPr>
          <w:rFonts w:ascii="Arial" w:hAnsi="Arial" w:cs="Arial"/>
          <w:b/>
          <w:i/>
          <w:u w:val="single"/>
          <w:lang w:eastAsia="ar-SA"/>
        </w:rPr>
        <w:t>Source :</w:t>
      </w:r>
      <w:r w:rsidRPr="00773D63">
        <w:rPr>
          <w:rFonts w:ascii="Arial" w:hAnsi="Arial" w:cs="Arial"/>
          <w:i/>
          <w:lang w:eastAsia="ar-SA"/>
        </w:rPr>
        <w:t xml:space="preserve"> PGA /DGCOOP, </w:t>
      </w:r>
      <w:r w:rsidRPr="00773D63">
        <w:rPr>
          <w:rFonts w:ascii="Arial" w:hAnsi="Arial" w:cs="Arial"/>
          <w:bCs/>
          <w:i/>
        </w:rPr>
        <w:t>Juillet 2017</w:t>
      </w:r>
    </w:p>
    <w:p w:rsidR="009A4DF8" w:rsidRPr="00E47C74" w:rsidRDefault="009A4DF8" w:rsidP="009A4DF8">
      <w:pPr>
        <w:rPr>
          <w:rFonts w:ascii="Arial" w:hAnsi="Arial" w:cs="Arial"/>
        </w:rPr>
      </w:pPr>
      <w:r w:rsidRPr="00E47C74">
        <w:rPr>
          <w:rFonts w:ascii="Arial" w:hAnsi="Arial" w:cs="Arial"/>
        </w:rPr>
        <w:t xml:space="preserve">Les principaux projets ayant bénéficié de </w:t>
      </w:r>
      <w:r>
        <w:rPr>
          <w:rFonts w:ascii="Arial" w:hAnsi="Arial" w:cs="Arial"/>
        </w:rPr>
        <w:t>l’aide alimentaire</w:t>
      </w:r>
      <w:r w:rsidRPr="00E47C74">
        <w:rPr>
          <w:rFonts w:ascii="Arial" w:hAnsi="Arial" w:cs="Arial"/>
        </w:rPr>
        <w:t xml:space="preserve"> en 2016 sont :</w:t>
      </w:r>
    </w:p>
    <w:p w:rsidR="009A4DF8" w:rsidRPr="00244D2A" w:rsidRDefault="009A4DF8" w:rsidP="00B92B11">
      <w:pPr>
        <w:pStyle w:val="Paragraphedeliste"/>
        <w:numPr>
          <w:ilvl w:val="0"/>
          <w:numId w:val="40"/>
        </w:numPr>
        <w:spacing w:after="0" w:line="240" w:lineRule="auto"/>
        <w:rPr>
          <w:rFonts w:ascii="Arial" w:hAnsi="Arial" w:cs="Arial"/>
        </w:rPr>
      </w:pPr>
      <w:r>
        <w:rPr>
          <w:rFonts w:ascii="Arial" w:hAnsi="Arial" w:cs="Arial"/>
        </w:rPr>
        <w:t>l</w:t>
      </w:r>
      <w:r w:rsidRPr="008271DC">
        <w:rPr>
          <w:rFonts w:ascii="Arial" w:hAnsi="Arial" w:cs="Arial"/>
        </w:rPr>
        <w:t>e projet « aide alimentaire »</w:t>
      </w:r>
      <w:r>
        <w:rPr>
          <w:rFonts w:ascii="Arial" w:hAnsi="Arial" w:cs="Arial"/>
        </w:rPr>
        <w:t>,</w:t>
      </w:r>
      <w:r w:rsidRPr="008271DC">
        <w:rPr>
          <w:rFonts w:ascii="Arial" w:hAnsi="Arial" w:cs="Arial"/>
        </w:rPr>
        <w:t xml:space="preserve"> financé par le Japon pour un montant de 3,12 millions dollars US ;</w:t>
      </w:r>
    </w:p>
    <w:p w:rsidR="009A4DF8" w:rsidRPr="00244D2A" w:rsidRDefault="009A4DF8" w:rsidP="00B92B11">
      <w:pPr>
        <w:pStyle w:val="Paragraphedeliste"/>
        <w:numPr>
          <w:ilvl w:val="0"/>
          <w:numId w:val="40"/>
        </w:numPr>
        <w:spacing w:after="0" w:line="240" w:lineRule="auto"/>
        <w:rPr>
          <w:rFonts w:ascii="Arial" w:hAnsi="Arial" w:cs="Arial"/>
        </w:rPr>
      </w:pPr>
      <w:r>
        <w:rPr>
          <w:rFonts w:ascii="Arial" w:hAnsi="Arial" w:cs="Arial"/>
        </w:rPr>
        <w:t>l</w:t>
      </w:r>
      <w:r w:rsidRPr="008271DC">
        <w:rPr>
          <w:rFonts w:ascii="Arial" w:hAnsi="Arial" w:cs="Arial"/>
        </w:rPr>
        <w:t>e programme de pays 200163 (2011-2015), financé par le PAM à hauteur de 5,28 millions dollars US ;</w:t>
      </w:r>
    </w:p>
    <w:p w:rsidR="009A4DF8" w:rsidRPr="003022DC" w:rsidRDefault="009A4DF8" w:rsidP="00B92B11">
      <w:pPr>
        <w:pStyle w:val="Paragraphedeliste"/>
        <w:numPr>
          <w:ilvl w:val="0"/>
          <w:numId w:val="40"/>
        </w:numPr>
        <w:spacing w:after="0" w:line="240" w:lineRule="auto"/>
        <w:rPr>
          <w:rFonts w:ascii="Arial" w:hAnsi="Arial" w:cs="Arial"/>
        </w:rPr>
      </w:pPr>
      <w:r>
        <w:rPr>
          <w:rFonts w:ascii="Arial" w:hAnsi="Arial" w:cs="Arial"/>
        </w:rPr>
        <w:t>l</w:t>
      </w:r>
      <w:r w:rsidRPr="008271DC">
        <w:rPr>
          <w:rFonts w:ascii="Arial" w:hAnsi="Arial" w:cs="Arial"/>
        </w:rPr>
        <w:t>e projet « intervention prolongé de secours et de redressement 200793 »</w:t>
      </w:r>
      <w:r>
        <w:rPr>
          <w:rFonts w:ascii="Arial" w:hAnsi="Arial" w:cs="Arial"/>
        </w:rPr>
        <w:t>,</w:t>
      </w:r>
      <w:r w:rsidRPr="008271DC">
        <w:rPr>
          <w:rFonts w:ascii="Arial" w:hAnsi="Arial" w:cs="Arial"/>
        </w:rPr>
        <w:t xml:space="preserve"> financé par le PAM pour un montant de 23,26 millions dollars US.</w:t>
      </w:r>
    </w:p>
    <w:p w:rsidR="009A4DF8" w:rsidRPr="002D1974" w:rsidRDefault="009A4DF8" w:rsidP="008D7758">
      <w:pPr>
        <w:pStyle w:val="Titre3"/>
        <w:numPr>
          <w:ilvl w:val="0"/>
          <w:numId w:val="121"/>
        </w:numPr>
        <w:ind w:left="993"/>
        <w:rPr>
          <w:lang w:eastAsia="fr-FR"/>
        </w:rPr>
      </w:pPr>
      <w:bookmarkStart w:id="379" w:name="_Toc368483814"/>
      <w:bookmarkStart w:id="380" w:name="_Toc368779696"/>
      <w:bookmarkStart w:id="381" w:name="_Toc399933264"/>
      <w:bookmarkStart w:id="382" w:name="_Toc400643300"/>
      <w:bookmarkStart w:id="383" w:name="_Toc427009755"/>
      <w:bookmarkStart w:id="384" w:name="_Toc461526814"/>
      <w:bookmarkStart w:id="385" w:name="_Toc461617995"/>
      <w:bookmarkStart w:id="386" w:name="_Toc492972206"/>
      <w:r w:rsidRPr="002D1974">
        <w:rPr>
          <w:lang w:eastAsia="fr-FR"/>
        </w:rPr>
        <w:t>L’assistance et les secours d’urgence</w:t>
      </w:r>
      <w:bookmarkEnd w:id="379"/>
      <w:bookmarkEnd w:id="380"/>
      <w:bookmarkEnd w:id="381"/>
      <w:bookmarkEnd w:id="382"/>
      <w:bookmarkEnd w:id="383"/>
      <w:bookmarkEnd w:id="384"/>
      <w:bookmarkEnd w:id="385"/>
      <w:bookmarkEnd w:id="386"/>
    </w:p>
    <w:p w:rsidR="009A4DF8" w:rsidRPr="00387F4A" w:rsidRDefault="009A4DF8" w:rsidP="009A4DF8">
      <w:pPr>
        <w:jc w:val="both"/>
        <w:rPr>
          <w:rFonts w:ascii="Arial" w:hAnsi="Arial" w:cs="Arial"/>
        </w:rPr>
      </w:pPr>
      <w:r w:rsidRPr="00387F4A">
        <w:rPr>
          <w:rFonts w:ascii="Arial" w:hAnsi="Arial" w:cs="Arial"/>
        </w:rPr>
        <w:t>L’assistance et les secours d’urgence constituent un type d’aide publique au développement et a lieu en réaction aux catastrophes naturelles (inondations, famines, sécheresse, etc.) afin d’apporter assistance et secours aux victimes. Cette forme d’aide est constituée de vivres tels que les céréales, les produits alimentaires en conserves ou en l’état et les bons d’achats qui ne sont pas comptabilisés dans l’aide alimentaire et d’une partie non alimentaire (tentes, couvertures, médicaments, etc.).</w:t>
      </w:r>
    </w:p>
    <w:p w:rsidR="009A4DF8" w:rsidRPr="00387F4A" w:rsidRDefault="009A4DF8" w:rsidP="009A4DF8">
      <w:pPr>
        <w:jc w:val="both"/>
        <w:rPr>
          <w:rFonts w:ascii="Arial" w:hAnsi="Arial" w:cs="Arial"/>
        </w:rPr>
      </w:pPr>
      <w:r w:rsidRPr="00387F4A">
        <w:rPr>
          <w:rFonts w:ascii="Arial" w:hAnsi="Arial" w:cs="Arial"/>
        </w:rPr>
        <w:t xml:space="preserve">En 2016, cette forme d’aide </w:t>
      </w:r>
      <w:r>
        <w:rPr>
          <w:rFonts w:ascii="Arial" w:hAnsi="Arial" w:cs="Arial"/>
        </w:rPr>
        <w:t xml:space="preserve">a été évaluée à </w:t>
      </w:r>
      <w:r w:rsidRPr="00387F4A">
        <w:rPr>
          <w:rFonts w:ascii="Arial" w:hAnsi="Arial" w:cs="Arial"/>
        </w:rPr>
        <w:t>6,34 millions dollars US</w:t>
      </w:r>
      <w:r>
        <w:rPr>
          <w:rFonts w:ascii="Arial" w:hAnsi="Arial" w:cs="Arial"/>
        </w:rPr>
        <w:t xml:space="preserve"> contre</w:t>
      </w:r>
      <w:r w:rsidRPr="00387F4A">
        <w:rPr>
          <w:rFonts w:ascii="Arial" w:hAnsi="Arial" w:cs="Arial"/>
        </w:rPr>
        <w:t xml:space="preserve"> 7,16 millions do</w:t>
      </w:r>
      <w:r>
        <w:rPr>
          <w:rFonts w:ascii="Arial" w:hAnsi="Arial" w:cs="Arial"/>
        </w:rPr>
        <w:t>llars US en 2015, soit</w:t>
      </w:r>
      <w:r w:rsidRPr="00387F4A">
        <w:rPr>
          <w:rFonts w:ascii="Arial" w:hAnsi="Arial" w:cs="Arial"/>
        </w:rPr>
        <w:t xml:space="preserve"> une régression </w:t>
      </w:r>
      <w:r>
        <w:rPr>
          <w:rFonts w:ascii="Arial" w:hAnsi="Arial" w:cs="Arial"/>
        </w:rPr>
        <w:t xml:space="preserve">de 11,5 </w:t>
      </w:r>
      <w:r w:rsidRPr="00387F4A">
        <w:rPr>
          <w:rFonts w:ascii="Arial" w:hAnsi="Arial" w:cs="Arial"/>
        </w:rPr>
        <w:t xml:space="preserve">%. Cette </w:t>
      </w:r>
      <w:r>
        <w:rPr>
          <w:rFonts w:ascii="Arial" w:hAnsi="Arial" w:cs="Arial"/>
        </w:rPr>
        <w:t>baisse</w:t>
      </w:r>
      <w:r w:rsidRPr="00387F4A">
        <w:rPr>
          <w:rFonts w:ascii="Arial" w:hAnsi="Arial" w:cs="Arial"/>
        </w:rPr>
        <w:t xml:space="preserve"> s’explique entre autres par la diminution des appuis aux projets humanitaires des Etats Unis d'Amérique</w:t>
      </w:r>
      <w:r>
        <w:rPr>
          <w:rFonts w:ascii="Arial" w:hAnsi="Arial" w:cs="Arial"/>
        </w:rPr>
        <w:t xml:space="preserve"> (- 93,1</w:t>
      </w:r>
      <w:r w:rsidRPr="00387F4A">
        <w:rPr>
          <w:rFonts w:ascii="Arial" w:hAnsi="Arial" w:cs="Arial"/>
        </w:rPr>
        <w:t>%</w:t>
      </w:r>
      <w:r>
        <w:rPr>
          <w:rFonts w:ascii="Arial" w:hAnsi="Arial" w:cs="Arial"/>
        </w:rPr>
        <w:t>) et le non décaissement</w:t>
      </w:r>
      <w:r w:rsidRPr="00387F4A">
        <w:rPr>
          <w:rFonts w:ascii="Arial" w:hAnsi="Arial" w:cs="Arial"/>
        </w:rPr>
        <w:t xml:space="preserve"> en faveur de cette forme d’aide </w:t>
      </w:r>
      <w:r>
        <w:rPr>
          <w:rFonts w:ascii="Arial" w:hAnsi="Arial" w:cs="Arial"/>
        </w:rPr>
        <w:t xml:space="preserve">de </w:t>
      </w:r>
      <w:r w:rsidRPr="00387F4A">
        <w:rPr>
          <w:rFonts w:ascii="Arial" w:hAnsi="Arial" w:cs="Arial"/>
        </w:rPr>
        <w:t>la Suède et l’</w:t>
      </w:r>
      <w:r>
        <w:rPr>
          <w:rFonts w:ascii="Arial" w:hAnsi="Arial" w:cs="Arial"/>
        </w:rPr>
        <w:t xml:space="preserve">Italie. </w:t>
      </w:r>
      <w:r w:rsidRPr="00387F4A">
        <w:rPr>
          <w:rFonts w:ascii="Arial" w:hAnsi="Arial" w:cs="Arial"/>
        </w:rPr>
        <w:t>Elle est octroyée sous forme de prêt</w:t>
      </w:r>
      <w:r>
        <w:rPr>
          <w:rFonts w:ascii="Arial" w:hAnsi="Arial" w:cs="Arial"/>
        </w:rPr>
        <w:t>s</w:t>
      </w:r>
      <w:r w:rsidRPr="00387F4A">
        <w:rPr>
          <w:rFonts w:ascii="Arial" w:hAnsi="Arial" w:cs="Arial"/>
        </w:rPr>
        <w:t xml:space="preserve"> qui s’élève à 1,03 millions dollars US</w:t>
      </w:r>
      <w:r>
        <w:rPr>
          <w:rFonts w:ascii="Arial" w:hAnsi="Arial" w:cs="Arial"/>
        </w:rPr>
        <w:t xml:space="preserve"> (16,2%)</w:t>
      </w:r>
      <w:r w:rsidRPr="00387F4A">
        <w:rPr>
          <w:rFonts w:ascii="Arial" w:hAnsi="Arial" w:cs="Arial"/>
        </w:rPr>
        <w:t xml:space="preserve"> et de subvention</w:t>
      </w:r>
      <w:r>
        <w:rPr>
          <w:rFonts w:ascii="Arial" w:hAnsi="Arial" w:cs="Arial"/>
        </w:rPr>
        <w:t>s</w:t>
      </w:r>
      <w:r w:rsidRPr="00387F4A">
        <w:rPr>
          <w:rFonts w:ascii="Arial" w:hAnsi="Arial" w:cs="Arial"/>
        </w:rPr>
        <w:t xml:space="preserve"> à hauteur de 5,31 millions dollars US</w:t>
      </w:r>
      <w:r>
        <w:rPr>
          <w:rFonts w:ascii="Arial" w:hAnsi="Arial" w:cs="Arial"/>
        </w:rPr>
        <w:t xml:space="preserve"> (83,8%).</w:t>
      </w:r>
    </w:p>
    <w:p w:rsidR="009A4DF8" w:rsidRDefault="009A4DF8" w:rsidP="009A4DF8">
      <w:pPr>
        <w:jc w:val="both"/>
        <w:rPr>
          <w:rFonts w:ascii="Arial" w:hAnsi="Arial" w:cs="Arial"/>
        </w:rPr>
      </w:pPr>
      <w:r w:rsidRPr="00387F4A">
        <w:rPr>
          <w:rFonts w:ascii="Arial" w:hAnsi="Arial" w:cs="Arial"/>
        </w:rPr>
        <w:t>Le principal pourvoyeur de cette aide en 2016 est la république de Chine Taïwan avec une p</w:t>
      </w:r>
      <w:r>
        <w:rPr>
          <w:rFonts w:ascii="Arial" w:hAnsi="Arial" w:cs="Arial"/>
        </w:rPr>
        <w:t>art contributive de 68,9</w:t>
      </w:r>
      <w:r w:rsidRPr="00387F4A">
        <w:rPr>
          <w:rFonts w:ascii="Arial" w:hAnsi="Arial" w:cs="Arial"/>
        </w:rPr>
        <w:t xml:space="preserve">%, suivi par le </w:t>
      </w:r>
      <w:r>
        <w:rPr>
          <w:rFonts w:ascii="Arial" w:hAnsi="Arial" w:cs="Arial"/>
        </w:rPr>
        <w:t>FAO avec 30,4</w:t>
      </w:r>
      <w:r w:rsidRPr="00387F4A">
        <w:rPr>
          <w:rFonts w:ascii="Arial" w:hAnsi="Arial" w:cs="Arial"/>
        </w:rPr>
        <w:t>% du volume total de l’assistance et secours d’urgence.</w:t>
      </w:r>
    </w:p>
    <w:p w:rsidR="003D6C65" w:rsidRPr="00387F4A" w:rsidRDefault="003D6C65" w:rsidP="009A4DF8">
      <w:pPr>
        <w:jc w:val="both"/>
        <w:rPr>
          <w:rFonts w:ascii="Arial" w:hAnsi="Arial" w:cs="Arial"/>
        </w:rPr>
      </w:pPr>
    </w:p>
    <w:p w:rsidR="00CB45BC" w:rsidRPr="00E605A1" w:rsidRDefault="00E605A1" w:rsidP="00E605A1">
      <w:pPr>
        <w:pStyle w:val="Lgende"/>
        <w:rPr>
          <w:color w:val="auto"/>
        </w:rPr>
      </w:pPr>
      <w:bookmarkStart w:id="387" w:name="_Toc492895485"/>
      <w:r w:rsidRPr="00E605A1">
        <w:rPr>
          <w:color w:val="auto"/>
        </w:rPr>
        <w:lastRenderedPageBreak/>
        <w:t xml:space="preserve">Tableau </w:t>
      </w:r>
      <w:r w:rsidRPr="00E605A1">
        <w:rPr>
          <w:color w:val="auto"/>
        </w:rPr>
        <w:fldChar w:fldCharType="begin"/>
      </w:r>
      <w:r w:rsidRPr="00E605A1">
        <w:rPr>
          <w:color w:val="auto"/>
        </w:rPr>
        <w:instrText xml:space="preserve"> SEQ Tableau \* ARABIC </w:instrText>
      </w:r>
      <w:r w:rsidRPr="00E605A1">
        <w:rPr>
          <w:color w:val="auto"/>
        </w:rPr>
        <w:fldChar w:fldCharType="separate"/>
      </w:r>
      <w:r w:rsidR="009A1402">
        <w:rPr>
          <w:noProof/>
          <w:color w:val="auto"/>
        </w:rPr>
        <w:t>17</w:t>
      </w:r>
      <w:r w:rsidRPr="00E605A1">
        <w:rPr>
          <w:color w:val="auto"/>
        </w:rPr>
        <w:fldChar w:fldCharType="end"/>
      </w:r>
      <w:r w:rsidRPr="00E605A1">
        <w:rPr>
          <w:color w:val="auto"/>
        </w:rPr>
        <w:t> :</w:t>
      </w:r>
      <w:r w:rsidR="009A4DF8" w:rsidRPr="00E605A1">
        <w:rPr>
          <w:color w:val="auto"/>
        </w:rPr>
        <w:t xml:space="preserve"> </w:t>
      </w:r>
      <w:r w:rsidR="009A4DF8" w:rsidRPr="00E605A1">
        <w:rPr>
          <w:color w:val="auto"/>
          <w:u w:val="none"/>
        </w:rPr>
        <w:t>Principales caractéristiques de l'assistance et secours d'urgence en 2016</w:t>
      </w:r>
      <w:bookmarkEnd w:id="387"/>
    </w:p>
    <w:tbl>
      <w:tblPr>
        <w:tblW w:w="9103" w:type="dxa"/>
        <w:tblInd w:w="75" w:type="dxa"/>
        <w:tblCellMar>
          <w:left w:w="70" w:type="dxa"/>
          <w:right w:w="70" w:type="dxa"/>
        </w:tblCellMar>
        <w:tblLook w:val="04A0" w:firstRow="1" w:lastRow="0" w:firstColumn="1" w:lastColumn="0" w:noHBand="0" w:noVBand="1"/>
      </w:tblPr>
      <w:tblGrid>
        <w:gridCol w:w="3447"/>
        <w:gridCol w:w="2708"/>
        <w:gridCol w:w="2948"/>
      </w:tblGrid>
      <w:tr w:rsidR="00571C91" w:rsidRPr="00571C91" w:rsidTr="00CB45BC">
        <w:trPr>
          <w:trHeight w:val="534"/>
        </w:trPr>
        <w:tc>
          <w:tcPr>
            <w:tcW w:w="3447" w:type="dxa"/>
            <w:tcBorders>
              <w:top w:val="single" w:sz="8" w:space="0" w:color="auto"/>
              <w:left w:val="single" w:sz="4" w:space="0" w:color="auto"/>
              <w:bottom w:val="single" w:sz="4" w:space="0" w:color="auto"/>
              <w:right w:val="single" w:sz="4" w:space="0" w:color="auto"/>
            </w:tcBorders>
            <w:shd w:val="clear" w:color="000000" w:fill="CCFFFF"/>
            <w:vAlign w:val="center"/>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Bailleurs</w:t>
            </w:r>
          </w:p>
        </w:tc>
        <w:tc>
          <w:tcPr>
            <w:tcW w:w="2708" w:type="dxa"/>
            <w:tcBorders>
              <w:top w:val="single" w:sz="8" w:space="0" w:color="auto"/>
              <w:left w:val="nil"/>
              <w:bottom w:val="single" w:sz="4" w:space="0" w:color="auto"/>
              <w:right w:val="single" w:sz="4" w:space="0" w:color="auto"/>
            </w:tcBorders>
            <w:shd w:val="clear" w:color="000000" w:fill="CCFFFF"/>
            <w:vAlign w:val="center"/>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Montant en millions $US</w:t>
            </w:r>
          </w:p>
        </w:tc>
        <w:tc>
          <w:tcPr>
            <w:tcW w:w="2948" w:type="dxa"/>
            <w:tcBorders>
              <w:top w:val="single" w:sz="8" w:space="0" w:color="auto"/>
              <w:left w:val="nil"/>
              <w:bottom w:val="single" w:sz="4" w:space="0" w:color="auto"/>
              <w:right w:val="single" w:sz="4" w:space="0" w:color="auto"/>
            </w:tcBorders>
            <w:shd w:val="clear" w:color="000000" w:fill="CCFFFF"/>
            <w:vAlign w:val="center"/>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Part en % de l'assistance et secours d'urgence</w:t>
            </w:r>
          </w:p>
        </w:tc>
      </w:tr>
      <w:tr w:rsidR="00571C91" w:rsidRPr="00571C91" w:rsidTr="00CB45BC">
        <w:trPr>
          <w:trHeight w:val="211"/>
        </w:trPr>
        <w:tc>
          <w:tcPr>
            <w:tcW w:w="3447"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Assistance et secours d'urgence</w:t>
            </w:r>
          </w:p>
        </w:tc>
        <w:tc>
          <w:tcPr>
            <w:tcW w:w="2708" w:type="dxa"/>
            <w:tcBorders>
              <w:top w:val="nil"/>
              <w:left w:val="nil"/>
              <w:bottom w:val="single" w:sz="4" w:space="0" w:color="auto"/>
              <w:right w:val="single" w:sz="4" w:space="0" w:color="auto"/>
            </w:tcBorders>
            <w:shd w:val="clear" w:color="auto" w:fill="auto"/>
            <w:noWrap/>
            <w:vAlign w:val="center"/>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6,34</w:t>
            </w:r>
          </w:p>
        </w:tc>
        <w:tc>
          <w:tcPr>
            <w:tcW w:w="2948"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0,56%</w:t>
            </w:r>
          </w:p>
        </w:tc>
      </w:tr>
      <w:tr w:rsidR="00571C91" w:rsidRPr="00571C91" w:rsidTr="00CB45BC">
        <w:trPr>
          <w:trHeight w:val="211"/>
        </w:trPr>
        <w:tc>
          <w:tcPr>
            <w:tcW w:w="3447"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18"/>
                <w:szCs w:val="18"/>
                <w:lang w:eastAsia="fr-FR"/>
              </w:rPr>
            </w:pPr>
            <w:r w:rsidRPr="00CB45BC">
              <w:rPr>
                <w:rFonts w:ascii="Arial" w:eastAsia="Times New Roman" w:hAnsi="Arial" w:cs="Arial"/>
                <w:b/>
                <w:bCs/>
                <w:sz w:val="18"/>
                <w:szCs w:val="18"/>
                <w:lang w:eastAsia="fr-FR"/>
              </w:rPr>
              <w:t>Bailleurs</w:t>
            </w:r>
          </w:p>
        </w:tc>
        <w:tc>
          <w:tcPr>
            <w:tcW w:w="2708" w:type="dxa"/>
            <w:tcBorders>
              <w:top w:val="nil"/>
              <w:left w:val="nil"/>
              <w:bottom w:val="single" w:sz="4" w:space="0" w:color="auto"/>
              <w:right w:val="single" w:sz="4" w:space="0" w:color="auto"/>
            </w:tcBorders>
            <w:shd w:val="clear" w:color="auto" w:fill="auto"/>
            <w:noWrap/>
            <w:vAlign w:val="center"/>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 </w:t>
            </w:r>
          </w:p>
        </w:tc>
        <w:tc>
          <w:tcPr>
            <w:tcW w:w="2948"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 </w:t>
            </w:r>
          </w:p>
        </w:tc>
      </w:tr>
      <w:tr w:rsidR="00571C91" w:rsidRPr="00571C91" w:rsidTr="00CB45BC">
        <w:trPr>
          <w:trHeight w:val="211"/>
        </w:trPr>
        <w:tc>
          <w:tcPr>
            <w:tcW w:w="3447"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Principaux donateurs</w:t>
            </w:r>
          </w:p>
        </w:tc>
        <w:tc>
          <w:tcPr>
            <w:tcW w:w="2708" w:type="dxa"/>
            <w:tcBorders>
              <w:top w:val="nil"/>
              <w:left w:val="nil"/>
              <w:bottom w:val="single" w:sz="4" w:space="0" w:color="auto"/>
              <w:right w:val="single" w:sz="4" w:space="0" w:color="auto"/>
            </w:tcBorders>
            <w:shd w:val="clear" w:color="auto" w:fill="auto"/>
            <w:vAlign w:val="center"/>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6,34</w:t>
            </w:r>
          </w:p>
        </w:tc>
        <w:tc>
          <w:tcPr>
            <w:tcW w:w="2948"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100,00</w:t>
            </w:r>
          </w:p>
        </w:tc>
      </w:tr>
      <w:tr w:rsidR="00571C91" w:rsidRPr="00571C91" w:rsidTr="00CB45BC">
        <w:trPr>
          <w:trHeight w:val="211"/>
        </w:trPr>
        <w:tc>
          <w:tcPr>
            <w:tcW w:w="3447"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Chine-Taïwan</w:t>
            </w:r>
          </w:p>
        </w:tc>
        <w:tc>
          <w:tcPr>
            <w:tcW w:w="2708"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4,37</w:t>
            </w:r>
          </w:p>
        </w:tc>
        <w:tc>
          <w:tcPr>
            <w:tcW w:w="2948"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68,93</w:t>
            </w:r>
          </w:p>
        </w:tc>
      </w:tr>
      <w:tr w:rsidR="00571C91" w:rsidRPr="00571C91" w:rsidTr="00CB45BC">
        <w:trPr>
          <w:trHeight w:val="211"/>
        </w:trPr>
        <w:tc>
          <w:tcPr>
            <w:tcW w:w="3447"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SNU</w:t>
            </w:r>
          </w:p>
        </w:tc>
        <w:tc>
          <w:tcPr>
            <w:tcW w:w="2708"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1,93</w:t>
            </w:r>
          </w:p>
        </w:tc>
        <w:tc>
          <w:tcPr>
            <w:tcW w:w="2948"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30,44</w:t>
            </w:r>
          </w:p>
        </w:tc>
      </w:tr>
      <w:tr w:rsidR="00571C91" w:rsidRPr="00571C91" w:rsidTr="00CB45BC">
        <w:trPr>
          <w:trHeight w:val="211"/>
        </w:trPr>
        <w:tc>
          <w:tcPr>
            <w:tcW w:w="3447"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USA</w:t>
            </w:r>
          </w:p>
        </w:tc>
        <w:tc>
          <w:tcPr>
            <w:tcW w:w="2708"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0,04</w:t>
            </w:r>
          </w:p>
        </w:tc>
        <w:tc>
          <w:tcPr>
            <w:tcW w:w="2948"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0,63</w:t>
            </w:r>
          </w:p>
        </w:tc>
      </w:tr>
      <w:tr w:rsidR="00571C91" w:rsidRPr="00571C91" w:rsidTr="00CB45BC">
        <w:trPr>
          <w:trHeight w:val="211"/>
        </w:trPr>
        <w:tc>
          <w:tcPr>
            <w:tcW w:w="3447"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both"/>
              <w:rPr>
                <w:rFonts w:ascii="Arial" w:eastAsia="Times New Roman" w:hAnsi="Arial" w:cs="Arial"/>
                <w:sz w:val="20"/>
                <w:szCs w:val="20"/>
                <w:lang w:eastAsia="fr-FR"/>
              </w:rPr>
            </w:pPr>
            <w:r w:rsidRPr="00CB45BC">
              <w:rPr>
                <w:rFonts w:ascii="Arial" w:eastAsia="Times New Roman" w:hAnsi="Arial" w:cs="Arial"/>
                <w:sz w:val="20"/>
                <w:szCs w:val="20"/>
                <w:lang w:eastAsia="fr-FR"/>
              </w:rPr>
              <w:t> </w:t>
            </w:r>
          </w:p>
        </w:tc>
        <w:tc>
          <w:tcPr>
            <w:tcW w:w="2708"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sz w:val="20"/>
                <w:szCs w:val="20"/>
                <w:lang w:eastAsia="fr-FR"/>
              </w:rPr>
            </w:pPr>
            <w:r w:rsidRPr="00CB45BC">
              <w:rPr>
                <w:rFonts w:ascii="Arial" w:eastAsia="Times New Roman" w:hAnsi="Arial" w:cs="Arial"/>
                <w:sz w:val="20"/>
                <w:szCs w:val="20"/>
                <w:lang w:eastAsia="fr-FR"/>
              </w:rPr>
              <w:t> </w:t>
            </w:r>
          </w:p>
        </w:tc>
        <w:tc>
          <w:tcPr>
            <w:tcW w:w="2948"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sz w:val="20"/>
                <w:szCs w:val="20"/>
                <w:lang w:eastAsia="fr-FR"/>
              </w:rPr>
            </w:pPr>
            <w:r w:rsidRPr="00CB45BC">
              <w:rPr>
                <w:rFonts w:ascii="Arial" w:eastAsia="Times New Roman" w:hAnsi="Arial" w:cs="Arial"/>
                <w:sz w:val="20"/>
                <w:szCs w:val="20"/>
                <w:lang w:eastAsia="fr-FR"/>
              </w:rPr>
              <w:t> </w:t>
            </w:r>
          </w:p>
        </w:tc>
      </w:tr>
      <w:tr w:rsidR="00571C91" w:rsidRPr="00571C91" w:rsidTr="00E605A1">
        <w:trPr>
          <w:trHeight w:val="422"/>
        </w:trPr>
        <w:tc>
          <w:tcPr>
            <w:tcW w:w="3447" w:type="dxa"/>
            <w:tcBorders>
              <w:top w:val="nil"/>
              <w:left w:val="single" w:sz="4" w:space="0" w:color="auto"/>
              <w:bottom w:val="single" w:sz="4" w:space="0" w:color="auto"/>
              <w:right w:val="single" w:sz="4" w:space="0" w:color="auto"/>
            </w:tcBorders>
            <w:shd w:val="clear" w:color="auto" w:fill="CCFFFF"/>
            <w:vAlign w:val="center"/>
            <w:hideMark/>
          </w:tcPr>
          <w:p w:rsidR="00CB45BC" w:rsidRPr="00CB45BC" w:rsidRDefault="00CB45BC" w:rsidP="00E605A1">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Répartition par conditions</w:t>
            </w:r>
          </w:p>
        </w:tc>
        <w:tc>
          <w:tcPr>
            <w:tcW w:w="2708" w:type="dxa"/>
            <w:tcBorders>
              <w:top w:val="nil"/>
              <w:left w:val="nil"/>
              <w:bottom w:val="single" w:sz="4" w:space="0" w:color="auto"/>
              <w:right w:val="single" w:sz="4" w:space="0" w:color="auto"/>
            </w:tcBorders>
            <w:shd w:val="clear" w:color="auto" w:fill="CCFFFF"/>
            <w:noWrap/>
            <w:vAlign w:val="center"/>
            <w:hideMark/>
          </w:tcPr>
          <w:p w:rsidR="00CB45BC" w:rsidRPr="00CB45BC" w:rsidRDefault="00CB45BC" w:rsidP="00E605A1">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Montant en millions de $US</w:t>
            </w:r>
          </w:p>
        </w:tc>
        <w:tc>
          <w:tcPr>
            <w:tcW w:w="2948" w:type="dxa"/>
            <w:tcBorders>
              <w:top w:val="nil"/>
              <w:left w:val="nil"/>
              <w:bottom w:val="single" w:sz="4" w:space="0" w:color="auto"/>
              <w:right w:val="single" w:sz="4" w:space="0" w:color="auto"/>
            </w:tcBorders>
            <w:shd w:val="clear" w:color="auto" w:fill="CCFFFF"/>
            <w:vAlign w:val="center"/>
            <w:hideMark/>
          </w:tcPr>
          <w:p w:rsidR="00CB45BC" w:rsidRPr="00CB45BC" w:rsidRDefault="00CB45BC" w:rsidP="00E605A1">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En % de l'assistance et secours d'urgence</w:t>
            </w:r>
          </w:p>
        </w:tc>
      </w:tr>
      <w:tr w:rsidR="00571C91" w:rsidRPr="00571C91" w:rsidTr="00CB45BC">
        <w:trPr>
          <w:trHeight w:val="211"/>
        </w:trPr>
        <w:tc>
          <w:tcPr>
            <w:tcW w:w="3447"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Dons</w:t>
            </w:r>
          </w:p>
        </w:tc>
        <w:tc>
          <w:tcPr>
            <w:tcW w:w="2708"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5,31</w:t>
            </w:r>
          </w:p>
        </w:tc>
        <w:tc>
          <w:tcPr>
            <w:tcW w:w="2948"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sz w:val="20"/>
                <w:szCs w:val="20"/>
                <w:lang w:eastAsia="fr-FR"/>
              </w:rPr>
            </w:pPr>
            <w:r w:rsidRPr="00CB45BC">
              <w:rPr>
                <w:rFonts w:ascii="Arial" w:eastAsia="Times New Roman" w:hAnsi="Arial" w:cs="Arial"/>
                <w:sz w:val="20"/>
                <w:szCs w:val="20"/>
                <w:lang w:eastAsia="fr-FR"/>
              </w:rPr>
              <w:t>83,75%</w:t>
            </w:r>
          </w:p>
        </w:tc>
      </w:tr>
      <w:tr w:rsidR="00571C91" w:rsidRPr="00571C91" w:rsidTr="00CB45BC">
        <w:trPr>
          <w:trHeight w:val="223"/>
        </w:trPr>
        <w:tc>
          <w:tcPr>
            <w:tcW w:w="3447" w:type="dxa"/>
            <w:tcBorders>
              <w:top w:val="nil"/>
              <w:left w:val="single" w:sz="4" w:space="0" w:color="auto"/>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Prêts</w:t>
            </w:r>
          </w:p>
        </w:tc>
        <w:tc>
          <w:tcPr>
            <w:tcW w:w="2708" w:type="dxa"/>
            <w:tcBorders>
              <w:top w:val="nil"/>
              <w:left w:val="nil"/>
              <w:bottom w:val="single" w:sz="4" w:space="0" w:color="auto"/>
              <w:right w:val="single" w:sz="4" w:space="0" w:color="auto"/>
            </w:tcBorders>
            <w:shd w:val="clear" w:color="auto" w:fill="auto"/>
            <w:vAlign w:val="bottom"/>
            <w:hideMark/>
          </w:tcPr>
          <w:p w:rsidR="00CB45BC" w:rsidRPr="00CB45BC" w:rsidRDefault="00CB45BC" w:rsidP="00CB45BC">
            <w:pPr>
              <w:spacing w:after="0" w:line="240" w:lineRule="auto"/>
              <w:jc w:val="center"/>
              <w:rPr>
                <w:rFonts w:ascii="Arial" w:eastAsia="Times New Roman" w:hAnsi="Arial" w:cs="Arial"/>
                <w:b/>
                <w:bCs/>
                <w:sz w:val="20"/>
                <w:szCs w:val="20"/>
                <w:lang w:eastAsia="fr-FR"/>
              </w:rPr>
            </w:pPr>
            <w:r w:rsidRPr="00CB45BC">
              <w:rPr>
                <w:rFonts w:ascii="Arial" w:eastAsia="Times New Roman" w:hAnsi="Arial" w:cs="Arial"/>
                <w:b/>
                <w:bCs/>
                <w:sz w:val="20"/>
                <w:szCs w:val="20"/>
                <w:lang w:eastAsia="fr-FR"/>
              </w:rPr>
              <w:t>1,03</w:t>
            </w:r>
          </w:p>
        </w:tc>
        <w:tc>
          <w:tcPr>
            <w:tcW w:w="2948" w:type="dxa"/>
            <w:tcBorders>
              <w:top w:val="nil"/>
              <w:left w:val="nil"/>
              <w:bottom w:val="single" w:sz="4" w:space="0" w:color="auto"/>
              <w:right w:val="single" w:sz="4" w:space="0" w:color="auto"/>
            </w:tcBorders>
            <w:shd w:val="clear" w:color="auto" w:fill="auto"/>
            <w:noWrap/>
            <w:vAlign w:val="bottom"/>
            <w:hideMark/>
          </w:tcPr>
          <w:p w:rsidR="00CB45BC" w:rsidRPr="00CB45BC" w:rsidRDefault="00CB45BC" w:rsidP="00CB45BC">
            <w:pPr>
              <w:spacing w:after="0" w:line="240" w:lineRule="auto"/>
              <w:jc w:val="center"/>
              <w:rPr>
                <w:rFonts w:ascii="Arial" w:eastAsia="Times New Roman" w:hAnsi="Arial" w:cs="Arial"/>
                <w:sz w:val="20"/>
                <w:szCs w:val="20"/>
                <w:lang w:eastAsia="fr-FR"/>
              </w:rPr>
            </w:pPr>
            <w:r w:rsidRPr="00CB45BC">
              <w:rPr>
                <w:rFonts w:ascii="Arial" w:eastAsia="Times New Roman" w:hAnsi="Arial" w:cs="Arial"/>
                <w:sz w:val="20"/>
                <w:szCs w:val="20"/>
                <w:lang w:eastAsia="fr-FR"/>
              </w:rPr>
              <w:t>16,25%</w:t>
            </w:r>
          </w:p>
        </w:tc>
      </w:tr>
    </w:tbl>
    <w:p w:rsidR="009A4DF8" w:rsidRPr="00CB45BC" w:rsidRDefault="00E476AA" w:rsidP="009A4DF8">
      <w:pPr>
        <w:rPr>
          <w:rFonts w:ascii="Arial" w:hAnsi="Arial" w:cs="Arial"/>
        </w:rPr>
      </w:pPr>
      <w:r w:rsidRPr="00387F4A">
        <w:rPr>
          <w:rFonts w:ascii="Arial" w:hAnsi="Arial" w:cs="Arial"/>
        </w:rPr>
        <w:fldChar w:fldCharType="begin"/>
      </w:r>
      <w:r w:rsidR="009A4DF8" w:rsidRPr="00387F4A">
        <w:rPr>
          <w:rFonts w:ascii="Arial" w:hAnsi="Arial" w:cs="Arial"/>
        </w:rPr>
        <w:instrText xml:space="preserve"> LINK Excel.Sheet.12 "C:\\Users\\PRCI-SE\\Desktop\\RCD2015\\Doc A1 RCD 2015\\TABLEAUX &amp; GRAPH_ RCD 2015_version _13-06-16.xlsx" "11.Secours d'urgence!L6C1:L19C3" \a \f 4 \h  \* MERGEFORMAT </w:instrText>
      </w:r>
      <w:r w:rsidRPr="00387F4A">
        <w:rPr>
          <w:rFonts w:ascii="Arial" w:hAnsi="Arial" w:cs="Arial"/>
        </w:rPr>
        <w:fldChar w:fldCharType="end"/>
      </w:r>
      <w:r w:rsidR="009A4DF8" w:rsidRPr="00387F4A">
        <w:rPr>
          <w:rFonts w:ascii="Arial" w:hAnsi="Arial" w:cs="Arial"/>
          <w:b/>
          <w:bCs/>
          <w:i/>
          <w:u w:val="single"/>
        </w:rPr>
        <w:t>Source</w:t>
      </w:r>
      <w:r w:rsidR="009A4DF8" w:rsidRPr="00387F4A">
        <w:rPr>
          <w:rFonts w:ascii="Arial" w:hAnsi="Arial" w:cs="Arial"/>
          <w:b/>
          <w:bCs/>
          <w:i/>
        </w:rPr>
        <w:t> :</w:t>
      </w:r>
      <w:r w:rsidR="009A4DF8" w:rsidRPr="00387F4A">
        <w:rPr>
          <w:rFonts w:ascii="Arial" w:hAnsi="Arial" w:cs="Arial"/>
          <w:bCs/>
          <w:i/>
        </w:rPr>
        <w:t xml:space="preserve"> PGA/DG-COOP, Juillet 2017</w:t>
      </w:r>
    </w:p>
    <w:p w:rsidR="009A4DF8" w:rsidRPr="00387F4A" w:rsidRDefault="009A4DF8" w:rsidP="009A4DF8">
      <w:pPr>
        <w:jc w:val="both"/>
        <w:rPr>
          <w:rFonts w:ascii="Arial" w:hAnsi="Arial" w:cs="Arial"/>
        </w:rPr>
      </w:pPr>
      <w:r w:rsidRPr="00387F4A">
        <w:rPr>
          <w:rFonts w:ascii="Arial" w:hAnsi="Arial" w:cs="Arial"/>
        </w:rPr>
        <w:t>Les principaux projets ayant bénéficié de cette forme d’aide sont :</w:t>
      </w:r>
    </w:p>
    <w:p w:rsidR="009A4DF8" w:rsidRPr="00387F4A" w:rsidRDefault="009A4DF8" w:rsidP="00B92B11">
      <w:pPr>
        <w:numPr>
          <w:ilvl w:val="0"/>
          <w:numId w:val="37"/>
        </w:numPr>
        <w:contextualSpacing/>
        <w:jc w:val="both"/>
        <w:rPr>
          <w:rFonts w:ascii="Arial" w:hAnsi="Arial" w:cs="Arial"/>
        </w:rPr>
      </w:pPr>
      <w:r>
        <w:rPr>
          <w:rFonts w:ascii="Arial" w:hAnsi="Arial" w:cs="Arial"/>
        </w:rPr>
        <w:t>l’</w:t>
      </w:r>
      <w:r w:rsidRPr="00387F4A">
        <w:rPr>
          <w:rFonts w:ascii="Arial" w:hAnsi="Arial" w:cs="Arial"/>
        </w:rPr>
        <w:t>Appui à la consolidation des acquis et à la valorisation de la production dans le cadre des Engagements nationaux (CA/EN)</w:t>
      </w:r>
      <w:r>
        <w:rPr>
          <w:rFonts w:ascii="Arial" w:hAnsi="Arial" w:cs="Arial"/>
        </w:rPr>
        <w:t xml:space="preserve">, </w:t>
      </w:r>
      <w:r w:rsidRPr="00387F4A">
        <w:rPr>
          <w:rFonts w:ascii="Arial" w:hAnsi="Arial" w:cs="Arial"/>
        </w:rPr>
        <w:t>financé par la Chine Taïwan pour un montant de 2,57 millions dollars US ;</w:t>
      </w:r>
    </w:p>
    <w:p w:rsidR="009A4DF8" w:rsidRPr="00387F4A" w:rsidRDefault="009A4DF8" w:rsidP="00B92B11">
      <w:pPr>
        <w:numPr>
          <w:ilvl w:val="0"/>
          <w:numId w:val="37"/>
        </w:numPr>
        <w:contextualSpacing/>
        <w:jc w:val="both"/>
        <w:rPr>
          <w:rFonts w:ascii="Arial" w:hAnsi="Arial" w:cs="Arial"/>
        </w:rPr>
      </w:pPr>
      <w:r w:rsidRPr="00387F4A">
        <w:rPr>
          <w:rFonts w:ascii="Arial" w:hAnsi="Arial" w:cs="Arial"/>
        </w:rPr>
        <w:t xml:space="preserve">le </w:t>
      </w:r>
      <w:r>
        <w:rPr>
          <w:rFonts w:ascii="Arial" w:hAnsi="Arial" w:cs="Arial"/>
        </w:rPr>
        <w:t>p</w:t>
      </w:r>
      <w:r w:rsidRPr="00387F4A">
        <w:rPr>
          <w:rFonts w:ascii="Arial" w:hAnsi="Arial" w:cs="Arial"/>
        </w:rPr>
        <w:t>rojet d’Assistance aux ménages vulnérables victimes de malnutrition et de chocs climatiques et économiques à travers la valorisation des produits forestiers non ligneux au Burkina Faso, financé par la FAO pour un montant de 1,45 millions dollars US ;</w:t>
      </w:r>
    </w:p>
    <w:p w:rsidR="009A4DF8" w:rsidRPr="00387F4A" w:rsidRDefault="009A4DF8" w:rsidP="00B92B11">
      <w:pPr>
        <w:numPr>
          <w:ilvl w:val="0"/>
          <w:numId w:val="37"/>
        </w:numPr>
        <w:contextualSpacing/>
        <w:jc w:val="both"/>
        <w:rPr>
          <w:rFonts w:ascii="Arial" w:hAnsi="Arial" w:cs="Arial"/>
        </w:rPr>
      </w:pPr>
      <w:r w:rsidRPr="00387F4A">
        <w:rPr>
          <w:rFonts w:ascii="Arial" w:hAnsi="Arial" w:cs="Arial"/>
        </w:rPr>
        <w:t xml:space="preserve">le </w:t>
      </w:r>
      <w:r>
        <w:rPr>
          <w:rFonts w:ascii="Arial" w:hAnsi="Arial" w:cs="Arial"/>
        </w:rPr>
        <w:t>p</w:t>
      </w:r>
      <w:r w:rsidRPr="00387F4A">
        <w:rPr>
          <w:rFonts w:ascii="Arial" w:hAnsi="Arial" w:cs="Arial"/>
        </w:rPr>
        <w:t xml:space="preserve">rojet </w:t>
      </w:r>
      <w:r>
        <w:rPr>
          <w:rFonts w:ascii="Arial" w:hAnsi="Arial" w:cs="Arial"/>
        </w:rPr>
        <w:t>« </w:t>
      </w:r>
      <w:r w:rsidRPr="00387F4A">
        <w:rPr>
          <w:rFonts w:ascii="Arial" w:hAnsi="Arial" w:cs="Arial"/>
        </w:rPr>
        <w:t>Mission Médicale Chinoise</w:t>
      </w:r>
      <w:r>
        <w:rPr>
          <w:rFonts w:ascii="Arial" w:hAnsi="Arial" w:cs="Arial"/>
        </w:rPr>
        <w:t> »,</w:t>
      </w:r>
      <w:r w:rsidRPr="00387F4A">
        <w:rPr>
          <w:rFonts w:ascii="Arial" w:hAnsi="Arial" w:cs="Arial"/>
        </w:rPr>
        <w:t xml:space="preserve"> financé par la Chine Taïwan pour un montant de 1,03 millions dollars US ;</w:t>
      </w:r>
    </w:p>
    <w:p w:rsidR="009A4DF8" w:rsidRPr="002D1974" w:rsidRDefault="009A4DF8" w:rsidP="00B92B11">
      <w:pPr>
        <w:numPr>
          <w:ilvl w:val="0"/>
          <w:numId w:val="37"/>
        </w:numPr>
        <w:contextualSpacing/>
        <w:jc w:val="both"/>
        <w:rPr>
          <w:rFonts w:ascii="Arial" w:hAnsi="Arial" w:cs="Arial"/>
        </w:rPr>
      </w:pPr>
      <w:r w:rsidRPr="00387F4A">
        <w:rPr>
          <w:rFonts w:ascii="Arial" w:hAnsi="Arial" w:cs="Arial"/>
        </w:rPr>
        <w:t xml:space="preserve">le </w:t>
      </w:r>
      <w:r>
        <w:rPr>
          <w:rFonts w:ascii="Arial" w:hAnsi="Arial" w:cs="Arial"/>
        </w:rPr>
        <w:t>p</w:t>
      </w:r>
      <w:r w:rsidRPr="00387F4A">
        <w:rPr>
          <w:rFonts w:ascii="Arial" w:hAnsi="Arial" w:cs="Arial"/>
        </w:rPr>
        <w:t>rojet d’Assistance technique à la gestion de l'hôpital national Blaise COMPAORE</w:t>
      </w:r>
      <w:r>
        <w:rPr>
          <w:rFonts w:ascii="Arial" w:hAnsi="Arial" w:cs="Arial"/>
        </w:rPr>
        <w:t>,</w:t>
      </w:r>
      <w:r w:rsidRPr="00387F4A">
        <w:rPr>
          <w:rFonts w:ascii="Arial" w:hAnsi="Arial" w:cs="Arial"/>
        </w:rPr>
        <w:t xml:space="preserve"> financé par la Chine Taïwan pour un montant de 0,77 millions dollars US</w:t>
      </w:r>
      <w:r>
        <w:rPr>
          <w:rFonts w:ascii="Arial" w:hAnsi="Arial" w:cs="Arial"/>
        </w:rPr>
        <w:t> ;</w:t>
      </w:r>
    </w:p>
    <w:p w:rsidR="009A4DF8" w:rsidRPr="00F538F7" w:rsidRDefault="009A4DF8" w:rsidP="008D7758">
      <w:pPr>
        <w:pStyle w:val="Titre2"/>
        <w:numPr>
          <w:ilvl w:val="0"/>
          <w:numId w:val="118"/>
        </w:numPr>
        <w:tabs>
          <w:tab w:val="left" w:pos="1134"/>
        </w:tabs>
        <w:rPr>
          <w:lang w:eastAsia="fr-FR"/>
        </w:rPr>
      </w:pPr>
      <w:bookmarkStart w:id="388" w:name="_Toc492972207"/>
      <w:r w:rsidRPr="00F538F7">
        <w:rPr>
          <w:lang w:eastAsia="fr-FR"/>
        </w:rPr>
        <w:t>L'aide par type de financement</w:t>
      </w:r>
      <w:bookmarkEnd w:id="240"/>
      <w:bookmarkEnd w:id="241"/>
      <w:bookmarkEnd w:id="242"/>
      <w:bookmarkEnd w:id="243"/>
      <w:bookmarkEnd w:id="244"/>
      <w:bookmarkEnd w:id="245"/>
      <w:bookmarkEnd w:id="246"/>
      <w:bookmarkEnd w:id="247"/>
      <w:bookmarkEnd w:id="388"/>
    </w:p>
    <w:p w:rsidR="009A4DF8" w:rsidRDefault="009A4DF8" w:rsidP="009A4DF8">
      <w:pPr>
        <w:spacing w:before="120" w:after="120"/>
        <w:jc w:val="both"/>
        <w:rPr>
          <w:rFonts w:ascii="Arial" w:eastAsia="Arial" w:hAnsi="Arial" w:cs="Arial"/>
        </w:rPr>
      </w:pPr>
      <w:r>
        <w:rPr>
          <w:rFonts w:ascii="Arial" w:eastAsia="Arial" w:hAnsi="Arial" w:cs="Arial"/>
        </w:rPr>
        <w:t>S</w:t>
      </w:r>
      <w:r w:rsidRPr="00387F4A">
        <w:rPr>
          <w:rFonts w:ascii="Arial" w:eastAsia="Arial" w:hAnsi="Arial" w:cs="Arial"/>
        </w:rPr>
        <w:t>ur la période de 2012 à 2016</w:t>
      </w:r>
      <w:r>
        <w:rPr>
          <w:rFonts w:ascii="Arial" w:eastAsia="Arial" w:hAnsi="Arial" w:cs="Arial"/>
        </w:rPr>
        <w:t>, l’aide par</w:t>
      </w:r>
      <w:r w:rsidRPr="00387F4A">
        <w:rPr>
          <w:rFonts w:ascii="Arial" w:eastAsia="Arial" w:hAnsi="Arial" w:cs="Arial"/>
        </w:rPr>
        <w:t xml:space="preserve"> type de financement</w:t>
      </w:r>
      <w:r>
        <w:rPr>
          <w:rFonts w:ascii="Arial" w:eastAsia="Arial" w:hAnsi="Arial" w:cs="Arial"/>
        </w:rPr>
        <w:t xml:space="preserve"> fait ressortir l’importance des dons par rapport aux prêts. En effet, l</w:t>
      </w:r>
      <w:r w:rsidRPr="00387F4A">
        <w:rPr>
          <w:rFonts w:ascii="Arial" w:eastAsia="Arial" w:hAnsi="Arial" w:cs="Arial"/>
        </w:rPr>
        <w:t xml:space="preserve">es dons </w:t>
      </w:r>
      <w:r>
        <w:rPr>
          <w:rFonts w:ascii="Arial" w:eastAsia="Arial" w:hAnsi="Arial" w:cs="Arial"/>
        </w:rPr>
        <w:t>se s</w:t>
      </w:r>
      <w:r w:rsidRPr="00387F4A">
        <w:rPr>
          <w:rFonts w:ascii="Arial" w:eastAsia="Arial" w:hAnsi="Arial" w:cs="Arial"/>
        </w:rPr>
        <w:t xml:space="preserve">ont </w:t>
      </w:r>
      <w:r>
        <w:rPr>
          <w:rFonts w:ascii="Arial" w:eastAsia="Arial" w:hAnsi="Arial" w:cs="Arial"/>
        </w:rPr>
        <w:t xml:space="preserve">situés en moyenne à 79,3% de l’APD et les prêts à 20,7% </w:t>
      </w:r>
    </w:p>
    <w:p w:rsidR="009A4DF8" w:rsidRPr="00387F4A" w:rsidRDefault="006853B6" w:rsidP="009A4DF8">
      <w:pPr>
        <w:spacing w:before="120" w:after="120"/>
        <w:jc w:val="both"/>
        <w:rPr>
          <w:rFonts w:ascii="Arial" w:eastAsia="Arial" w:hAnsi="Arial" w:cs="Arial"/>
        </w:rPr>
      </w:pPr>
      <w:r>
        <w:rPr>
          <w:rFonts w:ascii="Arial" w:eastAsia="Arial" w:hAnsi="Arial" w:cs="Arial"/>
        </w:rPr>
        <w:t xml:space="preserve">En 2016 </w:t>
      </w:r>
      <w:r w:rsidR="009A4DF8">
        <w:rPr>
          <w:rFonts w:ascii="Arial" w:eastAsia="Arial" w:hAnsi="Arial" w:cs="Arial"/>
        </w:rPr>
        <w:t>les dons ont représentés 71,3</w:t>
      </w:r>
      <w:r w:rsidR="009A4DF8" w:rsidRPr="00387F4A">
        <w:rPr>
          <w:rFonts w:ascii="Arial" w:eastAsia="Arial" w:hAnsi="Arial" w:cs="Arial"/>
        </w:rPr>
        <w:t xml:space="preserve">% </w:t>
      </w:r>
      <w:r w:rsidR="009A4DF8">
        <w:rPr>
          <w:rFonts w:ascii="Arial" w:eastAsia="Arial" w:hAnsi="Arial" w:cs="Arial"/>
        </w:rPr>
        <w:t>de l’APD. Quant aux prêts, ils se sont établis à 28, 7%, représentant la valeur la plus élevée des cinq dernières années.</w:t>
      </w:r>
    </w:p>
    <w:p w:rsidR="009A4DF8" w:rsidRPr="00E605A1" w:rsidRDefault="00E605A1" w:rsidP="00E605A1">
      <w:pPr>
        <w:pStyle w:val="Lgende"/>
        <w:rPr>
          <w:bCs w:val="0"/>
          <w:color w:val="auto"/>
          <w:u w:val="none"/>
        </w:rPr>
      </w:pPr>
      <w:bookmarkStart w:id="389" w:name="_Toc368779231"/>
      <w:bookmarkStart w:id="390" w:name="_Toc400703575"/>
      <w:bookmarkStart w:id="391" w:name="_Toc424706033"/>
      <w:bookmarkStart w:id="392" w:name="_Toc492895739"/>
      <w:r w:rsidRPr="00E605A1">
        <w:rPr>
          <w:color w:val="auto"/>
        </w:rPr>
        <w:t xml:space="preserve">Graphique </w:t>
      </w:r>
      <w:r w:rsidRPr="00E605A1">
        <w:rPr>
          <w:color w:val="auto"/>
        </w:rPr>
        <w:fldChar w:fldCharType="begin"/>
      </w:r>
      <w:r w:rsidRPr="00E605A1">
        <w:rPr>
          <w:color w:val="auto"/>
        </w:rPr>
        <w:instrText xml:space="preserve"> SEQ Graphique \* ARABIC </w:instrText>
      </w:r>
      <w:r w:rsidRPr="00E605A1">
        <w:rPr>
          <w:color w:val="auto"/>
        </w:rPr>
        <w:fldChar w:fldCharType="separate"/>
      </w:r>
      <w:r w:rsidR="009A1402">
        <w:rPr>
          <w:noProof/>
          <w:color w:val="auto"/>
        </w:rPr>
        <w:t>6</w:t>
      </w:r>
      <w:r w:rsidRPr="00E605A1">
        <w:rPr>
          <w:color w:val="auto"/>
        </w:rPr>
        <w:fldChar w:fldCharType="end"/>
      </w:r>
      <w:r w:rsidRPr="00E605A1">
        <w:rPr>
          <w:color w:val="auto"/>
        </w:rPr>
        <w:t> :</w:t>
      </w:r>
      <w:r w:rsidR="009A4DF8" w:rsidRPr="00E605A1">
        <w:rPr>
          <w:bCs w:val="0"/>
          <w:color w:val="auto"/>
        </w:rPr>
        <w:t xml:space="preserve"> </w:t>
      </w:r>
      <w:r w:rsidR="009A4DF8" w:rsidRPr="00E605A1">
        <w:rPr>
          <w:bCs w:val="0"/>
          <w:color w:val="auto"/>
          <w:u w:val="none"/>
        </w:rPr>
        <w:t>Evolution de la répartition des prêts et des dons de 2012 à 201</w:t>
      </w:r>
      <w:bookmarkEnd w:id="389"/>
      <w:bookmarkEnd w:id="390"/>
      <w:bookmarkEnd w:id="391"/>
      <w:r w:rsidR="009A4DF8" w:rsidRPr="00E605A1">
        <w:rPr>
          <w:bCs w:val="0"/>
          <w:color w:val="auto"/>
          <w:u w:val="none"/>
        </w:rPr>
        <w:t>6</w:t>
      </w:r>
      <w:bookmarkEnd w:id="392"/>
    </w:p>
    <w:p w:rsidR="009A4DF8" w:rsidRPr="00387F4A" w:rsidRDefault="009A4DF8" w:rsidP="003022DC">
      <w:pPr>
        <w:suppressAutoHyphens/>
        <w:spacing w:after="40" w:line="240" w:lineRule="auto"/>
        <w:rPr>
          <w:rFonts w:ascii="Arial" w:hAnsi="Arial" w:cs="Arial"/>
          <w:noProof/>
          <w:lang w:eastAsia="fr-FR"/>
        </w:rPr>
      </w:pPr>
      <w:r w:rsidRPr="00387F4A">
        <w:rPr>
          <w:noProof/>
          <w:lang w:eastAsia="fr-FR"/>
        </w:rPr>
        <w:drawing>
          <wp:inline distT="0" distB="0" distL="0" distR="0" wp14:anchorId="1715C762" wp14:editId="398EB053">
            <wp:extent cx="5762625" cy="1630392"/>
            <wp:effectExtent l="0" t="0" r="9525" b="8255"/>
            <wp:docPr id="35" name="Graphique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9A4DF8" w:rsidRPr="00387F4A" w:rsidRDefault="009A4DF8" w:rsidP="009A4DF8">
      <w:pPr>
        <w:suppressAutoHyphens/>
        <w:rPr>
          <w:rFonts w:ascii="Arial" w:hAnsi="Arial" w:cs="Arial"/>
          <w:i/>
        </w:rPr>
      </w:pPr>
      <w:bookmarkStart w:id="393" w:name="_Toc98304004"/>
      <w:bookmarkStart w:id="394" w:name="_Toc98666548"/>
      <w:bookmarkStart w:id="395" w:name="_Toc100041459"/>
      <w:bookmarkStart w:id="396" w:name="_Toc102850203"/>
      <w:bookmarkStart w:id="397" w:name="_Toc104346408"/>
      <w:bookmarkStart w:id="398" w:name="_Toc104358452"/>
      <w:bookmarkStart w:id="399" w:name="_Toc117391876"/>
      <w:bookmarkStart w:id="400" w:name="_Toc149901827"/>
      <w:bookmarkStart w:id="401" w:name="_Toc163362920"/>
      <w:bookmarkStart w:id="402" w:name="_Toc214682336"/>
      <w:bookmarkStart w:id="403" w:name="_Toc244578220"/>
      <w:bookmarkStart w:id="404" w:name="_Toc245697731"/>
      <w:bookmarkStart w:id="405" w:name="_Toc245804587"/>
      <w:r w:rsidRPr="00387F4A">
        <w:rPr>
          <w:rFonts w:ascii="Arial" w:hAnsi="Arial" w:cs="Arial"/>
          <w:b/>
          <w:i/>
          <w:u w:val="single"/>
        </w:rPr>
        <w:t>Source :</w:t>
      </w:r>
      <w:r w:rsidRPr="00387F4A">
        <w:rPr>
          <w:rFonts w:ascii="Arial" w:hAnsi="Arial" w:cs="Arial"/>
          <w:i/>
        </w:rPr>
        <w:t xml:space="preserve"> PGA/DGCOOP, Juillet 201</w:t>
      </w:r>
      <w:bookmarkStart w:id="406" w:name="_Toc399933267"/>
      <w:bookmarkStart w:id="407" w:name="_Toc400643303"/>
      <w:bookmarkStart w:id="408" w:name="_Toc138855032"/>
      <w:bookmarkStart w:id="409" w:name="_Toc163362974"/>
      <w:bookmarkStart w:id="410" w:name="_Toc214371976"/>
      <w:bookmarkStart w:id="411" w:name="_Toc245804672"/>
      <w:bookmarkStart w:id="412" w:name="_Toc304393265"/>
      <w:bookmarkStart w:id="413" w:name="_Toc335610152"/>
      <w:bookmarkStart w:id="414" w:name="_Toc368779232"/>
      <w:bookmarkEnd w:id="393"/>
      <w:bookmarkEnd w:id="394"/>
      <w:bookmarkEnd w:id="395"/>
      <w:bookmarkEnd w:id="396"/>
      <w:bookmarkEnd w:id="397"/>
      <w:bookmarkEnd w:id="398"/>
      <w:bookmarkEnd w:id="399"/>
      <w:bookmarkEnd w:id="400"/>
      <w:bookmarkEnd w:id="401"/>
      <w:bookmarkEnd w:id="402"/>
      <w:bookmarkEnd w:id="403"/>
      <w:bookmarkEnd w:id="404"/>
      <w:bookmarkEnd w:id="405"/>
      <w:r w:rsidRPr="00387F4A">
        <w:rPr>
          <w:rFonts w:ascii="Arial" w:hAnsi="Arial" w:cs="Arial"/>
          <w:i/>
        </w:rPr>
        <w:t>7</w:t>
      </w:r>
    </w:p>
    <w:p w:rsidR="009A4DF8" w:rsidRPr="00387F4A" w:rsidRDefault="009A4DF8" w:rsidP="008D7758">
      <w:pPr>
        <w:pStyle w:val="Titre3"/>
        <w:numPr>
          <w:ilvl w:val="0"/>
          <w:numId w:val="122"/>
        </w:numPr>
        <w:tabs>
          <w:tab w:val="left" w:pos="1560"/>
        </w:tabs>
        <w:ind w:left="1134"/>
        <w:rPr>
          <w:lang w:eastAsia="fr-FR"/>
        </w:rPr>
      </w:pPr>
      <w:bookmarkStart w:id="415" w:name="_Toc427009758"/>
      <w:bookmarkStart w:id="416" w:name="_Toc461526816"/>
      <w:bookmarkStart w:id="417" w:name="_Toc461617997"/>
      <w:bookmarkStart w:id="418" w:name="_Toc492972208"/>
      <w:r w:rsidRPr="00387F4A">
        <w:rPr>
          <w:lang w:eastAsia="fr-FR"/>
        </w:rPr>
        <w:lastRenderedPageBreak/>
        <w:t>Les dons</w:t>
      </w:r>
      <w:bookmarkEnd w:id="406"/>
      <w:bookmarkEnd w:id="407"/>
      <w:bookmarkEnd w:id="415"/>
      <w:bookmarkEnd w:id="416"/>
      <w:bookmarkEnd w:id="417"/>
      <w:bookmarkEnd w:id="418"/>
    </w:p>
    <w:p w:rsidR="009A4DF8" w:rsidRDefault="009A4DF8" w:rsidP="003022DC">
      <w:pPr>
        <w:spacing w:after="120"/>
        <w:jc w:val="both"/>
        <w:rPr>
          <w:rFonts w:ascii="Arial" w:eastAsia="Arial" w:hAnsi="Arial" w:cs="Arial"/>
        </w:rPr>
      </w:pPr>
      <w:r w:rsidRPr="00387F4A">
        <w:rPr>
          <w:rFonts w:ascii="Arial" w:eastAsia="Arial" w:hAnsi="Arial" w:cs="Arial"/>
        </w:rPr>
        <w:t xml:space="preserve">Le montant total des dons est </w:t>
      </w:r>
      <w:r>
        <w:rPr>
          <w:rFonts w:ascii="Arial" w:eastAsia="Arial" w:hAnsi="Arial" w:cs="Arial"/>
        </w:rPr>
        <w:t xml:space="preserve">passé </w:t>
      </w:r>
      <w:r w:rsidRPr="00387F4A">
        <w:rPr>
          <w:rFonts w:ascii="Arial" w:eastAsia="Arial" w:hAnsi="Arial" w:cs="Arial"/>
        </w:rPr>
        <w:t xml:space="preserve">de </w:t>
      </w:r>
      <w:r w:rsidRPr="00387F4A">
        <w:rPr>
          <w:rFonts w:ascii="Arial" w:hAnsi="Arial" w:cs="Arial"/>
          <w:lang w:eastAsia="fr-FR"/>
        </w:rPr>
        <w:t xml:space="preserve">822,37 millions dollars US en </w:t>
      </w:r>
      <w:r>
        <w:rPr>
          <w:rFonts w:ascii="Arial" w:hAnsi="Arial" w:cs="Arial"/>
          <w:lang w:eastAsia="fr-FR"/>
        </w:rPr>
        <w:t xml:space="preserve">2015 à </w:t>
      </w:r>
      <w:r w:rsidRPr="00387F4A">
        <w:rPr>
          <w:rFonts w:ascii="Arial" w:eastAsia="Arial" w:hAnsi="Arial" w:cs="Arial"/>
        </w:rPr>
        <w:t>812,7</w:t>
      </w:r>
      <w:r>
        <w:rPr>
          <w:rFonts w:ascii="Arial" w:eastAsia="Arial" w:hAnsi="Arial" w:cs="Arial"/>
        </w:rPr>
        <w:t>7</w:t>
      </w:r>
      <w:r w:rsidRPr="00387F4A">
        <w:rPr>
          <w:rFonts w:ascii="Arial" w:eastAsia="Arial" w:hAnsi="Arial" w:cs="Arial"/>
        </w:rPr>
        <w:t xml:space="preserve"> millions dollars US</w:t>
      </w:r>
      <w:r>
        <w:rPr>
          <w:rFonts w:ascii="Arial" w:eastAsia="Arial" w:hAnsi="Arial" w:cs="Arial"/>
        </w:rPr>
        <w:t xml:space="preserve"> en </w:t>
      </w:r>
      <w:r w:rsidRPr="00387F4A">
        <w:rPr>
          <w:rFonts w:ascii="Arial" w:hAnsi="Arial" w:cs="Arial"/>
          <w:lang w:eastAsia="fr-FR"/>
        </w:rPr>
        <w:t>201</w:t>
      </w:r>
      <w:r>
        <w:rPr>
          <w:rFonts w:ascii="Arial" w:hAnsi="Arial" w:cs="Arial"/>
          <w:lang w:eastAsia="fr-FR"/>
        </w:rPr>
        <w:t>6</w:t>
      </w:r>
      <w:r>
        <w:rPr>
          <w:rFonts w:ascii="Arial" w:eastAsia="Arial" w:hAnsi="Arial" w:cs="Arial"/>
        </w:rPr>
        <w:t>, soit une baisse de 1,2%.</w:t>
      </w:r>
    </w:p>
    <w:p w:rsidR="009A4DF8" w:rsidRDefault="009A4DF8" w:rsidP="003022DC">
      <w:pPr>
        <w:spacing w:after="120"/>
        <w:jc w:val="both"/>
        <w:rPr>
          <w:rFonts w:ascii="Arial" w:eastAsia="Arial" w:hAnsi="Arial" w:cs="Arial"/>
        </w:rPr>
      </w:pPr>
      <w:r>
        <w:rPr>
          <w:rFonts w:ascii="Arial" w:eastAsia="Arial" w:hAnsi="Arial" w:cs="Arial"/>
        </w:rPr>
        <w:t>La part des dons dans l’APD totale s’est affichée à 71,3</w:t>
      </w:r>
      <w:r w:rsidRPr="00387F4A">
        <w:rPr>
          <w:rFonts w:ascii="Arial" w:eastAsia="Arial" w:hAnsi="Arial" w:cs="Arial"/>
        </w:rPr>
        <w:t>% en 2016</w:t>
      </w:r>
      <w:r>
        <w:rPr>
          <w:rFonts w:ascii="Arial" w:eastAsia="Arial" w:hAnsi="Arial" w:cs="Arial"/>
        </w:rPr>
        <w:t xml:space="preserve"> contre 74,7% en 2015, </w:t>
      </w:r>
      <w:r w:rsidRPr="00387F4A">
        <w:rPr>
          <w:rFonts w:ascii="Arial" w:eastAsia="Arial" w:hAnsi="Arial" w:cs="Arial"/>
        </w:rPr>
        <w:t>soit une régression de 3,46 points de pourcentage</w:t>
      </w:r>
      <w:r w:rsidRPr="00387F4A">
        <w:rPr>
          <w:rFonts w:ascii="Arial" w:hAnsi="Arial" w:cs="Arial"/>
          <w:lang w:eastAsia="fr-FR"/>
        </w:rPr>
        <w:t>.</w:t>
      </w:r>
      <w:r w:rsidRPr="00387F4A">
        <w:rPr>
          <w:rFonts w:ascii="Arial" w:eastAsia="Arial" w:hAnsi="Arial" w:cs="Arial"/>
        </w:rPr>
        <w:t xml:space="preserve"> </w:t>
      </w:r>
    </w:p>
    <w:p w:rsidR="009A4DF8" w:rsidRDefault="009A4DF8" w:rsidP="003022DC">
      <w:pPr>
        <w:spacing w:after="120"/>
        <w:jc w:val="both"/>
        <w:rPr>
          <w:rFonts w:ascii="Arial" w:eastAsia="Arial" w:hAnsi="Arial" w:cs="Arial"/>
        </w:rPr>
      </w:pPr>
      <w:r>
        <w:rPr>
          <w:rFonts w:ascii="Arial" w:eastAsia="Arial" w:hAnsi="Arial" w:cs="Arial"/>
        </w:rPr>
        <w:t>La répartition des dons se présente comme suit :</w:t>
      </w:r>
    </w:p>
    <w:p w:rsidR="009A4DF8" w:rsidRPr="00387F4A" w:rsidRDefault="009A4DF8" w:rsidP="00B92B11">
      <w:pPr>
        <w:numPr>
          <w:ilvl w:val="0"/>
          <w:numId w:val="36"/>
        </w:numPr>
        <w:contextualSpacing/>
        <w:jc w:val="both"/>
        <w:rPr>
          <w:rFonts w:ascii="Arial" w:hAnsi="Arial" w:cs="Arial"/>
          <w:lang w:eastAsia="fr-FR"/>
        </w:rPr>
      </w:pPr>
      <w:r w:rsidRPr="00387F4A">
        <w:rPr>
          <w:rFonts w:ascii="Arial" w:hAnsi="Arial" w:cs="Arial"/>
          <w:lang w:eastAsia="fr-FR"/>
        </w:rPr>
        <w:t>625,0</w:t>
      </w:r>
      <w:r>
        <w:rPr>
          <w:rFonts w:ascii="Arial" w:hAnsi="Arial" w:cs="Arial"/>
          <w:lang w:eastAsia="fr-FR"/>
        </w:rPr>
        <w:t>2</w:t>
      </w:r>
      <w:r w:rsidRPr="00387F4A">
        <w:rPr>
          <w:rFonts w:ascii="Arial" w:hAnsi="Arial" w:cs="Arial"/>
          <w:lang w:eastAsia="fr-FR"/>
        </w:rPr>
        <w:t xml:space="preserve"> millions dollars US en aide projet, soit 76,9% ;</w:t>
      </w:r>
    </w:p>
    <w:p w:rsidR="009A4DF8" w:rsidRPr="00387F4A" w:rsidRDefault="009A4DF8" w:rsidP="00B92B11">
      <w:pPr>
        <w:numPr>
          <w:ilvl w:val="0"/>
          <w:numId w:val="36"/>
        </w:numPr>
        <w:contextualSpacing/>
        <w:jc w:val="both"/>
        <w:rPr>
          <w:rFonts w:ascii="Arial" w:hAnsi="Arial" w:cs="Arial"/>
          <w:lang w:eastAsia="fr-FR"/>
        </w:rPr>
      </w:pPr>
      <w:r w:rsidRPr="00387F4A">
        <w:rPr>
          <w:rFonts w:ascii="Arial" w:hAnsi="Arial" w:cs="Arial"/>
          <w:lang w:eastAsia="fr-FR"/>
        </w:rPr>
        <w:t>150,78 millions dollars US en appui budgétaire, soit 18,6% ;</w:t>
      </w:r>
    </w:p>
    <w:p w:rsidR="009A4DF8" w:rsidRPr="006153C9" w:rsidRDefault="009A4DF8" w:rsidP="00B92B11">
      <w:pPr>
        <w:numPr>
          <w:ilvl w:val="0"/>
          <w:numId w:val="36"/>
        </w:numPr>
        <w:contextualSpacing/>
        <w:jc w:val="both"/>
        <w:rPr>
          <w:rFonts w:ascii="Arial" w:hAnsi="Arial" w:cs="Arial"/>
          <w:lang w:eastAsia="fr-FR"/>
        </w:rPr>
      </w:pPr>
      <w:r w:rsidRPr="006153C9">
        <w:rPr>
          <w:rFonts w:ascii="Arial" w:hAnsi="Arial" w:cs="Arial"/>
          <w:lang w:eastAsia="fr-FR"/>
        </w:rPr>
        <w:t>31,66 millions dollars US en aide alimentaire, soit 3,9% ;</w:t>
      </w:r>
    </w:p>
    <w:p w:rsidR="009A4DF8" w:rsidRPr="00707F22" w:rsidRDefault="009A4DF8" w:rsidP="00B92B11">
      <w:pPr>
        <w:numPr>
          <w:ilvl w:val="0"/>
          <w:numId w:val="36"/>
        </w:numPr>
        <w:spacing w:after="120"/>
        <w:ind w:left="714" w:hanging="357"/>
        <w:jc w:val="both"/>
        <w:rPr>
          <w:rFonts w:ascii="Arial" w:hAnsi="Arial" w:cs="Arial"/>
          <w:lang w:eastAsia="fr-FR"/>
        </w:rPr>
      </w:pPr>
      <w:r w:rsidRPr="006153C9">
        <w:rPr>
          <w:rFonts w:ascii="Arial" w:hAnsi="Arial" w:cs="Arial"/>
          <w:lang w:eastAsia="fr-FR"/>
        </w:rPr>
        <w:t>5,31 millions dollars US en assistance et secours d’urgence, soit 0,6%.</w:t>
      </w:r>
    </w:p>
    <w:p w:rsidR="009A4DF8" w:rsidRDefault="009A4DF8" w:rsidP="003022DC">
      <w:pPr>
        <w:spacing w:after="120"/>
        <w:jc w:val="both"/>
        <w:rPr>
          <w:rFonts w:ascii="Arial" w:hAnsi="Arial" w:cs="Arial"/>
          <w:lang w:eastAsia="fr-FR"/>
        </w:rPr>
      </w:pPr>
      <w:r w:rsidRPr="00387F4A">
        <w:rPr>
          <w:rFonts w:ascii="Arial" w:eastAsia="Arial" w:hAnsi="Arial" w:cs="Arial"/>
        </w:rPr>
        <w:t>Le montant venant des dix principaux bailleurs s’élève à 673,3</w:t>
      </w:r>
      <w:r>
        <w:rPr>
          <w:rFonts w:ascii="Arial" w:eastAsia="Arial" w:hAnsi="Arial" w:cs="Arial"/>
        </w:rPr>
        <w:t>7</w:t>
      </w:r>
      <w:r w:rsidRPr="00387F4A">
        <w:rPr>
          <w:rFonts w:ascii="Arial" w:hAnsi="Arial" w:cs="Arial"/>
          <w:lang w:eastAsia="fr-FR"/>
        </w:rPr>
        <w:t xml:space="preserve"> millions dollars US</w:t>
      </w:r>
      <w:r>
        <w:rPr>
          <w:rFonts w:ascii="Arial" w:eastAsia="Arial" w:hAnsi="Arial" w:cs="Arial"/>
        </w:rPr>
        <w:t xml:space="preserve"> et se</w:t>
      </w:r>
      <w:r w:rsidRPr="00387F4A">
        <w:rPr>
          <w:rFonts w:ascii="Arial" w:eastAsia="Arial" w:hAnsi="Arial" w:cs="Arial"/>
        </w:rPr>
        <w:t xml:space="preserve"> </w:t>
      </w:r>
      <w:r>
        <w:rPr>
          <w:rFonts w:ascii="Arial" w:eastAsia="Arial" w:hAnsi="Arial" w:cs="Arial"/>
        </w:rPr>
        <w:t>présente</w:t>
      </w:r>
      <w:r w:rsidRPr="00387F4A">
        <w:rPr>
          <w:rFonts w:ascii="Arial" w:eastAsia="Arial" w:hAnsi="Arial" w:cs="Arial"/>
        </w:rPr>
        <w:t xml:space="preserve"> comme suit :</w:t>
      </w:r>
    </w:p>
    <w:p w:rsidR="009A4DF8" w:rsidRPr="00E605A1" w:rsidRDefault="00E605A1" w:rsidP="00E605A1">
      <w:pPr>
        <w:pStyle w:val="Lgende"/>
        <w:rPr>
          <w:bCs w:val="0"/>
          <w:color w:val="auto"/>
        </w:rPr>
      </w:pPr>
      <w:bookmarkStart w:id="419" w:name="_Toc400703576"/>
      <w:bookmarkStart w:id="420" w:name="_Toc424706034"/>
      <w:bookmarkStart w:id="421" w:name="_Toc492895740"/>
      <w:r w:rsidRPr="00E605A1">
        <w:rPr>
          <w:color w:val="auto"/>
        </w:rPr>
        <w:t xml:space="preserve">Graphique </w:t>
      </w:r>
      <w:r w:rsidRPr="00E605A1">
        <w:rPr>
          <w:color w:val="auto"/>
        </w:rPr>
        <w:fldChar w:fldCharType="begin"/>
      </w:r>
      <w:r w:rsidRPr="00E605A1">
        <w:rPr>
          <w:color w:val="auto"/>
        </w:rPr>
        <w:instrText xml:space="preserve"> SEQ Graphique \* ARABIC </w:instrText>
      </w:r>
      <w:r w:rsidRPr="00E605A1">
        <w:rPr>
          <w:color w:val="auto"/>
        </w:rPr>
        <w:fldChar w:fldCharType="separate"/>
      </w:r>
      <w:r w:rsidR="009A1402">
        <w:rPr>
          <w:noProof/>
          <w:color w:val="auto"/>
        </w:rPr>
        <w:t>7</w:t>
      </w:r>
      <w:r w:rsidRPr="00E605A1">
        <w:rPr>
          <w:color w:val="auto"/>
        </w:rPr>
        <w:fldChar w:fldCharType="end"/>
      </w:r>
      <w:r w:rsidRPr="00E605A1">
        <w:rPr>
          <w:color w:val="auto"/>
        </w:rPr>
        <w:t> :</w:t>
      </w:r>
      <w:r w:rsidR="009A4DF8" w:rsidRPr="00E605A1">
        <w:rPr>
          <w:bCs w:val="0"/>
          <w:color w:val="auto"/>
        </w:rPr>
        <w:t xml:space="preserve"> </w:t>
      </w:r>
      <w:r w:rsidR="009A4DF8" w:rsidRPr="00E605A1">
        <w:rPr>
          <w:bCs w:val="0"/>
          <w:color w:val="auto"/>
          <w:u w:val="none"/>
        </w:rPr>
        <w:t>Les dix principaux pourvoyeurs de dons en 201</w:t>
      </w:r>
      <w:bookmarkEnd w:id="408"/>
      <w:bookmarkEnd w:id="409"/>
      <w:bookmarkEnd w:id="410"/>
      <w:bookmarkEnd w:id="411"/>
      <w:bookmarkEnd w:id="412"/>
      <w:bookmarkEnd w:id="413"/>
      <w:r w:rsidR="009A4DF8" w:rsidRPr="00E605A1">
        <w:rPr>
          <w:bCs w:val="0"/>
          <w:color w:val="auto"/>
          <w:u w:val="none"/>
        </w:rPr>
        <w:t>6 (en millions dollar US)</w:t>
      </w:r>
      <w:bookmarkEnd w:id="414"/>
      <w:bookmarkEnd w:id="419"/>
      <w:bookmarkEnd w:id="420"/>
      <w:bookmarkEnd w:id="421"/>
    </w:p>
    <w:p w:rsidR="009A4DF8" w:rsidRPr="006153C9" w:rsidRDefault="009A4DF8" w:rsidP="00021B5C">
      <w:pPr>
        <w:spacing w:after="0" w:line="240" w:lineRule="auto"/>
        <w:jc w:val="both"/>
        <w:rPr>
          <w:rFonts w:ascii="Arial" w:hAnsi="Arial" w:cs="Arial"/>
          <w:noProof/>
          <w:lang w:eastAsia="fr-FR"/>
        </w:rPr>
      </w:pPr>
      <w:r w:rsidRPr="006153C9">
        <w:rPr>
          <w:noProof/>
          <w:lang w:eastAsia="fr-FR"/>
        </w:rPr>
        <w:drawing>
          <wp:inline distT="0" distB="0" distL="0" distR="0" wp14:anchorId="320F430F" wp14:editId="0E8C674D">
            <wp:extent cx="5667375" cy="2139351"/>
            <wp:effectExtent l="0" t="0" r="9525" b="13335"/>
            <wp:docPr id="36" name="Graphique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9A4DF8" w:rsidRPr="006153C9" w:rsidRDefault="009A4DF8" w:rsidP="009A4DF8">
      <w:pPr>
        <w:jc w:val="both"/>
        <w:rPr>
          <w:rFonts w:ascii="Arial" w:hAnsi="Arial" w:cs="Arial"/>
          <w:i/>
        </w:rPr>
      </w:pPr>
      <w:r w:rsidRPr="006153C9">
        <w:rPr>
          <w:rFonts w:ascii="Arial" w:hAnsi="Arial" w:cs="Arial"/>
          <w:b/>
          <w:i/>
          <w:u w:val="single"/>
        </w:rPr>
        <w:t>Source :</w:t>
      </w:r>
      <w:r w:rsidRPr="006153C9">
        <w:rPr>
          <w:rFonts w:ascii="Arial" w:hAnsi="Arial" w:cs="Arial"/>
          <w:i/>
        </w:rPr>
        <w:t xml:space="preserve"> PGA/DGCOOP, Juillet 2017.</w:t>
      </w:r>
    </w:p>
    <w:p w:rsidR="009A4DF8" w:rsidRPr="000B347D" w:rsidRDefault="009A4DF8" w:rsidP="009A4DF8">
      <w:pPr>
        <w:jc w:val="both"/>
        <w:rPr>
          <w:rFonts w:ascii="Arial" w:eastAsia="Arial" w:hAnsi="Arial" w:cs="Arial"/>
        </w:rPr>
      </w:pPr>
      <w:r w:rsidRPr="006153C9">
        <w:rPr>
          <w:rFonts w:ascii="Arial" w:eastAsia="Arial" w:hAnsi="Arial" w:cs="Arial"/>
        </w:rPr>
        <w:t>Les dons reçus ont contribué au financement de projets et programmes dont les plus importants sont les suivants :</w:t>
      </w:r>
    </w:p>
    <w:p w:rsidR="009A4DF8" w:rsidRPr="006153C9" w:rsidRDefault="009A4DF8" w:rsidP="00B92B11">
      <w:pPr>
        <w:numPr>
          <w:ilvl w:val="0"/>
          <w:numId w:val="41"/>
        </w:numPr>
        <w:shd w:val="clear" w:color="auto" w:fill="FFFFFF" w:themeFill="background1"/>
        <w:spacing w:after="0"/>
        <w:contextualSpacing/>
        <w:jc w:val="both"/>
        <w:rPr>
          <w:rFonts w:ascii="Arial" w:eastAsia="Arial" w:hAnsi="Arial" w:cs="Arial"/>
        </w:rPr>
      </w:pPr>
      <w:r w:rsidRPr="006153C9">
        <w:rPr>
          <w:rFonts w:ascii="Arial" w:eastAsia="Arial" w:hAnsi="Arial" w:cs="Arial"/>
        </w:rPr>
        <w:t>le Programme d’appui à la Transition au Burkina Faso (State building contract), financé par l’Union Européenne pour 64,27 millions dollars US ;</w:t>
      </w:r>
    </w:p>
    <w:p w:rsidR="009A4DF8" w:rsidRPr="006153C9" w:rsidRDefault="009A4DF8" w:rsidP="00B92B11">
      <w:pPr>
        <w:numPr>
          <w:ilvl w:val="0"/>
          <w:numId w:val="41"/>
        </w:numPr>
        <w:shd w:val="clear" w:color="auto" w:fill="FFFFFF" w:themeFill="background1"/>
        <w:spacing w:after="0"/>
        <w:contextualSpacing/>
        <w:jc w:val="both"/>
        <w:rPr>
          <w:rFonts w:ascii="Arial" w:eastAsia="Arial" w:hAnsi="Arial" w:cs="Arial"/>
        </w:rPr>
      </w:pPr>
      <w:r w:rsidRPr="006153C9">
        <w:rPr>
          <w:rFonts w:ascii="Arial" w:eastAsia="Arial" w:hAnsi="Arial" w:cs="Arial"/>
        </w:rPr>
        <w:t>le quatrième crédit d’appui à la croissance et à la compétitivité, financé par la Banque mondiale pour un montant de 46,52 millions dollars US ;</w:t>
      </w:r>
    </w:p>
    <w:p w:rsidR="009A4DF8" w:rsidRPr="006153C9" w:rsidRDefault="009A4DF8" w:rsidP="00B92B11">
      <w:pPr>
        <w:numPr>
          <w:ilvl w:val="0"/>
          <w:numId w:val="41"/>
        </w:numPr>
        <w:shd w:val="clear" w:color="auto" w:fill="FFFFFF" w:themeFill="background1"/>
        <w:spacing w:after="0"/>
        <w:contextualSpacing/>
        <w:jc w:val="both"/>
        <w:rPr>
          <w:rFonts w:ascii="Arial" w:eastAsia="Arial" w:hAnsi="Arial" w:cs="Arial"/>
        </w:rPr>
      </w:pPr>
      <w:r w:rsidRPr="006153C9">
        <w:rPr>
          <w:rFonts w:ascii="Arial" w:eastAsia="Arial" w:hAnsi="Arial" w:cs="Arial"/>
        </w:rPr>
        <w:t xml:space="preserve">le </w:t>
      </w:r>
      <w:r>
        <w:rPr>
          <w:rFonts w:ascii="Arial" w:eastAsia="Arial" w:hAnsi="Arial" w:cs="Arial"/>
        </w:rPr>
        <w:t>P</w:t>
      </w:r>
      <w:r w:rsidRPr="006153C9">
        <w:rPr>
          <w:rFonts w:ascii="Arial" w:eastAsia="Arial" w:hAnsi="Arial" w:cs="Arial"/>
        </w:rPr>
        <w:t>artenariat mondial  pour l’éducation (PME)</w:t>
      </w:r>
      <w:r>
        <w:rPr>
          <w:rFonts w:ascii="Arial" w:eastAsia="Arial" w:hAnsi="Arial" w:cs="Arial"/>
        </w:rPr>
        <w:t>,</w:t>
      </w:r>
      <w:r w:rsidRPr="006153C9">
        <w:rPr>
          <w:rFonts w:ascii="Arial" w:eastAsia="Arial" w:hAnsi="Arial" w:cs="Arial"/>
        </w:rPr>
        <w:t xml:space="preserve"> financé par la France pour un montant de 30,21 millions dollars US ;</w:t>
      </w:r>
    </w:p>
    <w:p w:rsidR="009A4DF8" w:rsidRPr="006153C9" w:rsidRDefault="009A4DF8" w:rsidP="00B92B11">
      <w:pPr>
        <w:pStyle w:val="Paragraphedeliste"/>
        <w:numPr>
          <w:ilvl w:val="0"/>
          <w:numId w:val="41"/>
        </w:numPr>
        <w:shd w:val="clear" w:color="auto" w:fill="FFFFFF" w:themeFill="background1"/>
        <w:spacing w:after="0"/>
        <w:jc w:val="both"/>
        <w:rPr>
          <w:rFonts w:ascii="Arial" w:hAnsi="Arial" w:cs="Arial"/>
        </w:rPr>
      </w:pPr>
      <w:r>
        <w:rPr>
          <w:rFonts w:ascii="Arial" w:hAnsi="Arial" w:cs="Arial"/>
        </w:rPr>
        <w:t>l</w:t>
      </w:r>
      <w:r w:rsidRPr="006153C9">
        <w:rPr>
          <w:rFonts w:ascii="Arial" w:hAnsi="Arial" w:cs="Arial"/>
        </w:rPr>
        <w:t>e projet sectoriel eau en milieu urbain (urban</w:t>
      </w:r>
      <w:r>
        <w:rPr>
          <w:rFonts w:ascii="Arial" w:hAnsi="Arial" w:cs="Arial"/>
        </w:rPr>
        <w:t xml:space="preserve"> </w:t>
      </w:r>
      <w:r w:rsidRPr="006153C9">
        <w:rPr>
          <w:rFonts w:ascii="Arial" w:hAnsi="Arial" w:cs="Arial"/>
        </w:rPr>
        <w:t>sector water project)</w:t>
      </w:r>
      <w:r>
        <w:rPr>
          <w:rFonts w:ascii="Arial" w:hAnsi="Arial" w:cs="Arial"/>
        </w:rPr>
        <w:t>,</w:t>
      </w:r>
      <w:r w:rsidRPr="006153C9">
        <w:rPr>
          <w:rFonts w:ascii="Arial" w:hAnsi="Arial" w:cs="Arial"/>
        </w:rPr>
        <w:t xml:space="preserve"> financé par la Banque mondiale pour un montant de 29,30 million</w:t>
      </w:r>
      <w:r>
        <w:rPr>
          <w:rFonts w:ascii="Arial" w:hAnsi="Arial" w:cs="Arial"/>
        </w:rPr>
        <w:t xml:space="preserve">s </w:t>
      </w:r>
      <w:r w:rsidRPr="006153C9">
        <w:rPr>
          <w:rFonts w:ascii="Arial" w:hAnsi="Arial" w:cs="Arial"/>
        </w:rPr>
        <w:t>dollars US ;</w:t>
      </w:r>
    </w:p>
    <w:p w:rsidR="009A4DF8" w:rsidRPr="003022DC" w:rsidRDefault="009A4DF8" w:rsidP="00B92B11">
      <w:pPr>
        <w:pStyle w:val="Paragraphedeliste"/>
        <w:numPr>
          <w:ilvl w:val="0"/>
          <w:numId w:val="41"/>
        </w:numPr>
        <w:shd w:val="clear" w:color="auto" w:fill="FFFFFF" w:themeFill="background1"/>
        <w:spacing w:after="0"/>
        <w:jc w:val="both"/>
        <w:rPr>
          <w:rFonts w:ascii="Arial" w:hAnsi="Arial" w:cs="Arial"/>
        </w:rPr>
      </w:pPr>
      <w:r>
        <w:rPr>
          <w:rFonts w:ascii="Arial" w:hAnsi="Arial" w:cs="Arial"/>
        </w:rPr>
        <w:t>le programme d’</w:t>
      </w:r>
      <w:r w:rsidRPr="006153C9">
        <w:rPr>
          <w:rFonts w:ascii="Arial" w:hAnsi="Arial" w:cs="Arial"/>
        </w:rPr>
        <w:t>appui budgétaire du programme économique régional PER UEMOA, financé par la France à hauteur de 25,71 millions dollars US</w:t>
      </w:r>
      <w:r>
        <w:rPr>
          <w:rFonts w:ascii="Arial" w:hAnsi="Arial" w:cs="Arial"/>
        </w:rPr>
        <w:t>.</w:t>
      </w:r>
    </w:p>
    <w:p w:rsidR="009A4DF8" w:rsidRPr="002D1974" w:rsidRDefault="009A4DF8" w:rsidP="008D7758">
      <w:pPr>
        <w:pStyle w:val="Titre3"/>
        <w:numPr>
          <w:ilvl w:val="0"/>
          <w:numId w:val="122"/>
        </w:numPr>
        <w:tabs>
          <w:tab w:val="left" w:pos="1560"/>
        </w:tabs>
        <w:ind w:left="1134"/>
        <w:rPr>
          <w:lang w:eastAsia="fr-FR"/>
        </w:rPr>
      </w:pPr>
      <w:bookmarkStart w:id="422" w:name="_Toc399933268"/>
      <w:bookmarkStart w:id="423" w:name="_Toc400643304"/>
      <w:bookmarkStart w:id="424" w:name="_Toc427009759"/>
      <w:bookmarkStart w:id="425" w:name="_Toc461526817"/>
      <w:bookmarkStart w:id="426" w:name="_Toc461617998"/>
      <w:bookmarkStart w:id="427" w:name="_Toc492972209"/>
      <w:r w:rsidRPr="002D1974">
        <w:rPr>
          <w:lang w:eastAsia="fr-FR"/>
        </w:rPr>
        <w:t>Les prêts</w:t>
      </w:r>
      <w:bookmarkEnd w:id="422"/>
      <w:bookmarkEnd w:id="423"/>
      <w:bookmarkEnd w:id="424"/>
      <w:bookmarkEnd w:id="425"/>
      <w:bookmarkEnd w:id="426"/>
      <w:bookmarkEnd w:id="427"/>
    </w:p>
    <w:p w:rsidR="009A4DF8" w:rsidRPr="00387F4A" w:rsidRDefault="009A4DF8" w:rsidP="009A4DF8">
      <w:pPr>
        <w:jc w:val="both"/>
        <w:rPr>
          <w:rFonts w:ascii="Arial" w:eastAsia="Arial" w:hAnsi="Arial" w:cs="Arial"/>
        </w:rPr>
      </w:pPr>
      <w:r w:rsidRPr="00387F4A">
        <w:rPr>
          <w:rFonts w:ascii="Arial" w:eastAsia="Arial" w:hAnsi="Arial" w:cs="Arial"/>
        </w:rPr>
        <w:t>En 2016, l’APD reçu</w:t>
      </w:r>
      <w:r>
        <w:rPr>
          <w:rFonts w:ascii="Arial" w:eastAsia="Arial" w:hAnsi="Arial" w:cs="Arial"/>
        </w:rPr>
        <w:t>e</w:t>
      </w:r>
      <w:r w:rsidRPr="00387F4A">
        <w:rPr>
          <w:rFonts w:ascii="Arial" w:eastAsia="Arial" w:hAnsi="Arial" w:cs="Arial"/>
        </w:rPr>
        <w:t xml:space="preserve"> par le Burkina </w:t>
      </w:r>
      <w:r>
        <w:rPr>
          <w:rFonts w:ascii="Arial" w:eastAsia="Arial" w:hAnsi="Arial" w:cs="Arial"/>
        </w:rPr>
        <w:t xml:space="preserve">Faso </w:t>
      </w:r>
      <w:r w:rsidRPr="00387F4A">
        <w:rPr>
          <w:rFonts w:ascii="Arial" w:eastAsia="Arial" w:hAnsi="Arial" w:cs="Arial"/>
        </w:rPr>
        <w:t>sous forme de prêt</w:t>
      </w:r>
      <w:r>
        <w:rPr>
          <w:rFonts w:ascii="Arial" w:eastAsia="Arial" w:hAnsi="Arial" w:cs="Arial"/>
        </w:rPr>
        <w:t>s</w:t>
      </w:r>
      <w:r w:rsidRPr="00387F4A">
        <w:rPr>
          <w:rFonts w:ascii="Arial" w:eastAsia="Arial" w:hAnsi="Arial" w:cs="Arial"/>
        </w:rPr>
        <w:t xml:space="preserve"> s’</w:t>
      </w:r>
      <w:r>
        <w:rPr>
          <w:rFonts w:ascii="Arial" w:eastAsia="Arial" w:hAnsi="Arial" w:cs="Arial"/>
        </w:rPr>
        <w:t xml:space="preserve">est élevé </w:t>
      </w:r>
      <w:r w:rsidRPr="00387F4A">
        <w:rPr>
          <w:rFonts w:ascii="Arial" w:eastAsia="Arial" w:hAnsi="Arial" w:cs="Arial"/>
        </w:rPr>
        <w:t>à 327,46 millions dollars US contre 277,97 millions dollars US en 2015</w:t>
      </w:r>
      <w:r>
        <w:rPr>
          <w:rFonts w:ascii="Arial" w:eastAsia="Arial" w:hAnsi="Arial" w:cs="Arial"/>
        </w:rPr>
        <w:t>, soit une hausse de 17,8%</w:t>
      </w:r>
      <w:r w:rsidRPr="00387F4A">
        <w:rPr>
          <w:rFonts w:ascii="Arial" w:eastAsia="Arial" w:hAnsi="Arial" w:cs="Arial"/>
        </w:rPr>
        <w:t>. Les prêts sont repartis ainsi qu’il suit :</w:t>
      </w:r>
    </w:p>
    <w:p w:rsidR="009A4DF8" w:rsidRPr="00387F4A" w:rsidRDefault="009A4DF8" w:rsidP="00B92B11">
      <w:pPr>
        <w:numPr>
          <w:ilvl w:val="0"/>
          <w:numId w:val="36"/>
        </w:numPr>
        <w:contextualSpacing/>
        <w:jc w:val="both"/>
        <w:rPr>
          <w:rFonts w:ascii="Arial" w:eastAsia="Arial" w:hAnsi="Arial" w:cs="Arial"/>
        </w:rPr>
      </w:pPr>
      <w:r w:rsidRPr="00387F4A">
        <w:rPr>
          <w:rFonts w:ascii="Arial" w:eastAsia="Arial" w:hAnsi="Arial" w:cs="Arial"/>
        </w:rPr>
        <w:lastRenderedPageBreak/>
        <w:t>Aide projet pour 220,2</w:t>
      </w:r>
      <w:r>
        <w:rPr>
          <w:rFonts w:ascii="Arial" w:eastAsia="Arial" w:hAnsi="Arial" w:cs="Arial"/>
        </w:rPr>
        <w:t>6</w:t>
      </w:r>
      <w:r w:rsidRPr="00387F4A">
        <w:rPr>
          <w:rFonts w:ascii="Arial" w:eastAsia="Arial" w:hAnsi="Arial" w:cs="Arial"/>
        </w:rPr>
        <w:t xml:space="preserve"> millions do</w:t>
      </w:r>
      <w:r>
        <w:rPr>
          <w:rFonts w:ascii="Arial" w:eastAsia="Arial" w:hAnsi="Arial" w:cs="Arial"/>
        </w:rPr>
        <w:t>llars US, soit 67,3</w:t>
      </w:r>
      <w:r w:rsidRPr="00387F4A">
        <w:rPr>
          <w:rFonts w:ascii="Arial" w:eastAsia="Arial" w:hAnsi="Arial" w:cs="Arial"/>
        </w:rPr>
        <w:t>% ;</w:t>
      </w:r>
    </w:p>
    <w:p w:rsidR="009A4DF8" w:rsidRDefault="009A4DF8" w:rsidP="00B92B11">
      <w:pPr>
        <w:numPr>
          <w:ilvl w:val="0"/>
          <w:numId w:val="36"/>
        </w:numPr>
        <w:contextualSpacing/>
        <w:jc w:val="both"/>
        <w:rPr>
          <w:rFonts w:ascii="Arial" w:eastAsia="Arial" w:hAnsi="Arial" w:cs="Arial"/>
        </w:rPr>
      </w:pPr>
      <w:r w:rsidRPr="00387F4A">
        <w:rPr>
          <w:rFonts w:ascii="Arial" w:eastAsia="Arial" w:hAnsi="Arial" w:cs="Arial"/>
        </w:rPr>
        <w:t>Appui budgétaire pour 106,17</w:t>
      </w:r>
      <w:r>
        <w:rPr>
          <w:rFonts w:ascii="Arial" w:eastAsia="Arial" w:hAnsi="Arial" w:cs="Arial"/>
        </w:rPr>
        <w:t xml:space="preserve"> millions dollars US, soit 32,4</w:t>
      </w:r>
      <w:r w:rsidRPr="00387F4A">
        <w:rPr>
          <w:rFonts w:ascii="Arial" w:eastAsia="Arial" w:hAnsi="Arial" w:cs="Arial"/>
        </w:rPr>
        <w:t>%</w:t>
      </w:r>
      <w:r>
        <w:rPr>
          <w:rFonts w:ascii="Arial" w:eastAsia="Arial" w:hAnsi="Arial" w:cs="Arial"/>
        </w:rPr>
        <w:t> ;</w:t>
      </w:r>
    </w:p>
    <w:p w:rsidR="009A4DF8" w:rsidRPr="00E605A1" w:rsidRDefault="009A4DF8" w:rsidP="00E605A1">
      <w:pPr>
        <w:numPr>
          <w:ilvl w:val="0"/>
          <w:numId w:val="36"/>
        </w:numPr>
        <w:contextualSpacing/>
        <w:jc w:val="both"/>
        <w:rPr>
          <w:rFonts w:ascii="Arial" w:eastAsia="Arial" w:hAnsi="Arial" w:cs="Arial"/>
        </w:rPr>
      </w:pPr>
      <w:r>
        <w:rPr>
          <w:rFonts w:ascii="Arial" w:eastAsia="Arial" w:hAnsi="Arial" w:cs="Arial"/>
        </w:rPr>
        <w:t>Assistance et secours d’urgence pour 1,03 millions dollars US, soit 0,3%.</w:t>
      </w:r>
    </w:p>
    <w:p w:rsidR="009A4DF8" w:rsidRPr="00387F4A" w:rsidRDefault="009A4DF8" w:rsidP="009A4DF8">
      <w:pPr>
        <w:jc w:val="both"/>
        <w:rPr>
          <w:rFonts w:ascii="Arial" w:eastAsia="Arial" w:hAnsi="Arial" w:cs="Arial"/>
        </w:rPr>
      </w:pPr>
      <w:r w:rsidRPr="00387F4A">
        <w:rPr>
          <w:rFonts w:ascii="Arial" w:eastAsia="Arial" w:hAnsi="Arial" w:cs="Arial"/>
        </w:rPr>
        <w:t>La majorité des prêts émanent des partenaires multilatéraux dont la contribution s’élève à 274,</w:t>
      </w:r>
      <w:r>
        <w:rPr>
          <w:rFonts w:ascii="Arial" w:eastAsia="Arial" w:hAnsi="Arial" w:cs="Arial"/>
        </w:rPr>
        <w:t>77</w:t>
      </w:r>
      <w:r w:rsidRPr="00387F4A">
        <w:rPr>
          <w:rFonts w:ascii="Arial" w:eastAsia="Arial" w:hAnsi="Arial" w:cs="Arial"/>
        </w:rPr>
        <w:t xml:space="preserve"> millions de dollars US, tandis que les bilatéraux ont contribué à hauteur de 5</w:t>
      </w:r>
      <w:r>
        <w:rPr>
          <w:rFonts w:ascii="Arial" w:eastAsia="Arial" w:hAnsi="Arial" w:cs="Arial"/>
        </w:rPr>
        <w:t>2</w:t>
      </w:r>
      <w:r w:rsidRPr="00387F4A">
        <w:rPr>
          <w:rFonts w:ascii="Arial" w:eastAsia="Arial" w:hAnsi="Arial" w:cs="Arial"/>
        </w:rPr>
        <w:t>,6</w:t>
      </w:r>
      <w:r>
        <w:rPr>
          <w:rFonts w:ascii="Arial" w:eastAsia="Arial" w:hAnsi="Arial" w:cs="Arial"/>
        </w:rPr>
        <w:t>9</w:t>
      </w:r>
      <w:r w:rsidRPr="00387F4A">
        <w:rPr>
          <w:rFonts w:ascii="Arial" w:eastAsia="Arial" w:hAnsi="Arial" w:cs="Arial"/>
        </w:rPr>
        <w:t xml:space="preserve"> millions dollars US..</w:t>
      </w:r>
    </w:p>
    <w:p w:rsidR="009A4DF8" w:rsidRPr="00387F4A" w:rsidRDefault="009A4DF8" w:rsidP="009A4DF8">
      <w:pPr>
        <w:jc w:val="both"/>
        <w:rPr>
          <w:rFonts w:ascii="Arial" w:eastAsia="Arial" w:hAnsi="Arial" w:cs="Arial"/>
        </w:rPr>
      </w:pPr>
      <w:r w:rsidRPr="00387F4A">
        <w:rPr>
          <w:rFonts w:ascii="Arial" w:eastAsia="Arial" w:hAnsi="Arial" w:cs="Arial"/>
        </w:rPr>
        <w:t xml:space="preserve">Les </w:t>
      </w:r>
      <w:r>
        <w:rPr>
          <w:rFonts w:ascii="Arial" w:eastAsia="Arial" w:hAnsi="Arial" w:cs="Arial"/>
        </w:rPr>
        <w:t xml:space="preserve">dix </w:t>
      </w:r>
      <w:r w:rsidRPr="00387F4A">
        <w:rPr>
          <w:rFonts w:ascii="Arial" w:eastAsia="Arial" w:hAnsi="Arial" w:cs="Arial"/>
        </w:rPr>
        <w:t>principaux partenaires ayant accordé des prêts sont </w:t>
      </w:r>
      <w:r>
        <w:rPr>
          <w:rFonts w:ascii="Arial" w:eastAsia="Arial" w:hAnsi="Arial" w:cs="Arial"/>
        </w:rPr>
        <w:t xml:space="preserve"> représentés dans le tableau ci-dessous.</w:t>
      </w:r>
    </w:p>
    <w:p w:rsidR="009A4DF8" w:rsidRPr="00E605A1" w:rsidRDefault="00E605A1" w:rsidP="00E605A1">
      <w:pPr>
        <w:pStyle w:val="Lgende"/>
        <w:rPr>
          <w:bCs w:val="0"/>
          <w:color w:val="auto"/>
          <w:u w:val="none"/>
        </w:rPr>
      </w:pPr>
      <w:bookmarkStart w:id="428" w:name="_Toc368779233"/>
      <w:bookmarkStart w:id="429" w:name="_Toc400703577"/>
      <w:bookmarkStart w:id="430" w:name="_Toc424706035"/>
      <w:bookmarkStart w:id="431" w:name="_Toc492895741"/>
      <w:r w:rsidRPr="00E605A1">
        <w:rPr>
          <w:color w:val="auto"/>
        </w:rPr>
        <w:t xml:space="preserve">Graphique </w:t>
      </w:r>
      <w:r w:rsidRPr="00E605A1">
        <w:rPr>
          <w:color w:val="auto"/>
        </w:rPr>
        <w:fldChar w:fldCharType="begin"/>
      </w:r>
      <w:r w:rsidRPr="00E605A1">
        <w:rPr>
          <w:color w:val="auto"/>
        </w:rPr>
        <w:instrText xml:space="preserve"> SEQ Graphique \* ARABIC </w:instrText>
      </w:r>
      <w:r w:rsidRPr="00E605A1">
        <w:rPr>
          <w:color w:val="auto"/>
        </w:rPr>
        <w:fldChar w:fldCharType="separate"/>
      </w:r>
      <w:r w:rsidR="009A1402">
        <w:rPr>
          <w:noProof/>
          <w:color w:val="auto"/>
        </w:rPr>
        <w:t>8</w:t>
      </w:r>
      <w:r w:rsidRPr="00E605A1">
        <w:rPr>
          <w:color w:val="auto"/>
        </w:rPr>
        <w:fldChar w:fldCharType="end"/>
      </w:r>
      <w:r w:rsidRPr="00E605A1">
        <w:rPr>
          <w:color w:val="auto"/>
        </w:rPr>
        <w:t> :</w:t>
      </w:r>
      <w:r w:rsidR="009A4DF8" w:rsidRPr="00E605A1">
        <w:rPr>
          <w:bCs w:val="0"/>
          <w:color w:val="auto"/>
        </w:rPr>
        <w:t xml:space="preserve"> </w:t>
      </w:r>
      <w:r w:rsidR="009A4DF8" w:rsidRPr="00E605A1">
        <w:rPr>
          <w:bCs w:val="0"/>
          <w:color w:val="auto"/>
          <w:u w:val="none"/>
        </w:rPr>
        <w:t xml:space="preserve">Les dix principaux bailleurs de fonds en termes de prêts </w:t>
      </w:r>
      <w:bookmarkStart w:id="432" w:name="_Toc245804674"/>
      <w:r w:rsidR="009A4DF8" w:rsidRPr="00E605A1">
        <w:rPr>
          <w:bCs w:val="0"/>
          <w:color w:val="auto"/>
          <w:u w:val="none"/>
        </w:rPr>
        <w:t>en 201</w:t>
      </w:r>
      <w:bookmarkEnd w:id="428"/>
      <w:bookmarkEnd w:id="429"/>
      <w:bookmarkEnd w:id="430"/>
      <w:bookmarkEnd w:id="432"/>
      <w:r w:rsidR="009A4DF8" w:rsidRPr="00E605A1">
        <w:rPr>
          <w:bCs w:val="0"/>
          <w:color w:val="auto"/>
          <w:u w:val="none"/>
        </w:rPr>
        <w:t>6</w:t>
      </w:r>
      <w:bookmarkEnd w:id="431"/>
      <w:r w:rsidR="009A4DF8" w:rsidRPr="00E605A1">
        <w:rPr>
          <w:bCs w:val="0"/>
          <w:color w:val="auto"/>
          <w:u w:val="none"/>
        </w:rPr>
        <w:t xml:space="preserve"> </w:t>
      </w:r>
    </w:p>
    <w:p w:rsidR="009A4DF8" w:rsidRPr="003206FB" w:rsidRDefault="009A4DF8" w:rsidP="003022DC">
      <w:pPr>
        <w:tabs>
          <w:tab w:val="left" w:pos="8317"/>
        </w:tabs>
        <w:spacing w:after="0"/>
        <w:jc w:val="both"/>
        <w:rPr>
          <w:rFonts w:ascii="Arial" w:hAnsi="Arial" w:cs="Arial"/>
          <w:noProof/>
          <w:lang w:eastAsia="fr-FR"/>
        </w:rPr>
      </w:pPr>
      <w:r w:rsidRPr="003206FB">
        <w:rPr>
          <w:noProof/>
          <w:lang w:eastAsia="fr-FR"/>
        </w:rPr>
        <w:drawing>
          <wp:inline distT="0" distB="0" distL="0" distR="0" wp14:anchorId="3B63A813" wp14:editId="7933B618">
            <wp:extent cx="5743575" cy="2208362"/>
            <wp:effectExtent l="0" t="0" r="9525" b="1905"/>
            <wp:docPr id="37" name="Graphique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9A4DF8" w:rsidRDefault="009A4DF8" w:rsidP="009A4DF8">
      <w:pPr>
        <w:tabs>
          <w:tab w:val="left" w:pos="5850"/>
        </w:tabs>
        <w:jc w:val="both"/>
        <w:rPr>
          <w:rFonts w:ascii="Arial" w:hAnsi="Arial" w:cs="Arial"/>
          <w:noProof/>
          <w:lang w:eastAsia="fr-FR"/>
        </w:rPr>
      </w:pPr>
      <w:r w:rsidRPr="00387F4A">
        <w:rPr>
          <w:rFonts w:ascii="Arial" w:hAnsi="Arial" w:cs="Arial"/>
          <w:b/>
          <w:i/>
          <w:u w:val="single"/>
        </w:rPr>
        <w:t>Source :</w:t>
      </w:r>
      <w:r w:rsidRPr="00387F4A">
        <w:rPr>
          <w:rFonts w:ascii="Arial" w:hAnsi="Arial" w:cs="Arial"/>
          <w:i/>
        </w:rPr>
        <w:t xml:space="preserve"> PGA/DGCOOP, Juillet 2017.</w:t>
      </w:r>
      <w:r>
        <w:rPr>
          <w:rFonts w:ascii="Arial" w:hAnsi="Arial" w:cs="Arial"/>
          <w:i/>
        </w:rPr>
        <w:tab/>
      </w:r>
    </w:p>
    <w:p w:rsidR="009A4DF8" w:rsidRPr="005160D6" w:rsidRDefault="009A4DF8" w:rsidP="009A4DF8">
      <w:pPr>
        <w:spacing w:after="160" w:line="259" w:lineRule="auto"/>
        <w:rPr>
          <w:rFonts w:ascii="Arial" w:hAnsi="Arial" w:cs="Arial"/>
          <w:bCs/>
          <w:lang w:eastAsia="ar-SA"/>
        </w:rPr>
      </w:pPr>
      <w:r w:rsidRPr="005160D6">
        <w:rPr>
          <w:rFonts w:ascii="Arial" w:hAnsi="Arial" w:cs="Arial"/>
          <w:bCs/>
          <w:lang w:eastAsia="ar-SA"/>
        </w:rPr>
        <w:t>Les principaux décaissements effectués sur prêts ont servi au financement des projets tels que :</w:t>
      </w:r>
    </w:p>
    <w:p w:rsidR="009A4DF8" w:rsidRPr="005160D6" w:rsidRDefault="009A4DF8" w:rsidP="00B92B11">
      <w:pPr>
        <w:numPr>
          <w:ilvl w:val="0"/>
          <w:numId w:val="37"/>
        </w:numPr>
        <w:contextualSpacing/>
        <w:jc w:val="both"/>
        <w:rPr>
          <w:rFonts w:ascii="Arial" w:hAnsi="Arial" w:cs="Arial"/>
        </w:rPr>
      </w:pPr>
      <w:r w:rsidRPr="005160D6">
        <w:rPr>
          <w:rFonts w:ascii="Arial" w:hAnsi="Arial" w:cs="Arial"/>
        </w:rPr>
        <w:t xml:space="preserve">le </w:t>
      </w:r>
      <w:r>
        <w:rPr>
          <w:rFonts w:ascii="Arial" w:hAnsi="Arial" w:cs="Arial"/>
        </w:rPr>
        <w:t xml:space="preserve">quatrième </w:t>
      </w:r>
      <w:r w:rsidRPr="005160D6">
        <w:rPr>
          <w:rFonts w:ascii="Arial" w:hAnsi="Arial" w:cs="Arial"/>
        </w:rPr>
        <w:t>Crédit d'</w:t>
      </w:r>
      <w:r>
        <w:rPr>
          <w:rFonts w:ascii="Arial" w:hAnsi="Arial" w:cs="Arial"/>
        </w:rPr>
        <w:t>a</w:t>
      </w:r>
      <w:r w:rsidRPr="005160D6">
        <w:rPr>
          <w:rFonts w:ascii="Arial" w:hAnsi="Arial" w:cs="Arial"/>
        </w:rPr>
        <w:t xml:space="preserve">ppui à la </w:t>
      </w:r>
      <w:r>
        <w:rPr>
          <w:rFonts w:ascii="Arial" w:hAnsi="Arial" w:cs="Arial"/>
        </w:rPr>
        <w:t>c</w:t>
      </w:r>
      <w:r w:rsidRPr="005160D6">
        <w:rPr>
          <w:rFonts w:ascii="Arial" w:hAnsi="Arial" w:cs="Arial"/>
        </w:rPr>
        <w:t xml:space="preserve">roissance et à la </w:t>
      </w:r>
      <w:r>
        <w:rPr>
          <w:rFonts w:ascii="Arial" w:hAnsi="Arial" w:cs="Arial"/>
        </w:rPr>
        <w:t>c</w:t>
      </w:r>
      <w:r w:rsidRPr="005160D6">
        <w:rPr>
          <w:rFonts w:ascii="Arial" w:hAnsi="Arial" w:cs="Arial"/>
        </w:rPr>
        <w:t>ompétitivité</w:t>
      </w:r>
      <w:r>
        <w:rPr>
          <w:rFonts w:ascii="Arial" w:hAnsi="Arial" w:cs="Arial"/>
        </w:rPr>
        <w:t>,</w:t>
      </w:r>
      <w:r w:rsidR="00E605A1">
        <w:rPr>
          <w:rFonts w:ascii="Arial" w:hAnsi="Arial" w:cs="Arial"/>
        </w:rPr>
        <w:t xml:space="preserve"> </w:t>
      </w:r>
      <w:r w:rsidRPr="005160D6">
        <w:rPr>
          <w:rFonts w:ascii="Arial" w:hAnsi="Arial" w:cs="Arial"/>
        </w:rPr>
        <w:t>financé par la Banque Mondiale pour un montant de 106,17 millions dollars US ;</w:t>
      </w:r>
    </w:p>
    <w:p w:rsidR="009A4DF8" w:rsidRPr="005160D6" w:rsidRDefault="009A4DF8" w:rsidP="00B92B11">
      <w:pPr>
        <w:numPr>
          <w:ilvl w:val="0"/>
          <w:numId w:val="37"/>
        </w:numPr>
        <w:contextualSpacing/>
        <w:jc w:val="both"/>
        <w:rPr>
          <w:rFonts w:ascii="Arial" w:hAnsi="Arial" w:cs="Arial"/>
        </w:rPr>
      </w:pPr>
      <w:r w:rsidRPr="005160D6">
        <w:rPr>
          <w:rFonts w:ascii="Arial" w:hAnsi="Arial" w:cs="Arial"/>
        </w:rPr>
        <w:t>la 42</w:t>
      </w:r>
      <w:r w:rsidRPr="005160D6">
        <w:rPr>
          <w:rFonts w:ascii="Arial" w:hAnsi="Arial" w:cs="Arial"/>
          <w:vertAlign w:val="superscript"/>
        </w:rPr>
        <w:t>e</w:t>
      </w:r>
      <w:r w:rsidRPr="005160D6">
        <w:rPr>
          <w:rFonts w:ascii="Arial" w:hAnsi="Arial" w:cs="Arial"/>
        </w:rPr>
        <w:t xml:space="preserve"> convention du FMI au titre du Programme de facilité Elargie de Crédit pour un montant de 25,69 millions dollars US ;</w:t>
      </w:r>
    </w:p>
    <w:p w:rsidR="009A4DF8" w:rsidRPr="005160D6" w:rsidRDefault="009A4DF8" w:rsidP="00B92B11">
      <w:pPr>
        <w:numPr>
          <w:ilvl w:val="0"/>
          <w:numId w:val="37"/>
        </w:numPr>
        <w:contextualSpacing/>
        <w:jc w:val="both"/>
        <w:rPr>
          <w:rFonts w:ascii="Arial" w:hAnsi="Arial" w:cs="Arial"/>
        </w:rPr>
      </w:pPr>
      <w:r w:rsidRPr="005160D6">
        <w:rPr>
          <w:rFonts w:ascii="Arial" w:hAnsi="Arial" w:cs="Arial"/>
        </w:rPr>
        <w:t xml:space="preserve">le </w:t>
      </w:r>
      <w:r>
        <w:rPr>
          <w:rFonts w:ascii="Arial" w:hAnsi="Arial" w:cs="Arial"/>
        </w:rPr>
        <w:t>P</w:t>
      </w:r>
      <w:r w:rsidRPr="005160D6">
        <w:rPr>
          <w:rFonts w:ascii="Arial" w:hAnsi="Arial" w:cs="Arial"/>
        </w:rPr>
        <w:t>rogramme d’appui au</w:t>
      </w:r>
      <w:r>
        <w:rPr>
          <w:rFonts w:ascii="Arial" w:hAnsi="Arial" w:cs="Arial"/>
        </w:rPr>
        <w:t>x</w:t>
      </w:r>
      <w:r w:rsidRPr="005160D6">
        <w:rPr>
          <w:rFonts w:ascii="Arial" w:hAnsi="Arial" w:cs="Arial"/>
        </w:rPr>
        <w:t xml:space="preserve"> filière</w:t>
      </w:r>
      <w:r>
        <w:rPr>
          <w:rFonts w:ascii="Arial" w:hAnsi="Arial" w:cs="Arial"/>
        </w:rPr>
        <w:t>s</w:t>
      </w:r>
      <w:r w:rsidRPr="005160D6">
        <w:rPr>
          <w:rFonts w:ascii="Arial" w:hAnsi="Arial" w:cs="Arial"/>
        </w:rPr>
        <w:t xml:space="preserve"> agro-sylvo-pastoral (PAFASP)</w:t>
      </w:r>
      <w:r>
        <w:rPr>
          <w:rFonts w:ascii="Arial" w:hAnsi="Arial" w:cs="Arial"/>
        </w:rPr>
        <w:t>,</w:t>
      </w:r>
      <w:r w:rsidRPr="005160D6">
        <w:rPr>
          <w:rFonts w:ascii="Arial" w:hAnsi="Arial" w:cs="Arial"/>
        </w:rPr>
        <w:t xml:space="preserve"> financé par la Banque mondiale pour un montant de 21,60 millions dollars US ;</w:t>
      </w:r>
    </w:p>
    <w:p w:rsidR="009A4DF8" w:rsidRPr="005160D6" w:rsidRDefault="009A4DF8" w:rsidP="00B92B11">
      <w:pPr>
        <w:numPr>
          <w:ilvl w:val="0"/>
          <w:numId w:val="37"/>
        </w:numPr>
        <w:contextualSpacing/>
        <w:jc w:val="both"/>
        <w:rPr>
          <w:rFonts w:ascii="Arial" w:hAnsi="Arial" w:cs="Arial"/>
        </w:rPr>
      </w:pPr>
      <w:r w:rsidRPr="005160D6">
        <w:rPr>
          <w:rFonts w:ascii="Arial" w:hAnsi="Arial" w:cs="Arial"/>
        </w:rPr>
        <w:t>le projet mise en sécurité du barrage de Ziga (nouveau)</w:t>
      </w:r>
      <w:r>
        <w:rPr>
          <w:rFonts w:ascii="Arial" w:hAnsi="Arial" w:cs="Arial"/>
        </w:rPr>
        <w:t>,</w:t>
      </w:r>
      <w:r w:rsidRPr="005160D6">
        <w:rPr>
          <w:rFonts w:ascii="Arial" w:hAnsi="Arial" w:cs="Arial"/>
        </w:rPr>
        <w:t xml:space="preserve"> financé par la France pour un montant de 19,06 millions dollars US ;</w:t>
      </w:r>
    </w:p>
    <w:p w:rsidR="009A4DF8" w:rsidRPr="005160D6" w:rsidRDefault="009A4DF8" w:rsidP="00B92B11">
      <w:pPr>
        <w:numPr>
          <w:ilvl w:val="0"/>
          <w:numId w:val="37"/>
        </w:numPr>
        <w:contextualSpacing/>
        <w:jc w:val="both"/>
      </w:pPr>
      <w:r w:rsidRPr="005160D6">
        <w:rPr>
          <w:rFonts w:ascii="Arial" w:hAnsi="Arial" w:cs="Arial"/>
        </w:rPr>
        <w:t>le projet Community</w:t>
      </w:r>
      <w:r>
        <w:rPr>
          <w:rFonts w:ascii="Arial" w:hAnsi="Arial" w:cs="Arial"/>
        </w:rPr>
        <w:t xml:space="preserve"> </w:t>
      </w:r>
      <w:r w:rsidRPr="005160D6">
        <w:rPr>
          <w:rFonts w:ascii="Arial" w:hAnsi="Arial" w:cs="Arial"/>
        </w:rPr>
        <w:t>Based Rural Development II</w:t>
      </w:r>
      <w:r>
        <w:rPr>
          <w:rFonts w:ascii="Arial" w:hAnsi="Arial" w:cs="Arial"/>
        </w:rPr>
        <w:t>,</w:t>
      </w:r>
      <w:r w:rsidRPr="005160D6">
        <w:rPr>
          <w:rFonts w:ascii="Arial" w:hAnsi="Arial" w:cs="Arial"/>
        </w:rPr>
        <w:t xml:space="preserve"> financé par la Banque mondiale pour un montant de 16,80 millions dollars US</w:t>
      </w:r>
      <w:r w:rsidRPr="005160D6">
        <w:rPr>
          <w:rFonts w:ascii="Arial" w:hAnsi="Arial" w:cs="Arial"/>
          <w:color w:val="FF0000"/>
        </w:rPr>
        <w:t>.</w:t>
      </w:r>
    </w:p>
    <w:p w:rsidR="009A4DF8" w:rsidRDefault="009A4DF8" w:rsidP="009A4DF8">
      <w:pPr>
        <w:spacing w:after="0" w:line="240" w:lineRule="auto"/>
        <w:rPr>
          <w:rFonts w:ascii="Arial" w:hAnsi="Arial" w:cs="Arial"/>
          <w:b/>
          <w:sz w:val="24"/>
          <w:szCs w:val="24"/>
        </w:rPr>
      </w:pPr>
      <w:r>
        <w:rPr>
          <w:rFonts w:ascii="Arial" w:hAnsi="Arial" w:cs="Arial"/>
          <w:b/>
          <w:sz w:val="24"/>
          <w:szCs w:val="24"/>
        </w:rPr>
        <w:br w:type="page"/>
      </w:r>
    </w:p>
    <w:p w:rsidR="009A4DF8" w:rsidRPr="00D234CC" w:rsidRDefault="009A4DF8" w:rsidP="00D234CC">
      <w:pPr>
        <w:pStyle w:val="Titre1"/>
        <w:jc w:val="center"/>
        <w:rPr>
          <w:lang w:eastAsia="fr-FR"/>
        </w:rPr>
      </w:pPr>
      <w:bookmarkStart w:id="433" w:name="_Toc461526818"/>
      <w:bookmarkStart w:id="434" w:name="_Toc461617999"/>
      <w:bookmarkStart w:id="435" w:name="_Toc492972210"/>
      <w:bookmarkStart w:id="436" w:name="_Toc214371981"/>
      <w:bookmarkStart w:id="437" w:name="_Toc245804681"/>
      <w:bookmarkStart w:id="438" w:name="_Toc304393270"/>
      <w:bookmarkStart w:id="439" w:name="_Toc244578225"/>
      <w:bookmarkStart w:id="440" w:name="_Toc245697736"/>
      <w:bookmarkStart w:id="441" w:name="_Toc245804592"/>
      <w:bookmarkStart w:id="442" w:name="_Toc265008341"/>
      <w:bookmarkStart w:id="443" w:name="_Toc265477864"/>
      <w:bookmarkStart w:id="444" w:name="_Toc300929432"/>
      <w:bookmarkStart w:id="445" w:name="_Toc304446213"/>
      <w:bookmarkStart w:id="446" w:name="_Toc336091070"/>
      <w:r w:rsidRPr="00D234CC">
        <w:rPr>
          <w:lang w:eastAsia="fr-FR"/>
        </w:rPr>
        <w:lastRenderedPageBreak/>
        <w:t>CHAPITRE 2 : TENDANCES DE L’AIDE PAR SOURCE ET AUTRES FORMES DE COOPERATION</w:t>
      </w:r>
      <w:bookmarkEnd w:id="433"/>
      <w:bookmarkEnd w:id="434"/>
      <w:bookmarkEnd w:id="435"/>
    </w:p>
    <w:p w:rsidR="009A4DF8" w:rsidRPr="00223BB0" w:rsidRDefault="009A4DF8" w:rsidP="009A4DF8">
      <w:pPr>
        <w:jc w:val="both"/>
        <w:rPr>
          <w:rFonts w:ascii="Arial" w:eastAsia="Arial" w:hAnsi="Arial" w:cs="Arial"/>
          <w:color w:val="000000" w:themeColor="text1"/>
        </w:rPr>
      </w:pPr>
      <w:bookmarkStart w:id="447" w:name="_Toc138855031"/>
      <w:bookmarkStart w:id="448" w:name="_Toc163362973"/>
      <w:bookmarkStart w:id="449" w:name="_Toc214371975"/>
      <w:bookmarkStart w:id="450" w:name="_Toc245804671"/>
      <w:bookmarkStart w:id="451" w:name="_Toc304393264"/>
      <w:bookmarkStart w:id="452" w:name="_Toc335610151"/>
      <w:r w:rsidRPr="00223BB0">
        <w:rPr>
          <w:rFonts w:ascii="Arial" w:eastAsia="Arial" w:hAnsi="Arial" w:cs="Arial"/>
          <w:color w:val="000000" w:themeColor="text1"/>
        </w:rPr>
        <w:t>Ce chapitre est consacré à l’analyse de l’APD reçue par le Burkina Faso en 2016 selon les sources de financement (multilatérale, bilatérale et ONG) et les formes de coopération (coopération déléguée, décentralisée, appui aux ONG, PPP).</w:t>
      </w:r>
    </w:p>
    <w:p w:rsidR="009A4DF8" w:rsidRPr="00223BB0" w:rsidRDefault="009A4DF8" w:rsidP="008D7758">
      <w:pPr>
        <w:pStyle w:val="Titre2"/>
        <w:numPr>
          <w:ilvl w:val="0"/>
          <w:numId w:val="119"/>
        </w:numPr>
        <w:tabs>
          <w:tab w:val="left" w:pos="1134"/>
        </w:tabs>
      </w:pPr>
      <w:bookmarkStart w:id="453" w:name="_Toc399933269"/>
      <w:bookmarkStart w:id="454" w:name="_Toc400638578"/>
      <w:bookmarkStart w:id="455" w:name="_Toc400643305"/>
      <w:bookmarkStart w:id="456" w:name="_Toc424550997"/>
      <w:bookmarkStart w:id="457" w:name="_Toc424552503"/>
      <w:bookmarkStart w:id="458" w:name="_Toc427009760"/>
      <w:bookmarkStart w:id="459" w:name="_Toc461526819"/>
      <w:bookmarkStart w:id="460" w:name="_Toc461618000"/>
      <w:bookmarkStart w:id="461" w:name="_Toc492972211"/>
      <w:bookmarkStart w:id="462" w:name="_Toc98304014"/>
      <w:bookmarkStart w:id="463" w:name="_Toc98666553"/>
      <w:bookmarkStart w:id="464" w:name="_Toc214371578"/>
      <w:bookmarkStart w:id="465" w:name="_Toc245804659"/>
      <w:bookmarkStart w:id="466" w:name="_Toc113773566"/>
      <w:bookmarkStart w:id="467" w:name="_Toc104358456"/>
      <w:bookmarkStart w:id="468" w:name="_Toc104346412"/>
      <w:bookmarkStart w:id="469" w:name="_Toc102850207"/>
      <w:bookmarkStart w:id="470" w:name="_Toc100041463"/>
      <w:bookmarkStart w:id="471" w:name="_Toc98666559"/>
      <w:bookmarkStart w:id="472" w:name="_Toc98304026"/>
      <w:bookmarkEnd w:id="447"/>
      <w:bookmarkEnd w:id="448"/>
      <w:bookmarkEnd w:id="449"/>
      <w:bookmarkEnd w:id="450"/>
      <w:bookmarkEnd w:id="451"/>
      <w:bookmarkEnd w:id="452"/>
      <w:r w:rsidRPr="00223BB0">
        <w:t>L'aide par source de financement</w:t>
      </w:r>
      <w:bookmarkEnd w:id="453"/>
      <w:bookmarkEnd w:id="454"/>
      <w:bookmarkEnd w:id="455"/>
      <w:bookmarkEnd w:id="456"/>
      <w:bookmarkEnd w:id="457"/>
      <w:bookmarkEnd w:id="458"/>
      <w:bookmarkEnd w:id="459"/>
      <w:bookmarkEnd w:id="460"/>
      <w:bookmarkEnd w:id="461"/>
    </w:p>
    <w:p w:rsidR="009A4DF8" w:rsidRPr="00223BB0" w:rsidRDefault="009A4DF8" w:rsidP="009A4DF8">
      <w:pPr>
        <w:jc w:val="both"/>
        <w:rPr>
          <w:rFonts w:ascii="Arial" w:eastAsia="Arial" w:hAnsi="Arial" w:cs="Arial"/>
          <w:color w:val="000000" w:themeColor="text1"/>
        </w:rPr>
      </w:pPr>
      <w:r w:rsidRPr="00223BB0">
        <w:rPr>
          <w:rFonts w:ascii="Arial" w:eastAsia="Arial" w:hAnsi="Arial" w:cs="Arial"/>
          <w:color w:val="000000" w:themeColor="text1"/>
        </w:rPr>
        <w:t>L’APD reçue par le Burkina Faso en 2016 provient exclusivement des Partenaires techniques et financiers (PTF) multilatéraux et bilatéraux ainsi que des ONG.</w:t>
      </w:r>
    </w:p>
    <w:p w:rsidR="009A4DF8" w:rsidRPr="00223BB0" w:rsidRDefault="009A4DF8" w:rsidP="009A4DF8">
      <w:pPr>
        <w:jc w:val="both"/>
        <w:rPr>
          <w:rFonts w:ascii="Arial" w:eastAsia="Arial" w:hAnsi="Arial" w:cs="Arial"/>
          <w:color w:val="000000" w:themeColor="text1"/>
        </w:rPr>
      </w:pPr>
      <w:r w:rsidRPr="00223BB0">
        <w:rPr>
          <w:rFonts w:ascii="Arial" w:eastAsia="Arial" w:hAnsi="Arial" w:cs="Arial"/>
          <w:color w:val="000000" w:themeColor="text1"/>
        </w:rPr>
        <w:t xml:space="preserve">En 2016, le volume le plus important de l’APD provient des partenaires multilatéraux avec un montant de 660,66 millions dollars US soit 57,9% de l’APD totale. Ils sont suivis </w:t>
      </w:r>
      <w:r>
        <w:rPr>
          <w:rFonts w:ascii="Arial" w:eastAsia="Arial" w:hAnsi="Arial" w:cs="Arial"/>
          <w:color w:val="000000" w:themeColor="text1"/>
        </w:rPr>
        <w:t>d</w:t>
      </w:r>
      <w:r w:rsidRPr="00223BB0">
        <w:rPr>
          <w:rFonts w:ascii="Arial" w:eastAsia="Arial" w:hAnsi="Arial" w:cs="Arial"/>
          <w:color w:val="000000" w:themeColor="text1"/>
        </w:rPr>
        <w:t>es partenaires bilatéraux avec un apport de 445,47 millions dollars US</w:t>
      </w:r>
      <w:r>
        <w:rPr>
          <w:rFonts w:ascii="Arial" w:eastAsia="Arial" w:hAnsi="Arial" w:cs="Arial"/>
          <w:color w:val="000000" w:themeColor="text1"/>
        </w:rPr>
        <w:t xml:space="preserve">, soit </w:t>
      </w:r>
      <w:r w:rsidRPr="00223BB0">
        <w:rPr>
          <w:rFonts w:ascii="Arial" w:eastAsia="Arial" w:hAnsi="Arial" w:cs="Arial"/>
          <w:color w:val="000000" w:themeColor="text1"/>
        </w:rPr>
        <w:t>39,</w:t>
      </w:r>
      <w:r w:rsidR="007F74B1">
        <w:rPr>
          <w:rFonts w:ascii="Arial" w:eastAsia="Arial" w:hAnsi="Arial" w:cs="Arial"/>
          <w:color w:val="000000" w:themeColor="text1"/>
        </w:rPr>
        <w:t>1</w:t>
      </w:r>
      <w:r w:rsidRPr="00223BB0">
        <w:rPr>
          <w:rFonts w:ascii="Arial" w:eastAsia="Arial" w:hAnsi="Arial" w:cs="Arial"/>
          <w:color w:val="000000" w:themeColor="text1"/>
        </w:rPr>
        <w:t xml:space="preserve">% et </w:t>
      </w:r>
      <w:r>
        <w:rPr>
          <w:rFonts w:ascii="Arial" w:eastAsia="Arial" w:hAnsi="Arial" w:cs="Arial"/>
          <w:color w:val="000000" w:themeColor="text1"/>
        </w:rPr>
        <w:t>enfin des</w:t>
      </w:r>
      <w:r w:rsidRPr="00223BB0">
        <w:rPr>
          <w:rFonts w:ascii="Arial" w:eastAsia="Arial" w:hAnsi="Arial" w:cs="Arial"/>
          <w:color w:val="000000" w:themeColor="text1"/>
        </w:rPr>
        <w:t xml:space="preserve"> ONG pour une contribution de 34,10 millions dollars US</w:t>
      </w:r>
      <w:r>
        <w:rPr>
          <w:rFonts w:ascii="Arial" w:eastAsia="Arial" w:hAnsi="Arial" w:cs="Arial"/>
          <w:color w:val="000000" w:themeColor="text1"/>
        </w:rPr>
        <w:t xml:space="preserve"> qui représente. </w:t>
      </w:r>
      <w:r w:rsidR="007F74B1">
        <w:rPr>
          <w:rFonts w:ascii="Arial" w:eastAsia="Arial" w:hAnsi="Arial" w:cs="Arial"/>
          <w:color w:val="000000" w:themeColor="text1"/>
        </w:rPr>
        <w:t>3</w:t>
      </w:r>
      <w:r w:rsidRPr="00223BB0">
        <w:rPr>
          <w:rFonts w:ascii="Arial" w:eastAsia="Arial" w:hAnsi="Arial" w:cs="Arial"/>
          <w:color w:val="000000" w:themeColor="text1"/>
        </w:rPr>
        <w:t>% de l’APD totale.</w:t>
      </w:r>
    </w:p>
    <w:p w:rsidR="009A4DF8" w:rsidRPr="00E605A1" w:rsidRDefault="00E605A1" w:rsidP="00E605A1">
      <w:pPr>
        <w:pStyle w:val="Lgende"/>
        <w:rPr>
          <w:bCs w:val="0"/>
          <w:color w:val="auto"/>
        </w:rPr>
      </w:pPr>
      <w:bookmarkStart w:id="473" w:name="_Toc138855034"/>
      <w:bookmarkStart w:id="474" w:name="_Toc163362976"/>
      <w:bookmarkStart w:id="475" w:name="_Toc245804675"/>
      <w:bookmarkStart w:id="476" w:name="_Toc214371978"/>
      <w:bookmarkStart w:id="477" w:name="_Toc304393267"/>
      <w:bookmarkStart w:id="478" w:name="_Toc335610154"/>
      <w:bookmarkStart w:id="479" w:name="_Toc368779234"/>
      <w:bookmarkStart w:id="480" w:name="_Toc400703578"/>
      <w:bookmarkStart w:id="481" w:name="_Toc424706036"/>
      <w:bookmarkStart w:id="482" w:name="_Toc492895742"/>
      <w:bookmarkStart w:id="483" w:name="_Toc98666554"/>
      <w:bookmarkStart w:id="484" w:name="_Toc98304015"/>
      <w:bookmarkEnd w:id="462"/>
      <w:bookmarkEnd w:id="463"/>
      <w:r w:rsidRPr="00E605A1">
        <w:rPr>
          <w:color w:val="auto"/>
        </w:rPr>
        <w:t xml:space="preserve">Graphique </w:t>
      </w:r>
      <w:r w:rsidRPr="00E605A1">
        <w:rPr>
          <w:color w:val="auto"/>
        </w:rPr>
        <w:fldChar w:fldCharType="begin"/>
      </w:r>
      <w:r w:rsidRPr="00E605A1">
        <w:rPr>
          <w:color w:val="auto"/>
        </w:rPr>
        <w:instrText xml:space="preserve"> SEQ Graphique \* ARABIC </w:instrText>
      </w:r>
      <w:r w:rsidRPr="00E605A1">
        <w:rPr>
          <w:color w:val="auto"/>
        </w:rPr>
        <w:fldChar w:fldCharType="separate"/>
      </w:r>
      <w:r w:rsidR="009A1402">
        <w:rPr>
          <w:noProof/>
          <w:color w:val="auto"/>
        </w:rPr>
        <w:t>9</w:t>
      </w:r>
      <w:r w:rsidRPr="00E605A1">
        <w:rPr>
          <w:color w:val="auto"/>
        </w:rPr>
        <w:fldChar w:fldCharType="end"/>
      </w:r>
      <w:r w:rsidRPr="00E605A1">
        <w:rPr>
          <w:color w:val="auto"/>
        </w:rPr>
        <w:t> :</w:t>
      </w:r>
      <w:r w:rsidR="009A4DF8" w:rsidRPr="00E605A1">
        <w:rPr>
          <w:bCs w:val="0"/>
          <w:color w:val="auto"/>
        </w:rPr>
        <w:t xml:space="preserve"> </w:t>
      </w:r>
      <w:r w:rsidR="009A4DF8" w:rsidRPr="00E605A1">
        <w:rPr>
          <w:bCs w:val="0"/>
          <w:color w:val="auto"/>
          <w:u w:val="none"/>
        </w:rPr>
        <w:t>Répartition de l'aide par source de financement de 2012-20</w:t>
      </w:r>
      <w:bookmarkEnd w:id="473"/>
      <w:bookmarkEnd w:id="474"/>
      <w:bookmarkEnd w:id="475"/>
      <w:r w:rsidR="009A4DF8" w:rsidRPr="00E605A1">
        <w:rPr>
          <w:bCs w:val="0"/>
          <w:color w:val="auto"/>
          <w:u w:val="none"/>
        </w:rPr>
        <w:t>1</w:t>
      </w:r>
      <w:bookmarkStart w:id="485" w:name="_Toc245804676"/>
      <w:r w:rsidR="009A4DF8" w:rsidRPr="00E605A1">
        <w:rPr>
          <w:bCs w:val="0"/>
          <w:color w:val="auto"/>
          <w:u w:val="none"/>
        </w:rPr>
        <w:t>6 (en millions</w:t>
      </w:r>
      <w:bookmarkEnd w:id="476"/>
      <w:bookmarkEnd w:id="477"/>
      <w:bookmarkEnd w:id="478"/>
      <w:bookmarkEnd w:id="485"/>
      <w:r w:rsidR="009A4DF8" w:rsidRPr="00E605A1">
        <w:rPr>
          <w:bCs w:val="0"/>
          <w:color w:val="auto"/>
          <w:u w:val="none"/>
        </w:rPr>
        <w:t xml:space="preserve"> dollars US)</w:t>
      </w:r>
      <w:bookmarkEnd w:id="479"/>
      <w:bookmarkEnd w:id="480"/>
      <w:bookmarkEnd w:id="481"/>
      <w:bookmarkEnd w:id="482"/>
    </w:p>
    <w:p w:rsidR="009A4DF8" w:rsidRPr="00223BB0" w:rsidRDefault="009A4DF8" w:rsidP="00E605A1">
      <w:pPr>
        <w:spacing w:after="0"/>
        <w:rPr>
          <w:rFonts w:ascii="Arial" w:hAnsi="Arial" w:cs="Arial"/>
          <w:noProof/>
          <w:color w:val="000000" w:themeColor="text1"/>
          <w:lang w:eastAsia="fr-FR"/>
        </w:rPr>
      </w:pPr>
      <w:r w:rsidRPr="00223BB0">
        <w:rPr>
          <w:noProof/>
          <w:color w:val="000000" w:themeColor="text1"/>
          <w:lang w:eastAsia="fr-FR"/>
        </w:rPr>
        <w:drawing>
          <wp:inline distT="0" distB="0" distL="0" distR="0" wp14:anchorId="4FDDA4B6" wp14:editId="0504CCD6">
            <wp:extent cx="5781675" cy="2009775"/>
            <wp:effectExtent l="0" t="0" r="9525" b="9525"/>
            <wp:docPr id="38" name="Graphique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9A4DF8" w:rsidRPr="00E605A1" w:rsidRDefault="009A4DF8" w:rsidP="00E605A1">
      <w:pPr>
        <w:tabs>
          <w:tab w:val="left" w:pos="5850"/>
        </w:tabs>
        <w:jc w:val="both"/>
        <w:rPr>
          <w:rFonts w:ascii="Arial" w:hAnsi="Arial" w:cs="Arial"/>
          <w:b/>
          <w:i/>
          <w:u w:val="single"/>
        </w:rPr>
      </w:pPr>
      <w:r w:rsidRPr="00E605A1">
        <w:rPr>
          <w:rFonts w:ascii="Arial" w:hAnsi="Arial" w:cs="Arial"/>
          <w:b/>
          <w:i/>
          <w:u w:val="single"/>
        </w:rPr>
        <w:t xml:space="preserve">Source : </w:t>
      </w:r>
      <w:r w:rsidRPr="00E605A1">
        <w:rPr>
          <w:rFonts w:ascii="Arial" w:hAnsi="Arial" w:cs="Arial"/>
          <w:i/>
        </w:rPr>
        <w:t>PGA/DGCOOP, Juillet 2017</w:t>
      </w:r>
    </w:p>
    <w:p w:rsidR="009A4DF8" w:rsidRDefault="009A4DF8" w:rsidP="009A4DF8">
      <w:pPr>
        <w:jc w:val="both"/>
        <w:rPr>
          <w:rFonts w:ascii="Arial" w:eastAsia="Arial" w:hAnsi="Arial" w:cs="Arial"/>
          <w:color w:val="000000" w:themeColor="text1"/>
        </w:rPr>
      </w:pPr>
      <w:r w:rsidRPr="00223BB0">
        <w:rPr>
          <w:rFonts w:ascii="Arial" w:eastAsia="Arial" w:hAnsi="Arial" w:cs="Arial"/>
          <w:color w:val="000000" w:themeColor="text1"/>
        </w:rPr>
        <w:t xml:space="preserve">Tout comme les années passées, la structure de l’APD par sources de financement n’a pas changé. Elle est caractérisée par la prédominance du financement des PTF multilatéraux. </w:t>
      </w:r>
    </w:p>
    <w:p w:rsidR="009A4DF8" w:rsidRPr="00223BB0" w:rsidRDefault="009A4DF8" w:rsidP="009A4DF8">
      <w:pPr>
        <w:jc w:val="both"/>
        <w:rPr>
          <w:rFonts w:ascii="Arial" w:eastAsia="Arial" w:hAnsi="Arial" w:cs="Arial"/>
          <w:color w:val="000000" w:themeColor="text1"/>
        </w:rPr>
      </w:pPr>
      <w:r w:rsidRPr="00223BB0">
        <w:rPr>
          <w:rFonts w:ascii="Arial" w:hAnsi="Arial" w:cs="Arial"/>
          <w:noProof/>
          <w:color w:val="000000" w:themeColor="text1"/>
          <w:lang w:eastAsia="fr-FR"/>
        </w:rPr>
        <w:t xml:space="preserve">L’analyse selon les sources de financement montre que </w:t>
      </w:r>
      <w:r w:rsidRPr="00223BB0">
        <w:rPr>
          <w:rFonts w:ascii="Arial" w:eastAsia="Arial" w:hAnsi="Arial" w:cs="Arial"/>
          <w:color w:val="000000" w:themeColor="text1"/>
        </w:rPr>
        <w:t>le principal donateur de l’APD en 2016 a été la Banque Mondiale avec un montant de 296,785 millions dollars US ce qui représente 26</w:t>
      </w:r>
      <w:r w:rsidR="00D05A09" w:rsidRPr="00223BB0" w:rsidDel="00D05A09">
        <w:rPr>
          <w:rFonts w:ascii="Arial" w:eastAsia="Arial" w:hAnsi="Arial" w:cs="Arial"/>
          <w:color w:val="000000" w:themeColor="text1"/>
        </w:rPr>
        <w:t xml:space="preserve"> </w:t>
      </w:r>
      <w:r w:rsidRPr="00223BB0">
        <w:rPr>
          <w:rFonts w:ascii="Arial" w:eastAsia="Arial" w:hAnsi="Arial" w:cs="Arial"/>
          <w:color w:val="000000" w:themeColor="text1"/>
        </w:rPr>
        <w:t>% de l’APD totale. Elle est suivie de la France (13,76%), de l’Union Européenne (11,</w:t>
      </w:r>
      <w:r w:rsidR="00D05A09">
        <w:rPr>
          <w:rFonts w:ascii="Arial" w:eastAsia="Arial" w:hAnsi="Arial" w:cs="Arial"/>
          <w:color w:val="000000" w:themeColor="text1"/>
        </w:rPr>
        <w:t> 3</w:t>
      </w:r>
      <w:r w:rsidRPr="00223BB0">
        <w:rPr>
          <w:rFonts w:ascii="Arial" w:eastAsia="Arial" w:hAnsi="Arial" w:cs="Arial"/>
          <w:color w:val="000000" w:themeColor="text1"/>
        </w:rPr>
        <w:t>%) et du Système des Nations Unies (8,5%). La contribution cumulée de ces quatre bailleurs représente près de 60% de l’APD totale reçue par le Burkina Faso en 2016.</w:t>
      </w:r>
    </w:p>
    <w:p w:rsidR="0053376B" w:rsidRDefault="009A4DF8" w:rsidP="009A4DF8">
      <w:pPr>
        <w:jc w:val="both"/>
        <w:rPr>
          <w:rFonts w:ascii="Arial" w:hAnsi="Arial" w:cs="Arial"/>
          <w:noProof/>
          <w:color w:val="000000" w:themeColor="text1"/>
          <w:lang w:eastAsia="fr-FR"/>
        </w:rPr>
      </w:pPr>
      <w:r w:rsidRPr="00223BB0">
        <w:rPr>
          <w:rFonts w:ascii="Arial" w:hAnsi="Arial" w:cs="Arial"/>
          <w:noProof/>
          <w:color w:val="000000" w:themeColor="text1"/>
          <w:lang w:eastAsia="fr-FR"/>
        </w:rPr>
        <w:t>Le graphique suivant permet d’apprécier la contribution des dix principaux bailleurs de fonds en 2016.</w:t>
      </w:r>
    </w:p>
    <w:p w:rsidR="009A4DF8" w:rsidRPr="00E605A1" w:rsidRDefault="00E605A1" w:rsidP="00E605A1">
      <w:pPr>
        <w:pStyle w:val="Lgende"/>
        <w:rPr>
          <w:bCs w:val="0"/>
          <w:color w:val="auto"/>
          <w:u w:val="none"/>
        </w:rPr>
      </w:pPr>
      <w:bookmarkStart w:id="486" w:name="_Toc245804677"/>
      <w:bookmarkStart w:id="487" w:name="_Toc335610155"/>
      <w:bookmarkStart w:id="488" w:name="_Toc304393268"/>
      <w:bookmarkStart w:id="489" w:name="_Toc368779235"/>
      <w:bookmarkStart w:id="490" w:name="_Toc400703579"/>
      <w:bookmarkStart w:id="491" w:name="_Toc424706037"/>
      <w:bookmarkStart w:id="492" w:name="_Toc492895743"/>
      <w:bookmarkEnd w:id="483"/>
      <w:bookmarkEnd w:id="484"/>
      <w:r w:rsidRPr="00E605A1">
        <w:rPr>
          <w:color w:val="auto"/>
        </w:rPr>
        <w:t xml:space="preserve">Graphique </w:t>
      </w:r>
      <w:r w:rsidRPr="00E605A1">
        <w:rPr>
          <w:color w:val="auto"/>
        </w:rPr>
        <w:fldChar w:fldCharType="begin"/>
      </w:r>
      <w:r w:rsidRPr="00E605A1">
        <w:rPr>
          <w:color w:val="auto"/>
        </w:rPr>
        <w:instrText xml:space="preserve"> SEQ Graphique \* ARABIC </w:instrText>
      </w:r>
      <w:r w:rsidRPr="00E605A1">
        <w:rPr>
          <w:color w:val="auto"/>
        </w:rPr>
        <w:fldChar w:fldCharType="separate"/>
      </w:r>
      <w:r w:rsidR="009A1402">
        <w:rPr>
          <w:noProof/>
          <w:color w:val="auto"/>
        </w:rPr>
        <w:t>10</w:t>
      </w:r>
      <w:r w:rsidRPr="00E605A1">
        <w:rPr>
          <w:color w:val="auto"/>
        </w:rPr>
        <w:fldChar w:fldCharType="end"/>
      </w:r>
      <w:r w:rsidRPr="00E605A1">
        <w:rPr>
          <w:color w:val="auto"/>
        </w:rPr>
        <w:t> :</w:t>
      </w:r>
      <w:r w:rsidR="009A4DF8" w:rsidRPr="00E605A1">
        <w:rPr>
          <w:bCs w:val="0"/>
          <w:color w:val="auto"/>
        </w:rPr>
        <w:t xml:space="preserve"> </w:t>
      </w:r>
      <w:r w:rsidR="009A4DF8" w:rsidRPr="00E605A1">
        <w:rPr>
          <w:bCs w:val="0"/>
          <w:color w:val="auto"/>
          <w:u w:val="none"/>
        </w:rPr>
        <w:t xml:space="preserve">Les dix premiers bailleurs de fonds </w:t>
      </w:r>
      <w:bookmarkEnd w:id="486"/>
      <w:r w:rsidR="009A4DF8" w:rsidRPr="00E605A1">
        <w:rPr>
          <w:bCs w:val="0"/>
          <w:color w:val="auto"/>
          <w:u w:val="none"/>
        </w:rPr>
        <w:t>en 201</w:t>
      </w:r>
      <w:bookmarkStart w:id="493" w:name="_Toc245804678"/>
      <w:r w:rsidR="009A4DF8" w:rsidRPr="00E605A1">
        <w:rPr>
          <w:bCs w:val="0"/>
          <w:color w:val="auto"/>
          <w:u w:val="none"/>
        </w:rPr>
        <w:t>6 (en</w:t>
      </w:r>
      <w:bookmarkEnd w:id="487"/>
      <w:bookmarkEnd w:id="488"/>
      <w:bookmarkEnd w:id="493"/>
      <w:r w:rsidR="009A4DF8" w:rsidRPr="00E605A1">
        <w:rPr>
          <w:bCs w:val="0"/>
          <w:color w:val="auto"/>
          <w:u w:val="none"/>
        </w:rPr>
        <w:t xml:space="preserve"> millions dollars US</w:t>
      </w:r>
      <w:bookmarkEnd w:id="489"/>
      <w:bookmarkEnd w:id="490"/>
      <w:bookmarkEnd w:id="491"/>
      <w:r w:rsidR="009A4DF8" w:rsidRPr="00E605A1">
        <w:rPr>
          <w:bCs w:val="0"/>
          <w:color w:val="auto"/>
          <w:u w:val="none"/>
        </w:rPr>
        <w:t>)</w:t>
      </w:r>
      <w:bookmarkEnd w:id="492"/>
    </w:p>
    <w:p w:rsidR="009A4DF8" w:rsidRPr="00223BB0" w:rsidRDefault="009A4DF8" w:rsidP="00BA488E">
      <w:pPr>
        <w:spacing w:after="40"/>
        <w:jc w:val="both"/>
        <w:rPr>
          <w:rFonts w:ascii="Arial" w:hAnsi="Arial" w:cs="Arial"/>
          <w:noProof/>
          <w:color w:val="000000" w:themeColor="text1"/>
          <w:lang w:eastAsia="fr-FR"/>
        </w:rPr>
      </w:pPr>
      <w:r w:rsidRPr="00223BB0">
        <w:rPr>
          <w:noProof/>
          <w:color w:val="000000" w:themeColor="text1"/>
          <w:lang w:eastAsia="fr-FR"/>
        </w:rPr>
        <w:lastRenderedPageBreak/>
        <w:drawing>
          <wp:inline distT="0" distB="0" distL="0" distR="0" wp14:anchorId="2432E4BE" wp14:editId="4F7E0CF0">
            <wp:extent cx="5762625" cy="2147978"/>
            <wp:effectExtent l="0" t="0" r="9525" b="5080"/>
            <wp:docPr id="39" name="Graphique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9A4DF8" w:rsidRPr="00223BB0" w:rsidRDefault="009A4DF8" w:rsidP="009A4DF8">
      <w:pPr>
        <w:jc w:val="both"/>
        <w:rPr>
          <w:rFonts w:ascii="Arial" w:hAnsi="Arial" w:cs="Arial"/>
          <w:i/>
          <w:color w:val="000000" w:themeColor="text1"/>
          <w:sz w:val="18"/>
          <w:szCs w:val="18"/>
        </w:rPr>
      </w:pPr>
      <w:r w:rsidRPr="00223BB0">
        <w:rPr>
          <w:rFonts w:ascii="Arial" w:hAnsi="Arial" w:cs="Arial"/>
          <w:b/>
          <w:i/>
          <w:color w:val="000000" w:themeColor="text1"/>
          <w:sz w:val="18"/>
          <w:szCs w:val="18"/>
          <w:u w:val="single"/>
        </w:rPr>
        <w:t xml:space="preserve">Source </w:t>
      </w:r>
      <w:r w:rsidRPr="00060AE4">
        <w:rPr>
          <w:rFonts w:ascii="Arial" w:hAnsi="Arial" w:cs="Arial"/>
          <w:i/>
          <w:color w:val="000000" w:themeColor="text1"/>
          <w:sz w:val="18"/>
          <w:szCs w:val="18"/>
          <w:u w:val="single"/>
        </w:rPr>
        <w:t>:</w:t>
      </w:r>
      <w:r>
        <w:rPr>
          <w:rFonts w:ascii="Arial" w:hAnsi="Arial" w:cs="Arial"/>
          <w:i/>
          <w:color w:val="000000" w:themeColor="text1"/>
          <w:sz w:val="18"/>
          <w:szCs w:val="18"/>
          <w:u w:val="single"/>
        </w:rPr>
        <w:t xml:space="preserve"> </w:t>
      </w:r>
      <w:r w:rsidRPr="00060AE4">
        <w:rPr>
          <w:rFonts w:ascii="Arial" w:hAnsi="Arial" w:cs="Arial"/>
          <w:b/>
          <w:i/>
          <w:color w:val="000000" w:themeColor="text1"/>
          <w:sz w:val="18"/>
          <w:szCs w:val="18"/>
        </w:rPr>
        <w:t>PGA/DGCOOP, Juillet 201</w:t>
      </w:r>
      <w:r>
        <w:rPr>
          <w:rFonts w:ascii="Arial" w:hAnsi="Arial" w:cs="Arial"/>
          <w:b/>
          <w:i/>
          <w:color w:val="000000" w:themeColor="text1"/>
          <w:sz w:val="18"/>
          <w:szCs w:val="18"/>
        </w:rPr>
        <w:t>7</w:t>
      </w:r>
    </w:p>
    <w:p w:rsidR="009A4DF8" w:rsidRPr="00F329C9" w:rsidRDefault="009A4DF8" w:rsidP="009A4DF8">
      <w:pPr>
        <w:jc w:val="both"/>
        <w:rPr>
          <w:rFonts w:ascii="Arial" w:eastAsia="Arial" w:hAnsi="Arial" w:cs="Arial"/>
          <w:color w:val="FF0000"/>
        </w:rPr>
      </w:pPr>
      <w:r w:rsidRPr="00223BB0">
        <w:rPr>
          <w:rFonts w:ascii="Arial" w:eastAsia="Arial" w:hAnsi="Arial" w:cs="Arial"/>
          <w:color w:val="000000" w:themeColor="text1"/>
        </w:rPr>
        <w:t xml:space="preserve">Comparé à 2015, le classement des dix principaux bailleurs fonds de l’APD du Burkina Faso n’a pas fondamentalement changé en 2016. On note tout simplement l’arrivée de la BOAD en remplacement de la Suisse. La contribution cumulée de ces dix premiers bailleurs de fonds en 2016 s’élève à 914,30 millions de dollars US soit une hausse de 1,51% par rapport au niveau de 2015. </w:t>
      </w:r>
    </w:p>
    <w:p w:rsidR="009A4DF8" w:rsidRPr="00223BB0" w:rsidRDefault="009A4DF8" w:rsidP="008D7758">
      <w:pPr>
        <w:pStyle w:val="Titre3"/>
        <w:numPr>
          <w:ilvl w:val="0"/>
          <w:numId w:val="123"/>
        </w:numPr>
        <w:tabs>
          <w:tab w:val="left" w:pos="1701"/>
        </w:tabs>
        <w:ind w:left="1843"/>
      </w:pPr>
      <w:bookmarkStart w:id="494" w:name="_Toc399933270"/>
      <w:bookmarkStart w:id="495" w:name="_Toc400643306"/>
      <w:bookmarkStart w:id="496" w:name="_Toc427009761"/>
      <w:bookmarkStart w:id="497" w:name="_Toc461526820"/>
      <w:bookmarkStart w:id="498" w:name="_Toc461618001"/>
      <w:bookmarkStart w:id="499" w:name="_Toc492972212"/>
      <w:r w:rsidRPr="00223BB0">
        <w:t>L’aide multilatérale</w:t>
      </w:r>
      <w:bookmarkEnd w:id="494"/>
      <w:bookmarkEnd w:id="495"/>
      <w:bookmarkEnd w:id="496"/>
      <w:bookmarkEnd w:id="497"/>
      <w:bookmarkEnd w:id="498"/>
      <w:bookmarkEnd w:id="499"/>
    </w:p>
    <w:p w:rsidR="009A4DF8" w:rsidRPr="00223BB0" w:rsidRDefault="009A4DF8" w:rsidP="009A4DF8">
      <w:pPr>
        <w:autoSpaceDE w:val="0"/>
        <w:autoSpaceDN w:val="0"/>
        <w:adjustRightInd w:val="0"/>
        <w:spacing w:before="120" w:after="120"/>
        <w:jc w:val="both"/>
        <w:rPr>
          <w:rFonts w:ascii="Arial" w:hAnsi="Arial" w:cs="Arial"/>
          <w:iCs/>
          <w:color w:val="000000" w:themeColor="text1"/>
        </w:rPr>
      </w:pPr>
      <w:bookmarkStart w:id="500" w:name="_Toc245804679"/>
      <w:bookmarkStart w:id="501" w:name="_Toc335610156"/>
      <w:bookmarkStart w:id="502" w:name="_Toc304393269"/>
      <w:bookmarkStart w:id="503" w:name="_Toc368779236"/>
      <w:bookmarkStart w:id="504" w:name="_Toc400703580"/>
      <w:bookmarkStart w:id="505" w:name="_Toc424706038"/>
      <w:r w:rsidRPr="00223BB0">
        <w:rPr>
          <w:rFonts w:ascii="Arial" w:hAnsi="Arial" w:cs="Arial"/>
          <w:iCs/>
          <w:color w:val="000000" w:themeColor="text1"/>
        </w:rPr>
        <w:t>L’aide publique apportée par les partenaires multilatéraux s’est chiffrée à 660,66 millions dollar</w:t>
      </w:r>
      <w:r>
        <w:rPr>
          <w:rFonts w:ascii="Arial" w:hAnsi="Arial" w:cs="Arial"/>
          <w:iCs/>
          <w:color w:val="000000" w:themeColor="text1"/>
        </w:rPr>
        <w:t>s</w:t>
      </w:r>
      <w:r w:rsidRPr="00223BB0">
        <w:rPr>
          <w:rFonts w:ascii="Arial" w:hAnsi="Arial" w:cs="Arial"/>
          <w:iCs/>
          <w:color w:val="000000" w:themeColor="text1"/>
        </w:rPr>
        <w:t xml:space="preserve"> US en 2016 contre 636,15 millions dollar</w:t>
      </w:r>
      <w:r>
        <w:rPr>
          <w:rFonts w:ascii="Arial" w:hAnsi="Arial" w:cs="Arial"/>
          <w:iCs/>
          <w:color w:val="000000" w:themeColor="text1"/>
        </w:rPr>
        <w:t>s</w:t>
      </w:r>
      <w:r w:rsidRPr="00223BB0">
        <w:rPr>
          <w:rFonts w:ascii="Arial" w:hAnsi="Arial" w:cs="Arial"/>
          <w:iCs/>
          <w:color w:val="000000" w:themeColor="text1"/>
        </w:rPr>
        <w:t xml:space="preserve"> US en 2015, soit une hausse de 3,85%. Ce</w:t>
      </w:r>
      <w:r>
        <w:rPr>
          <w:rFonts w:ascii="Arial" w:hAnsi="Arial" w:cs="Arial"/>
          <w:iCs/>
          <w:color w:val="000000" w:themeColor="text1"/>
        </w:rPr>
        <w:t>tte hausse</w:t>
      </w:r>
      <w:r w:rsidRPr="00223BB0">
        <w:rPr>
          <w:rFonts w:ascii="Arial" w:hAnsi="Arial" w:cs="Arial"/>
          <w:iCs/>
          <w:color w:val="000000" w:themeColor="text1"/>
        </w:rPr>
        <w:t xml:space="preserve"> a été principalement soutenu</w:t>
      </w:r>
      <w:r>
        <w:rPr>
          <w:rFonts w:ascii="Arial" w:hAnsi="Arial" w:cs="Arial"/>
          <w:iCs/>
          <w:color w:val="000000" w:themeColor="text1"/>
        </w:rPr>
        <w:t>e</w:t>
      </w:r>
      <w:r w:rsidRPr="00223BB0">
        <w:rPr>
          <w:rFonts w:ascii="Arial" w:hAnsi="Arial" w:cs="Arial"/>
          <w:iCs/>
          <w:color w:val="000000" w:themeColor="text1"/>
        </w:rPr>
        <w:t xml:space="preserve"> par la Banque mondiale (+15,32)</w:t>
      </w:r>
      <w:r>
        <w:rPr>
          <w:rFonts w:ascii="Arial" w:hAnsi="Arial" w:cs="Arial"/>
          <w:iCs/>
          <w:color w:val="000000" w:themeColor="text1"/>
        </w:rPr>
        <w:t>,</w:t>
      </w:r>
      <w:r w:rsidR="0053376B">
        <w:rPr>
          <w:rFonts w:ascii="Arial" w:hAnsi="Arial" w:cs="Arial"/>
          <w:iCs/>
          <w:color w:val="000000" w:themeColor="text1"/>
        </w:rPr>
        <w:t xml:space="preserve"> </w:t>
      </w:r>
      <w:r w:rsidRPr="00223BB0">
        <w:rPr>
          <w:rFonts w:ascii="Arial" w:hAnsi="Arial" w:cs="Arial"/>
          <w:iCs/>
          <w:color w:val="000000" w:themeColor="text1"/>
        </w:rPr>
        <w:t>la BID (</w:t>
      </w:r>
      <w:r>
        <w:rPr>
          <w:rFonts w:ascii="Arial" w:hAnsi="Arial" w:cs="Arial"/>
          <w:iCs/>
          <w:color w:val="000000" w:themeColor="text1"/>
        </w:rPr>
        <w:t>+</w:t>
      </w:r>
      <w:r w:rsidRPr="00223BB0">
        <w:rPr>
          <w:rFonts w:ascii="Arial" w:hAnsi="Arial" w:cs="Arial"/>
          <w:iCs/>
          <w:color w:val="000000" w:themeColor="text1"/>
        </w:rPr>
        <w:t xml:space="preserve">2,51), la BOAD (+1,96) et la BADEA (+0,31). </w:t>
      </w:r>
    </w:p>
    <w:p w:rsidR="009A4DF8" w:rsidRPr="00223BB0" w:rsidRDefault="009A4DF8" w:rsidP="009A4DF8">
      <w:pPr>
        <w:autoSpaceDE w:val="0"/>
        <w:autoSpaceDN w:val="0"/>
        <w:adjustRightInd w:val="0"/>
        <w:spacing w:before="120" w:after="120"/>
        <w:jc w:val="both"/>
        <w:rPr>
          <w:rFonts w:ascii="Arial" w:hAnsi="Arial" w:cs="Arial"/>
          <w:iCs/>
          <w:color w:val="000000" w:themeColor="text1"/>
        </w:rPr>
      </w:pPr>
      <w:r w:rsidRPr="00223BB0">
        <w:rPr>
          <w:rFonts w:ascii="Arial" w:hAnsi="Arial" w:cs="Arial"/>
          <w:iCs/>
          <w:color w:val="000000" w:themeColor="text1"/>
        </w:rPr>
        <w:t xml:space="preserve">La répartition de l’aide selon </w:t>
      </w:r>
      <w:r>
        <w:rPr>
          <w:rFonts w:ascii="Arial" w:hAnsi="Arial" w:cs="Arial"/>
          <w:iCs/>
          <w:color w:val="000000" w:themeColor="text1"/>
        </w:rPr>
        <w:t>les</w:t>
      </w:r>
      <w:r w:rsidRPr="00223BB0">
        <w:rPr>
          <w:rFonts w:ascii="Arial" w:hAnsi="Arial" w:cs="Arial"/>
          <w:iCs/>
          <w:color w:val="000000" w:themeColor="text1"/>
        </w:rPr>
        <w:t xml:space="preserve"> type</w:t>
      </w:r>
      <w:r>
        <w:rPr>
          <w:rFonts w:ascii="Arial" w:hAnsi="Arial" w:cs="Arial"/>
          <w:iCs/>
          <w:color w:val="000000" w:themeColor="text1"/>
        </w:rPr>
        <w:t>s</w:t>
      </w:r>
      <w:r w:rsidRPr="00223BB0">
        <w:rPr>
          <w:rFonts w:ascii="Arial" w:hAnsi="Arial" w:cs="Arial"/>
          <w:iCs/>
          <w:color w:val="000000" w:themeColor="text1"/>
        </w:rPr>
        <w:t xml:space="preserve"> d’assistance se décline comme suit :</w:t>
      </w:r>
    </w:p>
    <w:p w:rsidR="009A4DF8" w:rsidRPr="00A60D96" w:rsidRDefault="009A4DF8" w:rsidP="00B92B11">
      <w:pPr>
        <w:pStyle w:val="Paragraphedeliste"/>
        <w:numPr>
          <w:ilvl w:val="0"/>
          <w:numId w:val="75"/>
        </w:numPr>
        <w:autoSpaceDE w:val="0"/>
        <w:autoSpaceDN w:val="0"/>
        <w:adjustRightInd w:val="0"/>
        <w:spacing w:before="120" w:after="120" w:line="240" w:lineRule="auto"/>
        <w:jc w:val="both"/>
        <w:rPr>
          <w:rFonts w:ascii="Arial" w:hAnsi="Arial" w:cs="Arial"/>
          <w:iCs/>
        </w:rPr>
      </w:pPr>
      <w:r w:rsidRPr="00A60D96">
        <w:rPr>
          <w:rFonts w:ascii="Arial" w:hAnsi="Arial" w:cs="Arial"/>
          <w:iCs/>
        </w:rPr>
        <w:t>409,41 millions dollars US pour l’aide projet ;</w:t>
      </w:r>
    </w:p>
    <w:p w:rsidR="009A4DF8" w:rsidRPr="00A60D96" w:rsidRDefault="009A4DF8" w:rsidP="00B92B11">
      <w:pPr>
        <w:pStyle w:val="Paragraphedeliste"/>
        <w:numPr>
          <w:ilvl w:val="0"/>
          <w:numId w:val="75"/>
        </w:numPr>
        <w:autoSpaceDE w:val="0"/>
        <w:autoSpaceDN w:val="0"/>
        <w:adjustRightInd w:val="0"/>
        <w:spacing w:before="120" w:after="120" w:line="240" w:lineRule="auto"/>
        <w:jc w:val="both"/>
        <w:rPr>
          <w:rFonts w:ascii="Arial" w:hAnsi="Arial" w:cs="Arial"/>
          <w:iCs/>
        </w:rPr>
      </w:pPr>
      <w:r w:rsidRPr="00A60D96">
        <w:rPr>
          <w:rFonts w:ascii="Arial" w:hAnsi="Arial" w:cs="Arial"/>
          <w:iCs/>
        </w:rPr>
        <w:t>220,78 millions dollars US pour l’appui budgétaire ;</w:t>
      </w:r>
    </w:p>
    <w:p w:rsidR="009A4DF8" w:rsidRPr="00223BB0" w:rsidRDefault="009A4DF8" w:rsidP="00B92B11">
      <w:pPr>
        <w:pStyle w:val="Paragraphedeliste"/>
        <w:numPr>
          <w:ilvl w:val="0"/>
          <w:numId w:val="75"/>
        </w:numPr>
        <w:autoSpaceDE w:val="0"/>
        <w:autoSpaceDN w:val="0"/>
        <w:adjustRightInd w:val="0"/>
        <w:spacing w:before="120" w:after="120" w:line="240" w:lineRule="auto"/>
        <w:jc w:val="both"/>
        <w:rPr>
          <w:rFonts w:ascii="Arial" w:hAnsi="Arial" w:cs="Arial"/>
          <w:iCs/>
          <w:color w:val="000000" w:themeColor="text1"/>
        </w:rPr>
      </w:pPr>
      <w:r w:rsidRPr="00223BB0">
        <w:rPr>
          <w:rFonts w:ascii="Arial" w:hAnsi="Arial" w:cs="Arial"/>
          <w:iCs/>
          <w:color w:val="000000" w:themeColor="text1"/>
        </w:rPr>
        <w:t xml:space="preserve">28,54 millions dollars US pour l’aide alimentaire ; et </w:t>
      </w:r>
    </w:p>
    <w:p w:rsidR="009A4DF8" w:rsidRPr="00223BB0" w:rsidRDefault="009A4DF8" w:rsidP="00B92B11">
      <w:pPr>
        <w:pStyle w:val="Paragraphedeliste"/>
        <w:numPr>
          <w:ilvl w:val="0"/>
          <w:numId w:val="75"/>
        </w:numPr>
        <w:autoSpaceDE w:val="0"/>
        <w:autoSpaceDN w:val="0"/>
        <w:adjustRightInd w:val="0"/>
        <w:spacing w:before="120" w:after="120" w:line="240" w:lineRule="auto"/>
        <w:jc w:val="both"/>
        <w:rPr>
          <w:rFonts w:ascii="Arial" w:hAnsi="Arial" w:cs="Arial"/>
          <w:iCs/>
          <w:color w:val="000000" w:themeColor="text1"/>
        </w:rPr>
      </w:pPr>
      <w:r w:rsidRPr="00223BB0">
        <w:rPr>
          <w:rFonts w:ascii="Arial" w:hAnsi="Arial" w:cs="Arial"/>
          <w:iCs/>
          <w:color w:val="000000" w:themeColor="text1"/>
        </w:rPr>
        <w:t>1,93 millions dollars US pour l’assistance et secours d’urgence.</w:t>
      </w:r>
    </w:p>
    <w:p w:rsidR="009A4DF8" w:rsidRPr="00E605A1" w:rsidRDefault="00E605A1" w:rsidP="00E605A1">
      <w:pPr>
        <w:pStyle w:val="Lgende"/>
        <w:rPr>
          <w:bCs w:val="0"/>
          <w:color w:val="auto"/>
          <w:u w:val="none"/>
        </w:rPr>
      </w:pPr>
      <w:bookmarkStart w:id="506" w:name="_Toc492895744"/>
      <w:r w:rsidRPr="00E605A1">
        <w:rPr>
          <w:color w:val="auto"/>
        </w:rPr>
        <w:t xml:space="preserve">Graphique </w:t>
      </w:r>
      <w:r w:rsidRPr="00E605A1">
        <w:rPr>
          <w:color w:val="auto"/>
        </w:rPr>
        <w:fldChar w:fldCharType="begin"/>
      </w:r>
      <w:r w:rsidRPr="00E605A1">
        <w:rPr>
          <w:color w:val="auto"/>
        </w:rPr>
        <w:instrText xml:space="preserve"> SEQ Graphique \* ARABIC </w:instrText>
      </w:r>
      <w:r w:rsidRPr="00E605A1">
        <w:rPr>
          <w:color w:val="auto"/>
        </w:rPr>
        <w:fldChar w:fldCharType="separate"/>
      </w:r>
      <w:r w:rsidR="009A1402">
        <w:rPr>
          <w:noProof/>
          <w:color w:val="auto"/>
        </w:rPr>
        <w:t>11</w:t>
      </w:r>
      <w:r w:rsidRPr="00E605A1">
        <w:rPr>
          <w:color w:val="auto"/>
        </w:rPr>
        <w:fldChar w:fldCharType="end"/>
      </w:r>
      <w:r>
        <w:rPr>
          <w:color w:val="auto"/>
        </w:rPr>
        <w:t> :</w:t>
      </w:r>
      <w:r w:rsidR="009A4DF8" w:rsidRPr="00E605A1">
        <w:rPr>
          <w:bCs w:val="0"/>
          <w:color w:val="auto"/>
        </w:rPr>
        <w:t xml:space="preserve"> </w:t>
      </w:r>
      <w:r w:rsidR="009A4DF8" w:rsidRPr="00E605A1">
        <w:rPr>
          <w:bCs w:val="0"/>
          <w:color w:val="auto"/>
          <w:u w:val="none"/>
        </w:rPr>
        <w:t>Principaux bailleurs de fonds multilatéraux en 201</w:t>
      </w:r>
      <w:bookmarkEnd w:id="500"/>
      <w:bookmarkEnd w:id="501"/>
      <w:bookmarkEnd w:id="502"/>
      <w:r w:rsidR="009A4DF8" w:rsidRPr="00E605A1">
        <w:rPr>
          <w:bCs w:val="0"/>
          <w:color w:val="auto"/>
          <w:u w:val="none"/>
        </w:rPr>
        <w:t>6 (en millions dollars US)</w:t>
      </w:r>
      <w:bookmarkEnd w:id="503"/>
      <w:bookmarkEnd w:id="504"/>
      <w:bookmarkEnd w:id="505"/>
      <w:bookmarkEnd w:id="506"/>
      <w:r w:rsidR="009A4DF8" w:rsidRPr="00E605A1">
        <w:rPr>
          <w:bCs w:val="0"/>
          <w:color w:val="auto"/>
          <w:u w:val="none"/>
        </w:rPr>
        <w:t xml:space="preserve"> </w:t>
      </w:r>
    </w:p>
    <w:p w:rsidR="009A4DF8" w:rsidRPr="003206FB" w:rsidRDefault="009A4DF8" w:rsidP="00E605A1">
      <w:pPr>
        <w:suppressAutoHyphens/>
        <w:spacing w:after="0"/>
        <w:rPr>
          <w:rFonts w:ascii="Arial" w:hAnsi="Arial" w:cs="Arial"/>
          <w:b/>
          <w:bCs/>
          <w:lang w:eastAsia="ar-SA"/>
        </w:rPr>
      </w:pPr>
      <w:r w:rsidRPr="003206FB">
        <w:rPr>
          <w:noProof/>
          <w:lang w:eastAsia="fr-FR"/>
        </w:rPr>
        <w:drawing>
          <wp:inline distT="0" distB="0" distL="0" distR="0" wp14:anchorId="31C32AB4" wp14:editId="274A1B3A">
            <wp:extent cx="5772151" cy="1874045"/>
            <wp:effectExtent l="0" t="0" r="19050" b="12065"/>
            <wp:docPr id="40" name="Graphique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9A4DF8" w:rsidRPr="00223BB0" w:rsidRDefault="009A4DF8" w:rsidP="009A4DF8">
      <w:pPr>
        <w:jc w:val="both"/>
        <w:rPr>
          <w:rFonts w:ascii="Arial" w:hAnsi="Arial" w:cs="Arial"/>
          <w:i/>
          <w:color w:val="000000" w:themeColor="text1"/>
          <w:sz w:val="18"/>
          <w:szCs w:val="18"/>
        </w:rPr>
      </w:pPr>
      <w:r w:rsidRPr="00223BB0">
        <w:rPr>
          <w:rFonts w:ascii="Arial" w:hAnsi="Arial" w:cs="Arial"/>
          <w:b/>
          <w:i/>
          <w:color w:val="000000" w:themeColor="text1"/>
          <w:sz w:val="18"/>
          <w:szCs w:val="18"/>
          <w:u w:val="single"/>
        </w:rPr>
        <w:t>Source :</w:t>
      </w:r>
      <w:r w:rsidRPr="00223BB0">
        <w:rPr>
          <w:rFonts w:ascii="Arial" w:hAnsi="Arial" w:cs="Arial"/>
          <w:i/>
          <w:color w:val="000000" w:themeColor="text1"/>
          <w:sz w:val="18"/>
          <w:szCs w:val="18"/>
        </w:rPr>
        <w:t xml:space="preserve"> PGA/DGCOOP, Juillet 2017</w:t>
      </w:r>
    </w:p>
    <w:p w:rsidR="009A4DF8" w:rsidRPr="002D1974" w:rsidRDefault="009A4DF8" w:rsidP="008D7758">
      <w:pPr>
        <w:pStyle w:val="Titre3"/>
        <w:numPr>
          <w:ilvl w:val="0"/>
          <w:numId w:val="123"/>
        </w:numPr>
        <w:tabs>
          <w:tab w:val="left" w:pos="1701"/>
        </w:tabs>
        <w:ind w:left="1843"/>
      </w:pPr>
      <w:bookmarkStart w:id="507" w:name="_Toc399933271"/>
      <w:bookmarkStart w:id="508" w:name="_Toc400643307"/>
      <w:bookmarkStart w:id="509" w:name="_Toc427009762"/>
      <w:bookmarkStart w:id="510" w:name="_Toc461526821"/>
      <w:bookmarkStart w:id="511" w:name="_Toc461618002"/>
      <w:bookmarkStart w:id="512" w:name="_Toc492972213"/>
      <w:bookmarkEnd w:id="436"/>
      <w:bookmarkEnd w:id="437"/>
      <w:bookmarkEnd w:id="438"/>
      <w:bookmarkEnd w:id="439"/>
      <w:bookmarkEnd w:id="440"/>
      <w:bookmarkEnd w:id="441"/>
      <w:bookmarkEnd w:id="442"/>
      <w:bookmarkEnd w:id="443"/>
      <w:bookmarkEnd w:id="444"/>
      <w:bookmarkEnd w:id="445"/>
      <w:bookmarkEnd w:id="446"/>
      <w:bookmarkEnd w:id="464"/>
      <w:bookmarkEnd w:id="465"/>
      <w:bookmarkEnd w:id="466"/>
      <w:bookmarkEnd w:id="467"/>
      <w:bookmarkEnd w:id="468"/>
      <w:bookmarkEnd w:id="469"/>
      <w:bookmarkEnd w:id="470"/>
      <w:bookmarkEnd w:id="471"/>
      <w:bookmarkEnd w:id="472"/>
      <w:r w:rsidRPr="002D1974">
        <w:t>L’aide bilatérale</w:t>
      </w:r>
      <w:bookmarkEnd w:id="507"/>
      <w:bookmarkEnd w:id="508"/>
      <w:bookmarkEnd w:id="509"/>
      <w:bookmarkEnd w:id="510"/>
      <w:bookmarkEnd w:id="511"/>
      <w:bookmarkEnd w:id="512"/>
    </w:p>
    <w:p w:rsidR="009A4DF8" w:rsidRDefault="009A4DF8" w:rsidP="009A4DF8">
      <w:pPr>
        <w:jc w:val="both"/>
        <w:rPr>
          <w:rFonts w:ascii="Arial" w:eastAsia="Arial" w:hAnsi="Arial" w:cs="Arial"/>
          <w:color w:val="000000" w:themeColor="text1"/>
        </w:rPr>
      </w:pPr>
      <w:bookmarkStart w:id="513" w:name="_Toc335610157"/>
      <w:bookmarkStart w:id="514" w:name="_Toc368779237"/>
      <w:bookmarkStart w:id="515" w:name="_Toc400703581"/>
      <w:bookmarkStart w:id="516" w:name="_Toc424706039"/>
      <w:r w:rsidRPr="00223BB0">
        <w:rPr>
          <w:rFonts w:ascii="Arial" w:eastAsia="Arial" w:hAnsi="Arial" w:cs="Arial"/>
          <w:color w:val="000000" w:themeColor="text1"/>
        </w:rPr>
        <w:t>La contribution des partenaires bilatéraux au titre de l’année 2016</w:t>
      </w:r>
      <w:r>
        <w:rPr>
          <w:rFonts w:ascii="Arial" w:eastAsia="Arial" w:hAnsi="Arial" w:cs="Arial"/>
          <w:color w:val="000000" w:themeColor="text1"/>
        </w:rPr>
        <w:t>, en hausse depuis 2014,</w:t>
      </w:r>
      <w:r w:rsidRPr="00223BB0">
        <w:rPr>
          <w:rFonts w:ascii="Arial" w:eastAsia="Arial" w:hAnsi="Arial" w:cs="Arial"/>
          <w:color w:val="000000" w:themeColor="text1"/>
        </w:rPr>
        <w:t xml:space="preserve"> s’élève a 445</w:t>
      </w:r>
      <w:r>
        <w:rPr>
          <w:rFonts w:ascii="Arial" w:eastAsia="Arial" w:hAnsi="Arial" w:cs="Arial"/>
          <w:color w:val="000000" w:themeColor="text1"/>
        </w:rPr>
        <w:t>,</w:t>
      </w:r>
      <w:r w:rsidRPr="00223BB0">
        <w:rPr>
          <w:rFonts w:ascii="Arial" w:eastAsia="Arial" w:hAnsi="Arial" w:cs="Arial"/>
          <w:color w:val="000000" w:themeColor="text1"/>
        </w:rPr>
        <w:t xml:space="preserve">47 millions dollars US soit une hausse de </w:t>
      </w:r>
      <w:r>
        <w:rPr>
          <w:rFonts w:ascii="Arial" w:eastAsia="Arial" w:hAnsi="Arial" w:cs="Arial"/>
          <w:color w:val="000000" w:themeColor="text1"/>
        </w:rPr>
        <w:t>8,9</w:t>
      </w:r>
      <w:r w:rsidRPr="00223BB0">
        <w:rPr>
          <w:rFonts w:ascii="Arial" w:eastAsia="Arial" w:hAnsi="Arial" w:cs="Arial"/>
          <w:color w:val="000000" w:themeColor="text1"/>
        </w:rPr>
        <w:t>% par rapport à l’année 2015 qui se situait à 409</w:t>
      </w:r>
      <w:r>
        <w:rPr>
          <w:rFonts w:ascii="Arial" w:eastAsia="Arial" w:hAnsi="Arial" w:cs="Arial"/>
          <w:color w:val="000000" w:themeColor="text1"/>
        </w:rPr>
        <w:t>,</w:t>
      </w:r>
      <w:r w:rsidRPr="00223BB0">
        <w:rPr>
          <w:rFonts w:ascii="Arial" w:eastAsia="Arial" w:hAnsi="Arial" w:cs="Arial"/>
          <w:color w:val="000000" w:themeColor="text1"/>
        </w:rPr>
        <w:t xml:space="preserve">13 millions dollars US. </w:t>
      </w:r>
    </w:p>
    <w:p w:rsidR="009A4DF8" w:rsidRDefault="009A4DF8" w:rsidP="009A4DF8">
      <w:pPr>
        <w:jc w:val="both"/>
        <w:rPr>
          <w:rFonts w:ascii="Arial" w:eastAsia="Arial" w:hAnsi="Arial" w:cs="Arial"/>
          <w:color w:val="000000" w:themeColor="text1"/>
        </w:rPr>
      </w:pPr>
      <w:r w:rsidRPr="00223BB0">
        <w:rPr>
          <w:rFonts w:ascii="Arial" w:eastAsia="Arial" w:hAnsi="Arial" w:cs="Arial"/>
          <w:color w:val="000000" w:themeColor="text1"/>
        </w:rPr>
        <w:lastRenderedPageBreak/>
        <w:t xml:space="preserve">En outre sur les deux dernières années la France, les USA, l’Allemagne, le Danemark et la Suisse occupent les cinq premières places avec la France en tête de liste. Par contre, la Suède qui était en bas de liste en 2015 à céder sa place au </w:t>
      </w:r>
      <w:r>
        <w:rPr>
          <w:rFonts w:ascii="Arial" w:eastAsia="Arial" w:hAnsi="Arial" w:cs="Arial"/>
          <w:color w:val="000000" w:themeColor="text1"/>
        </w:rPr>
        <w:t>J</w:t>
      </w:r>
      <w:r w:rsidRPr="00223BB0">
        <w:rPr>
          <w:rFonts w:ascii="Arial" w:eastAsia="Arial" w:hAnsi="Arial" w:cs="Arial"/>
          <w:color w:val="000000" w:themeColor="text1"/>
        </w:rPr>
        <w:t xml:space="preserve">apon au 2016. </w:t>
      </w:r>
    </w:p>
    <w:p w:rsidR="009A4DF8" w:rsidRPr="00223BB0" w:rsidRDefault="009A4DF8" w:rsidP="009A4DF8">
      <w:pPr>
        <w:jc w:val="both"/>
        <w:rPr>
          <w:rFonts w:ascii="Arial" w:eastAsia="Arial" w:hAnsi="Arial" w:cs="Arial"/>
          <w:color w:val="000000" w:themeColor="text1"/>
        </w:rPr>
      </w:pPr>
      <w:r w:rsidRPr="00223BB0">
        <w:rPr>
          <w:rFonts w:ascii="Arial" w:eastAsia="Arial" w:hAnsi="Arial" w:cs="Arial"/>
          <w:color w:val="000000" w:themeColor="text1"/>
        </w:rPr>
        <w:t xml:space="preserve">Les </w:t>
      </w:r>
      <w:r>
        <w:rPr>
          <w:rFonts w:ascii="Arial" w:eastAsia="Arial" w:hAnsi="Arial" w:cs="Arial"/>
          <w:color w:val="000000" w:themeColor="text1"/>
        </w:rPr>
        <w:t xml:space="preserve">trois principaux </w:t>
      </w:r>
      <w:r w:rsidRPr="00223BB0">
        <w:rPr>
          <w:rFonts w:ascii="Arial" w:eastAsia="Arial" w:hAnsi="Arial" w:cs="Arial"/>
          <w:color w:val="000000" w:themeColor="text1"/>
        </w:rPr>
        <w:t xml:space="preserve">pays qui ont enregistrés une augmentation de leurs enveloppes de 2015 à 2016 </w:t>
      </w:r>
      <w:r>
        <w:rPr>
          <w:rFonts w:ascii="Arial" w:eastAsia="Arial" w:hAnsi="Arial" w:cs="Arial"/>
          <w:color w:val="000000" w:themeColor="text1"/>
        </w:rPr>
        <w:t>sont</w:t>
      </w:r>
      <w:r w:rsidRPr="00223BB0">
        <w:rPr>
          <w:rFonts w:ascii="Arial" w:eastAsia="Arial" w:hAnsi="Arial" w:cs="Arial"/>
          <w:color w:val="000000" w:themeColor="text1"/>
        </w:rPr>
        <w:t> : la France (</w:t>
      </w:r>
      <w:r>
        <w:rPr>
          <w:rFonts w:ascii="Arial" w:eastAsia="Arial" w:hAnsi="Arial" w:cs="Arial"/>
          <w:color w:val="000000" w:themeColor="text1"/>
        </w:rPr>
        <w:t>156,91</w:t>
      </w:r>
      <w:r w:rsidRPr="007F1099">
        <w:rPr>
          <w:rFonts w:ascii="Arial" w:eastAsia="Arial" w:hAnsi="Arial" w:cs="Arial"/>
          <w:color w:val="000000" w:themeColor="text1"/>
        </w:rPr>
        <w:t xml:space="preserve"> </w:t>
      </w:r>
      <w:r w:rsidRPr="00223BB0">
        <w:rPr>
          <w:rFonts w:ascii="Arial" w:eastAsia="Arial" w:hAnsi="Arial" w:cs="Arial"/>
          <w:color w:val="000000" w:themeColor="text1"/>
        </w:rPr>
        <w:t>millions dollars US</w:t>
      </w:r>
      <w:r>
        <w:rPr>
          <w:rFonts w:ascii="Arial" w:eastAsia="Arial" w:hAnsi="Arial" w:cs="Arial"/>
          <w:color w:val="000000" w:themeColor="text1"/>
        </w:rPr>
        <w:t>, soit 80, 0</w:t>
      </w:r>
      <w:r w:rsidRPr="00223BB0">
        <w:rPr>
          <w:rFonts w:ascii="Arial" w:eastAsia="Arial" w:hAnsi="Arial" w:cs="Arial"/>
          <w:color w:val="000000" w:themeColor="text1"/>
        </w:rPr>
        <w:t>%),</w:t>
      </w:r>
      <w:r w:rsidRPr="00D3094D">
        <w:rPr>
          <w:rFonts w:ascii="Arial" w:eastAsia="Arial" w:hAnsi="Arial" w:cs="Arial"/>
          <w:color w:val="000000" w:themeColor="text1"/>
        </w:rPr>
        <w:t xml:space="preserve"> </w:t>
      </w:r>
      <w:r w:rsidRPr="00223BB0">
        <w:rPr>
          <w:rFonts w:ascii="Arial" w:eastAsia="Arial" w:hAnsi="Arial" w:cs="Arial"/>
          <w:color w:val="000000" w:themeColor="text1"/>
        </w:rPr>
        <w:t>la Chine Taiwan (</w:t>
      </w:r>
      <w:r>
        <w:rPr>
          <w:rFonts w:ascii="Arial" w:eastAsia="Arial" w:hAnsi="Arial" w:cs="Arial"/>
          <w:color w:val="000000" w:themeColor="text1"/>
        </w:rPr>
        <w:t xml:space="preserve">26,86 </w:t>
      </w:r>
      <w:r w:rsidRPr="00223BB0">
        <w:rPr>
          <w:rFonts w:ascii="Arial" w:eastAsia="Arial" w:hAnsi="Arial" w:cs="Arial"/>
          <w:color w:val="000000" w:themeColor="text1"/>
        </w:rPr>
        <w:t xml:space="preserve">millions dollars US </w:t>
      </w:r>
      <w:r>
        <w:rPr>
          <w:rFonts w:ascii="Arial" w:eastAsia="Arial" w:hAnsi="Arial" w:cs="Arial"/>
          <w:color w:val="000000" w:themeColor="text1"/>
        </w:rPr>
        <w:t>77,4</w:t>
      </w:r>
      <w:r w:rsidRPr="00223BB0">
        <w:rPr>
          <w:rFonts w:ascii="Arial" w:eastAsia="Arial" w:hAnsi="Arial" w:cs="Arial"/>
          <w:color w:val="000000" w:themeColor="text1"/>
        </w:rPr>
        <w:t>%) la Suède (</w:t>
      </w:r>
      <w:r>
        <w:rPr>
          <w:rFonts w:ascii="Arial" w:eastAsia="Arial" w:hAnsi="Arial" w:cs="Arial"/>
          <w:color w:val="000000" w:themeColor="text1"/>
        </w:rPr>
        <w:t xml:space="preserve">24,44 </w:t>
      </w:r>
      <w:r w:rsidRPr="00223BB0">
        <w:rPr>
          <w:rFonts w:ascii="Arial" w:eastAsia="Arial" w:hAnsi="Arial" w:cs="Arial"/>
          <w:color w:val="000000" w:themeColor="text1"/>
        </w:rPr>
        <w:t>millions dollars US</w:t>
      </w:r>
      <w:r>
        <w:rPr>
          <w:rFonts w:ascii="Arial" w:eastAsia="Arial" w:hAnsi="Arial" w:cs="Arial"/>
          <w:color w:val="000000" w:themeColor="text1"/>
        </w:rPr>
        <w:t>, soit 77,7</w:t>
      </w:r>
      <w:r w:rsidRPr="00223BB0">
        <w:rPr>
          <w:rFonts w:ascii="Arial" w:eastAsia="Arial" w:hAnsi="Arial" w:cs="Arial"/>
          <w:color w:val="000000" w:themeColor="text1"/>
        </w:rPr>
        <w:t xml:space="preserve">%),, </w:t>
      </w:r>
      <w:r>
        <w:rPr>
          <w:rFonts w:ascii="Arial" w:eastAsia="Arial" w:hAnsi="Arial" w:cs="Arial"/>
          <w:color w:val="000000" w:themeColor="text1"/>
        </w:rPr>
        <w:t>,Tandis que l</w:t>
      </w:r>
      <w:r w:rsidRPr="00223BB0">
        <w:rPr>
          <w:rFonts w:ascii="Arial" w:eastAsia="Arial" w:hAnsi="Arial" w:cs="Arial"/>
          <w:color w:val="000000" w:themeColor="text1"/>
        </w:rPr>
        <w:t>es USA (</w:t>
      </w:r>
      <w:r>
        <w:rPr>
          <w:rFonts w:ascii="Arial" w:eastAsia="Arial" w:hAnsi="Arial" w:cs="Arial"/>
          <w:color w:val="000000" w:themeColor="text1"/>
        </w:rPr>
        <w:t xml:space="preserve">46,23 </w:t>
      </w:r>
      <w:r w:rsidRPr="00223BB0">
        <w:rPr>
          <w:rFonts w:ascii="Arial" w:eastAsia="Arial" w:hAnsi="Arial" w:cs="Arial"/>
          <w:color w:val="000000" w:themeColor="text1"/>
        </w:rPr>
        <w:t>millions dollars US</w:t>
      </w:r>
      <w:r>
        <w:rPr>
          <w:rFonts w:ascii="Arial" w:eastAsia="Arial" w:hAnsi="Arial" w:cs="Arial"/>
          <w:color w:val="000000" w:themeColor="text1"/>
        </w:rPr>
        <w:t>, soit</w:t>
      </w:r>
      <w:r w:rsidRPr="00223BB0">
        <w:rPr>
          <w:rFonts w:ascii="Arial" w:eastAsia="Arial" w:hAnsi="Arial" w:cs="Arial"/>
          <w:color w:val="000000" w:themeColor="text1"/>
        </w:rPr>
        <w:t xml:space="preserve"> </w:t>
      </w:r>
      <w:r>
        <w:rPr>
          <w:rFonts w:ascii="Arial" w:eastAsia="Arial" w:hAnsi="Arial" w:cs="Arial"/>
          <w:color w:val="000000" w:themeColor="text1"/>
        </w:rPr>
        <w:t>44,5</w:t>
      </w:r>
      <w:r w:rsidRPr="00223BB0">
        <w:rPr>
          <w:rFonts w:ascii="Arial" w:eastAsia="Arial" w:hAnsi="Arial" w:cs="Arial"/>
          <w:color w:val="000000" w:themeColor="text1"/>
        </w:rPr>
        <w:t>%), le Japon (</w:t>
      </w:r>
      <w:r>
        <w:rPr>
          <w:rFonts w:ascii="Arial" w:eastAsia="Arial" w:hAnsi="Arial" w:cs="Arial"/>
          <w:color w:val="000000" w:themeColor="text1"/>
        </w:rPr>
        <w:t xml:space="preserve">15,03 </w:t>
      </w:r>
      <w:r w:rsidRPr="00223BB0">
        <w:rPr>
          <w:rFonts w:ascii="Arial" w:eastAsia="Arial" w:hAnsi="Arial" w:cs="Arial"/>
          <w:color w:val="000000" w:themeColor="text1"/>
        </w:rPr>
        <w:t xml:space="preserve">millions dollars US </w:t>
      </w:r>
      <w:r>
        <w:rPr>
          <w:rFonts w:ascii="Arial" w:eastAsia="Arial" w:hAnsi="Arial" w:cs="Arial"/>
          <w:color w:val="000000" w:themeColor="text1"/>
        </w:rPr>
        <w:t>43,5</w:t>
      </w:r>
      <w:r w:rsidRPr="00223BB0">
        <w:rPr>
          <w:rFonts w:ascii="Arial" w:eastAsia="Arial" w:hAnsi="Arial" w:cs="Arial"/>
          <w:color w:val="000000" w:themeColor="text1"/>
        </w:rPr>
        <w:t xml:space="preserve">%), le Danemark </w:t>
      </w:r>
      <w:r>
        <w:rPr>
          <w:rFonts w:ascii="Arial" w:eastAsia="Arial" w:hAnsi="Arial" w:cs="Arial"/>
          <w:color w:val="000000" w:themeColor="text1"/>
        </w:rPr>
        <w:t xml:space="preserve">28,42 </w:t>
      </w:r>
      <w:r w:rsidRPr="00223BB0">
        <w:rPr>
          <w:rFonts w:ascii="Arial" w:eastAsia="Arial" w:hAnsi="Arial" w:cs="Arial"/>
          <w:color w:val="000000" w:themeColor="text1"/>
        </w:rPr>
        <w:t>millions dollars US</w:t>
      </w:r>
      <w:r>
        <w:rPr>
          <w:rFonts w:ascii="Arial" w:eastAsia="Arial" w:hAnsi="Arial" w:cs="Arial"/>
          <w:color w:val="000000" w:themeColor="text1"/>
        </w:rPr>
        <w:t xml:space="preserve">, soit </w:t>
      </w:r>
      <w:r w:rsidRPr="00223BB0">
        <w:rPr>
          <w:rFonts w:ascii="Arial" w:eastAsia="Arial" w:hAnsi="Arial" w:cs="Arial"/>
          <w:color w:val="000000" w:themeColor="text1"/>
        </w:rPr>
        <w:t>(</w:t>
      </w:r>
      <w:r>
        <w:rPr>
          <w:rFonts w:ascii="Arial" w:eastAsia="Arial" w:hAnsi="Arial" w:cs="Arial"/>
          <w:color w:val="000000" w:themeColor="text1"/>
        </w:rPr>
        <w:t>22</w:t>
      </w:r>
      <w:r w:rsidRPr="00223BB0">
        <w:rPr>
          <w:rFonts w:ascii="Arial" w:eastAsia="Arial" w:hAnsi="Arial" w:cs="Arial"/>
          <w:color w:val="000000" w:themeColor="text1"/>
        </w:rPr>
        <w:t xml:space="preserve">,3%), la Suisse </w:t>
      </w:r>
      <w:r>
        <w:rPr>
          <w:rFonts w:ascii="Arial" w:eastAsia="Arial" w:hAnsi="Arial" w:cs="Arial"/>
          <w:color w:val="000000" w:themeColor="text1"/>
        </w:rPr>
        <w:t xml:space="preserve">27,73 </w:t>
      </w:r>
      <w:r w:rsidRPr="00223BB0">
        <w:rPr>
          <w:rFonts w:ascii="Arial" w:eastAsia="Arial" w:hAnsi="Arial" w:cs="Arial"/>
          <w:color w:val="000000" w:themeColor="text1"/>
        </w:rPr>
        <w:t>millions dollars US</w:t>
      </w:r>
      <w:r>
        <w:rPr>
          <w:rFonts w:ascii="Arial" w:eastAsia="Arial" w:hAnsi="Arial" w:cs="Arial"/>
          <w:color w:val="000000" w:themeColor="text1"/>
        </w:rPr>
        <w:t xml:space="preserve">, soit </w:t>
      </w:r>
      <w:r w:rsidRPr="00223BB0">
        <w:rPr>
          <w:rFonts w:ascii="Arial" w:eastAsia="Arial" w:hAnsi="Arial" w:cs="Arial"/>
          <w:color w:val="000000" w:themeColor="text1"/>
        </w:rPr>
        <w:t>(</w:t>
      </w:r>
      <w:r>
        <w:rPr>
          <w:rFonts w:ascii="Arial" w:eastAsia="Arial" w:hAnsi="Arial" w:cs="Arial"/>
          <w:color w:val="000000" w:themeColor="text1"/>
        </w:rPr>
        <w:t>14,1</w:t>
      </w:r>
      <w:r w:rsidRPr="00223BB0">
        <w:rPr>
          <w:rFonts w:ascii="Arial" w:eastAsia="Arial" w:hAnsi="Arial" w:cs="Arial"/>
          <w:color w:val="000000" w:themeColor="text1"/>
        </w:rPr>
        <w:t>%) et l’</w:t>
      </w:r>
      <w:r>
        <w:rPr>
          <w:rFonts w:ascii="Arial" w:eastAsia="Arial" w:hAnsi="Arial" w:cs="Arial"/>
          <w:color w:val="000000" w:themeColor="text1"/>
        </w:rPr>
        <w:t xml:space="preserve">Allemagne 45,58 </w:t>
      </w:r>
      <w:r w:rsidRPr="00223BB0">
        <w:rPr>
          <w:rFonts w:ascii="Arial" w:eastAsia="Arial" w:hAnsi="Arial" w:cs="Arial"/>
          <w:color w:val="000000" w:themeColor="text1"/>
        </w:rPr>
        <w:t>millions dollars US</w:t>
      </w:r>
      <w:r>
        <w:rPr>
          <w:rFonts w:ascii="Arial" w:eastAsia="Arial" w:hAnsi="Arial" w:cs="Arial"/>
          <w:color w:val="000000" w:themeColor="text1"/>
        </w:rPr>
        <w:t xml:space="preserve">, soit </w:t>
      </w:r>
      <w:r w:rsidRPr="00223BB0">
        <w:rPr>
          <w:rFonts w:ascii="Arial" w:eastAsia="Arial" w:hAnsi="Arial" w:cs="Arial"/>
          <w:color w:val="000000" w:themeColor="text1"/>
        </w:rPr>
        <w:t>(</w:t>
      </w:r>
      <w:r>
        <w:rPr>
          <w:rFonts w:ascii="Arial" w:eastAsia="Arial" w:hAnsi="Arial" w:cs="Arial"/>
          <w:color w:val="000000" w:themeColor="text1"/>
        </w:rPr>
        <w:t>8,0</w:t>
      </w:r>
      <w:r w:rsidRPr="00223BB0">
        <w:rPr>
          <w:rFonts w:ascii="Arial" w:eastAsia="Arial" w:hAnsi="Arial" w:cs="Arial"/>
          <w:color w:val="000000" w:themeColor="text1"/>
        </w:rPr>
        <w:t>%)</w:t>
      </w:r>
      <w:r>
        <w:rPr>
          <w:rFonts w:ascii="Arial" w:eastAsia="Arial" w:hAnsi="Arial" w:cs="Arial"/>
          <w:color w:val="000000" w:themeColor="text1"/>
        </w:rPr>
        <w:t xml:space="preserve"> ont connu une baisse de leurs enveloppes.</w:t>
      </w:r>
    </w:p>
    <w:p w:rsidR="009A4DF8" w:rsidRPr="00E605A1" w:rsidRDefault="00E605A1" w:rsidP="00E605A1">
      <w:pPr>
        <w:pStyle w:val="Lgende"/>
        <w:rPr>
          <w:bCs w:val="0"/>
          <w:color w:val="auto"/>
          <w:u w:val="none"/>
        </w:rPr>
      </w:pPr>
      <w:bookmarkStart w:id="517" w:name="_Toc492895745"/>
      <w:r w:rsidRPr="00E605A1">
        <w:rPr>
          <w:color w:val="auto"/>
        </w:rPr>
        <w:t xml:space="preserve">Graphique </w:t>
      </w:r>
      <w:r w:rsidRPr="00E605A1">
        <w:rPr>
          <w:color w:val="auto"/>
        </w:rPr>
        <w:fldChar w:fldCharType="begin"/>
      </w:r>
      <w:r w:rsidRPr="00E605A1">
        <w:rPr>
          <w:color w:val="auto"/>
        </w:rPr>
        <w:instrText xml:space="preserve"> SEQ Graphique \* ARABIC </w:instrText>
      </w:r>
      <w:r w:rsidRPr="00E605A1">
        <w:rPr>
          <w:color w:val="auto"/>
        </w:rPr>
        <w:fldChar w:fldCharType="separate"/>
      </w:r>
      <w:r w:rsidR="009A1402">
        <w:rPr>
          <w:noProof/>
          <w:color w:val="auto"/>
        </w:rPr>
        <w:t>12</w:t>
      </w:r>
      <w:r w:rsidRPr="00E605A1">
        <w:rPr>
          <w:color w:val="auto"/>
        </w:rPr>
        <w:fldChar w:fldCharType="end"/>
      </w:r>
      <w:r w:rsidRPr="00E605A1">
        <w:rPr>
          <w:color w:val="auto"/>
        </w:rPr>
        <w:t> :</w:t>
      </w:r>
      <w:r w:rsidR="009A4DF8" w:rsidRPr="00E605A1">
        <w:rPr>
          <w:bCs w:val="0"/>
          <w:color w:val="auto"/>
        </w:rPr>
        <w:t xml:space="preserve"> </w:t>
      </w:r>
      <w:r w:rsidR="009A4DF8" w:rsidRPr="00E605A1">
        <w:rPr>
          <w:bCs w:val="0"/>
          <w:color w:val="auto"/>
          <w:u w:val="none"/>
        </w:rPr>
        <w:t>Principaux bailleurs bilatéraux en 2016 (millions dollars US)</w:t>
      </w:r>
      <w:bookmarkEnd w:id="513"/>
      <w:bookmarkEnd w:id="514"/>
      <w:bookmarkEnd w:id="515"/>
      <w:bookmarkEnd w:id="516"/>
      <w:bookmarkEnd w:id="517"/>
    </w:p>
    <w:p w:rsidR="009A4DF8" w:rsidRPr="00223BB0" w:rsidRDefault="009A4DF8" w:rsidP="00E605A1">
      <w:pPr>
        <w:spacing w:after="0"/>
        <w:jc w:val="both"/>
        <w:rPr>
          <w:rFonts w:ascii="Arial" w:hAnsi="Arial" w:cs="Arial"/>
          <w:b/>
          <w:i/>
          <w:color w:val="000000" w:themeColor="text1"/>
          <w:sz w:val="18"/>
          <w:szCs w:val="18"/>
          <w:u w:val="single"/>
        </w:rPr>
      </w:pPr>
      <w:r w:rsidRPr="00223BB0">
        <w:rPr>
          <w:noProof/>
          <w:color w:val="000000" w:themeColor="text1"/>
          <w:lang w:eastAsia="fr-FR"/>
        </w:rPr>
        <w:drawing>
          <wp:inline distT="0" distB="0" distL="0" distR="0" wp14:anchorId="61033FC2" wp14:editId="54B1DE73">
            <wp:extent cx="5734050" cy="2200275"/>
            <wp:effectExtent l="0" t="0" r="0" b="9525"/>
            <wp:docPr id="41" name="Graphique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9A4DF8" w:rsidRPr="003F033F" w:rsidRDefault="009A4DF8" w:rsidP="009A4DF8">
      <w:pPr>
        <w:jc w:val="both"/>
        <w:rPr>
          <w:rFonts w:ascii="Arial" w:hAnsi="Arial" w:cs="Arial"/>
          <w:i/>
          <w:sz w:val="18"/>
          <w:szCs w:val="18"/>
        </w:rPr>
      </w:pPr>
      <w:r w:rsidRPr="00060AE4">
        <w:rPr>
          <w:rFonts w:ascii="Arial" w:hAnsi="Arial" w:cs="Arial"/>
          <w:b/>
          <w:i/>
          <w:sz w:val="18"/>
          <w:szCs w:val="18"/>
          <w:u w:val="single"/>
        </w:rPr>
        <w:t>Source :</w:t>
      </w:r>
      <w:r w:rsidRPr="00060AE4">
        <w:rPr>
          <w:rFonts w:ascii="Arial" w:hAnsi="Arial" w:cs="Arial"/>
          <w:i/>
          <w:sz w:val="18"/>
          <w:szCs w:val="18"/>
        </w:rPr>
        <w:t xml:space="preserve"> PGA/DGCOOP, Juillet 2017.</w:t>
      </w:r>
    </w:p>
    <w:p w:rsidR="009A4DF8" w:rsidRPr="00223BB0" w:rsidRDefault="009A4DF8" w:rsidP="009A4DF8">
      <w:pPr>
        <w:jc w:val="both"/>
        <w:rPr>
          <w:rFonts w:ascii="Arial" w:eastAsia="Arial" w:hAnsi="Arial" w:cs="Arial"/>
          <w:color w:val="000000" w:themeColor="text1"/>
        </w:rPr>
      </w:pPr>
      <w:r w:rsidRPr="00223BB0">
        <w:rPr>
          <w:rFonts w:ascii="Arial" w:eastAsia="Arial" w:hAnsi="Arial" w:cs="Arial"/>
          <w:color w:val="000000" w:themeColor="text1"/>
        </w:rPr>
        <w:t>Les dix principaux donateurs bilatéraux en 2016 ont contribué à hauteur de 422.03 millions dollars US soit 94,7% de l’aide bilatérale. Il s’agit de la France pour 156,91 millions dollars US (35,2%), des USA avec 46,23 millions dollars US (10,</w:t>
      </w:r>
      <w:r>
        <w:rPr>
          <w:rFonts w:ascii="Arial" w:eastAsia="Arial" w:hAnsi="Arial" w:cs="Arial"/>
          <w:color w:val="000000" w:themeColor="text1"/>
        </w:rPr>
        <w:t>4</w:t>
      </w:r>
      <w:r w:rsidRPr="00223BB0">
        <w:rPr>
          <w:rFonts w:ascii="Arial" w:eastAsia="Arial" w:hAnsi="Arial" w:cs="Arial"/>
          <w:color w:val="000000" w:themeColor="text1"/>
        </w:rPr>
        <w:t xml:space="preserve"> %), de l’Allemagne avec 45,58 millions dollars US (10,2 %), du Danemark pour 28,42 millions dollars US (6,</w:t>
      </w:r>
      <w:r>
        <w:rPr>
          <w:rFonts w:ascii="Arial" w:eastAsia="Arial" w:hAnsi="Arial" w:cs="Arial"/>
          <w:color w:val="000000" w:themeColor="text1"/>
        </w:rPr>
        <w:t>4</w:t>
      </w:r>
      <w:r w:rsidRPr="00223BB0">
        <w:rPr>
          <w:rFonts w:ascii="Arial" w:eastAsia="Arial" w:hAnsi="Arial" w:cs="Arial"/>
          <w:color w:val="000000" w:themeColor="text1"/>
        </w:rPr>
        <w:t xml:space="preserve"> %), de la Suisse avec 27,73 millions dollars US (6,2 %), du Canada pour 27,32 millions dollars US (6,1%), de la Chine-Taïwan pour 26,86  millions dollars US (6,0%), de la Suède avec 24,44 millions dollars US (5,</w:t>
      </w:r>
      <w:r>
        <w:rPr>
          <w:rFonts w:ascii="Arial" w:eastAsia="Arial" w:hAnsi="Arial" w:cs="Arial"/>
          <w:color w:val="000000" w:themeColor="text1"/>
        </w:rPr>
        <w:t>5</w:t>
      </w:r>
      <w:r w:rsidRPr="00223BB0">
        <w:rPr>
          <w:rFonts w:ascii="Arial" w:eastAsia="Arial" w:hAnsi="Arial" w:cs="Arial"/>
          <w:color w:val="000000" w:themeColor="text1"/>
        </w:rPr>
        <w:t>%), du Luxembourg pour 23,5</w:t>
      </w:r>
      <w:r>
        <w:rPr>
          <w:rFonts w:ascii="Arial" w:eastAsia="Arial" w:hAnsi="Arial" w:cs="Arial"/>
          <w:color w:val="000000" w:themeColor="text1"/>
        </w:rPr>
        <w:t xml:space="preserve">0 </w:t>
      </w:r>
      <w:r w:rsidRPr="00223BB0">
        <w:rPr>
          <w:rFonts w:ascii="Arial" w:eastAsia="Arial" w:hAnsi="Arial" w:cs="Arial"/>
          <w:color w:val="000000" w:themeColor="text1"/>
        </w:rPr>
        <w:t>millions dollars US (5,</w:t>
      </w:r>
      <w:r>
        <w:rPr>
          <w:rFonts w:ascii="Arial" w:eastAsia="Arial" w:hAnsi="Arial" w:cs="Arial"/>
          <w:color w:val="000000" w:themeColor="text1"/>
        </w:rPr>
        <w:t>3</w:t>
      </w:r>
      <w:r w:rsidRPr="00223BB0">
        <w:rPr>
          <w:rFonts w:ascii="Arial" w:eastAsia="Arial" w:hAnsi="Arial" w:cs="Arial"/>
          <w:color w:val="000000" w:themeColor="text1"/>
        </w:rPr>
        <w:t xml:space="preserve"> %) et du Japon avec 15,03 millions  dollars US (3,</w:t>
      </w:r>
      <w:r>
        <w:rPr>
          <w:rFonts w:ascii="Arial" w:eastAsia="Arial" w:hAnsi="Arial" w:cs="Arial"/>
          <w:color w:val="000000" w:themeColor="text1"/>
        </w:rPr>
        <w:t>4</w:t>
      </w:r>
      <w:r w:rsidRPr="00223BB0">
        <w:rPr>
          <w:rFonts w:ascii="Arial" w:eastAsia="Arial" w:hAnsi="Arial" w:cs="Arial"/>
          <w:color w:val="000000" w:themeColor="text1"/>
        </w:rPr>
        <w:t xml:space="preserve"> %).</w:t>
      </w:r>
    </w:p>
    <w:p w:rsidR="009A4DF8" w:rsidRPr="00223BB0" w:rsidRDefault="009A4DF8" w:rsidP="009A4DF8">
      <w:pPr>
        <w:jc w:val="both"/>
        <w:rPr>
          <w:rFonts w:ascii="Arial" w:eastAsia="Arial" w:hAnsi="Arial" w:cs="Arial"/>
          <w:color w:val="000000" w:themeColor="text1"/>
        </w:rPr>
      </w:pPr>
      <w:r w:rsidRPr="00A36C3A">
        <w:rPr>
          <w:rFonts w:ascii="Arial" w:eastAsia="Arial" w:hAnsi="Arial" w:cs="Arial"/>
          <w:color w:val="000000" w:themeColor="text1"/>
        </w:rPr>
        <w:t>L’aide bilatérale se répartit comme suit :</w:t>
      </w:r>
    </w:p>
    <w:p w:rsidR="009A4DF8" w:rsidRPr="00223BB0" w:rsidRDefault="009A4DF8" w:rsidP="00B92B11">
      <w:pPr>
        <w:numPr>
          <w:ilvl w:val="0"/>
          <w:numId w:val="73"/>
        </w:numPr>
        <w:tabs>
          <w:tab w:val="left" w:pos="851"/>
        </w:tabs>
        <w:spacing w:after="0"/>
        <w:ind w:left="360" w:firstLine="207"/>
        <w:jc w:val="both"/>
        <w:rPr>
          <w:rFonts w:ascii="Arial" w:eastAsia="Arial" w:hAnsi="Arial" w:cs="Arial"/>
          <w:color w:val="000000" w:themeColor="text1"/>
        </w:rPr>
      </w:pPr>
      <w:r>
        <w:rPr>
          <w:rFonts w:ascii="Arial" w:eastAsia="Arial" w:hAnsi="Arial" w:cs="Arial"/>
          <w:color w:val="000000" w:themeColor="text1"/>
        </w:rPr>
        <w:t>401,77</w:t>
      </w:r>
      <w:r w:rsidRPr="00223BB0">
        <w:rPr>
          <w:rFonts w:ascii="Arial" w:eastAsia="Arial" w:hAnsi="Arial" w:cs="Arial"/>
          <w:color w:val="000000" w:themeColor="text1"/>
        </w:rPr>
        <w:t xml:space="preserve"> millions dollars US en aide projet ; </w:t>
      </w:r>
    </w:p>
    <w:p w:rsidR="009A4DF8" w:rsidRPr="00223BB0" w:rsidRDefault="009A4DF8" w:rsidP="00B92B11">
      <w:pPr>
        <w:numPr>
          <w:ilvl w:val="0"/>
          <w:numId w:val="73"/>
        </w:numPr>
        <w:tabs>
          <w:tab w:val="left" w:pos="851"/>
        </w:tabs>
        <w:spacing w:after="0"/>
        <w:ind w:left="360" w:firstLine="207"/>
        <w:jc w:val="both"/>
        <w:rPr>
          <w:rFonts w:ascii="Arial" w:eastAsia="Arial" w:hAnsi="Arial" w:cs="Arial"/>
          <w:color w:val="000000" w:themeColor="text1"/>
        </w:rPr>
      </w:pPr>
      <w:r>
        <w:rPr>
          <w:rFonts w:ascii="Arial" w:eastAsia="Arial" w:hAnsi="Arial" w:cs="Arial"/>
          <w:color w:val="000000" w:themeColor="text1"/>
        </w:rPr>
        <w:t>36,17</w:t>
      </w:r>
      <w:r w:rsidRPr="00223BB0">
        <w:rPr>
          <w:rFonts w:ascii="Arial" w:eastAsia="Arial" w:hAnsi="Arial" w:cs="Arial"/>
          <w:color w:val="000000" w:themeColor="text1"/>
        </w:rPr>
        <w:t xml:space="preserve"> millions dollars US en appui budgétaire ; </w:t>
      </w:r>
    </w:p>
    <w:p w:rsidR="009A4DF8" w:rsidRPr="00223BB0" w:rsidRDefault="009A4DF8" w:rsidP="00B92B11">
      <w:pPr>
        <w:numPr>
          <w:ilvl w:val="0"/>
          <w:numId w:val="73"/>
        </w:numPr>
        <w:tabs>
          <w:tab w:val="left" w:pos="851"/>
        </w:tabs>
        <w:spacing w:after="0"/>
        <w:ind w:left="360" w:firstLine="207"/>
        <w:jc w:val="both"/>
        <w:rPr>
          <w:rFonts w:ascii="Arial" w:eastAsia="Arial" w:hAnsi="Arial" w:cs="Arial"/>
          <w:color w:val="000000" w:themeColor="text1"/>
        </w:rPr>
      </w:pPr>
      <w:r>
        <w:rPr>
          <w:rFonts w:ascii="Arial" w:eastAsia="Arial" w:hAnsi="Arial" w:cs="Arial"/>
          <w:color w:val="000000" w:themeColor="text1"/>
        </w:rPr>
        <w:t>3,12</w:t>
      </w:r>
      <w:r w:rsidRPr="00223BB0">
        <w:rPr>
          <w:rFonts w:ascii="Arial" w:eastAsia="Arial" w:hAnsi="Arial" w:cs="Arial"/>
          <w:color w:val="000000" w:themeColor="text1"/>
        </w:rPr>
        <w:t xml:space="preserve"> millions dollars US en aide alimentaire;</w:t>
      </w:r>
    </w:p>
    <w:p w:rsidR="009A4DF8" w:rsidRDefault="009A4DF8" w:rsidP="00B92B11">
      <w:pPr>
        <w:numPr>
          <w:ilvl w:val="0"/>
          <w:numId w:val="73"/>
        </w:numPr>
        <w:tabs>
          <w:tab w:val="left" w:pos="851"/>
        </w:tabs>
        <w:spacing w:after="0"/>
        <w:ind w:left="360" w:firstLine="207"/>
        <w:jc w:val="both"/>
        <w:rPr>
          <w:rFonts w:ascii="Arial" w:eastAsia="Arial" w:hAnsi="Arial" w:cs="Arial"/>
          <w:color w:val="000000" w:themeColor="text1"/>
        </w:rPr>
      </w:pPr>
      <w:r>
        <w:rPr>
          <w:rFonts w:ascii="Arial" w:eastAsia="Arial" w:hAnsi="Arial" w:cs="Arial"/>
          <w:color w:val="000000" w:themeColor="text1"/>
        </w:rPr>
        <w:t>4,41</w:t>
      </w:r>
      <w:r w:rsidRPr="00223BB0">
        <w:rPr>
          <w:rFonts w:ascii="Arial" w:eastAsia="Arial" w:hAnsi="Arial" w:cs="Arial"/>
          <w:color w:val="000000" w:themeColor="text1"/>
        </w:rPr>
        <w:t xml:space="preserve"> millions dollars US en assistance et secours d’urgence.</w:t>
      </w:r>
    </w:p>
    <w:p w:rsidR="009A4DF8" w:rsidRPr="00223BB0" w:rsidRDefault="009A4DF8" w:rsidP="009A4DF8">
      <w:pPr>
        <w:contextualSpacing/>
        <w:jc w:val="both"/>
        <w:rPr>
          <w:rFonts w:ascii="Arial" w:hAnsi="Arial" w:cs="Arial"/>
          <w:color w:val="000000" w:themeColor="text1"/>
        </w:rPr>
      </w:pPr>
      <w:r w:rsidRPr="00223BB0">
        <w:rPr>
          <w:rFonts w:ascii="Arial" w:hAnsi="Arial" w:cs="Arial"/>
          <w:color w:val="000000" w:themeColor="text1"/>
        </w:rPr>
        <w:br w:type="page"/>
      </w:r>
    </w:p>
    <w:p w:rsidR="009A4DF8" w:rsidRPr="00223BB0" w:rsidRDefault="009A4DF8" w:rsidP="009A4DF8">
      <w:pPr>
        <w:suppressAutoHyphens/>
        <w:rPr>
          <w:rFonts w:ascii="Arial" w:hAnsi="Arial" w:cs="Arial"/>
          <w:b/>
          <w:bCs/>
          <w:color w:val="000000" w:themeColor="text1"/>
          <w:lang w:eastAsia="ar-SA"/>
        </w:rPr>
      </w:pPr>
      <w:r w:rsidRPr="00223BB0">
        <w:rPr>
          <w:rFonts w:ascii="Arial" w:hAnsi="Arial" w:cs="Arial"/>
          <w:b/>
          <w:bCs/>
          <w:color w:val="000000" w:themeColor="text1"/>
          <w:u w:val="single"/>
          <w:lang w:eastAsia="ar-SA"/>
        </w:rPr>
        <w:lastRenderedPageBreak/>
        <w:t>Encadré 3</w:t>
      </w:r>
      <w:r w:rsidRPr="00223BB0">
        <w:rPr>
          <w:rFonts w:ascii="Arial" w:hAnsi="Arial" w:cs="Arial"/>
          <w:b/>
          <w:bCs/>
          <w:color w:val="000000" w:themeColor="text1"/>
          <w:lang w:eastAsia="ar-SA"/>
        </w:rPr>
        <w:t xml:space="preserve"> : Analyse comparée des ordonnancements et des décaissements </w:t>
      </w:r>
    </w:p>
    <w:tbl>
      <w:tblPr>
        <w:tblW w:w="99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23"/>
      </w:tblGrid>
      <w:tr w:rsidR="009A4DF8" w:rsidRPr="00223BB0" w:rsidTr="009A4DF8">
        <w:trPr>
          <w:trHeight w:val="122"/>
        </w:trPr>
        <w:tc>
          <w:tcPr>
            <w:tcW w:w="9923" w:type="dxa"/>
            <w:shd w:val="clear" w:color="auto" w:fill="E6E6E6"/>
          </w:tcPr>
          <w:p w:rsidR="009A4DF8" w:rsidRPr="00223BB0" w:rsidRDefault="009A4DF8" w:rsidP="009A4DF8">
            <w:pPr>
              <w:rPr>
                <w:rFonts w:ascii="Arial" w:hAnsi="Arial" w:cs="Arial"/>
                <w:b/>
                <w:color w:val="000000" w:themeColor="text1"/>
                <w:sz w:val="10"/>
              </w:rPr>
            </w:pPr>
          </w:p>
          <w:p w:rsidR="009A4DF8" w:rsidRPr="00223BB0" w:rsidRDefault="009A4DF8" w:rsidP="009A4DF8">
            <w:pPr>
              <w:jc w:val="both"/>
              <w:rPr>
                <w:rFonts w:ascii="Arial" w:hAnsi="Arial" w:cs="Arial"/>
                <w:i/>
                <w:color w:val="000000" w:themeColor="text1"/>
                <w:lang w:eastAsia="ar-SA"/>
              </w:rPr>
            </w:pPr>
            <w:r w:rsidRPr="00223BB0">
              <w:rPr>
                <w:rFonts w:ascii="Arial" w:hAnsi="Arial" w:cs="Arial"/>
                <w:i/>
                <w:color w:val="000000" w:themeColor="text1"/>
                <w:lang w:eastAsia="ar-SA"/>
              </w:rPr>
              <w:t xml:space="preserve">Les ordonnancements pour l’année 2016 se sont établis à 209,17 milliards de FCFA contre 149,41 milliards de FCFA en 2015, soit un accroissement de 40,00%. Quant aux décaissements, ils ont été évalués à 1 106,11 milliards de FCFA en 2016 contre </w:t>
            </w:r>
            <w:r w:rsidRPr="00223BB0">
              <w:rPr>
                <w:rFonts w:ascii="Arial" w:hAnsi="Arial" w:cs="Arial"/>
                <w:b/>
                <w:bCs/>
                <w:color w:val="000000" w:themeColor="text1"/>
                <w:lang w:eastAsia="fr-CA"/>
              </w:rPr>
              <w:t>618,18</w:t>
            </w:r>
            <w:r w:rsidRPr="00223BB0">
              <w:rPr>
                <w:rFonts w:ascii="Arial" w:hAnsi="Arial" w:cs="Arial"/>
                <w:i/>
                <w:color w:val="000000" w:themeColor="text1"/>
                <w:lang w:eastAsia="ar-SA"/>
              </w:rPr>
              <w:t xml:space="preserve"> milliards de FCFA un an plus tôt, soit une hausse de </w:t>
            </w:r>
            <w:r w:rsidRPr="00223BB0">
              <w:rPr>
                <w:rFonts w:ascii="Arial" w:hAnsi="Arial" w:cs="Arial"/>
                <w:color w:val="000000" w:themeColor="text1"/>
              </w:rPr>
              <w:t>78,93%.</w:t>
            </w:r>
          </w:p>
          <w:p w:rsidR="009A4DF8" w:rsidRPr="00BA488E" w:rsidRDefault="009A4DF8" w:rsidP="00BA488E">
            <w:pPr>
              <w:jc w:val="both"/>
              <w:rPr>
                <w:rFonts w:ascii="Arial" w:hAnsi="Arial" w:cs="Arial"/>
                <w:i/>
                <w:color w:val="000000" w:themeColor="text1"/>
                <w:lang w:eastAsia="ar-SA"/>
              </w:rPr>
            </w:pPr>
            <w:r w:rsidRPr="00223BB0">
              <w:rPr>
                <w:rFonts w:ascii="Arial" w:hAnsi="Arial" w:cs="Arial"/>
                <w:i/>
                <w:color w:val="000000" w:themeColor="text1"/>
                <w:lang w:eastAsia="ar-SA"/>
              </w:rPr>
              <w:t xml:space="preserve">Il se dégage un écart de </w:t>
            </w:r>
            <w:r w:rsidRPr="00223BB0">
              <w:rPr>
                <w:rFonts w:ascii="Arial" w:hAnsi="Arial" w:cs="Arial"/>
                <w:b/>
                <w:bCs/>
                <w:color w:val="000000" w:themeColor="text1"/>
                <w:lang w:eastAsia="fr-CA"/>
              </w:rPr>
              <w:t>896,94</w:t>
            </w:r>
            <w:r w:rsidRPr="00223BB0">
              <w:rPr>
                <w:rFonts w:ascii="Arial" w:hAnsi="Arial" w:cs="Arial"/>
                <w:i/>
                <w:color w:val="000000" w:themeColor="text1"/>
                <w:lang w:eastAsia="ar-SA"/>
              </w:rPr>
              <w:t xml:space="preserve"> milliards de FCFA, soit 81,09% des décaissements en 2016 traduisant un déséquilibre entre les décaissements et les ordonnancements. Ce déséquilibre est plus constaté au niveau des subventions qui totalisent un écart de </w:t>
            </w:r>
            <w:r w:rsidRPr="00223BB0">
              <w:rPr>
                <w:rFonts w:ascii="Arial" w:hAnsi="Arial" w:cs="Arial"/>
                <w:b/>
                <w:bCs/>
                <w:i/>
                <w:iCs/>
                <w:color w:val="000000" w:themeColor="text1"/>
                <w:lang w:eastAsia="fr-CA"/>
              </w:rPr>
              <w:t>678,06</w:t>
            </w:r>
            <w:r w:rsidRPr="00223BB0">
              <w:rPr>
                <w:rFonts w:ascii="Arial" w:hAnsi="Arial" w:cs="Arial"/>
                <w:i/>
                <w:color w:val="000000" w:themeColor="text1"/>
                <w:lang w:eastAsia="ar-SA"/>
              </w:rPr>
              <w:t xml:space="preserve">milliards de FCFA, soit </w:t>
            </w:r>
            <w:r w:rsidRPr="00223BB0">
              <w:rPr>
                <w:rFonts w:ascii="Arial" w:hAnsi="Arial" w:cs="Arial"/>
                <w:b/>
                <w:bCs/>
                <w:color w:val="000000" w:themeColor="text1"/>
                <w:lang w:eastAsia="fr-CA"/>
              </w:rPr>
              <w:t>87,08%</w:t>
            </w:r>
            <w:r w:rsidRPr="00223BB0">
              <w:rPr>
                <w:rFonts w:ascii="Arial" w:hAnsi="Arial" w:cs="Arial"/>
                <w:i/>
                <w:color w:val="000000" w:themeColor="text1"/>
                <w:lang w:eastAsia="ar-SA"/>
              </w:rPr>
              <w:t xml:space="preserve"> correspondant à </w:t>
            </w:r>
            <w:r w:rsidRPr="00223BB0">
              <w:rPr>
                <w:rFonts w:ascii="Arial" w:hAnsi="Arial" w:cs="Arial"/>
                <w:b/>
                <w:bCs/>
                <w:color w:val="000000" w:themeColor="text1"/>
                <w:lang w:eastAsia="fr-CA"/>
              </w:rPr>
              <w:t xml:space="preserve">98,05% </w:t>
            </w:r>
            <w:r w:rsidRPr="00223BB0">
              <w:rPr>
                <w:rFonts w:ascii="Arial" w:hAnsi="Arial" w:cs="Arial"/>
                <w:i/>
                <w:color w:val="000000" w:themeColor="text1"/>
                <w:lang w:eastAsia="ar-SA"/>
              </w:rPr>
              <w:t xml:space="preserve">pour les bilatéraux et </w:t>
            </w:r>
            <w:r w:rsidRPr="00223BB0">
              <w:rPr>
                <w:rFonts w:ascii="Arial" w:hAnsi="Arial" w:cs="Arial"/>
                <w:b/>
                <w:bCs/>
                <w:color w:val="000000" w:themeColor="text1"/>
                <w:lang w:eastAsia="fr-CA"/>
              </w:rPr>
              <w:t>75,91%</w:t>
            </w:r>
            <w:r w:rsidRPr="00223BB0">
              <w:rPr>
                <w:rFonts w:ascii="Arial" w:hAnsi="Arial" w:cs="Arial"/>
                <w:i/>
                <w:color w:val="000000" w:themeColor="text1"/>
                <w:lang w:eastAsia="ar-SA"/>
              </w:rPr>
              <w:t xml:space="preserve"> pour les multilatéraux.</w:t>
            </w:r>
          </w:p>
          <w:p w:rsidR="009A4DF8" w:rsidRDefault="009A4DF8" w:rsidP="009A4DF8">
            <w:pPr>
              <w:rPr>
                <w:rFonts w:ascii="Arial" w:hAnsi="Arial" w:cs="Arial"/>
                <w:i/>
                <w:color w:val="000000" w:themeColor="text1"/>
                <w:lang w:eastAsia="ar-SA"/>
              </w:rPr>
            </w:pPr>
            <w:r w:rsidRPr="00223BB0">
              <w:rPr>
                <w:rFonts w:ascii="Arial" w:hAnsi="Arial" w:cs="Arial"/>
                <w:b/>
                <w:i/>
                <w:color w:val="000000" w:themeColor="text1"/>
                <w:lang w:eastAsia="ar-SA"/>
              </w:rPr>
              <w:t>Comparaison des Ordonnancements et décaissements de l’aide en 201</w:t>
            </w:r>
            <w:r>
              <w:rPr>
                <w:rFonts w:ascii="Arial" w:hAnsi="Arial" w:cs="Arial"/>
                <w:b/>
                <w:i/>
                <w:color w:val="000000" w:themeColor="text1"/>
                <w:lang w:eastAsia="ar-SA"/>
              </w:rPr>
              <w:t xml:space="preserve">6 </w:t>
            </w:r>
            <w:r w:rsidRPr="00223BB0">
              <w:rPr>
                <w:rFonts w:ascii="Arial" w:hAnsi="Arial" w:cs="Arial"/>
                <w:b/>
                <w:i/>
                <w:color w:val="000000" w:themeColor="text1"/>
                <w:lang w:eastAsia="ar-SA"/>
              </w:rPr>
              <w:t>(en milliards de FCFA).</w:t>
            </w:r>
          </w:p>
          <w:tbl>
            <w:tblPr>
              <w:tblW w:w="9782" w:type="dxa"/>
              <w:tblLayout w:type="fixed"/>
              <w:tblCellMar>
                <w:left w:w="70" w:type="dxa"/>
                <w:right w:w="70" w:type="dxa"/>
              </w:tblCellMar>
              <w:tblLook w:val="04A0" w:firstRow="1" w:lastRow="0" w:firstColumn="1" w:lastColumn="0" w:noHBand="0" w:noVBand="1"/>
            </w:tblPr>
            <w:tblGrid>
              <w:gridCol w:w="2052"/>
              <w:gridCol w:w="1181"/>
              <w:gridCol w:w="1229"/>
              <w:gridCol w:w="1191"/>
              <w:gridCol w:w="1152"/>
              <w:gridCol w:w="1191"/>
              <w:gridCol w:w="1786"/>
            </w:tblGrid>
            <w:tr w:rsidR="009A4DF8" w:rsidRPr="00223BB0" w:rsidTr="00475F95">
              <w:trPr>
                <w:trHeight w:val="196"/>
              </w:trPr>
              <w:tc>
                <w:tcPr>
                  <w:tcW w:w="20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475F95">
                  <w:pPr>
                    <w:spacing w:after="0" w:line="240" w:lineRule="auto"/>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Désignation</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9A4DF8" w:rsidRPr="00223BB0" w:rsidRDefault="009A4DF8" w:rsidP="00475F95">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Décaissements Bailleurs (A)</w:t>
                  </w:r>
                </w:p>
              </w:tc>
              <w:tc>
                <w:tcPr>
                  <w:tcW w:w="2343" w:type="dxa"/>
                  <w:gridSpan w:val="2"/>
                  <w:tcBorders>
                    <w:top w:val="single" w:sz="4" w:space="0" w:color="auto"/>
                    <w:left w:val="nil"/>
                    <w:bottom w:val="single" w:sz="4" w:space="0" w:color="auto"/>
                    <w:right w:val="single" w:sz="4" w:space="0" w:color="000000"/>
                  </w:tcBorders>
                  <w:shd w:val="clear" w:color="auto" w:fill="auto"/>
                  <w:vAlign w:val="center"/>
                  <w:hideMark/>
                </w:tcPr>
                <w:p w:rsidR="009A4DF8" w:rsidRPr="00223BB0" w:rsidRDefault="009A4DF8" w:rsidP="00475F95">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Ordonnancements DGTCP (B)</w:t>
                  </w:r>
                </w:p>
              </w:tc>
              <w:tc>
                <w:tcPr>
                  <w:tcW w:w="297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A4DF8" w:rsidRPr="00223BB0" w:rsidRDefault="009A4DF8" w:rsidP="00475F95">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Ecart (A-B) 2016</w:t>
                  </w:r>
                </w:p>
              </w:tc>
            </w:tr>
            <w:tr w:rsidR="009A4DF8" w:rsidRPr="00223BB0" w:rsidTr="00475F95">
              <w:trPr>
                <w:trHeight w:val="592"/>
              </w:trPr>
              <w:tc>
                <w:tcPr>
                  <w:tcW w:w="2052" w:type="dxa"/>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E605A1">
                  <w:pPr>
                    <w:spacing w:after="0"/>
                    <w:rPr>
                      <w:rFonts w:ascii="Arial" w:hAnsi="Arial" w:cs="Arial"/>
                      <w:b/>
                      <w:bCs/>
                      <w:color w:val="000000" w:themeColor="text1"/>
                      <w:lang w:val="fr-CA" w:eastAsia="fr-CA"/>
                    </w:rPr>
                  </w:pPr>
                  <w:r w:rsidRPr="00223BB0">
                    <w:rPr>
                      <w:rFonts w:ascii="Arial" w:hAnsi="Arial" w:cs="Arial"/>
                      <w:b/>
                      <w:bCs/>
                      <w:color w:val="000000" w:themeColor="text1"/>
                      <w:lang w:eastAsia="fr-CA"/>
                    </w:rPr>
                    <w:t> </w:t>
                  </w:r>
                </w:p>
              </w:tc>
              <w:tc>
                <w:tcPr>
                  <w:tcW w:w="1181" w:type="dxa"/>
                  <w:tcBorders>
                    <w:top w:val="nil"/>
                    <w:left w:val="nil"/>
                    <w:bottom w:val="single" w:sz="4" w:space="0" w:color="auto"/>
                    <w:right w:val="single" w:sz="4" w:space="0" w:color="auto"/>
                  </w:tcBorders>
                  <w:shd w:val="clear" w:color="auto" w:fill="auto"/>
                  <w:noWrap/>
                  <w:vAlign w:val="center"/>
                  <w:hideMark/>
                </w:tcPr>
                <w:p w:rsidR="009A4DF8" w:rsidRPr="00E605A1" w:rsidRDefault="009A4DF8" w:rsidP="00E605A1">
                  <w:pPr>
                    <w:spacing w:after="0"/>
                    <w:jc w:val="center"/>
                    <w:rPr>
                      <w:rFonts w:ascii="Arial" w:hAnsi="Arial" w:cs="Arial"/>
                      <w:b/>
                      <w:bCs/>
                      <w:color w:val="000000" w:themeColor="text1"/>
                      <w:lang w:val="fr-CA" w:eastAsia="fr-CA"/>
                    </w:rPr>
                  </w:pPr>
                  <w:r w:rsidRPr="00E605A1">
                    <w:rPr>
                      <w:rFonts w:ascii="Arial" w:hAnsi="Arial" w:cs="Arial"/>
                      <w:b/>
                      <w:bCs/>
                      <w:color w:val="000000" w:themeColor="text1"/>
                      <w:lang w:eastAsia="fr-CA"/>
                    </w:rPr>
                    <w:t>2015</w:t>
                  </w:r>
                </w:p>
              </w:tc>
              <w:tc>
                <w:tcPr>
                  <w:tcW w:w="1229" w:type="dxa"/>
                  <w:tcBorders>
                    <w:top w:val="nil"/>
                    <w:left w:val="nil"/>
                    <w:bottom w:val="single" w:sz="4" w:space="0" w:color="auto"/>
                    <w:right w:val="single" w:sz="4" w:space="0" w:color="auto"/>
                  </w:tcBorders>
                  <w:shd w:val="clear" w:color="auto" w:fill="auto"/>
                  <w:noWrap/>
                  <w:vAlign w:val="center"/>
                  <w:hideMark/>
                </w:tcPr>
                <w:p w:rsidR="009A4DF8" w:rsidRPr="00E605A1" w:rsidRDefault="009A4DF8" w:rsidP="00E605A1">
                  <w:pPr>
                    <w:spacing w:after="0"/>
                    <w:jc w:val="center"/>
                    <w:rPr>
                      <w:rFonts w:ascii="Arial" w:hAnsi="Arial" w:cs="Arial"/>
                      <w:b/>
                      <w:color w:val="000000" w:themeColor="text1"/>
                      <w:lang w:val="fr-CA" w:eastAsia="fr-CA"/>
                    </w:rPr>
                  </w:pPr>
                  <w:r w:rsidRPr="00E605A1">
                    <w:rPr>
                      <w:rFonts w:ascii="Arial" w:hAnsi="Arial" w:cs="Arial"/>
                      <w:b/>
                      <w:color w:val="000000" w:themeColor="text1"/>
                      <w:lang w:val="fr-CA" w:eastAsia="fr-CA"/>
                    </w:rPr>
                    <w:t>2016</w:t>
                  </w:r>
                </w:p>
              </w:tc>
              <w:tc>
                <w:tcPr>
                  <w:tcW w:w="1191" w:type="dxa"/>
                  <w:tcBorders>
                    <w:top w:val="nil"/>
                    <w:left w:val="nil"/>
                    <w:bottom w:val="single" w:sz="4" w:space="0" w:color="auto"/>
                    <w:right w:val="single" w:sz="4" w:space="0" w:color="auto"/>
                  </w:tcBorders>
                  <w:shd w:val="clear" w:color="auto" w:fill="auto"/>
                  <w:noWrap/>
                  <w:vAlign w:val="center"/>
                  <w:hideMark/>
                </w:tcPr>
                <w:p w:rsidR="009A4DF8" w:rsidRPr="00E605A1" w:rsidRDefault="009A4DF8" w:rsidP="00E605A1">
                  <w:pPr>
                    <w:spacing w:after="0"/>
                    <w:jc w:val="center"/>
                    <w:rPr>
                      <w:rFonts w:ascii="Arial" w:hAnsi="Arial" w:cs="Arial"/>
                      <w:b/>
                      <w:bCs/>
                      <w:color w:val="000000" w:themeColor="text1"/>
                      <w:lang w:val="fr-CA" w:eastAsia="fr-CA"/>
                    </w:rPr>
                  </w:pPr>
                  <w:r w:rsidRPr="00E605A1">
                    <w:rPr>
                      <w:rFonts w:ascii="Arial" w:hAnsi="Arial" w:cs="Arial"/>
                      <w:b/>
                      <w:bCs/>
                      <w:color w:val="000000" w:themeColor="text1"/>
                      <w:lang w:eastAsia="fr-CA"/>
                    </w:rPr>
                    <w:t>2015</w:t>
                  </w:r>
                </w:p>
              </w:tc>
              <w:tc>
                <w:tcPr>
                  <w:tcW w:w="1152" w:type="dxa"/>
                  <w:tcBorders>
                    <w:top w:val="nil"/>
                    <w:left w:val="nil"/>
                    <w:bottom w:val="single" w:sz="4" w:space="0" w:color="auto"/>
                    <w:right w:val="single" w:sz="4" w:space="0" w:color="auto"/>
                  </w:tcBorders>
                  <w:shd w:val="clear" w:color="auto" w:fill="auto"/>
                  <w:noWrap/>
                  <w:vAlign w:val="center"/>
                  <w:hideMark/>
                </w:tcPr>
                <w:p w:rsidR="009A4DF8" w:rsidRPr="00E605A1" w:rsidRDefault="009A4DF8" w:rsidP="00E605A1">
                  <w:pPr>
                    <w:spacing w:after="0"/>
                    <w:jc w:val="center"/>
                    <w:rPr>
                      <w:rFonts w:ascii="Arial" w:hAnsi="Arial" w:cs="Arial"/>
                      <w:b/>
                      <w:bCs/>
                      <w:color w:val="000000" w:themeColor="text1"/>
                      <w:lang w:val="fr-CA" w:eastAsia="fr-CA"/>
                    </w:rPr>
                  </w:pPr>
                  <w:r w:rsidRPr="00E605A1">
                    <w:rPr>
                      <w:rFonts w:ascii="Arial" w:hAnsi="Arial" w:cs="Arial"/>
                      <w:b/>
                      <w:bCs/>
                      <w:color w:val="000000" w:themeColor="text1"/>
                      <w:lang w:val="fr-CA" w:eastAsia="fr-CA"/>
                    </w:rPr>
                    <w:t>2016</w:t>
                  </w:r>
                </w:p>
              </w:tc>
              <w:tc>
                <w:tcPr>
                  <w:tcW w:w="1191" w:type="dxa"/>
                  <w:tcBorders>
                    <w:top w:val="nil"/>
                    <w:left w:val="nil"/>
                    <w:bottom w:val="single" w:sz="4" w:space="0" w:color="auto"/>
                    <w:right w:val="single" w:sz="4" w:space="0" w:color="auto"/>
                  </w:tcBorders>
                  <w:shd w:val="clear" w:color="auto" w:fill="auto"/>
                  <w:noWrap/>
                  <w:vAlign w:val="center"/>
                  <w:hideMark/>
                </w:tcPr>
                <w:p w:rsidR="009A4DF8" w:rsidRPr="00E605A1" w:rsidRDefault="009A4DF8" w:rsidP="00E605A1">
                  <w:pPr>
                    <w:spacing w:after="0"/>
                    <w:jc w:val="center"/>
                    <w:rPr>
                      <w:rFonts w:ascii="Arial" w:hAnsi="Arial" w:cs="Arial"/>
                      <w:b/>
                      <w:bCs/>
                      <w:color w:val="000000" w:themeColor="text1"/>
                      <w:lang w:val="fr-CA" w:eastAsia="fr-CA"/>
                    </w:rPr>
                  </w:pPr>
                  <w:r w:rsidRPr="00E605A1">
                    <w:rPr>
                      <w:rFonts w:ascii="Arial" w:hAnsi="Arial" w:cs="Arial"/>
                      <w:b/>
                      <w:bCs/>
                      <w:color w:val="000000" w:themeColor="text1"/>
                      <w:lang w:eastAsia="fr-CA"/>
                    </w:rPr>
                    <w:t>Montant</w:t>
                  </w:r>
                </w:p>
              </w:tc>
              <w:tc>
                <w:tcPr>
                  <w:tcW w:w="1786" w:type="dxa"/>
                  <w:tcBorders>
                    <w:top w:val="nil"/>
                    <w:left w:val="nil"/>
                    <w:bottom w:val="single" w:sz="4" w:space="0" w:color="auto"/>
                    <w:right w:val="single" w:sz="4" w:space="0" w:color="auto"/>
                  </w:tcBorders>
                  <w:shd w:val="clear" w:color="auto" w:fill="auto"/>
                  <w:vAlign w:val="center"/>
                  <w:hideMark/>
                </w:tcPr>
                <w:p w:rsidR="009A4DF8" w:rsidRPr="00E605A1" w:rsidRDefault="009A4DF8" w:rsidP="00E605A1">
                  <w:pPr>
                    <w:spacing w:after="0"/>
                    <w:jc w:val="center"/>
                    <w:rPr>
                      <w:rFonts w:ascii="Arial" w:hAnsi="Arial" w:cs="Arial"/>
                      <w:b/>
                      <w:bCs/>
                      <w:color w:val="000000" w:themeColor="text1"/>
                      <w:lang w:val="fr-CA" w:eastAsia="fr-CA"/>
                    </w:rPr>
                  </w:pPr>
                  <w:r w:rsidRPr="00E605A1">
                    <w:rPr>
                      <w:rFonts w:ascii="Arial" w:hAnsi="Arial" w:cs="Arial"/>
                      <w:b/>
                      <w:bCs/>
                      <w:color w:val="000000" w:themeColor="text1"/>
                      <w:lang w:eastAsia="fr-CA"/>
                    </w:rPr>
                    <w:t>% des décaissements</w:t>
                  </w:r>
                </w:p>
              </w:tc>
            </w:tr>
            <w:tr w:rsidR="009A4DF8" w:rsidRPr="00223BB0" w:rsidTr="00475F95">
              <w:trPr>
                <w:trHeight w:val="196"/>
              </w:trPr>
              <w:tc>
                <w:tcPr>
                  <w:tcW w:w="2052" w:type="dxa"/>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E605A1">
                  <w:pPr>
                    <w:spacing w:after="0"/>
                    <w:rPr>
                      <w:rFonts w:ascii="Arial" w:hAnsi="Arial" w:cs="Arial"/>
                      <w:b/>
                      <w:bCs/>
                      <w:color w:val="000000" w:themeColor="text1"/>
                      <w:lang w:val="fr-CA" w:eastAsia="fr-CA"/>
                    </w:rPr>
                  </w:pPr>
                  <w:r w:rsidRPr="00223BB0">
                    <w:rPr>
                      <w:rFonts w:ascii="Arial" w:hAnsi="Arial" w:cs="Arial"/>
                      <w:b/>
                      <w:bCs/>
                      <w:color w:val="000000" w:themeColor="text1"/>
                      <w:lang w:eastAsia="fr-CA"/>
                    </w:rPr>
                    <w:t>PRÊTS</w:t>
                  </w:r>
                </w:p>
              </w:tc>
              <w:tc>
                <w:tcPr>
                  <w:tcW w:w="1181" w:type="dxa"/>
                  <w:tcBorders>
                    <w:top w:val="nil"/>
                    <w:left w:val="nil"/>
                    <w:bottom w:val="single" w:sz="4" w:space="0" w:color="auto"/>
                    <w:right w:val="single" w:sz="4" w:space="0" w:color="auto"/>
                  </w:tcBorders>
                  <w:shd w:val="clear" w:color="000000" w:fill="D9D9D9"/>
                  <w:vAlign w:val="center"/>
                  <w:hideMark/>
                </w:tcPr>
                <w:p w:rsidR="009A4DF8" w:rsidRPr="00223BB0" w:rsidRDefault="009A4DF8" w:rsidP="00E605A1">
                  <w:pPr>
                    <w:spacing w:after="0"/>
                    <w:jc w:val="center"/>
                    <w:rPr>
                      <w:rFonts w:ascii="Arial" w:hAnsi="Arial" w:cs="Arial"/>
                      <w:b/>
                      <w:bCs/>
                      <w:i/>
                      <w:iCs/>
                      <w:color w:val="000000" w:themeColor="text1"/>
                      <w:lang w:val="fr-CA" w:eastAsia="fr-CA"/>
                    </w:rPr>
                  </w:pPr>
                  <w:r w:rsidRPr="00223BB0">
                    <w:rPr>
                      <w:rFonts w:ascii="Arial" w:hAnsi="Arial" w:cs="Arial"/>
                      <w:b/>
                      <w:bCs/>
                      <w:i/>
                      <w:iCs/>
                      <w:color w:val="000000" w:themeColor="text1"/>
                      <w:lang w:eastAsia="fr-CA"/>
                    </w:rPr>
                    <w:t>164,39</w:t>
                  </w:r>
                </w:p>
              </w:tc>
              <w:tc>
                <w:tcPr>
                  <w:tcW w:w="1229"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327,45</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i/>
                      <w:iCs/>
                      <w:color w:val="000000" w:themeColor="text1"/>
                      <w:lang w:val="fr-CA" w:eastAsia="fr-CA"/>
                    </w:rPr>
                  </w:pPr>
                  <w:r w:rsidRPr="00223BB0">
                    <w:rPr>
                      <w:rFonts w:ascii="Arial" w:hAnsi="Arial" w:cs="Arial"/>
                      <w:b/>
                      <w:bCs/>
                      <w:i/>
                      <w:iCs/>
                      <w:color w:val="000000" w:themeColor="text1"/>
                      <w:lang w:eastAsia="fr-CA"/>
                    </w:rPr>
                    <w:t>43,50</w:t>
                  </w:r>
                </w:p>
              </w:tc>
              <w:tc>
                <w:tcPr>
                  <w:tcW w:w="1152" w:type="dxa"/>
                  <w:tcBorders>
                    <w:top w:val="nil"/>
                    <w:left w:val="nil"/>
                    <w:bottom w:val="single" w:sz="4" w:space="0" w:color="auto"/>
                    <w:right w:val="single" w:sz="4" w:space="0" w:color="auto"/>
                  </w:tcBorders>
                  <w:shd w:val="clear" w:color="000000" w:fill="D9D9D9"/>
                  <w:vAlign w:val="center"/>
                  <w:hideMark/>
                </w:tcPr>
                <w:p w:rsidR="009A4DF8" w:rsidRPr="00223BB0" w:rsidRDefault="009A4DF8" w:rsidP="00E605A1">
                  <w:pPr>
                    <w:spacing w:after="0"/>
                    <w:jc w:val="center"/>
                    <w:rPr>
                      <w:rFonts w:ascii="Arial" w:hAnsi="Arial" w:cs="Arial"/>
                      <w:b/>
                      <w:bCs/>
                      <w:i/>
                      <w:iCs/>
                      <w:color w:val="000000" w:themeColor="text1"/>
                      <w:lang w:val="fr-CA" w:eastAsia="fr-CA"/>
                    </w:rPr>
                  </w:pPr>
                  <w:r w:rsidRPr="00223BB0">
                    <w:rPr>
                      <w:rFonts w:ascii="Arial" w:hAnsi="Arial" w:cs="Arial"/>
                      <w:b/>
                      <w:bCs/>
                      <w:i/>
                      <w:iCs/>
                      <w:color w:val="000000" w:themeColor="text1"/>
                      <w:lang w:val="fr-CA" w:eastAsia="fr-CA"/>
                    </w:rPr>
                    <w:t>108,58</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i/>
                      <w:iCs/>
                      <w:color w:val="000000" w:themeColor="text1"/>
                      <w:lang w:val="fr-CA" w:eastAsia="fr-CA"/>
                    </w:rPr>
                  </w:pPr>
                  <w:r w:rsidRPr="00223BB0">
                    <w:rPr>
                      <w:rFonts w:ascii="Arial" w:hAnsi="Arial" w:cs="Arial"/>
                      <w:b/>
                      <w:bCs/>
                      <w:i/>
                      <w:iCs/>
                      <w:color w:val="000000" w:themeColor="text1"/>
                      <w:lang w:eastAsia="fr-CA"/>
                    </w:rPr>
                    <w:t>218,88</w:t>
                  </w:r>
                </w:p>
              </w:tc>
              <w:tc>
                <w:tcPr>
                  <w:tcW w:w="1786"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66,84%</w:t>
                  </w:r>
                </w:p>
              </w:tc>
            </w:tr>
            <w:tr w:rsidR="009A4DF8" w:rsidRPr="00223BB0" w:rsidTr="00475F95">
              <w:trPr>
                <w:trHeight w:val="196"/>
              </w:trPr>
              <w:tc>
                <w:tcPr>
                  <w:tcW w:w="2052" w:type="dxa"/>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E605A1">
                  <w:pPr>
                    <w:spacing w:after="0"/>
                    <w:rPr>
                      <w:rFonts w:ascii="Arial" w:hAnsi="Arial" w:cs="Arial"/>
                      <w:color w:val="000000" w:themeColor="text1"/>
                      <w:lang w:val="fr-CA" w:eastAsia="fr-CA"/>
                    </w:rPr>
                  </w:pPr>
                  <w:r w:rsidRPr="00223BB0">
                    <w:rPr>
                      <w:rFonts w:ascii="Arial" w:hAnsi="Arial" w:cs="Arial"/>
                      <w:color w:val="000000" w:themeColor="text1"/>
                      <w:lang w:eastAsia="fr-CA"/>
                    </w:rPr>
                    <w:t>Multilatéral</w:t>
                  </w:r>
                </w:p>
              </w:tc>
              <w:tc>
                <w:tcPr>
                  <w:tcW w:w="1181" w:type="dxa"/>
                  <w:tcBorders>
                    <w:top w:val="nil"/>
                    <w:left w:val="nil"/>
                    <w:bottom w:val="single" w:sz="4" w:space="0" w:color="auto"/>
                    <w:right w:val="single" w:sz="4" w:space="0" w:color="auto"/>
                  </w:tcBorders>
                  <w:shd w:val="clear" w:color="000000" w:fill="D9D9D9"/>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137,08</w:t>
                  </w:r>
                </w:p>
              </w:tc>
              <w:tc>
                <w:tcPr>
                  <w:tcW w:w="1229"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52,69</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40,18</w:t>
                  </w:r>
                </w:p>
              </w:tc>
              <w:tc>
                <w:tcPr>
                  <w:tcW w:w="1152" w:type="dxa"/>
                  <w:tcBorders>
                    <w:top w:val="nil"/>
                    <w:left w:val="nil"/>
                    <w:bottom w:val="single" w:sz="4" w:space="0" w:color="auto"/>
                    <w:right w:val="single" w:sz="4" w:space="0" w:color="auto"/>
                  </w:tcBorders>
                  <w:shd w:val="clear" w:color="000000" w:fill="D9D9D9"/>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108,58</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-55,89</w:t>
                  </w:r>
                </w:p>
              </w:tc>
              <w:tc>
                <w:tcPr>
                  <w:tcW w:w="1786"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-106,08%</w:t>
                  </w:r>
                </w:p>
              </w:tc>
            </w:tr>
            <w:tr w:rsidR="009A4DF8" w:rsidRPr="00223BB0" w:rsidTr="00475F95">
              <w:trPr>
                <w:trHeight w:val="196"/>
              </w:trPr>
              <w:tc>
                <w:tcPr>
                  <w:tcW w:w="2052" w:type="dxa"/>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E605A1">
                  <w:pPr>
                    <w:spacing w:after="0"/>
                    <w:rPr>
                      <w:rFonts w:ascii="Arial" w:hAnsi="Arial" w:cs="Arial"/>
                      <w:color w:val="000000" w:themeColor="text1"/>
                      <w:lang w:val="fr-CA" w:eastAsia="fr-CA"/>
                    </w:rPr>
                  </w:pPr>
                  <w:r w:rsidRPr="00223BB0">
                    <w:rPr>
                      <w:rFonts w:ascii="Arial" w:hAnsi="Arial" w:cs="Arial"/>
                      <w:color w:val="000000" w:themeColor="text1"/>
                      <w:lang w:eastAsia="fr-CA"/>
                    </w:rPr>
                    <w:t>Bilatéral</w:t>
                  </w:r>
                </w:p>
              </w:tc>
              <w:tc>
                <w:tcPr>
                  <w:tcW w:w="1181" w:type="dxa"/>
                  <w:tcBorders>
                    <w:top w:val="nil"/>
                    <w:left w:val="nil"/>
                    <w:bottom w:val="single" w:sz="4" w:space="0" w:color="auto"/>
                    <w:right w:val="single" w:sz="4" w:space="0" w:color="auto"/>
                  </w:tcBorders>
                  <w:shd w:val="clear" w:color="000000" w:fill="D9D9D9"/>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27,31</w:t>
                  </w:r>
                </w:p>
              </w:tc>
              <w:tc>
                <w:tcPr>
                  <w:tcW w:w="1229"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274,77</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3,32</w:t>
                  </w:r>
                </w:p>
              </w:tc>
              <w:tc>
                <w:tcPr>
                  <w:tcW w:w="1152" w:type="dxa"/>
                  <w:tcBorders>
                    <w:top w:val="nil"/>
                    <w:left w:val="nil"/>
                    <w:bottom w:val="single" w:sz="4" w:space="0" w:color="auto"/>
                    <w:right w:val="single" w:sz="4" w:space="0" w:color="auto"/>
                  </w:tcBorders>
                  <w:shd w:val="clear" w:color="000000" w:fill="D9D9D9"/>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0,00</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274,77</w:t>
                  </w:r>
                </w:p>
              </w:tc>
              <w:tc>
                <w:tcPr>
                  <w:tcW w:w="1786"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100,00%</w:t>
                  </w:r>
                </w:p>
              </w:tc>
            </w:tr>
            <w:tr w:rsidR="009A4DF8" w:rsidRPr="00223BB0" w:rsidTr="00475F95">
              <w:trPr>
                <w:trHeight w:val="196"/>
              </w:trPr>
              <w:tc>
                <w:tcPr>
                  <w:tcW w:w="2052" w:type="dxa"/>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E605A1">
                  <w:pPr>
                    <w:spacing w:after="0"/>
                    <w:rPr>
                      <w:rFonts w:ascii="Arial" w:hAnsi="Arial" w:cs="Arial"/>
                      <w:b/>
                      <w:bCs/>
                      <w:color w:val="000000" w:themeColor="text1"/>
                      <w:lang w:val="fr-CA" w:eastAsia="fr-CA"/>
                    </w:rPr>
                  </w:pPr>
                  <w:r w:rsidRPr="00223BB0">
                    <w:rPr>
                      <w:rFonts w:ascii="Arial" w:hAnsi="Arial" w:cs="Arial"/>
                      <w:b/>
                      <w:bCs/>
                      <w:color w:val="000000" w:themeColor="text1"/>
                      <w:lang w:eastAsia="fr-CA"/>
                    </w:rPr>
                    <w:t>SUBVENTIONS</w:t>
                  </w:r>
                </w:p>
              </w:tc>
              <w:tc>
                <w:tcPr>
                  <w:tcW w:w="1181" w:type="dxa"/>
                  <w:tcBorders>
                    <w:top w:val="nil"/>
                    <w:left w:val="nil"/>
                    <w:bottom w:val="single" w:sz="4" w:space="0" w:color="auto"/>
                    <w:right w:val="single" w:sz="4" w:space="0" w:color="auto"/>
                  </w:tcBorders>
                  <w:shd w:val="clear" w:color="000000" w:fill="D9D9D9"/>
                  <w:vAlign w:val="center"/>
                  <w:hideMark/>
                </w:tcPr>
                <w:p w:rsidR="009A4DF8" w:rsidRPr="00223BB0" w:rsidRDefault="009A4DF8" w:rsidP="00E605A1">
                  <w:pPr>
                    <w:spacing w:after="0"/>
                    <w:jc w:val="center"/>
                    <w:rPr>
                      <w:rFonts w:ascii="Arial" w:hAnsi="Arial" w:cs="Arial"/>
                      <w:b/>
                      <w:bCs/>
                      <w:i/>
                      <w:iCs/>
                      <w:color w:val="000000" w:themeColor="text1"/>
                      <w:lang w:val="fr-CA" w:eastAsia="fr-CA"/>
                    </w:rPr>
                  </w:pPr>
                  <w:r w:rsidRPr="00223BB0">
                    <w:rPr>
                      <w:rFonts w:ascii="Arial" w:hAnsi="Arial" w:cs="Arial"/>
                      <w:b/>
                      <w:bCs/>
                      <w:i/>
                      <w:iCs/>
                      <w:color w:val="000000" w:themeColor="text1"/>
                      <w:lang w:eastAsia="fr-CA"/>
                    </w:rPr>
                    <w:t>453,79</w:t>
                  </w:r>
                </w:p>
              </w:tc>
              <w:tc>
                <w:tcPr>
                  <w:tcW w:w="1229"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778,66</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i/>
                      <w:iCs/>
                      <w:color w:val="000000" w:themeColor="text1"/>
                      <w:lang w:val="fr-CA" w:eastAsia="fr-CA"/>
                    </w:rPr>
                  </w:pPr>
                  <w:r w:rsidRPr="00223BB0">
                    <w:rPr>
                      <w:rFonts w:ascii="Arial" w:hAnsi="Arial" w:cs="Arial"/>
                      <w:b/>
                      <w:bCs/>
                      <w:i/>
                      <w:iCs/>
                      <w:color w:val="000000" w:themeColor="text1"/>
                      <w:lang w:eastAsia="fr-CA"/>
                    </w:rPr>
                    <w:t>105,91</w:t>
                  </w:r>
                </w:p>
              </w:tc>
              <w:tc>
                <w:tcPr>
                  <w:tcW w:w="1152" w:type="dxa"/>
                  <w:tcBorders>
                    <w:top w:val="nil"/>
                    <w:left w:val="nil"/>
                    <w:bottom w:val="single" w:sz="4" w:space="0" w:color="auto"/>
                    <w:right w:val="single" w:sz="4" w:space="0" w:color="auto"/>
                  </w:tcBorders>
                  <w:shd w:val="clear" w:color="000000" w:fill="D9D9D9"/>
                  <w:vAlign w:val="center"/>
                  <w:hideMark/>
                </w:tcPr>
                <w:p w:rsidR="009A4DF8" w:rsidRPr="00223BB0" w:rsidRDefault="009A4DF8" w:rsidP="00E605A1">
                  <w:pPr>
                    <w:spacing w:after="0"/>
                    <w:jc w:val="center"/>
                    <w:rPr>
                      <w:rFonts w:ascii="Arial" w:hAnsi="Arial" w:cs="Arial"/>
                      <w:b/>
                      <w:bCs/>
                      <w:i/>
                      <w:iCs/>
                      <w:color w:val="000000" w:themeColor="text1"/>
                      <w:lang w:val="fr-CA" w:eastAsia="fr-CA"/>
                    </w:rPr>
                  </w:pPr>
                  <w:r w:rsidRPr="00223BB0">
                    <w:rPr>
                      <w:rFonts w:ascii="Arial" w:hAnsi="Arial" w:cs="Arial"/>
                      <w:b/>
                      <w:bCs/>
                      <w:i/>
                      <w:iCs/>
                      <w:color w:val="000000" w:themeColor="text1"/>
                      <w:lang w:val="fr-CA" w:eastAsia="fr-CA"/>
                    </w:rPr>
                    <w:t>100,60</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i/>
                      <w:iCs/>
                      <w:color w:val="000000" w:themeColor="text1"/>
                      <w:lang w:val="fr-CA" w:eastAsia="fr-CA"/>
                    </w:rPr>
                  </w:pPr>
                  <w:r w:rsidRPr="00223BB0">
                    <w:rPr>
                      <w:rFonts w:ascii="Arial" w:hAnsi="Arial" w:cs="Arial"/>
                      <w:b/>
                      <w:bCs/>
                      <w:i/>
                      <w:iCs/>
                      <w:color w:val="000000" w:themeColor="text1"/>
                      <w:lang w:eastAsia="fr-CA"/>
                    </w:rPr>
                    <w:t>678,06</w:t>
                  </w:r>
                </w:p>
              </w:tc>
              <w:tc>
                <w:tcPr>
                  <w:tcW w:w="1786"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87,08%</w:t>
                  </w:r>
                </w:p>
              </w:tc>
            </w:tr>
            <w:tr w:rsidR="009A4DF8" w:rsidRPr="00223BB0" w:rsidTr="00475F95">
              <w:trPr>
                <w:trHeight w:val="196"/>
              </w:trPr>
              <w:tc>
                <w:tcPr>
                  <w:tcW w:w="2052" w:type="dxa"/>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E605A1">
                  <w:pPr>
                    <w:spacing w:after="0"/>
                    <w:rPr>
                      <w:rFonts w:ascii="Arial" w:hAnsi="Arial" w:cs="Arial"/>
                      <w:color w:val="000000" w:themeColor="text1"/>
                      <w:lang w:val="fr-CA" w:eastAsia="fr-CA"/>
                    </w:rPr>
                  </w:pPr>
                  <w:r w:rsidRPr="00223BB0">
                    <w:rPr>
                      <w:rFonts w:ascii="Arial" w:hAnsi="Arial" w:cs="Arial"/>
                      <w:color w:val="000000" w:themeColor="text1"/>
                      <w:lang w:eastAsia="fr-CA"/>
                    </w:rPr>
                    <w:t>Multilatéral</w:t>
                  </w:r>
                </w:p>
              </w:tc>
              <w:tc>
                <w:tcPr>
                  <w:tcW w:w="1181" w:type="dxa"/>
                  <w:tcBorders>
                    <w:top w:val="nil"/>
                    <w:left w:val="nil"/>
                    <w:bottom w:val="single" w:sz="4" w:space="0" w:color="auto"/>
                    <w:right w:val="single" w:sz="4" w:space="0" w:color="auto"/>
                  </w:tcBorders>
                  <w:shd w:val="clear" w:color="000000" w:fill="D9D9D9"/>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239,14</w:t>
                  </w:r>
                </w:p>
              </w:tc>
              <w:tc>
                <w:tcPr>
                  <w:tcW w:w="1229"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385,89</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49,66</w:t>
                  </w:r>
                </w:p>
              </w:tc>
              <w:tc>
                <w:tcPr>
                  <w:tcW w:w="1152" w:type="dxa"/>
                  <w:tcBorders>
                    <w:top w:val="nil"/>
                    <w:left w:val="nil"/>
                    <w:bottom w:val="single" w:sz="4" w:space="0" w:color="auto"/>
                    <w:right w:val="single" w:sz="4" w:space="0" w:color="auto"/>
                  </w:tcBorders>
                  <w:shd w:val="clear" w:color="000000" w:fill="D9D9D9"/>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92,95</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292,94</w:t>
                  </w:r>
                </w:p>
              </w:tc>
              <w:tc>
                <w:tcPr>
                  <w:tcW w:w="1786"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75,91%</w:t>
                  </w:r>
                </w:p>
              </w:tc>
            </w:tr>
            <w:tr w:rsidR="009A4DF8" w:rsidRPr="00223BB0" w:rsidTr="00475F95">
              <w:trPr>
                <w:trHeight w:val="196"/>
              </w:trPr>
              <w:tc>
                <w:tcPr>
                  <w:tcW w:w="2052" w:type="dxa"/>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E605A1">
                  <w:pPr>
                    <w:spacing w:after="0"/>
                    <w:rPr>
                      <w:rFonts w:ascii="Arial" w:hAnsi="Arial" w:cs="Arial"/>
                      <w:color w:val="000000" w:themeColor="text1"/>
                      <w:lang w:val="fr-CA" w:eastAsia="fr-CA"/>
                    </w:rPr>
                  </w:pPr>
                  <w:r w:rsidRPr="00223BB0">
                    <w:rPr>
                      <w:rFonts w:ascii="Arial" w:hAnsi="Arial" w:cs="Arial"/>
                      <w:color w:val="000000" w:themeColor="text1"/>
                      <w:lang w:eastAsia="fr-CA"/>
                    </w:rPr>
                    <w:t>Bilatéral</w:t>
                  </w:r>
                </w:p>
              </w:tc>
              <w:tc>
                <w:tcPr>
                  <w:tcW w:w="1181"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214,65</w:t>
                  </w:r>
                </w:p>
              </w:tc>
              <w:tc>
                <w:tcPr>
                  <w:tcW w:w="1229"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392,77</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56,25</w:t>
                  </w:r>
                </w:p>
              </w:tc>
              <w:tc>
                <w:tcPr>
                  <w:tcW w:w="1152"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7,65</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eastAsia="fr-CA"/>
                    </w:rPr>
                    <w:t>385,12</w:t>
                  </w:r>
                </w:p>
              </w:tc>
              <w:tc>
                <w:tcPr>
                  <w:tcW w:w="1786"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98,05%</w:t>
                  </w:r>
                </w:p>
              </w:tc>
            </w:tr>
            <w:tr w:rsidR="009A4DF8" w:rsidRPr="00223BB0" w:rsidTr="00475F95">
              <w:trPr>
                <w:trHeight w:val="196"/>
              </w:trPr>
              <w:tc>
                <w:tcPr>
                  <w:tcW w:w="2052" w:type="dxa"/>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E605A1">
                  <w:pPr>
                    <w:spacing w:after="0"/>
                    <w:rPr>
                      <w:rFonts w:ascii="Arial" w:hAnsi="Arial" w:cs="Arial"/>
                      <w:b/>
                      <w:bCs/>
                      <w:color w:val="000000" w:themeColor="text1"/>
                      <w:lang w:val="fr-CA" w:eastAsia="fr-CA"/>
                    </w:rPr>
                  </w:pPr>
                  <w:r w:rsidRPr="00223BB0">
                    <w:rPr>
                      <w:rFonts w:ascii="Arial" w:hAnsi="Arial" w:cs="Arial"/>
                      <w:b/>
                      <w:bCs/>
                      <w:color w:val="000000" w:themeColor="text1"/>
                      <w:lang w:eastAsia="fr-CA"/>
                    </w:rPr>
                    <w:t>TOTAL GENERAL</w:t>
                  </w:r>
                </w:p>
              </w:tc>
              <w:tc>
                <w:tcPr>
                  <w:tcW w:w="118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618,18</w:t>
                  </w:r>
                </w:p>
              </w:tc>
              <w:tc>
                <w:tcPr>
                  <w:tcW w:w="1229"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E605A1">
                  <w:pPr>
                    <w:spacing w:after="0"/>
                    <w:jc w:val="center"/>
                    <w:rPr>
                      <w:rFonts w:ascii="Arial" w:hAnsi="Arial" w:cs="Arial"/>
                      <w:color w:val="000000" w:themeColor="text1"/>
                      <w:lang w:val="fr-CA" w:eastAsia="fr-CA"/>
                    </w:rPr>
                  </w:pPr>
                  <w:r w:rsidRPr="00223BB0">
                    <w:rPr>
                      <w:rFonts w:ascii="Arial" w:hAnsi="Arial" w:cs="Arial"/>
                      <w:color w:val="000000" w:themeColor="text1"/>
                      <w:lang w:val="fr-CA" w:eastAsia="fr-CA"/>
                    </w:rPr>
                    <w:t>1106,11</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149,41</w:t>
                  </w:r>
                </w:p>
              </w:tc>
              <w:tc>
                <w:tcPr>
                  <w:tcW w:w="1152"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val="fr-CA" w:eastAsia="fr-CA"/>
                    </w:rPr>
                    <w:t>209,17</w:t>
                  </w:r>
                </w:p>
              </w:tc>
              <w:tc>
                <w:tcPr>
                  <w:tcW w:w="1191"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896,94</w:t>
                  </w:r>
                </w:p>
              </w:tc>
              <w:tc>
                <w:tcPr>
                  <w:tcW w:w="1786"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E605A1">
                  <w:pPr>
                    <w:spacing w:after="0"/>
                    <w:jc w:val="center"/>
                    <w:rPr>
                      <w:rFonts w:ascii="Arial" w:hAnsi="Arial" w:cs="Arial"/>
                      <w:b/>
                      <w:bCs/>
                      <w:color w:val="000000" w:themeColor="text1"/>
                      <w:lang w:val="fr-CA" w:eastAsia="fr-CA"/>
                    </w:rPr>
                  </w:pPr>
                  <w:r w:rsidRPr="00223BB0">
                    <w:rPr>
                      <w:rFonts w:ascii="Arial" w:hAnsi="Arial" w:cs="Arial"/>
                      <w:b/>
                      <w:bCs/>
                      <w:color w:val="000000" w:themeColor="text1"/>
                      <w:lang w:eastAsia="fr-CA"/>
                    </w:rPr>
                    <w:t>81,09%</w:t>
                  </w:r>
                </w:p>
              </w:tc>
            </w:tr>
          </w:tbl>
          <w:p w:rsidR="009A4DF8" w:rsidRPr="00223BB0" w:rsidRDefault="009A4DF8" w:rsidP="009A4DF8">
            <w:pPr>
              <w:jc w:val="both"/>
              <w:rPr>
                <w:rFonts w:ascii="Arial" w:hAnsi="Arial" w:cs="Arial"/>
                <w:i/>
                <w:color w:val="000000" w:themeColor="text1"/>
                <w:lang w:eastAsia="ar-SA"/>
              </w:rPr>
            </w:pPr>
            <w:r w:rsidRPr="00223BB0">
              <w:rPr>
                <w:rFonts w:ascii="Arial" w:hAnsi="Arial" w:cs="Arial"/>
                <w:b/>
                <w:i/>
                <w:color w:val="000000" w:themeColor="text1"/>
                <w:sz w:val="18"/>
                <w:szCs w:val="18"/>
                <w:u w:val="single"/>
                <w:lang w:eastAsia="ar-SA"/>
              </w:rPr>
              <w:t>Source</w:t>
            </w:r>
            <w:r w:rsidRPr="00223BB0">
              <w:rPr>
                <w:rFonts w:ascii="Arial" w:hAnsi="Arial" w:cs="Arial"/>
                <w:b/>
                <w:i/>
                <w:color w:val="000000" w:themeColor="text1"/>
                <w:sz w:val="18"/>
                <w:szCs w:val="18"/>
                <w:lang w:eastAsia="ar-SA"/>
              </w:rPr>
              <w:t xml:space="preserve"> : </w:t>
            </w:r>
            <w:r w:rsidRPr="00223BB0">
              <w:rPr>
                <w:rFonts w:ascii="Arial" w:hAnsi="Arial" w:cs="Arial"/>
                <w:i/>
                <w:color w:val="000000" w:themeColor="text1"/>
                <w:sz w:val="18"/>
                <w:szCs w:val="18"/>
                <w:lang w:eastAsia="ar-SA"/>
              </w:rPr>
              <w:t>DGCOOP/DGTCP, Juillet 201</w:t>
            </w:r>
            <w:r>
              <w:rPr>
                <w:rFonts w:ascii="Arial" w:hAnsi="Arial" w:cs="Arial"/>
                <w:i/>
                <w:color w:val="000000" w:themeColor="text1"/>
                <w:sz w:val="18"/>
                <w:szCs w:val="18"/>
                <w:lang w:eastAsia="ar-SA"/>
              </w:rPr>
              <w:t>7</w:t>
            </w:r>
          </w:p>
          <w:p w:rsidR="009A4DF8" w:rsidRPr="00223BB0" w:rsidRDefault="009A4DF8" w:rsidP="009A4DF8">
            <w:pPr>
              <w:jc w:val="both"/>
              <w:rPr>
                <w:rFonts w:ascii="Arial" w:hAnsi="Arial" w:cs="Arial"/>
                <w:i/>
                <w:color w:val="000000" w:themeColor="text1"/>
                <w:lang w:eastAsia="ar-SA"/>
              </w:rPr>
            </w:pPr>
            <w:r w:rsidRPr="00223BB0">
              <w:rPr>
                <w:rFonts w:ascii="Arial" w:hAnsi="Arial" w:cs="Arial"/>
                <w:i/>
                <w:color w:val="000000" w:themeColor="text1"/>
                <w:lang w:eastAsia="ar-SA"/>
              </w:rPr>
              <w:t>Les écarts entre ordonnancements et décaissements peuvent s’expliquer notamment par :</w:t>
            </w:r>
          </w:p>
          <w:p w:rsidR="009A4DF8" w:rsidRPr="00223BB0" w:rsidRDefault="009A4DF8" w:rsidP="00B92B11">
            <w:pPr>
              <w:numPr>
                <w:ilvl w:val="0"/>
                <w:numId w:val="74"/>
              </w:numPr>
              <w:contextualSpacing/>
              <w:rPr>
                <w:rFonts w:ascii="Arial" w:hAnsi="Arial" w:cs="Arial"/>
                <w:i/>
                <w:color w:val="000000" w:themeColor="text1"/>
                <w:lang w:eastAsia="ar-SA"/>
              </w:rPr>
            </w:pPr>
            <w:r w:rsidRPr="00223BB0">
              <w:rPr>
                <w:rFonts w:ascii="Arial" w:hAnsi="Arial" w:cs="Arial"/>
                <w:i/>
                <w:color w:val="000000" w:themeColor="text1"/>
                <w:lang w:eastAsia="ar-SA"/>
              </w:rPr>
              <w:t>la gestion directe de certains projets et programmes par les partenaires techniques et financiers. C’est le cas des bailleurs de fonds où aucune situation financière ne passe par la DGCOOP.;</w:t>
            </w:r>
          </w:p>
          <w:p w:rsidR="009A4DF8" w:rsidRPr="00223BB0" w:rsidRDefault="009A4DF8" w:rsidP="00B92B11">
            <w:pPr>
              <w:numPr>
                <w:ilvl w:val="0"/>
                <w:numId w:val="74"/>
              </w:numPr>
              <w:contextualSpacing/>
              <w:jc w:val="both"/>
              <w:rPr>
                <w:rFonts w:ascii="Arial" w:hAnsi="Arial" w:cs="Arial"/>
                <w:i/>
                <w:color w:val="000000" w:themeColor="text1"/>
                <w:lang w:eastAsia="ar-SA"/>
              </w:rPr>
            </w:pPr>
            <w:r w:rsidRPr="00223BB0">
              <w:rPr>
                <w:rFonts w:ascii="Arial" w:hAnsi="Arial" w:cs="Arial"/>
                <w:i/>
                <w:color w:val="000000" w:themeColor="text1"/>
                <w:lang w:eastAsia="ar-SA"/>
              </w:rPr>
              <w:t>le déblocage parallèle de certains fonds pour des besoins d’assistance technique, de financement des bourses d’études, d’appui aux ONG nationales ou de fonctionnement des unités parallèles de gestion des projets mises en place</w:t>
            </w:r>
            <w:r w:rsidRPr="00223BB0">
              <w:rPr>
                <w:rFonts w:ascii="Arial" w:hAnsi="Arial" w:cs="Arial"/>
                <w:color w:val="000000" w:themeColor="text1"/>
              </w:rPr>
              <w:t xml:space="preserve">. </w:t>
            </w:r>
            <w:r w:rsidRPr="00223BB0">
              <w:rPr>
                <w:rFonts w:ascii="Arial" w:hAnsi="Arial" w:cs="Arial"/>
                <w:i/>
                <w:color w:val="000000" w:themeColor="text1"/>
                <w:lang w:eastAsia="ar-SA"/>
              </w:rPr>
              <w:t>Dans tous ces cas, le retour d’information n’est pas fait à la partie nationale en temps réel ;</w:t>
            </w:r>
          </w:p>
          <w:p w:rsidR="009A4DF8" w:rsidRPr="00BA488E" w:rsidRDefault="009A4DF8" w:rsidP="00B92B11">
            <w:pPr>
              <w:numPr>
                <w:ilvl w:val="0"/>
                <w:numId w:val="74"/>
              </w:numPr>
              <w:contextualSpacing/>
              <w:jc w:val="both"/>
              <w:rPr>
                <w:rFonts w:ascii="Arial" w:hAnsi="Arial" w:cs="Arial"/>
                <w:color w:val="000000" w:themeColor="text1"/>
              </w:rPr>
            </w:pPr>
            <w:r w:rsidRPr="00223BB0">
              <w:rPr>
                <w:rFonts w:ascii="Arial" w:hAnsi="Arial" w:cs="Arial"/>
                <w:i/>
                <w:color w:val="000000" w:themeColor="text1"/>
                <w:lang w:eastAsia="ar-SA"/>
              </w:rPr>
              <w:t>le décalage des décaissements d’une année à une autre qui est dû aux délais de traitement des dossiers ordonnancés ou au cycle budgétaire du bailleur. Ces cas se rencontrent dans les décaissements des prêts.</w:t>
            </w:r>
          </w:p>
          <w:p w:rsidR="009A4DF8" w:rsidRPr="00223BB0" w:rsidRDefault="009A4DF8" w:rsidP="009A4DF8">
            <w:pPr>
              <w:jc w:val="both"/>
              <w:rPr>
                <w:rFonts w:ascii="Arial" w:hAnsi="Arial" w:cs="Arial"/>
                <w:color w:val="000000" w:themeColor="text1"/>
              </w:rPr>
            </w:pPr>
            <w:r w:rsidRPr="00223BB0">
              <w:rPr>
                <w:rFonts w:ascii="Arial" w:hAnsi="Arial" w:cs="Arial"/>
                <w:i/>
                <w:color w:val="000000" w:themeColor="text1"/>
                <w:lang w:eastAsia="ar-SA"/>
              </w:rPr>
              <w:t>En somme, la comptabilisation des ressources extérieures par le Gouvernement constitue une réelle difficulté due à la faible adhésion de certains partenaires techniques et financiers aux procédures et aux systèmes nationaux de gestion des finances publiques et de passation des marchés.</w:t>
            </w:r>
          </w:p>
        </w:tc>
      </w:tr>
    </w:tbl>
    <w:p w:rsidR="009A4DF8" w:rsidRDefault="009A4DF8" w:rsidP="009A4DF8">
      <w:pPr>
        <w:jc w:val="both"/>
        <w:rPr>
          <w:rFonts w:ascii="Arial" w:hAnsi="Arial" w:cs="Arial"/>
          <w:color w:val="000000" w:themeColor="text1"/>
        </w:rPr>
      </w:pPr>
    </w:p>
    <w:p w:rsidR="003D6C65" w:rsidRPr="00223BB0" w:rsidRDefault="003D6C65" w:rsidP="009A4DF8">
      <w:pPr>
        <w:jc w:val="both"/>
        <w:rPr>
          <w:rFonts w:ascii="Arial" w:hAnsi="Arial" w:cs="Arial"/>
          <w:color w:val="000000" w:themeColor="text1"/>
        </w:rPr>
      </w:pPr>
    </w:p>
    <w:p w:rsidR="009A4DF8" w:rsidRPr="002D1974" w:rsidRDefault="009A4DF8" w:rsidP="008D7758">
      <w:pPr>
        <w:pStyle w:val="Titre3"/>
        <w:numPr>
          <w:ilvl w:val="0"/>
          <w:numId w:val="123"/>
        </w:numPr>
        <w:tabs>
          <w:tab w:val="left" w:pos="1701"/>
        </w:tabs>
        <w:ind w:left="1843"/>
      </w:pPr>
      <w:bookmarkStart w:id="518" w:name="_Toc399933272"/>
      <w:bookmarkStart w:id="519" w:name="_Toc400643308"/>
      <w:bookmarkStart w:id="520" w:name="_Toc427009765"/>
      <w:bookmarkStart w:id="521" w:name="_Toc461526822"/>
      <w:bookmarkStart w:id="522" w:name="_Toc461618003"/>
      <w:bookmarkStart w:id="523" w:name="_Toc492972214"/>
      <w:r w:rsidRPr="002D1974">
        <w:lastRenderedPageBreak/>
        <w:t>La contribution des ONG</w:t>
      </w:r>
      <w:bookmarkEnd w:id="518"/>
      <w:bookmarkEnd w:id="519"/>
      <w:bookmarkEnd w:id="520"/>
      <w:bookmarkEnd w:id="521"/>
      <w:bookmarkEnd w:id="522"/>
      <w:bookmarkEnd w:id="523"/>
    </w:p>
    <w:p w:rsidR="009A4DF8" w:rsidRPr="00223BB0" w:rsidRDefault="009A4DF8" w:rsidP="009A4DF8">
      <w:pPr>
        <w:jc w:val="both"/>
        <w:rPr>
          <w:rFonts w:ascii="Arial" w:eastAsia="Arial" w:hAnsi="Arial" w:cs="Arial"/>
          <w:color w:val="000000" w:themeColor="text1"/>
        </w:rPr>
      </w:pPr>
      <w:bookmarkStart w:id="524" w:name="_Toc400662869"/>
      <w:bookmarkStart w:id="525" w:name="_Toc400703529"/>
      <w:bookmarkStart w:id="526" w:name="_Toc424705047"/>
      <w:r w:rsidRPr="00223BB0">
        <w:rPr>
          <w:rFonts w:ascii="Arial" w:eastAsia="Arial" w:hAnsi="Arial" w:cs="Arial"/>
          <w:color w:val="000000" w:themeColor="text1"/>
        </w:rPr>
        <w:t>La contribution des ONG au développement du Burkina Faso en 2016 a connu une baisse de 38,1% par rapport à 2015. En effet, elle est passée de 55,06 millions dollars US en 2015 à 34,1 millions dollars US. Cette réduction s’explique principalement par la baisse des apports des ONG Plan Burkina et CRS respectivement de 50,1% et de 41,2%.</w:t>
      </w:r>
    </w:p>
    <w:p w:rsidR="009A4DF8" w:rsidRPr="002D1974" w:rsidRDefault="009A4DF8" w:rsidP="002D1974">
      <w:pPr>
        <w:jc w:val="both"/>
        <w:rPr>
          <w:rFonts w:ascii="Arial" w:eastAsia="Arial" w:hAnsi="Arial" w:cs="Arial"/>
          <w:color w:val="000000" w:themeColor="text1"/>
        </w:rPr>
      </w:pPr>
      <w:r w:rsidRPr="00223BB0">
        <w:rPr>
          <w:rFonts w:ascii="Arial" w:eastAsia="Arial" w:hAnsi="Arial" w:cs="Arial"/>
          <w:color w:val="000000" w:themeColor="text1"/>
        </w:rPr>
        <w:t xml:space="preserve">Sur la période 2012-2016, la part des ONG à l’APD est restée relativement stable en s’affichant en moyenne  à 3,59%. </w:t>
      </w:r>
    </w:p>
    <w:p w:rsidR="009A4DF8" w:rsidRPr="00475F95" w:rsidRDefault="00475F95" w:rsidP="00475F95">
      <w:pPr>
        <w:pStyle w:val="Lgende"/>
        <w:rPr>
          <w:color w:val="auto"/>
        </w:rPr>
      </w:pPr>
      <w:bookmarkStart w:id="527" w:name="_Toc492895486"/>
      <w:r w:rsidRPr="00475F95">
        <w:rPr>
          <w:color w:val="auto"/>
        </w:rPr>
        <w:t xml:space="preserve">Tableau </w:t>
      </w:r>
      <w:r w:rsidRPr="00475F95">
        <w:rPr>
          <w:color w:val="auto"/>
        </w:rPr>
        <w:fldChar w:fldCharType="begin"/>
      </w:r>
      <w:r w:rsidRPr="00475F95">
        <w:rPr>
          <w:color w:val="auto"/>
        </w:rPr>
        <w:instrText xml:space="preserve"> SEQ Tableau \* ARABIC </w:instrText>
      </w:r>
      <w:r w:rsidRPr="00475F95">
        <w:rPr>
          <w:color w:val="auto"/>
        </w:rPr>
        <w:fldChar w:fldCharType="separate"/>
      </w:r>
      <w:r w:rsidR="009A1402">
        <w:rPr>
          <w:noProof/>
          <w:color w:val="auto"/>
        </w:rPr>
        <w:t>18</w:t>
      </w:r>
      <w:r w:rsidRPr="00475F95">
        <w:rPr>
          <w:color w:val="auto"/>
        </w:rPr>
        <w:fldChar w:fldCharType="end"/>
      </w:r>
      <w:r w:rsidRPr="00475F95">
        <w:rPr>
          <w:color w:val="auto"/>
        </w:rPr>
        <w:t> :</w:t>
      </w:r>
      <w:r w:rsidR="009A4DF8" w:rsidRPr="00475F95">
        <w:rPr>
          <w:color w:val="auto"/>
        </w:rPr>
        <w:t xml:space="preserve"> </w:t>
      </w:r>
      <w:r w:rsidR="009A4DF8" w:rsidRPr="00475F95">
        <w:rPr>
          <w:color w:val="auto"/>
          <w:u w:val="none"/>
        </w:rPr>
        <w:t>Part des ONG dans l’APD de 2012 à 201</w:t>
      </w:r>
      <w:bookmarkEnd w:id="524"/>
      <w:bookmarkEnd w:id="525"/>
      <w:bookmarkEnd w:id="526"/>
      <w:r w:rsidR="009A4DF8" w:rsidRPr="00475F95">
        <w:rPr>
          <w:color w:val="auto"/>
          <w:u w:val="none"/>
        </w:rPr>
        <w:t>6</w:t>
      </w:r>
      <w:bookmarkEnd w:id="527"/>
    </w:p>
    <w:tbl>
      <w:tblPr>
        <w:tblW w:w="9295" w:type="dxa"/>
        <w:tblInd w:w="-10" w:type="dxa"/>
        <w:tblCellMar>
          <w:left w:w="70" w:type="dxa"/>
          <w:right w:w="70" w:type="dxa"/>
        </w:tblCellMar>
        <w:tblLook w:val="04A0" w:firstRow="1" w:lastRow="0" w:firstColumn="1" w:lastColumn="0" w:noHBand="0" w:noVBand="1"/>
      </w:tblPr>
      <w:tblGrid>
        <w:gridCol w:w="3766"/>
        <w:gridCol w:w="1183"/>
        <w:gridCol w:w="1127"/>
        <w:gridCol w:w="1068"/>
        <w:gridCol w:w="1063"/>
        <w:gridCol w:w="1088"/>
      </w:tblGrid>
      <w:tr w:rsidR="009A4DF8" w:rsidRPr="00095C43" w:rsidTr="00095C43">
        <w:trPr>
          <w:trHeight w:val="273"/>
        </w:trPr>
        <w:tc>
          <w:tcPr>
            <w:tcW w:w="3766"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9A4DF8" w:rsidRPr="00095C43" w:rsidRDefault="009A4DF8" w:rsidP="00095C43">
            <w:pPr>
              <w:spacing w:after="0"/>
              <w:jc w:val="center"/>
              <w:rPr>
                <w:rFonts w:asciiTheme="minorHAnsi" w:hAnsiTheme="minorHAnsi" w:cstheme="minorHAnsi"/>
                <w:b/>
                <w:bCs/>
                <w:color w:val="000000" w:themeColor="text1"/>
                <w:lang w:eastAsia="fr-FR"/>
              </w:rPr>
            </w:pPr>
            <w:r w:rsidRPr="00095C43">
              <w:rPr>
                <w:rFonts w:asciiTheme="minorHAnsi" w:eastAsia="Arial" w:hAnsiTheme="minorHAnsi" w:cstheme="minorHAnsi"/>
                <w:b/>
                <w:bCs/>
                <w:color w:val="000000" w:themeColor="text1"/>
                <w:lang w:eastAsia="fr-FR"/>
              </w:rPr>
              <w:t>Années</w:t>
            </w:r>
          </w:p>
        </w:tc>
        <w:tc>
          <w:tcPr>
            <w:tcW w:w="1183" w:type="dxa"/>
            <w:tcBorders>
              <w:top w:val="single" w:sz="8" w:space="0" w:color="auto"/>
              <w:left w:val="nil"/>
              <w:bottom w:val="single" w:sz="8" w:space="0" w:color="auto"/>
              <w:right w:val="single" w:sz="8" w:space="0" w:color="auto"/>
            </w:tcBorders>
            <w:shd w:val="clear" w:color="000000" w:fill="D9D9D9"/>
            <w:vAlign w:val="center"/>
            <w:hideMark/>
          </w:tcPr>
          <w:p w:rsidR="009A4DF8" w:rsidRPr="00095C43" w:rsidRDefault="009A4DF8" w:rsidP="00095C43">
            <w:pPr>
              <w:spacing w:after="0"/>
              <w:jc w:val="center"/>
              <w:rPr>
                <w:rFonts w:asciiTheme="minorHAnsi" w:hAnsiTheme="minorHAnsi" w:cstheme="minorHAnsi"/>
                <w:b/>
                <w:bCs/>
                <w:color w:val="000000" w:themeColor="text1"/>
                <w:lang w:eastAsia="fr-FR"/>
              </w:rPr>
            </w:pPr>
            <w:r w:rsidRPr="00095C43">
              <w:rPr>
                <w:rFonts w:asciiTheme="minorHAnsi" w:eastAsia="Arial" w:hAnsiTheme="minorHAnsi" w:cstheme="minorHAnsi"/>
                <w:b/>
                <w:bCs/>
                <w:color w:val="000000" w:themeColor="text1"/>
                <w:lang w:eastAsia="fr-FR"/>
              </w:rPr>
              <w:t>2012</w:t>
            </w:r>
          </w:p>
        </w:tc>
        <w:tc>
          <w:tcPr>
            <w:tcW w:w="1127" w:type="dxa"/>
            <w:tcBorders>
              <w:top w:val="single" w:sz="8" w:space="0" w:color="auto"/>
              <w:left w:val="nil"/>
              <w:bottom w:val="single" w:sz="8" w:space="0" w:color="auto"/>
              <w:right w:val="single" w:sz="8" w:space="0" w:color="auto"/>
            </w:tcBorders>
            <w:shd w:val="clear" w:color="000000" w:fill="D9D9D9"/>
            <w:vAlign w:val="center"/>
            <w:hideMark/>
          </w:tcPr>
          <w:p w:rsidR="009A4DF8" w:rsidRPr="00095C43" w:rsidRDefault="009A4DF8" w:rsidP="00095C43">
            <w:pPr>
              <w:spacing w:after="0"/>
              <w:jc w:val="center"/>
              <w:rPr>
                <w:rFonts w:asciiTheme="minorHAnsi" w:hAnsiTheme="minorHAnsi" w:cstheme="minorHAnsi"/>
                <w:b/>
                <w:bCs/>
                <w:color w:val="000000" w:themeColor="text1"/>
                <w:lang w:eastAsia="fr-FR"/>
              </w:rPr>
            </w:pPr>
            <w:r w:rsidRPr="00095C43">
              <w:rPr>
                <w:rFonts w:asciiTheme="minorHAnsi" w:eastAsia="Arial" w:hAnsiTheme="minorHAnsi" w:cstheme="minorHAnsi"/>
                <w:b/>
                <w:bCs/>
                <w:color w:val="000000" w:themeColor="text1"/>
                <w:lang w:eastAsia="fr-FR"/>
              </w:rPr>
              <w:t>2013</w:t>
            </w:r>
          </w:p>
        </w:tc>
        <w:tc>
          <w:tcPr>
            <w:tcW w:w="1068" w:type="dxa"/>
            <w:tcBorders>
              <w:top w:val="single" w:sz="8" w:space="0" w:color="auto"/>
              <w:left w:val="nil"/>
              <w:bottom w:val="single" w:sz="8" w:space="0" w:color="auto"/>
              <w:right w:val="single" w:sz="8" w:space="0" w:color="auto"/>
            </w:tcBorders>
            <w:shd w:val="clear" w:color="000000" w:fill="D9D9D9"/>
            <w:vAlign w:val="center"/>
            <w:hideMark/>
          </w:tcPr>
          <w:p w:rsidR="009A4DF8" w:rsidRPr="00095C43" w:rsidRDefault="009A4DF8" w:rsidP="00095C43">
            <w:pPr>
              <w:spacing w:after="0"/>
              <w:jc w:val="center"/>
              <w:rPr>
                <w:rFonts w:asciiTheme="minorHAnsi" w:hAnsiTheme="minorHAnsi" w:cstheme="minorHAnsi"/>
                <w:b/>
                <w:bCs/>
                <w:color w:val="000000" w:themeColor="text1"/>
                <w:lang w:eastAsia="fr-FR"/>
              </w:rPr>
            </w:pPr>
            <w:r w:rsidRPr="00095C43">
              <w:rPr>
                <w:rFonts w:asciiTheme="minorHAnsi" w:eastAsia="Arial" w:hAnsiTheme="minorHAnsi" w:cstheme="minorHAnsi"/>
                <w:b/>
                <w:bCs/>
                <w:color w:val="000000" w:themeColor="text1"/>
                <w:lang w:eastAsia="fr-FR"/>
              </w:rPr>
              <w:t>2014</w:t>
            </w:r>
          </w:p>
        </w:tc>
        <w:tc>
          <w:tcPr>
            <w:tcW w:w="1063" w:type="dxa"/>
            <w:tcBorders>
              <w:top w:val="single" w:sz="8" w:space="0" w:color="auto"/>
              <w:left w:val="nil"/>
              <w:bottom w:val="single" w:sz="8" w:space="0" w:color="auto"/>
              <w:right w:val="single" w:sz="8" w:space="0" w:color="auto"/>
            </w:tcBorders>
            <w:shd w:val="clear" w:color="000000" w:fill="D9D9D9"/>
            <w:vAlign w:val="center"/>
            <w:hideMark/>
          </w:tcPr>
          <w:p w:rsidR="009A4DF8" w:rsidRPr="00095C43" w:rsidRDefault="009A4DF8" w:rsidP="00095C43">
            <w:pPr>
              <w:spacing w:after="0"/>
              <w:jc w:val="center"/>
              <w:rPr>
                <w:rFonts w:asciiTheme="minorHAnsi" w:hAnsiTheme="minorHAnsi" w:cstheme="minorHAnsi"/>
                <w:b/>
                <w:bCs/>
                <w:color w:val="000000" w:themeColor="text1"/>
                <w:lang w:eastAsia="fr-FR"/>
              </w:rPr>
            </w:pPr>
            <w:r w:rsidRPr="00095C43">
              <w:rPr>
                <w:rFonts w:asciiTheme="minorHAnsi" w:eastAsia="Arial" w:hAnsiTheme="minorHAnsi" w:cstheme="minorHAnsi"/>
                <w:b/>
                <w:bCs/>
                <w:color w:val="000000" w:themeColor="text1"/>
                <w:lang w:eastAsia="fr-FR"/>
              </w:rPr>
              <w:t>2015</w:t>
            </w:r>
          </w:p>
        </w:tc>
        <w:tc>
          <w:tcPr>
            <w:tcW w:w="1088" w:type="dxa"/>
            <w:tcBorders>
              <w:top w:val="single" w:sz="8" w:space="0" w:color="auto"/>
              <w:left w:val="nil"/>
              <w:bottom w:val="single" w:sz="8" w:space="0" w:color="auto"/>
              <w:right w:val="single" w:sz="8" w:space="0" w:color="auto"/>
            </w:tcBorders>
            <w:shd w:val="clear" w:color="000000" w:fill="D9D9D9"/>
            <w:vAlign w:val="center"/>
            <w:hideMark/>
          </w:tcPr>
          <w:p w:rsidR="009A4DF8" w:rsidRPr="00095C43" w:rsidRDefault="009A4DF8" w:rsidP="00095C43">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2016</w:t>
            </w:r>
          </w:p>
        </w:tc>
      </w:tr>
      <w:tr w:rsidR="009A4DF8" w:rsidRPr="00095C43" w:rsidTr="00095C43">
        <w:trPr>
          <w:trHeight w:val="273"/>
        </w:trPr>
        <w:tc>
          <w:tcPr>
            <w:tcW w:w="3766" w:type="dxa"/>
            <w:tcBorders>
              <w:top w:val="nil"/>
              <w:left w:val="single" w:sz="8" w:space="0" w:color="auto"/>
              <w:bottom w:val="single" w:sz="8" w:space="0" w:color="auto"/>
              <w:right w:val="single" w:sz="8" w:space="0" w:color="auto"/>
            </w:tcBorders>
            <w:shd w:val="clear" w:color="auto" w:fill="auto"/>
            <w:vAlign w:val="center"/>
            <w:hideMark/>
          </w:tcPr>
          <w:p w:rsidR="009A4DF8" w:rsidRPr="00095C43" w:rsidRDefault="009A4DF8" w:rsidP="00095C43">
            <w:pPr>
              <w:spacing w:after="0"/>
              <w:rPr>
                <w:rFonts w:asciiTheme="minorHAnsi" w:hAnsiTheme="minorHAnsi" w:cstheme="minorHAnsi"/>
                <w:color w:val="000000" w:themeColor="text1"/>
                <w:lang w:eastAsia="fr-FR"/>
              </w:rPr>
            </w:pPr>
            <w:r w:rsidRPr="00095C43">
              <w:rPr>
                <w:rFonts w:asciiTheme="minorHAnsi" w:eastAsia="Arial" w:hAnsiTheme="minorHAnsi" w:cstheme="minorHAnsi"/>
                <w:color w:val="000000" w:themeColor="text1"/>
                <w:lang w:eastAsia="fr-FR"/>
              </w:rPr>
              <w:t>APD (millions dollars US)</w:t>
            </w:r>
          </w:p>
        </w:tc>
        <w:tc>
          <w:tcPr>
            <w:tcW w:w="1183"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eastAsia="Arial" w:hAnsiTheme="minorHAnsi" w:cstheme="minorHAnsi"/>
                <w:color w:val="000000" w:themeColor="text1"/>
                <w:lang w:eastAsia="fr-FR"/>
              </w:rPr>
              <w:t>1162,85</w:t>
            </w:r>
          </w:p>
        </w:tc>
        <w:tc>
          <w:tcPr>
            <w:tcW w:w="1127"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bCs/>
                <w:color w:val="000000" w:themeColor="text1"/>
                <w:lang w:eastAsia="fr-FR"/>
              </w:rPr>
              <w:t>1194,43</w:t>
            </w:r>
          </w:p>
        </w:tc>
        <w:tc>
          <w:tcPr>
            <w:tcW w:w="1068"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bCs/>
                <w:color w:val="000000" w:themeColor="text1"/>
                <w:lang w:eastAsia="fr-FR"/>
              </w:rPr>
              <w:t>1 099,22</w:t>
            </w:r>
          </w:p>
        </w:tc>
        <w:tc>
          <w:tcPr>
            <w:tcW w:w="1063"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bCs/>
                <w:color w:val="000000" w:themeColor="text1"/>
                <w:lang w:eastAsia="fr-FR"/>
              </w:rPr>
              <w:t>1100,34</w:t>
            </w:r>
          </w:p>
        </w:tc>
        <w:tc>
          <w:tcPr>
            <w:tcW w:w="1088" w:type="dxa"/>
            <w:tcBorders>
              <w:top w:val="nil"/>
              <w:left w:val="nil"/>
              <w:bottom w:val="single" w:sz="8" w:space="0" w:color="auto"/>
              <w:right w:val="single" w:sz="8" w:space="0" w:color="auto"/>
            </w:tcBorders>
            <w:shd w:val="clear" w:color="auto" w:fill="auto"/>
            <w:noWrap/>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1 140,23</w:t>
            </w:r>
          </w:p>
        </w:tc>
      </w:tr>
      <w:tr w:rsidR="009A4DF8" w:rsidRPr="00095C43" w:rsidTr="00095C43">
        <w:trPr>
          <w:trHeight w:val="273"/>
        </w:trPr>
        <w:tc>
          <w:tcPr>
            <w:tcW w:w="3766" w:type="dxa"/>
            <w:tcBorders>
              <w:top w:val="nil"/>
              <w:left w:val="single" w:sz="8" w:space="0" w:color="auto"/>
              <w:bottom w:val="single" w:sz="8" w:space="0" w:color="auto"/>
              <w:right w:val="single" w:sz="8" w:space="0" w:color="auto"/>
            </w:tcBorders>
            <w:shd w:val="clear" w:color="auto" w:fill="auto"/>
            <w:vAlign w:val="center"/>
            <w:hideMark/>
          </w:tcPr>
          <w:p w:rsidR="009A4DF8" w:rsidRPr="00095C43" w:rsidRDefault="009A4DF8" w:rsidP="00095C43">
            <w:pPr>
              <w:spacing w:after="0"/>
              <w:rPr>
                <w:rFonts w:asciiTheme="minorHAnsi" w:hAnsiTheme="minorHAnsi" w:cstheme="minorHAnsi"/>
                <w:color w:val="000000" w:themeColor="text1"/>
                <w:lang w:val="en-US" w:eastAsia="fr-FR"/>
              </w:rPr>
            </w:pPr>
            <w:r w:rsidRPr="00095C43">
              <w:rPr>
                <w:rFonts w:asciiTheme="minorHAnsi" w:hAnsiTheme="minorHAnsi" w:cstheme="minorHAnsi"/>
                <w:color w:val="000000" w:themeColor="text1"/>
                <w:lang w:val="en-US" w:eastAsia="fr-FR"/>
              </w:rPr>
              <w:t>Contribution ONG (millions dollars US)</w:t>
            </w:r>
          </w:p>
        </w:tc>
        <w:tc>
          <w:tcPr>
            <w:tcW w:w="1183"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eastAsia="Arial" w:hAnsiTheme="minorHAnsi" w:cstheme="minorHAnsi"/>
                <w:color w:val="000000" w:themeColor="text1"/>
                <w:lang w:eastAsia="fr-FR"/>
              </w:rPr>
              <w:t>38,93</w:t>
            </w:r>
          </w:p>
        </w:tc>
        <w:tc>
          <w:tcPr>
            <w:tcW w:w="1127"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bCs/>
                <w:color w:val="000000" w:themeColor="text1"/>
                <w:lang w:eastAsia="fr-FR"/>
              </w:rPr>
              <w:t>33,45</w:t>
            </w:r>
          </w:p>
        </w:tc>
        <w:tc>
          <w:tcPr>
            <w:tcW w:w="1068"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bCs/>
                <w:color w:val="000000" w:themeColor="text1"/>
                <w:lang w:eastAsia="fr-FR"/>
              </w:rPr>
              <w:t>41,76</w:t>
            </w:r>
          </w:p>
        </w:tc>
        <w:tc>
          <w:tcPr>
            <w:tcW w:w="1063"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bCs/>
                <w:color w:val="000000" w:themeColor="text1"/>
                <w:lang w:eastAsia="fr-FR"/>
              </w:rPr>
              <w:t>55,06</w:t>
            </w:r>
          </w:p>
        </w:tc>
        <w:tc>
          <w:tcPr>
            <w:tcW w:w="1088" w:type="dxa"/>
            <w:tcBorders>
              <w:top w:val="nil"/>
              <w:left w:val="nil"/>
              <w:bottom w:val="single" w:sz="8" w:space="0" w:color="auto"/>
              <w:right w:val="single" w:sz="8" w:space="0" w:color="auto"/>
            </w:tcBorders>
            <w:shd w:val="clear" w:color="auto" w:fill="auto"/>
            <w:noWrap/>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34,10</w:t>
            </w:r>
          </w:p>
        </w:tc>
      </w:tr>
      <w:tr w:rsidR="009A4DF8" w:rsidRPr="00095C43" w:rsidTr="00095C43">
        <w:trPr>
          <w:trHeight w:val="273"/>
        </w:trPr>
        <w:tc>
          <w:tcPr>
            <w:tcW w:w="3766" w:type="dxa"/>
            <w:tcBorders>
              <w:top w:val="nil"/>
              <w:left w:val="single" w:sz="8" w:space="0" w:color="auto"/>
              <w:bottom w:val="single" w:sz="8" w:space="0" w:color="auto"/>
              <w:right w:val="single" w:sz="8" w:space="0" w:color="auto"/>
            </w:tcBorders>
            <w:shd w:val="clear" w:color="auto" w:fill="auto"/>
            <w:vAlign w:val="center"/>
            <w:hideMark/>
          </w:tcPr>
          <w:p w:rsidR="009A4DF8" w:rsidRPr="00095C43" w:rsidRDefault="009A4DF8" w:rsidP="00095C43">
            <w:pPr>
              <w:spacing w:after="0"/>
              <w:rPr>
                <w:rFonts w:asciiTheme="minorHAnsi" w:hAnsiTheme="minorHAnsi" w:cstheme="minorHAnsi"/>
                <w:color w:val="000000" w:themeColor="text1"/>
                <w:lang w:eastAsia="fr-FR"/>
              </w:rPr>
            </w:pPr>
            <w:r w:rsidRPr="00095C43">
              <w:rPr>
                <w:rFonts w:asciiTheme="minorHAnsi" w:eastAsia="Arial" w:hAnsiTheme="minorHAnsi" w:cstheme="minorHAnsi"/>
                <w:color w:val="000000" w:themeColor="text1"/>
                <w:lang w:eastAsia="fr-FR"/>
              </w:rPr>
              <w:t>Part dans APD(%)</w:t>
            </w:r>
          </w:p>
        </w:tc>
        <w:tc>
          <w:tcPr>
            <w:tcW w:w="1183"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eastAsia="Arial" w:hAnsiTheme="minorHAnsi" w:cstheme="minorHAnsi"/>
                <w:color w:val="000000" w:themeColor="text1"/>
                <w:lang w:eastAsia="fr-FR"/>
              </w:rPr>
              <w:t>3,35</w:t>
            </w:r>
          </w:p>
        </w:tc>
        <w:tc>
          <w:tcPr>
            <w:tcW w:w="1127"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2,8</w:t>
            </w:r>
          </w:p>
        </w:tc>
        <w:tc>
          <w:tcPr>
            <w:tcW w:w="1068"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3,8</w:t>
            </w:r>
          </w:p>
        </w:tc>
        <w:tc>
          <w:tcPr>
            <w:tcW w:w="1063" w:type="dxa"/>
            <w:tcBorders>
              <w:top w:val="nil"/>
              <w:left w:val="nil"/>
              <w:bottom w:val="single" w:sz="8" w:space="0" w:color="auto"/>
              <w:right w:val="single" w:sz="8" w:space="0" w:color="auto"/>
            </w:tcBorders>
            <w:shd w:val="clear" w:color="auto" w:fill="auto"/>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5</w:t>
            </w:r>
          </w:p>
        </w:tc>
        <w:tc>
          <w:tcPr>
            <w:tcW w:w="1088" w:type="dxa"/>
            <w:tcBorders>
              <w:top w:val="nil"/>
              <w:left w:val="nil"/>
              <w:bottom w:val="single" w:sz="8" w:space="0" w:color="auto"/>
              <w:right w:val="single" w:sz="8" w:space="0" w:color="auto"/>
            </w:tcBorders>
            <w:shd w:val="clear" w:color="auto" w:fill="auto"/>
            <w:noWrap/>
            <w:vAlign w:val="center"/>
            <w:hideMark/>
          </w:tcPr>
          <w:p w:rsidR="009A4DF8" w:rsidRPr="00095C43" w:rsidRDefault="009A4DF8" w:rsidP="00095C43">
            <w:pPr>
              <w:spacing w:after="0"/>
              <w:jc w:val="right"/>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2,99</w:t>
            </w:r>
          </w:p>
        </w:tc>
      </w:tr>
    </w:tbl>
    <w:p w:rsidR="009A4DF8" w:rsidRPr="00223BB0" w:rsidRDefault="009A4DF8" w:rsidP="009A4DF8">
      <w:pPr>
        <w:rPr>
          <w:rFonts w:ascii="Arial" w:eastAsia="Arial" w:hAnsi="Arial" w:cs="Arial"/>
          <w:b/>
          <w:i/>
          <w:color w:val="000000" w:themeColor="text1"/>
          <w:sz w:val="18"/>
          <w:szCs w:val="18"/>
        </w:rPr>
      </w:pPr>
      <w:r w:rsidRPr="00223BB0">
        <w:rPr>
          <w:rFonts w:ascii="Arial" w:eastAsia="Arial" w:hAnsi="Arial" w:cs="Arial"/>
          <w:b/>
          <w:i/>
          <w:color w:val="000000" w:themeColor="text1"/>
          <w:sz w:val="18"/>
          <w:szCs w:val="18"/>
          <w:u w:val="single"/>
        </w:rPr>
        <w:t>Source</w:t>
      </w:r>
      <w:r w:rsidRPr="00223BB0">
        <w:rPr>
          <w:rFonts w:ascii="Arial" w:eastAsia="Arial" w:hAnsi="Arial" w:cs="Arial"/>
          <w:b/>
          <w:i/>
          <w:color w:val="000000" w:themeColor="text1"/>
          <w:sz w:val="18"/>
          <w:szCs w:val="18"/>
        </w:rPr>
        <w:t xml:space="preserve"> : </w:t>
      </w:r>
      <w:r w:rsidRPr="00223BB0">
        <w:rPr>
          <w:rFonts w:ascii="Arial" w:eastAsia="Arial" w:hAnsi="Arial" w:cs="Arial"/>
          <w:i/>
          <w:color w:val="000000" w:themeColor="text1"/>
          <w:sz w:val="18"/>
          <w:szCs w:val="18"/>
        </w:rPr>
        <w:t>PGA/DGCOOP, Juillet 201</w:t>
      </w:r>
      <w:r>
        <w:rPr>
          <w:rFonts w:ascii="Arial" w:eastAsia="Arial" w:hAnsi="Arial" w:cs="Arial"/>
          <w:i/>
          <w:color w:val="000000" w:themeColor="text1"/>
          <w:sz w:val="18"/>
          <w:szCs w:val="18"/>
        </w:rPr>
        <w:t>7</w:t>
      </w:r>
    </w:p>
    <w:p w:rsidR="00FF6FF1" w:rsidRPr="00223BB0" w:rsidRDefault="009A4DF8" w:rsidP="009A4DF8">
      <w:pPr>
        <w:jc w:val="both"/>
        <w:rPr>
          <w:rFonts w:ascii="Arial" w:eastAsia="Arial" w:hAnsi="Arial" w:cs="Arial"/>
          <w:color w:val="000000" w:themeColor="text1"/>
        </w:rPr>
      </w:pPr>
      <w:r w:rsidRPr="00223BB0">
        <w:rPr>
          <w:rFonts w:ascii="Arial" w:eastAsia="Arial" w:hAnsi="Arial" w:cs="Arial"/>
          <w:color w:val="000000" w:themeColor="text1"/>
        </w:rPr>
        <w:t>Sur les dix ONG ayant transmis leur situation de décaissement, les cinq principales contributrices sont respectivement : CRS, Plan Burkina, Welt hunger hilfe, Water Aid et Helvetas Burkina Faso.</w:t>
      </w:r>
    </w:p>
    <w:p w:rsidR="009A4DF8" w:rsidRPr="00475F95" w:rsidRDefault="00475F95" w:rsidP="00475F95">
      <w:pPr>
        <w:pStyle w:val="Lgende"/>
        <w:rPr>
          <w:bCs w:val="0"/>
          <w:color w:val="auto"/>
          <w:u w:val="none"/>
        </w:rPr>
      </w:pPr>
      <w:bookmarkStart w:id="528" w:name="_Toc424706040"/>
      <w:bookmarkStart w:id="529" w:name="_Toc492895746"/>
      <w:bookmarkStart w:id="530" w:name="_Toc400703582"/>
      <w:r w:rsidRPr="00475F95">
        <w:rPr>
          <w:color w:val="auto"/>
        </w:rPr>
        <w:t xml:space="preserve">Graphique </w:t>
      </w:r>
      <w:r w:rsidRPr="00475F95">
        <w:rPr>
          <w:color w:val="auto"/>
        </w:rPr>
        <w:fldChar w:fldCharType="begin"/>
      </w:r>
      <w:r w:rsidRPr="00475F95">
        <w:rPr>
          <w:color w:val="auto"/>
        </w:rPr>
        <w:instrText xml:space="preserve"> SEQ Graphique \* ARABIC </w:instrText>
      </w:r>
      <w:r w:rsidRPr="00475F95">
        <w:rPr>
          <w:color w:val="auto"/>
        </w:rPr>
        <w:fldChar w:fldCharType="separate"/>
      </w:r>
      <w:r w:rsidR="009A1402">
        <w:rPr>
          <w:noProof/>
          <w:color w:val="auto"/>
        </w:rPr>
        <w:t>13</w:t>
      </w:r>
      <w:r w:rsidRPr="00475F95">
        <w:rPr>
          <w:color w:val="auto"/>
        </w:rPr>
        <w:fldChar w:fldCharType="end"/>
      </w:r>
      <w:r w:rsidRPr="00475F95">
        <w:rPr>
          <w:color w:val="auto"/>
        </w:rPr>
        <w:t> :</w:t>
      </w:r>
      <w:r w:rsidR="009A4DF8" w:rsidRPr="00475F95">
        <w:rPr>
          <w:bCs w:val="0"/>
          <w:color w:val="auto"/>
        </w:rPr>
        <w:t xml:space="preserve"> </w:t>
      </w:r>
      <w:r w:rsidR="009A4DF8" w:rsidRPr="00475F95">
        <w:rPr>
          <w:bCs w:val="0"/>
          <w:color w:val="auto"/>
          <w:u w:val="none"/>
        </w:rPr>
        <w:t>Contribution des dix ONG en 2016 (millions dollars US)</w:t>
      </w:r>
      <w:bookmarkEnd w:id="528"/>
      <w:bookmarkEnd w:id="529"/>
    </w:p>
    <w:p w:rsidR="009A4DF8" w:rsidRPr="00223BB0" w:rsidRDefault="009A4DF8" w:rsidP="00BA488E">
      <w:pPr>
        <w:suppressAutoHyphens/>
        <w:spacing w:after="40"/>
        <w:rPr>
          <w:rFonts w:ascii="Arial" w:hAnsi="Arial" w:cs="Arial"/>
          <w:b/>
          <w:bCs/>
          <w:color w:val="000000" w:themeColor="text1"/>
          <w:u w:val="single"/>
          <w:lang w:eastAsia="ar-SA"/>
        </w:rPr>
      </w:pPr>
      <w:r w:rsidRPr="00223BB0">
        <w:rPr>
          <w:noProof/>
          <w:color w:val="000000" w:themeColor="text1"/>
          <w:lang w:eastAsia="fr-FR"/>
        </w:rPr>
        <w:drawing>
          <wp:inline distT="0" distB="0" distL="0" distR="0" wp14:anchorId="46AFCDF9" wp14:editId="617DAE62">
            <wp:extent cx="5743575" cy="2295525"/>
            <wp:effectExtent l="0" t="0" r="9525" b="9525"/>
            <wp:docPr id="42" name="Graphique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bookmarkEnd w:id="530"/>
    <w:p w:rsidR="009A4DF8" w:rsidRPr="00223BB0" w:rsidRDefault="009A4DF8" w:rsidP="009A4DF8">
      <w:pPr>
        <w:rPr>
          <w:rFonts w:ascii="Arial" w:hAnsi="Arial" w:cs="Arial"/>
          <w:i/>
          <w:color w:val="000000" w:themeColor="text1"/>
          <w:sz w:val="18"/>
          <w:szCs w:val="18"/>
        </w:rPr>
      </w:pPr>
      <w:r w:rsidRPr="00223BB0">
        <w:rPr>
          <w:rFonts w:ascii="Arial" w:hAnsi="Arial" w:cs="Arial"/>
          <w:b/>
          <w:i/>
          <w:color w:val="000000" w:themeColor="text1"/>
          <w:sz w:val="18"/>
          <w:szCs w:val="18"/>
          <w:u w:val="single"/>
        </w:rPr>
        <w:t>Source</w:t>
      </w:r>
      <w:r w:rsidRPr="00223BB0">
        <w:rPr>
          <w:rFonts w:ascii="Arial" w:hAnsi="Arial" w:cs="Arial"/>
          <w:i/>
          <w:color w:val="000000" w:themeColor="text1"/>
          <w:sz w:val="18"/>
          <w:szCs w:val="18"/>
        </w:rPr>
        <w:t> : PGA/DGCOOP, Juillet 201</w:t>
      </w:r>
      <w:r>
        <w:rPr>
          <w:rFonts w:ascii="Arial" w:hAnsi="Arial" w:cs="Arial"/>
          <w:i/>
          <w:color w:val="000000" w:themeColor="text1"/>
          <w:sz w:val="18"/>
          <w:szCs w:val="18"/>
        </w:rPr>
        <w:t>7</w:t>
      </w:r>
    </w:p>
    <w:p w:rsidR="009A4DF8" w:rsidRPr="002D1974" w:rsidRDefault="009A4DF8" w:rsidP="008D7758">
      <w:pPr>
        <w:pStyle w:val="Titre3"/>
        <w:numPr>
          <w:ilvl w:val="0"/>
          <w:numId w:val="123"/>
        </w:numPr>
        <w:tabs>
          <w:tab w:val="left" w:pos="1701"/>
        </w:tabs>
        <w:ind w:left="1701"/>
      </w:pPr>
      <w:bookmarkStart w:id="531" w:name="_Toc399933273"/>
      <w:bookmarkStart w:id="532" w:name="_Toc400643309"/>
      <w:bookmarkStart w:id="533" w:name="_Toc427009766"/>
      <w:bookmarkStart w:id="534" w:name="_Toc461526823"/>
      <w:bookmarkStart w:id="535" w:name="_Toc461618004"/>
      <w:bookmarkStart w:id="536" w:name="_Toc492972215"/>
      <w:r w:rsidRPr="002D1974">
        <w:t>La contribution des donateurs par groupe géographique et par nature de fonds</w:t>
      </w:r>
      <w:bookmarkEnd w:id="531"/>
      <w:bookmarkEnd w:id="532"/>
      <w:bookmarkEnd w:id="533"/>
      <w:bookmarkEnd w:id="534"/>
      <w:bookmarkEnd w:id="535"/>
      <w:bookmarkEnd w:id="536"/>
    </w:p>
    <w:p w:rsidR="009A4DF8" w:rsidRPr="00223BB0" w:rsidRDefault="009A4DF8" w:rsidP="009A4DF8">
      <w:pPr>
        <w:jc w:val="both"/>
        <w:rPr>
          <w:rFonts w:ascii="Arial" w:eastAsia="Arial" w:hAnsi="Arial" w:cs="Arial"/>
          <w:color w:val="000000" w:themeColor="text1"/>
        </w:rPr>
      </w:pPr>
      <w:r w:rsidRPr="00223BB0">
        <w:rPr>
          <w:rFonts w:ascii="Arial" w:eastAsia="Arial" w:hAnsi="Arial" w:cs="Arial"/>
          <w:color w:val="000000" w:themeColor="text1"/>
        </w:rPr>
        <w:t>L’analyse de la contribution des donateurs par groupe géographique montre que les pays membres de l’UE et la Commission européenne (CE) ont été les plus gros pourvoyeurs de fonds de l’APD en 2016 avec une contribution de 39,59%. Ils sont suivis par les Institutions de Bretton Woods (28,34%), le Système des nations unies (8,54%), les fonds africains (7,23%), les pays du continent américain (USA, Canada et Brésil (6,45%), les pays asiatiques (Chine-Taïwan, Japon, Inde, Coré du sud) (3,69%), les ONG (2,99%), et les bailleurs arabes (2,67%).</w:t>
      </w:r>
    </w:p>
    <w:p w:rsidR="009A4DF8" w:rsidRDefault="009A4DF8" w:rsidP="009A4DF8">
      <w:pPr>
        <w:jc w:val="both"/>
        <w:rPr>
          <w:rFonts w:ascii="Arial" w:eastAsia="Arial" w:hAnsi="Arial" w:cs="Arial"/>
          <w:color w:val="000000" w:themeColor="text1"/>
        </w:rPr>
      </w:pPr>
      <w:r w:rsidRPr="00223BB0">
        <w:rPr>
          <w:rFonts w:ascii="Arial" w:eastAsia="Arial" w:hAnsi="Arial" w:cs="Arial"/>
          <w:color w:val="000000" w:themeColor="text1"/>
        </w:rPr>
        <w:t>Le tableau suivant fait ressortir que les contributions des pays membres de l’UE et la CE, du Système des Nations Unies, des pays américains et asiatiques sont constituées majoritairement de subventions tandis que celles des institutions de Bretton Woods, des Fonds africains et des Bailleurs arabes sont dominées par les prêts.</w:t>
      </w:r>
    </w:p>
    <w:p w:rsidR="003D6C65" w:rsidRPr="00223BB0" w:rsidRDefault="003D6C65" w:rsidP="009A4DF8">
      <w:pPr>
        <w:jc w:val="both"/>
        <w:rPr>
          <w:rFonts w:ascii="Arial" w:eastAsia="Arial" w:hAnsi="Arial" w:cs="Arial"/>
          <w:color w:val="000000" w:themeColor="text1"/>
        </w:rPr>
      </w:pPr>
    </w:p>
    <w:p w:rsidR="009A4DF8" w:rsidRPr="00475F95" w:rsidRDefault="00475F95" w:rsidP="00475F95">
      <w:pPr>
        <w:pStyle w:val="Lgende"/>
        <w:rPr>
          <w:color w:val="auto"/>
        </w:rPr>
      </w:pPr>
      <w:bookmarkStart w:id="537" w:name="_Toc400703530"/>
      <w:bookmarkStart w:id="538" w:name="_Toc424705048"/>
      <w:bookmarkStart w:id="539" w:name="_Toc492895487"/>
      <w:r w:rsidRPr="00475F95">
        <w:rPr>
          <w:color w:val="auto"/>
        </w:rPr>
        <w:lastRenderedPageBreak/>
        <w:t xml:space="preserve">Tableau </w:t>
      </w:r>
      <w:r w:rsidRPr="00475F95">
        <w:rPr>
          <w:color w:val="auto"/>
        </w:rPr>
        <w:fldChar w:fldCharType="begin"/>
      </w:r>
      <w:r w:rsidRPr="00475F95">
        <w:rPr>
          <w:color w:val="auto"/>
        </w:rPr>
        <w:instrText xml:space="preserve"> SEQ Tableau \* ARABIC </w:instrText>
      </w:r>
      <w:r w:rsidRPr="00475F95">
        <w:rPr>
          <w:color w:val="auto"/>
        </w:rPr>
        <w:fldChar w:fldCharType="separate"/>
      </w:r>
      <w:r w:rsidR="009A1402">
        <w:rPr>
          <w:noProof/>
          <w:color w:val="auto"/>
        </w:rPr>
        <w:t>19</w:t>
      </w:r>
      <w:r w:rsidRPr="00475F95">
        <w:rPr>
          <w:color w:val="auto"/>
        </w:rPr>
        <w:fldChar w:fldCharType="end"/>
      </w:r>
      <w:r>
        <w:rPr>
          <w:color w:val="auto"/>
        </w:rPr>
        <w:t> :</w:t>
      </w:r>
      <w:r w:rsidR="009A4DF8" w:rsidRPr="00475F95">
        <w:rPr>
          <w:color w:val="auto"/>
        </w:rPr>
        <w:t xml:space="preserve"> </w:t>
      </w:r>
      <w:r w:rsidR="009A4DF8" w:rsidRPr="00475F95">
        <w:rPr>
          <w:color w:val="auto"/>
          <w:u w:val="none"/>
        </w:rPr>
        <w:t>Part de la contribution par groupe de bailleurs en 201</w:t>
      </w:r>
      <w:bookmarkEnd w:id="537"/>
      <w:bookmarkEnd w:id="538"/>
      <w:r w:rsidR="009A4DF8" w:rsidRPr="00475F95">
        <w:rPr>
          <w:color w:val="auto"/>
          <w:u w:val="none"/>
        </w:rPr>
        <w:t>6</w:t>
      </w:r>
      <w:bookmarkEnd w:id="539"/>
    </w:p>
    <w:tbl>
      <w:tblPr>
        <w:tblW w:w="9126" w:type="dxa"/>
        <w:tblInd w:w="-10" w:type="dxa"/>
        <w:tblCellMar>
          <w:left w:w="70" w:type="dxa"/>
          <w:right w:w="70" w:type="dxa"/>
        </w:tblCellMar>
        <w:tblLook w:val="04A0" w:firstRow="1" w:lastRow="0" w:firstColumn="1" w:lastColumn="0" w:noHBand="0" w:noVBand="1"/>
      </w:tblPr>
      <w:tblGrid>
        <w:gridCol w:w="4080"/>
        <w:gridCol w:w="1201"/>
        <w:gridCol w:w="1208"/>
        <w:gridCol w:w="1323"/>
        <w:gridCol w:w="1314"/>
      </w:tblGrid>
      <w:tr w:rsidR="009A4DF8" w:rsidRPr="00095C43" w:rsidTr="00095C43">
        <w:trPr>
          <w:trHeight w:val="213"/>
        </w:trPr>
        <w:tc>
          <w:tcPr>
            <w:tcW w:w="4080" w:type="dxa"/>
            <w:vMerge w:val="restart"/>
            <w:tcBorders>
              <w:top w:val="single" w:sz="8" w:space="0" w:color="auto"/>
              <w:left w:val="single" w:sz="8" w:space="0" w:color="auto"/>
              <w:bottom w:val="single" w:sz="8" w:space="0" w:color="000000"/>
              <w:right w:val="single" w:sz="8" w:space="0" w:color="auto"/>
            </w:tcBorders>
            <w:shd w:val="clear" w:color="000000" w:fill="E0E0E0"/>
            <w:vAlign w:val="center"/>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Groupe de bailleur</w:t>
            </w:r>
          </w:p>
        </w:tc>
        <w:tc>
          <w:tcPr>
            <w:tcW w:w="3732" w:type="dxa"/>
            <w:gridSpan w:val="3"/>
            <w:tcBorders>
              <w:top w:val="single" w:sz="8" w:space="0" w:color="auto"/>
              <w:left w:val="nil"/>
              <w:bottom w:val="single" w:sz="8" w:space="0" w:color="auto"/>
              <w:right w:val="single" w:sz="8" w:space="0" w:color="000000"/>
            </w:tcBorders>
            <w:shd w:val="clear" w:color="000000" w:fill="E0E0E0"/>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Montant en millions de dollars US</w:t>
            </w:r>
          </w:p>
        </w:tc>
        <w:tc>
          <w:tcPr>
            <w:tcW w:w="1314" w:type="dxa"/>
            <w:vMerge w:val="restart"/>
            <w:tcBorders>
              <w:top w:val="single" w:sz="8" w:space="0" w:color="auto"/>
              <w:left w:val="nil"/>
              <w:bottom w:val="single" w:sz="8" w:space="0" w:color="000000"/>
              <w:right w:val="single" w:sz="8" w:space="0" w:color="auto"/>
            </w:tcBorders>
            <w:shd w:val="clear" w:color="000000" w:fill="E0E0E0"/>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 dans l'APD totale</w:t>
            </w:r>
          </w:p>
        </w:tc>
      </w:tr>
      <w:tr w:rsidR="009A4DF8" w:rsidRPr="00095C43" w:rsidTr="00095C43">
        <w:trPr>
          <w:trHeight w:val="233"/>
        </w:trPr>
        <w:tc>
          <w:tcPr>
            <w:tcW w:w="4080" w:type="dxa"/>
            <w:vMerge/>
            <w:tcBorders>
              <w:top w:val="single" w:sz="8" w:space="0" w:color="auto"/>
              <w:left w:val="single" w:sz="8" w:space="0" w:color="auto"/>
              <w:bottom w:val="single" w:sz="8" w:space="0" w:color="000000"/>
              <w:right w:val="single" w:sz="8" w:space="0" w:color="auto"/>
            </w:tcBorders>
            <w:vAlign w:val="center"/>
            <w:hideMark/>
          </w:tcPr>
          <w:p w:rsidR="009A4DF8" w:rsidRPr="00095C43" w:rsidRDefault="009A4DF8" w:rsidP="009A4DF8">
            <w:pPr>
              <w:spacing w:after="0"/>
              <w:rPr>
                <w:rFonts w:asciiTheme="minorHAnsi" w:hAnsiTheme="minorHAnsi" w:cstheme="minorHAnsi"/>
                <w:b/>
                <w:bCs/>
                <w:color w:val="000000" w:themeColor="text1"/>
                <w:lang w:eastAsia="fr-FR"/>
              </w:rPr>
            </w:pPr>
          </w:p>
        </w:tc>
        <w:tc>
          <w:tcPr>
            <w:tcW w:w="1201" w:type="dxa"/>
            <w:tcBorders>
              <w:top w:val="nil"/>
              <w:left w:val="nil"/>
              <w:bottom w:val="single" w:sz="8" w:space="0" w:color="auto"/>
              <w:right w:val="single" w:sz="8" w:space="0" w:color="auto"/>
            </w:tcBorders>
            <w:shd w:val="clear" w:color="000000" w:fill="E0E0E0"/>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Prêts</w:t>
            </w:r>
          </w:p>
        </w:tc>
        <w:tc>
          <w:tcPr>
            <w:tcW w:w="1208" w:type="dxa"/>
            <w:tcBorders>
              <w:top w:val="nil"/>
              <w:left w:val="nil"/>
              <w:bottom w:val="single" w:sz="8" w:space="0" w:color="auto"/>
              <w:right w:val="single" w:sz="8" w:space="0" w:color="auto"/>
            </w:tcBorders>
            <w:shd w:val="clear" w:color="000000" w:fill="E0E0E0"/>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Dons</w:t>
            </w:r>
          </w:p>
        </w:tc>
        <w:tc>
          <w:tcPr>
            <w:tcW w:w="1323" w:type="dxa"/>
            <w:tcBorders>
              <w:top w:val="nil"/>
              <w:left w:val="nil"/>
              <w:bottom w:val="single" w:sz="8" w:space="0" w:color="auto"/>
              <w:right w:val="single" w:sz="8" w:space="0" w:color="auto"/>
            </w:tcBorders>
            <w:shd w:val="clear" w:color="000000" w:fill="E0E0E0"/>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Total</w:t>
            </w:r>
          </w:p>
        </w:tc>
        <w:tc>
          <w:tcPr>
            <w:tcW w:w="1314" w:type="dxa"/>
            <w:vMerge/>
            <w:tcBorders>
              <w:top w:val="single" w:sz="8" w:space="0" w:color="auto"/>
              <w:left w:val="nil"/>
              <w:bottom w:val="single" w:sz="8" w:space="0" w:color="000000"/>
              <w:right w:val="single" w:sz="8" w:space="0" w:color="auto"/>
            </w:tcBorders>
            <w:vAlign w:val="center"/>
            <w:hideMark/>
          </w:tcPr>
          <w:p w:rsidR="009A4DF8" w:rsidRPr="00095C43" w:rsidRDefault="009A4DF8" w:rsidP="009A4DF8">
            <w:pPr>
              <w:spacing w:after="0"/>
              <w:rPr>
                <w:rFonts w:asciiTheme="minorHAnsi" w:hAnsiTheme="minorHAnsi" w:cstheme="minorHAnsi"/>
                <w:b/>
                <w:bCs/>
                <w:color w:val="000000" w:themeColor="text1"/>
                <w:lang w:eastAsia="fr-FR"/>
              </w:rPr>
            </w:pPr>
          </w:p>
        </w:tc>
      </w:tr>
      <w:tr w:rsidR="009A4DF8" w:rsidRPr="00095C43" w:rsidTr="00095C43">
        <w:trPr>
          <w:trHeight w:val="222"/>
        </w:trPr>
        <w:tc>
          <w:tcPr>
            <w:tcW w:w="4080" w:type="dxa"/>
            <w:tcBorders>
              <w:top w:val="nil"/>
              <w:left w:val="single" w:sz="8" w:space="0" w:color="auto"/>
              <w:bottom w:val="single" w:sz="8" w:space="0" w:color="auto"/>
              <w:right w:val="single" w:sz="8" w:space="0" w:color="auto"/>
            </w:tcBorders>
            <w:shd w:val="clear" w:color="auto" w:fill="auto"/>
            <w:vAlign w:val="bottom"/>
            <w:hideMark/>
          </w:tcPr>
          <w:p w:rsidR="009A4DF8" w:rsidRPr="00095C43" w:rsidRDefault="009A4DF8" w:rsidP="009A4DF8">
            <w:pPr>
              <w:spacing w:after="0"/>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Pays membre de l'UE + CE</w:t>
            </w:r>
          </w:p>
        </w:tc>
        <w:tc>
          <w:tcPr>
            <w:tcW w:w="1201"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44,72</w:t>
            </w:r>
          </w:p>
        </w:tc>
        <w:tc>
          <w:tcPr>
            <w:tcW w:w="1208"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406,75</w:t>
            </w:r>
          </w:p>
        </w:tc>
        <w:tc>
          <w:tcPr>
            <w:tcW w:w="1323"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451,47</w:t>
            </w:r>
          </w:p>
        </w:tc>
        <w:tc>
          <w:tcPr>
            <w:tcW w:w="1314"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39,59%</w:t>
            </w:r>
          </w:p>
        </w:tc>
      </w:tr>
      <w:tr w:rsidR="009A4DF8" w:rsidRPr="00095C43" w:rsidTr="00095C43">
        <w:trPr>
          <w:trHeight w:val="222"/>
        </w:trPr>
        <w:tc>
          <w:tcPr>
            <w:tcW w:w="4080" w:type="dxa"/>
            <w:tcBorders>
              <w:top w:val="nil"/>
              <w:left w:val="single" w:sz="8" w:space="0" w:color="auto"/>
              <w:bottom w:val="single" w:sz="8" w:space="0" w:color="auto"/>
              <w:right w:val="single" w:sz="8" w:space="0" w:color="auto"/>
            </w:tcBorders>
            <w:shd w:val="clear" w:color="auto" w:fill="auto"/>
            <w:vAlign w:val="bottom"/>
            <w:hideMark/>
          </w:tcPr>
          <w:p w:rsidR="009A4DF8" w:rsidRPr="00095C43" w:rsidRDefault="009A4DF8" w:rsidP="009A4DF8">
            <w:pPr>
              <w:spacing w:after="0"/>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Institutions de Breton Woods</w:t>
            </w:r>
          </w:p>
        </w:tc>
        <w:tc>
          <w:tcPr>
            <w:tcW w:w="1201"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194,32</w:t>
            </w:r>
          </w:p>
        </w:tc>
        <w:tc>
          <w:tcPr>
            <w:tcW w:w="1208"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134,51</w:t>
            </w:r>
          </w:p>
        </w:tc>
        <w:tc>
          <w:tcPr>
            <w:tcW w:w="1323"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328,83</w:t>
            </w:r>
          </w:p>
        </w:tc>
        <w:tc>
          <w:tcPr>
            <w:tcW w:w="1314"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28,84%</w:t>
            </w:r>
          </w:p>
        </w:tc>
      </w:tr>
      <w:tr w:rsidR="009A4DF8" w:rsidRPr="00095C43" w:rsidTr="00095C43">
        <w:trPr>
          <w:trHeight w:val="222"/>
        </w:trPr>
        <w:tc>
          <w:tcPr>
            <w:tcW w:w="4080" w:type="dxa"/>
            <w:tcBorders>
              <w:top w:val="nil"/>
              <w:left w:val="single" w:sz="8" w:space="0" w:color="auto"/>
              <w:bottom w:val="single" w:sz="8" w:space="0" w:color="auto"/>
              <w:right w:val="single" w:sz="8" w:space="0" w:color="auto"/>
            </w:tcBorders>
            <w:shd w:val="clear" w:color="auto" w:fill="auto"/>
            <w:vAlign w:val="bottom"/>
            <w:hideMark/>
          </w:tcPr>
          <w:p w:rsidR="009A4DF8" w:rsidRPr="00095C43" w:rsidRDefault="009A4DF8" w:rsidP="009A4DF8">
            <w:pPr>
              <w:spacing w:after="0"/>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Fonds africains (FAD+BOAD)</w:t>
            </w:r>
          </w:p>
        </w:tc>
        <w:tc>
          <w:tcPr>
            <w:tcW w:w="1201"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54,04</w:t>
            </w:r>
          </w:p>
        </w:tc>
        <w:tc>
          <w:tcPr>
            <w:tcW w:w="1208"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28,38</w:t>
            </w:r>
          </w:p>
        </w:tc>
        <w:tc>
          <w:tcPr>
            <w:tcW w:w="1323"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82,42</w:t>
            </w:r>
          </w:p>
        </w:tc>
        <w:tc>
          <w:tcPr>
            <w:tcW w:w="1314"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7,23%</w:t>
            </w:r>
          </w:p>
        </w:tc>
      </w:tr>
      <w:tr w:rsidR="009A4DF8" w:rsidRPr="00095C43" w:rsidTr="00095C43">
        <w:trPr>
          <w:trHeight w:val="222"/>
        </w:trPr>
        <w:tc>
          <w:tcPr>
            <w:tcW w:w="4080" w:type="dxa"/>
            <w:tcBorders>
              <w:top w:val="nil"/>
              <w:left w:val="single" w:sz="8" w:space="0" w:color="auto"/>
              <w:bottom w:val="single" w:sz="8" w:space="0" w:color="auto"/>
              <w:right w:val="single" w:sz="8" w:space="0" w:color="auto"/>
            </w:tcBorders>
            <w:shd w:val="clear" w:color="auto" w:fill="auto"/>
            <w:vAlign w:val="bottom"/>
            <w:hideMark/>
          </w:tcPr>
          <w:p w:rsidR="009A4DF8" w:rsidRPr="00095C43" w:rsidRDefault="009A4DF8" w:rsidP="009A4DF8">
            <w:pPr>
              <w:spacing w:after="0"/>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Système des Nations Unies</w:t>
            </w:r>
          </w:p>
        </w:tc>
        <w:tc>
          <w:tcPr>
            <w:tcW w:w="1201"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2,92</w:t>
            </w:r>
          </w:p>
        </w:tc>
        <w:tc>
          <w:tcPr>
            <w:tcW w:w="1208"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94,51</w:t>
            </w:r>
          </w:p>
        </w:tc>
        <w:tc>
          <w:tcPr>
            <w:tcW w:w="1323"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97,43</w:t>
            </w:r>
          </w:p>
        </w:tc>
        <w:tc>
          <w:tcPr>
            <w:tcW w:w="1314"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8,54%</w:t>
            </w:r>
          </w:p>
        </w:tc>
      </w:tr>
      <w:tr w:rsidR="009A4DF8" w:rsidRPr="00095C43" w:rsidTr="00095C43">
        <w:trPr>
          <w:trHeight w:val="222"/>
        </w:trPr>
        <w:tc>
          <w:tcPr>
            <w:tcW w:w="4080" w:type="dxa"/>
            <w:tcBorders>
              <w:top w:val="nil"/>
              <w:left w:val="single" w:sz="8" w:space="0" w:color="auto"/>
              <w:bottom w:val="single" w:sz="8" w:space="0" w:color="auto"/>
              <w:right w:val="single" w:sz="8" w:space="0" w:color="auto"/>
            </w:tcBorders>
            <w:shd w:val="clear" w:color="auto" w:fill="auto"/>
            <w:vAlign w:val="bottom"/>
            <w:hideMark/>
          </w:tcPr>
          <w:p w:rsidR="009A4DF8" w:rsidRPr="00095C43" w:rsidRDefault="009A4DF8" w:rsidP="009A4DF8">
            <w:pPr>
              <w:spacing w:after="0"/>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Pays américains (USA+Canada+Brésil)</w:t>
            </w:r>
          </w:p>
        </w:tc>
        <w:tc>
          <w:tcPr>
            <w:tcW w:w="1201"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 xml:space="preserve">0   </w:t>
            </w:r>
          </w:p>
        </w:tc>
        <w:tc>
          <w:tcPr>
            <w:tcW w:w="1208"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 xml:space="preserve">   73,55   </w:t>
            </w:r>
          </w:p>
        </w:tc>
        <w:tc>
          <w:tcPr>
            <w:tcW w:w="1323"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73,55</w:t>
            </w:r>
          </w:p>
        </w:tc>
        <w:tc>
          <w:tcPr>
            <w:tcW w:w="1314"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6,45%</w:t>
            </w:r>
          </w:p>
        </w:tc>
      </w:tr>
      <w:tr w:rsidR="009A4DF8" w:rsidRPr="00095C43" w:rsidTr="00095C43">
        <w:trPr>
          <w:trHeight w:val="222"/>
        </w:trPr>
        <w:tc>
          <w:tcPr>
            <w:tcW w:w="4080" w:type="dxa"/>
            <w:tcBorders>
              <w:top w:val="nil"/>
              <w:left w:val="single" w:sz="8" w:space="0" w:color="auto"/>
              <w:bottom w:val="single" w:sz="8" w:space="0" w:color="auto"/>
              <w:right w:val="single" w:sz="8" w:space="0" w:color="auto"/>
            </w:tcBorders>
            <w:shd w:val="clear" w:color="auto" w:fill="auto"/>
            <w:vAlign w:val="bottom"/>
            <w:hideMark/>
          </w:tcPr>
          <w:p w:rsidR="009A4DF8" w:rsidRPr="00095C43" w:rsidRDefault="009A4DF8" w:rsidP="009A4DF8">
            <w:pPr>
              <w:spacing w:after="0"/>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Pays Arabes</w:t>
            </w:r>
          </w:p>
        </w:tc>
        <w:tc>
          <w:tcPr>
            <w:tcW w:w="1201"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30,30</w:t>
            </w:r>
          </w:p>
        </w:tc>
        <w:tc>
          <w:tcPr>
            <w:tcW w:w="1208"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0,09</w:t>
            </w:r>
          </w:p>
        </w:tc>
        <w:tc>
          <w:tcPr>
            <w:tcW w:w="1323"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30,39</w:t>
            </w:r>
          </w:p>
        </w:tc>
        <w:tc>
          <w:tcPr>
            <w:tcW w:w="1314"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2,67%</w:t>
            </w:r>
          </w:p>
        </w:tc>
      </w:tr>
      <w:tr w:rsidR="009A4DF8" w:rsidRPr="00095C43" w:rsidTr="00095C43">
        <w:trPr>
          <w:trHeight w:val="222"/>
        </w:trPr>
        <w:tc>
          <w:tcPr>
            <w:tcW w:w="4080" w:type="dxa"/>
            <w:tcBorders>
              <w:top w:val="nil"/>
              <w:left w:val="single" w:sz="8" w:space="0" w:color="auto"/>
              <w:bottom w:val="single" w:sz="8" w:space="0" w:color="auto"/>
              <w:right w:val="single" w:sz="8" w:space="0" w:color="auto"/>
            </w:tcBorders>
            <w:shd w:val="clear" w:color="auto" w:fill="auto"/>
            <w:vAlign w:val="bottom"/>
            <w:hideMark/>
          </w:tcPr>
          <w:p w:rsidR="009A4DF8" w:rsidRPr="00095C43" w:rsidRDefault="009A4DF8" w:rsidP="009A4DF8">
            <w:pPr>
              <w:spacing w:after="0"/>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Asie (Chine - Taïwan  + Japon+Inde)</w:t>
            </w:r>
          </w:p>
        </w:tc>
        <w:tc>
          <w:tcPr>
            <w:tcW w:w="1201"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1,16</w:t>
            </w:r>
          </w:p>
        </w:tc>
        <w:tc>
          <w:tcPr>
            <w:tcW w:w="1208"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40,95</w:t>
            </w:r>
          </w:p>
        </w:tc>
        <w:tc>
          <w:tcPr>
            <w:tcW w:w="1323"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42,11</w:t>
            </w:r>
          </w:p>
        </w:tc>
        <w:tc>
          <w:tcPr>
            <w:tcW w:w="1314"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3,69%</w:t>
            </w:r>
          </w:p>
        </w:tc>
      </w:tr>
      <w:tr w:rsidR="009A4DF8" w:rsidRPr="00095C43" w:rsidTr="00095C43">
        <w:trPr>
          <w:trHeight w:val="222"/>
        </w:trPr>
        <w:tc>
          <w:tcPr>
            <w:tcW w:w="4080" w:type="dxa"/>
            <w:tcBorders>
              <w:top w:val="nil"/>
              <w:left w:val="single" w:sz="8" w:space="0" w:color="auto"/>
              <w:bottom w:val="single" w:sz="8" w:space="0" w:color="auto"/>
              <w:right w:val="single" w:sz="8" w:space="0" w:color="auto"/>
            </w:tcBorders>
            <w:shd w:val="clear" w:color="auto" w:fill="auto"/>
            <w:vAlign w:val="bottom"/>
            <w:hideMark/>
          </w:tcPr>
          <w:p w:rsidR="009A4DF8" w:rsidRPr="00095C43" w:rsidRDefault="009A4DF8" w:rsidP="009A4DF8">
            <w:pPr>
              <w:spacing w:after="0"/>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ONG</w:t>
            </w:r>
          </w:p>
        </w:tc>
        <w:tc>
          <w:tcPr>
            <w:tcW w:w="1201"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0,00</w:t>
            </w:r>
          </w:p>
        </w:tc>
        <w:tc>
          <w:tcPr>
            <w:tcW w:w="1208"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34,04</w:t>
            </w:r>
          </w:p>
        </w:tc>
        <w:tc>
          <w:tcPr>
            <w:tcW w:w="1323"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34,04</w:t>
            </w:r>
          </w:p>
        </w:tc>
        <w:tc>
          <w:tcPr>
            <w:tcW w:w="1314"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color w:val="000000" w:themeColor="text1"/>
                <w:lang w:eastAsia="fr-FR"/>
              </w:rPr>
            </w:pPr>
            <w:r w:rsidRPr="00095C43">
              <w:rPr>
                <w:rFonts w:asciiTheme="minorHAnsi" w:hAnsiTheme="minorHAnsi" w:cstheme="minorHAnsi"/>
                <w:color w:val="000000" w:themeColor="text1"/>
                <w:lang w:eastAsia="fr-FR"/>
              </w:rPr>
              <w:t>2,99%</w:t>
            </w:r>
          </w:p>
        </w:tc>
      </w:tr>
      <w:tr w:rsidR="009A4DF8" w:rsidRPr="00095C43" w:rsidTr="00095C43">
        <w:trPr>
          <w:trHeight w:val="233"/>
        </w:trPr>
        <w:tc>
          <w:tcPr>
            <w:tcW w:w="4080" w:type="dxa"/>
            <w:tcBorders>
              <w:top w:val="nil"/>
              <w:left w:val="single" w:sz="8" w:space="0" w:color="auto"/>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Total</w:t>
            </w:r>
          </w:p>
        </w:tc>
        <w:tc>
          <w:tcPr>
            <w:tcW w:w="1201"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327,45</w:t>
            </w:r>
          </w:p>
        </w:tc>
        <w:tc>
          <w:tcPr>
            <w:tcW w:w="1208"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812,79</w:t>
            </w:r>
          </w:p>
        </w:tc>
        <w:tc>
          <w:tcPr>
            <w:tcW w:w="1323"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1 140,23</w:t>
            </w:r>
          </w:p>
        </w:tc>
        <w:tc>
          <w:tcPr>
            <w:tcW w:w="1314" w:type="dxa"/>
            <w:tcBorders>
              <w:top w:val="nil"/>
              <w:left w:val="nil"/>
              <w:bottom w:val="single" w:sz="8" w:space="0" w:color="auto"/>
              <w:right w:val="single" w:sz="8" w:space="0" w:color="auto"/>
            </w:tcBorders>
            <w:shd w:val="clear" w:color="auto" w:fill="auto"/>
            <w:vAlign w:val="bottom"/>
            <w:hideMark/>
          </w:tcPr>
          <w:p w:rsidR="009A4DF8" w:rsidRPr="00095C43" w:rsidRDefault="009A4DF8" w:rsidP="009A4DF8">
            <w:pPr>
              <w:spacing w:after="0"/>
              <w:jc w:val="center"/>
              <w:rPr>
                <w:rFonts w:asciiTheme="minorHAnsi" w:hAnsiTheme="minorHAnsi" w:cstheme="minorHAnsi"/>
                <w:b/>
                <w:bCs/>
                <w:color w:val="000000" w:themeColor="text1"/>
                <w:lang w:eastAsia="fr-FR"/>
              </w:rPr>
            </w:pPr>
            <w:r w:rsidRPr="00095C43">
              <w:rPr>
                <w:rFonts w:asciiTheme="minorHAnsi" w:hAnsiTheme="minorHAnsi" w:cstheme="minorHAnsi"/>
                <w:b/>
                <w:bCs/>
                <w:color w:val="000000" w:themeColor="text1"/>
                <w:lang w:eastAsia="fr-FR"/>
              </w:rPr>
              <w:t>100,00%</w:t>
            </w:r>
          </w:p>
        </w:tc>
      </w:tr>
    </w:tbl>
    <w:p w:rsidR="009A4DF8" w:rsidRPr="00223BB0" w:rsidRDefault="00E476AA" w:rsidP="009A4DF8">
      <w:pPr>
        <w:rPr>
          <w:rFonts w:ascii="Arial" w:hAnsi="Arial" w:cs="Arial"/>
          <w:color w:val="000000" w:themeColor="text1"/>
        </w:rPr>
      </w:pPr>
      <w:r w:rsidRPr="00223BB0">
        <w:rPr>
          <w:rFonts w:ascii="Arial" w:hAnsi="Arial" w:cs="Arial"/>
          <w:color w:val="000000" w:themeColor="text1"/>
        </w:rPr>
        <w:fldChar w:fldCharType="begin"/>
      </w:r>
      <w:r w:rsidR="009A4DF8" w:rsidRPr="00223BB0">
        <w:rPr>
          <w:rFonts w:ascii="Arial" w:hAnsi="Arial" w:cs="Arial"/>
          <w:color w:val="000000" w:themeColor="text1"/>
        </w:rPr>
        <w:instrText xml:space="preserve"> LINK Excel.Sheet.12 "C:\\Users\\PRCI-SE\\Desktop\\RCD2015\\Doc A1 RCD 2015\\TABLEAUX &amp; GRAPH_ RCD 2015_version _13-06-16.xlsx" 12.APD_Groupe!L64C1:L74C5 \a \f 4 \h  \* MERGEFORMAT </w:instrText>
      </w:r>
      <w:r w:rsidRPr="00223BB0">
        <w:rPr>
          <w:rFonts w:ascii="Arial" w:hAnsi="Arial" w:cs="Arial"/>
          <w:color w:val="000000" w:themeColor="text1"/>
        </w:rPr>
        <w:fldChar w:fldCharType="end"/>
      </w:r>
      <w:r w:rsidR="009A4DF8" w:rsidRPr="00223BB0">
        <w:rPr>
          <w:rFonts w:ascii="Arial" w:hAnsi="Arial" w:cs="Arial"/>
          <w:b/>
          <w:i/>
          <w:color w:val="000000" w:themeColor="text1"/>
          <w:sz w:val="18"/>
          <w:szCs w:val="18"/>
          <w:u w:val="single"/>
        </w:rPr>
        <w:t>Source :</w:t>
      </w:r>
      <w:r w:rsidR="009A4DF8" w:rsidRPr="00223BB0">
        <w:rPr>
          <w:rFonts w:ascii="Arial" w:hAnsi="Arial" w:cs="Arial"/>
          <w:i/>
          <w:color w:val="000000" w:themeColor="text1"/>
          <w:sz w:val="18"/>
          <w:szCs w:val="18"/>
        </w:rPr>
        <w:t xml:space="preserve"> PGA/DGCOOP, Juillet 201</w:t>
      </w:r>
      <w:r w:rsidR="009A4DF8">
        <w:rPr>
          <w:rFonts w:ascii="Arial" w:hAnsi="Arial" w:cs="Arial"/>
          <w:i/>
          <w:color w:val="000000" w:themeColor="text1"/>
          <w:sz w:val="18"/>
          <w:szCs w:val="18"/>
        </w:rPr>
        <w:t>7</w:t>
      </w:r>
      <w:r w:rsidR="009A4DF8" w:rsidRPr="00223BB0">
        <w:rPr>
          <w:rFonts w:ascii="Arial" w:hAnsi="Arial" w:cs="Arial"/>
          <w:i/>
          <w:color w:val="000000" w:themeColor="text1"/>
          <w:sz w:val="18"/>
          <w:szCs w:val="18"/>
        </w:rPr>
        <w:t>.</w:t>
      </w:r>
    </w:p>
    <w:p w:rsidR="009A4DF8" w:rsidRPr="00F538F7" w:rsidRDefault="009A4DF8" w:rsidP="008D7758">
      <w:pPr>
        <w:pStyle w:val="Titre2"/>
        <w:numPr>
          <w:ilvl w:val="0"/>
          <w:numId w:val="119"/>
        </w:numPr>
        <w:tabs>
          <w:tab w:val="left" w:pos="1134"/>
        </w:tabs>
      </w:pPr>
      <w:bookmarkStart w:id="540" w:name="_Toc461526824"/>
      <w:bookmarkStart w:id="541" w:name="_Toc461618005"/>
      <w:bookmarkStart w:id="542" w:name="_Toc492972216"/>
      <w:r w:rsidRPr="00F538F7">
        <w:t>Autres formes de coopération</w:t>
      </w:r>
      <w:bookmarkEnd w:id="540"/>
      <w:bookmarkEnd w:id="541"/>
      <w:bookmarkEnd w:id="542"/>
    </w:p>
    <w:p w:rsidR="009A4DF8" w:rsidRPr="002D1974" w:rsidRDefault="009A4DF8" w:rsidP="008D7758">
      <w:pPr>
        <w:pStyle w:val="Titre3"/>
        <w:numPr>
          <w:ilvl w:val="0"/>
          <w:numId w:val="124"/>
        </w:numPr>
        <w:tabs>
          <w:tab w:val="left" w:pos="1560"/>
        </w:tabs>
        <w:ind w:left="1560"/>
      </w:pPr>
      <w:bookmarkStart w:id="543" w:name="_Toc461526825"/>
      <w:bookmarkStart w:id="544" w:name="_Toc461618006"/>
      <w:bookmarkStart w:id="545" w:name="_Toc492972217"/>
      <w:r w:rsidRPr="002D1974">
        <w:t>La coopération décentralisée</w:t>
      </w:r>
      <w:bookmarkEnd w:id="543"/>
      <w:bookmarkEnd w:id="544"/>
      <w:bookmarkEnd w:id="545"/>
      <w:r w:rsidRPr="002D1974">
        <w:t xml:space="preserve"> </w:t>
      </w:r>
    </w:p>
    <w:p w:rsidR="00127717" w:rsidRPr="00127717" w:rsidRDefault="00127717" w:rsidP="00127717">
      <w:pPr>
        <w:widowControl w:val="0"/>
        <w:autoSpaceDE w:val="0"/>
        <w:autoSpaceDN w:val="0"/>
        <w:adjustRightInd w:val="0"/>
        <w:spacing w:after="120"/>
        <w:jc w:val="both"/>
        <w:rPr>
          <w:rFonts w:ascii="Arial" w:hAnsi="Arial" w:cs="Arial"/>
          <w:lang w:eastAsia="fr-FR"/>
        </w:rPr>
      </w:pPr>
      <w:r w:rsidRPr="00127717">
        <w:rPr>
          <w:rFonts w:ascii="Arial" w:hAnsi="Arial" w:cs="Arial"/>
        </w:rPr>
        <w:t>La coopération décentralisée trouve son fondement juridique à travers les lois de décentralisation qui reconnaissent aux collectivités locales burkinabè le droit « à entreprendre des actions de coopération qui donnent lieu à des conventions avec les collectivités locales de pays étrangers  ».</w:t>
      </w:r>
      <w:r w:rsidR="004102E3">
        <w:rPr>
          <w:rFonts w:ascii="Arial" w:hAnsi="Arial" w:cs="Arial"/>
        </w:rPr>
        <w:t xml:space="preserve"> </w:t>
      </w:r>
      <w:r w:rsidRPr="00127717">
        <w:rPr>
          <w:rFonts w:ascii="Arial" w:hAnsi="Arial" w:cs="Arial"/>
        </w:rPr>
        <w:t xml:space="preserve">Les différents acteurs sont aujourd’hui unanimes à reconnaître le rôle indéniable des collectivités territoriales en matière de lutte contre la pauvreté et les inégalités, mais aussi leur rôle comme acteur du développement économique des territoires.  </w:t>
      </w:r>
    </w:p>
    <w:p w:rsidR="00127717" w:rsidRPr="00127717" w:rsidRDefault="004102E3" w:rsidP="00127717">
      <w:pPr>
        <w:widowControl w:val="0"/>
        <w:autoSpaceDE w:val="0"/>
        <w:autoSpaceDN w:val="0"/>
        <w:adjustRightInd w:val="0"/>
        <w:spacing w:after="120"/>
        <w:jc w:val="both"/>
        <w:rPr>
          <w:rFonts w:ascii="Arial" w:hAnsi="Arial" w:cs="Arial"/>
        </w:rPr>
      </w:pPr>
      <w:r>
        <w:rPr>
          <w:rFonts w:ascii="Arial" w:hAnsi="Arial" w:cs="Arial"/>
        </w:rPr>
        <w:t xml:space="preserve">De part leur forme </w:t>
      </w:r>
      <w:r w:rsidR="00127717" w:rsidRPr="00127717">
        <w:rPr>
          <w:rFonts w:ascii="Arial" w:hAnsi="Arial" w:cs="Arial"/>
        </w:rPr>
        <w:t>d’intervention, on distingue 3 sortes de partenaires qui interv</w:t>
      </w:r>
      <w:r>
        <w:rPr>
          <w:rFonts w:ascii="Arial" w:hAnsi="Arial" w:cs="Arial"/>
        </w:rPr>
        <w:t xml:space="preserve">iennent dans le cadre de cette </w:t>
      </w:r>
      <w:r w:rsidR="00127717" w:rsidRPr="00127717">
        <w:rPr>
          <w:rFonts w:ascii="Arial" w:hAnsi="Arial" w:cs="Arial"/>
        </w:rPr>
        <w:t>coopération.</w:t>
      </w:r>
    </w:p>
    <w:p w:rsidR="00127717" w:rsidRPr="00127717" w:rsidRDefault="00127717" w:rsidP="00127717">
      <w:pPr>
        <w:widowControl w:val="0"/>
        <w:autoSpaceDE w:val="0"/>
        <w:autoSpaceDN w:val="0"/>
        <w:adjustRightInd w:val="0"/>
        <w:spacing w:after="120"/>
        <w:ind w:left="720" w:hanging="360"/>
        <w:jc w:val="both"/>
        <w:rPr>
          <w:rFonts w:ascii="Arial" w:hAnsi="Arial" w:cs="Arial"/>
        </w:rPr>
      </w:pPr>
      <w:r w:rsidRPr="00127717">
        <w:rPr>
          <w:rFonts w:ascii="Arial" w:hAnsi="Arial" w:cs="Arial"/>
        </w:rPr>
        <w:t>-</w:t>
      </w:r>
      <w:r w:rsidRPr="00127717">
        <w:rPr>
          <w:rFonts w:ascii="Arial" w:hAnsi="Arial" w:cs="Arial"/>
        </w:rPr>
        <w:tab/>
        <w:t>ceux qui interviennent en apportant leur appui financiers et techniques à nos collectivités ;</w:t>
      </w:r>
    </w:p>
    <w:p w:rsidR="00127717" w:rsidRPr="00127717" w:rsidRDefault="00127717" w:rsidP="00127717">
      <w:pPr>
        <w:widowControl w:val="0"/>
        <w:autoSpaceDE w:val="0"/>
        <w:autoSpaceDN w:val="0"/>
        <w:adjustRightInd w:val="0"/>
        <w:spacing w:after="120"/>
        <w:ind w:left="720" w:hanging="360"/>
        <w:jc w:val="both"/>
        <w:rPr>
          <w:rFonts w:ascii="Arial" w:hAnsi="Arial" w:cs="Arial"/>
        </w:rPr>
      </w:pPr>
      <w:r w:rsidRPr="00127717">
        <w:rPr>
          <w:rFonts w:ascii="Arial" w:hAnsi="Arial" w:cs="Arial"/>
        </w:rPr>
        <w:t>-</w:t>
      </w:r>
      <w:r w:rsidRPr="00127717">
        <w:rPr>
          <w:rFonts w:ascii="Arial" w:hAnsi="Arial" w:cs="Arial"/>
        </w:rPr>
        <w:tab/>
        <w:t>ceux qui intervi</w:t>
      </w:r>
      <w:r w:rsidR="004102E3">
        <w:rPr>
          <w:rFonts w:ascii="Arial" w:hAnsi="Arial" w:cs="Arial"/>
        </w:rPr>
        <w:t xml:space="preserve">ennent de par leur financement </w:t>
      </w:r>
      <w:r w:rsidRPr="00127717">
        <w:rPr>
          <w:rFonts w:ascii="Arial" w:hAnsi="Arial" w:cs="Arial"/>
        </w:rPr>
        <w:t>à travers les ONG et Associations de développement.</w:t>
      </w:r>
    </w:p>
    <w:p w:rsidR="00127717" w:rsidRPr="00127717" w:rsidRDefault="00127717" w:rsidP="00127717">
      <w:pPr>
        <w:widowControl w:val="0"/>
        <w:autoSpaceDE w:val="0"/>
        <w:autoSpaceDN w:val="0"/>
        <w:adjustRightInd w:val="0"/>
        <w:spacing w:after="120"/>
        <w:ind w:left="720" w:hanging="360"/>
        <w:jc w:val="both"/>
        <w:rPr>
          <w:rFonts w:ascii="Arial" w:hAnsi="Arial" w:cs="Arial"/>
        </w:rPr>
      </w:pPr>
      <w:r w:rsidRPr="00127717">
        <w:rPr>
          <w:rFonts w:ascii="Arial" w:hAnsi="Arial" w:cs="Arial"/>
        </w:rPr>
        <w:t>-</w:t>
      </w:r>
      <w:r w:rsidRPr="00127717">
        <w:rPr>
          <w:rFonts w:ascii="Arial" w:hAnsi="Arial" w:cs="Arial"/>
        </w:rPr>
        <w:tab/>
        <w:t>ceux dont les collectivités de leur pays entretiennent des relations d’amitié, de jumelage avec les collectivités de notre pays.</w:t>
      </w:r>
    </w:p>
    <w:p w:rsidR="00127717" w:rsidRPr="00127717" w:rsidRDefault="00127717" w:rsidP="00127717">
      <w:pPr>
        <w:widowControl w:val="0"/>
        <w:autoSpaceDE w:val="0"/>
        <w:autoSpaceDN w:val="0"/>
        <w:adjustRightInd w:val="0"/>
        <w:spacing w:after="120"/>
        <w:jc w:val="both"/>
        <w:rPr>
          <w:rFonts w:ascii="Arial" w:hAnsi="Arial" w:cs="Arial"/>
        </w:rPr>
      </w:pPr>
      <w:r w:rsidRPr="00127717">
        <w:rPr>
          <w:rFonts w:ascii="Arial" w:hAnsi="Arial" w:cs="Arial"/>
        </w:rPr>
        <w:t>La constitution du Burkina Faso stipule en son article 143 que : « le Burkina Faso est organisé en collectivités territoriales » et le Ministère de l’Economie, des Finances et du Développement (MINEFID) assure la tutelle financière des collectivités territoriales, à ce titre il mobilise à travers la Direction Générale de la Coopération (DGCOOP) les ressources financières auprès des partenaires techniques et financiers en faveur des collectivités territoriales.</w:t>
      </w:r>
    </w:p>
    <w:p w:rsidR="00127717" w:rsidRPr="00127717" w:rsidRDefault="00127717" w:rsidP="00127717">
      <w:pPr>
        <w:widowControl w:val="0"/>
        <w:autoSpaceDE w:val="0"/>
        <w:autoSpaceDN w:val="0"/>
        <w:adjustRightInd w:val="0"/>
        <w:spacing w:after="120"/>
        <w:jc w:val="both"/>
        <w:rPr>
          <w:rFonts w:ascii="Arial" w:hAnsi="Arial" w:cs="Arial"/>
        </w:rPr>
      </w:pPr>
      <w:r w:rsidRPr="00127717">
        <w:rPr>
          <w:rFonts w:ascii="Arial" w:hAnsi="Arial" w:cs="Arial"/>
        </w:rPr>
        <w:t>Cependant, La Direction Générale de la Coopération (DGCOOP) n’arrive pas à comptabiliser les ressources mobilisées dans le cadre de cette coopération dû au faite que:</w:t>
      </w:r>
    </w:p>
    <w:p w:rsidR="00127717" w:rsidRPr="00127717" w:rsidRDefault="00127717" w:rsidP="008D7758">
      <w:pPr>
        <w:widowControl w:val="0"/>
        <w:numPr>
          <w:ilvl w:val="0"/>
          <w:numId w:val="133"/>
        </w:numPr>
        <w:autoSpaceDE w:val="0"/>
        <w:autoSpaceDN w:val="0"/>
        <w:adjustRightInd w:val="0"/>
        <w:spacing w:after="120"/>
        <w:ind w:left="720" w:hanging="360"/>
        <w:jc w:val="both"/>
        <w:rPr>
          <w:rFonts w:ascii="Arial" w:hAnsi="Arial" w:cs="Arial"/>
        </w:rPr>
      </w:pPr>
      <w:r w:rsidRPr="00127717">
        <w:rPr>
          <w:rFonts w:ascii="Arial" w:hAnsi="Arial" w:cs="Arial"/>
        </w:rPr>
        <w:t>les communes ne procède pas à l'enregistrement des conventions signées avec leurs communes partenaires;</w:t>
      </w:r>
    </w:p>
    <w:p w:rsidR="009A4DF8" w:rsidRPr="00127717" w:rsidRDefault="00127717" w:rsidP="008D7758">
      <w:pPr>
        <w:widowControl w:val="0"/>
        <w:numPr>
          <w:ilvl w:val="0"/>
          <w:numId w:val="133"/>
        </w:numPr>
        <w:autoSpaceDE w:val="0"/>
        <w:autoSpaceDN w:val="0"/>
        <w:adjustRightInd w:val="0"/>
        <w:spacing w:after="120"/>
        <w:ind w:left="720" w:hanging="360"/>
        <w:jc w:val="both"/>
        <w:rPr>
          <w:rFonts w:ascii="Arial" w:hAnsi="Arial" w:cs="Arial"/>
        </w:rPr>
      </w:pPr>
      <w:r w:rsidRPr="00127717">
        <w:rPr>
          <w:rFonts w:ascii="Arial" w:hAnsi="Arial" w:cs="Arial"/>
        </w:rPr>
        <w:t>les jumelages d</w:t>
      </w:r>
      <w:r w:rsidR="004102E3">
        <w:rPr>
          <w:rFonts w:ascii="Arial" w:hAnsi="Arial" w:cs="Arial"/>
        </w:rPr>
        <w:t>ans les</w:t>
      </w:r>
      <w:r w:rsidRPr="00127717">
        <w:rPr>
          <w:rFonts w:ascii="Arial" w:hAnsi="Arial" w:cs="Arial"/>
        </w:rPr>
        <w:t xml:space="preserve"> communes</w:t>
      </w:r>
      <w:r w:rsidR="004102E3">
        <w:rPr>
          <w:rFonts w:ascii="Arial" w:hAnsi="Arial" w:cs="Arial"/>
        </w:rPr>
        <w:t xml:space="preserve"> sont plus </w:t>
      </w:r>
      <w:r w:rsidR="00FE3149">
        <w:rPr>
          <w:rFonts w:ascii="Arial" w:hAnsi="Arial" w:cs="Arial"/>
        </w:rPr>
        <w:t>basés</w:t>
      </w:r>
      <w:r w:rsidR="004102E3">
        <w:rPr>
          <w:rFonts w:ascii="Arial" w:hAnsi="Arial" w:cs="Arial"/>
        </w:rPr>
        <w:t xml:space="preserve"> sur les relations personnelles.</w:t>
      </w:r>
    </w:p>
    <w:p w:rsidR="009A4DF8" w:rsidRPr="002D1974" w:rsidRDefault="009A4DF8" w:rsidP="008D7758">
      <w:pPr>
        <w:pStyle w:val="Titre3"/>
        <w:numPr>
          <w:ilvl w:val="0"/>
          <w:numId w:val="124"/>
        </w:numPr>
        <w:tabs>
          <w:tab w:val="left" w:pos="1560"/>
        </w:tabs>
        <w:ind w:left="1560"/>
      </w:pPr>
      <w:bookmarkStart w:id="546" w:name="_Toc461526827"/>
      <w:bookmarkStart w:id="547" w:name="_Toc461618008"/>
      <w:bookmarkStart w:id="548" w:name="_Toc492972218"/>
      <w:r w:rsidRPr="002D1974">
        <w:lastRenderedPageBreak/>
        <w:t>La Coopération déléguée</w:t>
      </w:r>
      <w:bookmarkEnd w:id="546"/>
      <w:bookmarkEnd w:id="547"/>
      <w:bookmarkEnd w:id="548"/>
    </w:p>
    <w:p w:rsidR="009A4DF8" w:rsidRPr="00223BB0" w:rsidRDefault="009A4DF8" w:rsidP="009A4DF8">
      <w:pPr>
        <w:jc w:val="both"/>
        <w:rPr>
          <w:rFonts w:ascii="Arial" w:eastAsia="Arial Unicode MS" w:hAnsi="Arial" w:cs="Arial"/>
          <w:color w:val="000000" w:themeColor="text1"/>
          <w:lang w:eastAsia="fr-FR"/>
        </w:rPr>
      </w:pPr>
      <w:r w:rsidRPr="00223BB0">
        <w:rPr>
          <w:rFonts w:ascii="Arial" w:eastAsia="Arial Unicode MS" w:hAnsi="Arial" w:cs="Arial"/>
          <w:color w:val="000000" w:themeColor="text1"/>
          <w:lang w:eastAsia="fr-FR"/>
        </w:rPr>
        <w:t>La coopération déléguée est un arrangement pratique en vertu duquel un PTF donateur ou mandant habilite un PTF mandataire ou donneur principal à agir pour son compte, en tant que responsable d’une composante du cycle d’un projet, ou de l’intégralité d’un programme sectoriel, voire d’un programme national. Ce mandat peut prendre des formes variées. Utilisée pour améliorer l’efficacité de l’aide notamment à travers des économies d’échelle avantageuses pour les pays bénéficiaires, la coopération déléguée contribue aussi au renforcement des capacités et au pouvoir d’initiative des pays bénéficiaires.</w:t>
      </w:r>
    </w:p>
    <w:p w:rsidR="009A4DF8" w:rsidRPr="00223BB0" w:rsidRDefault="009A4DF8" w:rsidP="009A4DF8">
      <w:pPr>
        <w:jc w:val="both"/>
        <w:rPr>
          <w:rFonts w:ascii="Arial" w:hAnsi="Arial" w:cs="Arial"/>
          <w:color w:val="000000" w:themeColor="text1"/>
        </w:rPr>
      </w:pPr>
      <w:r w:rsidRPr="00223BB0">
        <w:rPr>
          <w:rFonts w:ascii="Arial" w:hAnsi="Arial" w:cs="Arial"/>
          <w:color w:val="000000" w:themeColor="text1"/>
        </w:rPr>
        <w:t>En 2016, sur la base des informations recueillies auprès des PTF, le montant total de l’aide fourni</w:t>
      </w:r>
      <w:r>
        <w:rPr>
          <w:rFonts w:ascii="Arial" w:hAnsi="Arial" w:cs="Arial"/>
          <w:color w:val="000000" w:themeColor="text1"/>
        </w:rPr>
        <w:t>e</w:t>
      </w:r>
      <w:r w:rsidRPr="00223BB0">
        <w:rPr>
          <w:rFonts w:ascii="Arial" w:hAnsi="Arial" w:cs="Arial"/>
          <w:color w:val="000000" w:themeColor="text1"/>
        </w:rPr>
        <w:t xml:space="preserve"> par les PTF mandants s’élève à 5,512 millions de dollars US. Ce montant est en baisse par rapport à celui de l’année passée qui était de 20,35 millions de dollars US. Le nombre de PTF mandants a également diminué passant 5 à 2. Ainsi, en 2016, seules la Suède et le Japon ont utilisé cette forme de coopération. Les PTF mandataires par qui a transité cette aide sont constitués essentiellement des organismes du Système des Nations Unies que sont le PNUD, l’UNICEF, le PAM, l’UNHCR et le PNUD.</w:t>
      </w:r>
    </w:p>
    <w:p w:rsidR="009A4DF8" w:rsidRPr="00475F95" w:rsidRDefault="00475F95" w:rsidP="00475F95">
      <w:pPr>
        <w:pStyle w:val="Lgende"/>
        <w:rPr>
          <w:color w:val="auto"/>
          <w:u w:val="none"/>
        </w:rPr>
      </w:pPr>
      <w:bookmarkStart w:id="549" w:name="_Toc492895488"/>
      <w:r w:rsidRPr="00475F95">
        <w:rPr>
          <w:color w:val="auto"/>
        </w:rPr>
        <w:t xml:space="preserve">Tableau </w:t>
      </w:r>
      <w:r w:rsidRPr="00475F95">
        <w:rPr>
          <w:color w:val="auto"/>
        </w:rPr>
        <w:fldChar w:fldCharType="begin"/>
      </w:r>
      <w:r w:rsidRPr="00475F95">
        <w:rPr>
          <w:color w:val="auto"/>
        </w:rPr>
        <w:instrText xml:space="preserve"> SEQ Tableau \* ARABIC </w:instrText>
      </w:r>
      <w:r w:rsidRPr="00475F95">
        <w:rPr>
          <w:color w:val="auto"/>
        </w:rPr>
        <w:fldChar w:fldCharType="separate"/>
      </w:r>
      <w:r w:rsidR="009A1402">
        <w:rPr>
          <w:noProof/>
          <w:color w:val="auto"/>
        </w:rPr>
        <w:t>20</w:t>
      </w:r>
      <w:r w:rsidRPr="00475F95">
        <w:rPr>
          <w:color w:val="auto"/>
        </w:rPr>
        <w:fldChar w:fldCharType="end"/>
      </w:r>
      <w:r w:rsidRPr="00475F95">
        <w:rPr>
          <w:color w:val="auto"/>
        </w:rPr>
        <w:t> :</w:t>
      </w:r>
      <w:r w:rsidR="009A4DF8" w:rsidRPr="00475F95">
        <w:rPr>
          <w:color w:val="auto"/>
        </w:rPr>
        <w:t xml:space="preserve"> </w:t>
      </w:r>
      <w:r w:rsidR="009A4DF8" w:rsidRPr="00475F95">
        <w:rPr>
          <w:color w:val="auto"/>
          <w:u w:val="none"/>
        </w:rPr>
        <w:t>Situation synthétique par bailleur ayant fourni de l’aide sous forme de coopération déléguée (CD) en 2016 (en millions de dollars US)</w:t>
      </w:r>
      <w:bookmarkEnd w:id="549"/>
      <w:r w:rsidR="009A4DF8" w:rsidRPr="00475F95">
        <w:rPr>
          <w:color w:val="auto"/>
          <w:u w:val="none"/>
        </w:rPr>
        <w:t xml:space="preserve"> </w:t>
      </w:r>
    </w:p>
    <w:tbl>
      <w:tblPr>
        <w:tblW w:w="9043" w:type="dxa"/>
        <w:tblCellMar>
          <w:left w:w="70" w:type="dxa"/>
          <w:right w:w="70" w:type="dxa"/>
        </w:tblCellMar>
        <w:tblLook w:val="04A0" w:firstRow="1" w:lastRow="0" w:firstColumn="1" w:lastColumn="0" w:noHBand="0" w:noVBand="1"/>
      </w:tblPr>
      <w:tblGrid>
        <w:gridCol w:w="1985"/>
        <w:gridCol w:w="1956"/>
        <w:gridCol w:w="1855"/>
        <w:gridCol w:w="1392"/>
        <w:gridCol w:w="1855"/>
      </w:tblGrid>
      <w:tr w:rsidR="009A4DF8" w:rsidRPr="00223BB0" w:rsidTr="005B67E4">
        <w:trPr>
          <w:trHeight w:val="698"/>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PTF mandants</w:t>
            </w:r>
          </w:p>
        </w:tc>
        <w:tc>
          <w:tcPr>
            <w:tcW w:w="1956" w:type="dxa"/>
            <w:tcBorders>
              <w:top w:val="single" w:sz="4" w:space="0" w:color="auto"/>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PTF délégués</w:t>
            </w:r>
          </w:p>
        </w:tc>
        <w:tc>
          <w:tcPr>
            <w:tcW w:w="1855" w:type="dxa"/>
            <w:tcBorders>
              <w:top w:val="single" w:sz="4" w:space="0" w:color="auto"/>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Montants PTF mandataires</w:t>
            </w:r>
          </w:p>
        </w:tc>
        <w:tc>
          <w:tcPr>
            <w:tcW w:w="1392" w:type="dxa"/>
            <w:tcBorders>
              <w:top w:val="single" w:sz="4" w:space="0" w:color="auto"/>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Total PTF mandants</w:t>
            </w:r>
          </w:p>
        </w:tc>
        <w:tc>
          <w:tcPr>
            <w:tcW w:w="1855" w:type="dxa"/>
            <w:tcBorders>
              <w:top w:val="single" w:sz="4" w:space="0" w:color="auto"/>
              <w:left w:val="nil"/>
              <w:bottom w:val="single" w:sz="4" w:space="0" w:color="auto"/>
              <w:right w:val="single" w:sz="4" w:space="0" w:color="auto"/>
            </w:tcBorders>
            <w:shd w:val="clear" w:color="auto" w:fill="auto"/>
            <w:vAlign w:val="center"/>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 de la CD par rapport à l’APD totale</w:t>
            </w:r>
          </w:p>
        </w:tc>
      </w:tr>
      <w:tr w:rsidR="009A4DF8" w:rsidRPr="00223BB0" w:rsidTr="005B67E4">
        <w:trPr>
          <w:trHeight w:val="17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Suède</w:t>
            </w:r>
          </w:p>
        </w:tc>
        <w:tc>
          <w:tcPr>
            <w:tcW w:w="1956"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rPr>
                <w:rFonts w:ascii="Arial" w:hAnsi="Arial" w:cs="Arial"/>
                <w:color w:val="000000" w:themeColor="text1"/>
                <w:lang w:eastAsia="fr-FR"/>
              </w:rPr>
            </w:pPr>
            <w:r w:rsidRPr="00223BB0">
              <w:rPr>
                <w:rFonts w:ascii="Arial" w:hAnsi="Arial" w:cs="Arial"/>
                <w:color w:val="000000" w:themeColor="text1"/>
                <w:lang w:eastAsia="fr-FR"/>
              </w:rPr>
              <w:t>PNUD</w:t>
            </w:r>
          </w:p>
        </w:tc>
        <w:tc>
          <w:tcPr>
            <w:tcW w:w="1855"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color w:val="000000" w:themeColor="text1"/>
                <w:lang w:eastAsia="fr-FR"/>
              </w:rPr>
            </w:pPr>
            <w:r w:rsidRPr="00223BB0">
              <w:rPr>
                <w:rFonts w:ascii="Arial" w:hAnsi="Arial" w:cs="Arial"/>
                <w:color w:val="000000" w:themeColor="text1"/>
                <w:lang w:eastAsia="fr-FR"/>
              </w:rPr>
              <w:t>0,585</w:t>
            </w:r>
          </w:p>
        </w:tc>
        <w:tc>
          <w:tcPr>
            <w:tcW w:w="1392"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color w:val="000000" w:themeColor="text1"/>
                <w:lang w:eastAsia="fr-FR"/>
              </w:rPr>
            </w:pPr>
            <w:r w:rsidRPr="00223BB0">
              <w:rPr>
                <w:rFonts w:ascii="Arial" w:hAnsi="Arial" w:cs="Arial"/>
                <w:color w:val="000000" w:themeColor="text1"/>
                <w:lang w:eastAsia="fr-FR"/>
              </w:rPr>
              <w:t>0,585</w:t>
            </w:r>
          </w:p>
        </w:tc>
        <w:tc>
          <w:tcPr>
            <w:tcW w:w="1855" w:type="dxa"/>
            <w:tcBorders>
              <w:top w:val="nil"/>
              <w:left w:val="nil"/>
              <w:bottom w:val="single" w:sz="4" w:space="0" w:color="auto"/>
              <w:right w:val="single" w:sz="4" w:space="0" w:color="auto"/>
            </w:tcBorders>
            <w:shd w:val="clear" w:color="auto" w:fill="auto"/>
            <w:vAlign w:val="center"/>
            <w:hideMark/>
          </w:tcPr>
          <w:p w:rsidR="009A4DF8" w:rsidRPr="00223BB0" w:rsidRDefault="009A4DF8" w:rsidP="009A4DF8">
            <w:pPr>
              <w:spacing w:after="0"/>
              <w:jc w:val="center"/>
              <w:rPr>
                <w:rFonts w:ascii="Arial" w:hAnsi="Arial" w:cs="Arial"/>
                <w:color w:val="000000" w:themeColor="text1"/>
                <w:lang w:eastAsia="fr-FR"/>
              </w:rPr>
            </w:pPr>
            <w:r w:rsidRPr="00223BB0">
              <w:rPr>
                <w:rFonts w:ascii="Arial" w:hAnsi="Arial" w:cs="Arial"/>
                <w:color w:val="000000" w:themeColor="text1"/>
                <w:lang w:eastAsia="fr-FR"/>
              </w:rPr>
              <w:t>10,61%</w:t>
            </w:r>
          </w:p>
        </w:tc>
      </w:tr>
      <w:tr w:rsidR="009A4DF8" w:rsidRPr="00223BB0" w:rsidTr="005B67E4">
        <w:trPr>
          <w:trHeight w:val="175"/>
        </w:trPr>
        <w:tc>
          <w:tcPr>
            <w:tcW w:w="198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Japon</w:t>
            </w:r>
          </w:p>
        </w:tc>
        <w:tc>
          <w:tcPr>
            <w:tcW w:w="1956"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rPr>
                <w:rFonts w:ascii="Arial" w:hAnsi="Arial" w:cs="Arial"/>
                <w:color w:val="000000" w:themeColor="text1"/>
                <w:lang w:eastAsia="fr-FR"/>
              </w:rPr>
            </w:pPr>
            <w:r w:rsidRPr="00223BB0">
              <w:rPr>
                <w:rFonts w:ascii="Arial" w:hAnsi="Arial" w:cs="Arial"/>
                <w:color w:val="000000" w:themeColor="text1"/>
                <w:lang w:eastAsia="fr-FR"/>
              </w:rPr>
              <w:t>UNICEF</w:t>
            </w:r>
          </w:p>
        </w:tc>
        <w:tc>
          <w:tcPr>
            <w:tcW w:w="1855"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color w:val="000000" w:themeColor="text1"/>
                <w:lang w:eastAsia="fr-FR"/>
              </w:rPr>
            </w:pPr>
            <w:r w:rsidRPr="00223BB0">
              <w:rPr>
                <w:rFonts w:ascii="Arial" w:hAnsi="Arial" w:cs="Arial"/>
                <w:color w:val="000000" w:themeColor="text1"/>
                <w:lang w:eastAsia="fr-FR"/>
              </w:rPr>
              <w:t>1,910</w:t>
            </w:r>
          </w:p>
        </w:tc>
        <w:tc>
          <w:tcPr>
            <w:tcW w:w="139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color w:val="000000" w:themeColor="text1"/>
                <w:lang w:eastAsia="fr-FR"/>
              </w:rPr>
            </w:pPr>
            <w:r w:rsidRPr="00223BB0">
              <w:rPr>
                <w:rFonts w:ascii="Arial" w:hAnsi="Arial" w:cs="Arial"/>
                <w:color w:val="000000" w:themeColor="text1"/>
                <w:lang w:eastAsia="fr-FR"/>
              </w:rPr>
              <w:t>4,927</w:t>
            </w:r>
          </w:p>
        </w:tc>
        <w:tc>
          <w:tcPr>
            <w:tcW w:w="1855" w:type="dxa"/>
            <w:vMerge w:val="restart"/>
            <w:tcBorders>
              <w:top w:val="nil"/>
              <w:left w:val="single" w:sz="4" w:space="0" w:color="auto"/>
              <w:bottom w:val="single" w:sz="4" w:space="0" w:color="000000"/>
              <w:right w:val="single" w:sz="4" w:space="0" w:color="auto"/>
            </w:tcBorders>
            <w:shd w:val="clear" w:color="auto" w:fill="auto"/>
            <w:vAlign w:val="center"/>
            <w:hideMark/>
          </w:tcPr>
          <w:p w:rsidR="009A4DF8" w:rsidRPr="00223BB0" w:rsidRDefault="009A4DF8" w:rsidP="009A4DF8">
            <w:pPr>
              <w:spacing w:after="0"/>
              <w:jc w:val="center"/>
              <w:rPr>
                <w:rFonts w:ascii="Arial" w:hAnsi="Arial" w:cs="Arial"/>
                <w:color w:val="000000" w:themeColor="text1"/>
                <w:lang w:eastAsia="fr-FR"/>
              </w:rPr>
            </w:pPr>
            <w:r w:rsidRPr="00223BB0">
              <w:rPr>
                <w:rFonts w:ascii="Arial" w:hAnsi="Arial" w:cs="Arial"/>
                <w:color w:val="000000" w:themeColor="text1"/>
                <w:lang w:eastAsia="fr-FR"/>
              </w:rPr>
              <w:t>89,39%</w:t>
            </w:r>
          </w:p>
        </w:tc>
      </w:tr>
      <w:tr w:rsidR="009A4DF8" w:rsidRPr="00223BB0" w:rsidTr="005B67E4">
        <w:trPr>
          <w:trHeight w:val="175"/>
        </w:trPr>
        <w:tc>
          <w:tcPr>
            <w:tcW w:w="1985" w:type="dxa"/>
            <w:vMerge/>
            <w:tcBorders>
              <w:top w:val="nil"/>
              <w:left w:val="single" w:sz="4" w:space="0" w:color="auto"/>
              <w:bottom w:val="single" w:sz="4" w:space="0" w:color="000000"/>
              <w:right w:val="single" w:sz="4" w:space="0" w:color="auto"/>
            </w:tcBorders>
            <w:vAlign w:val="center"/>
            <w:hideMark/>
          </w:tcPr>
          <w:p w:rsidR="009A4DF8" w:rsidRPr="00223BB0" w:rsidRDefault="009A4DF8" w:rsidP="009A4DF8">
            <w:pPr>
              <w:spacing w:after="0"/>
              <w:rPr>
                <w:rFonts w:ascii="Arial" w:hAnsi="Arial" w:cs="Arial"/>
                <w:b/>
                <w:bCs/>
                <w:color w:val="000000" w:themeColor="text1"/>
                <w:lang w:eastAsia="fr-FR"/>
              </w:rPr>
            </w:pPr>
          </w:p>
        </w:tc>
        <w:tc>
          <w:tcPr>
            <w:tcW w:w="1956"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rPr>
                <w:rFonts w:ascii="Arial" w:hAnsi="Arial" w:cs="Arial"/>
                <w:color w:val="000000" w:themeColor="text1"/>
                <w:lang w:eastAsia="fr-FR"/>
              </w:rPr>
            </w:pPr>
            <w:r w:rsidRPr="00223BB0">
              <w:rPr>
                <w:rFonts w:ascii="Arial" w:hAnsi="Arial" w:cs="Arial"/>
                <w:color w:val="000000" w:themeColor="text1"/>
                <w:lang w:eastAsia="fr-FR"/>
              </w:rPr>
              <w:t>PAM</w:t>
            </w:r>
          </w:p>
        </w:tc>
        <w:tc>
          <w:tcPr>
            <w:tcW w:w="1855"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color w:val="000000" w:themeColor="text1"/>
                <w:lang w:eastAsia="fr-FR"/>
              </w:rPr>
            </w:pPr>
            <w:r w:rsidRPr="00223BB0">
              <w:rPr>
                <w:rFonts w:ascii="Arial" w:hAnsi="Arial" w:cs="Arial"/>
                <w:color w:val="000000" w:themeColor="text1"/>
                <w:lang w:eastAsia="fr-FR"/>
              </w:rPr>
              <w:t>1,005</w:t>
            </w:r>
          </w:p>
        </w:tc>
        <w:tc>
          <w:tcPr>
            <w:tcW w:w="1392" w:type="dxa"/>
            <w:vMerge/>
            <w:tcBorders>
              <w:top w:val="nil"/>
              <w:left w:val="single" w:sz="4" w:space="0" w:color="auto"/>
              <w:bottom w:val="single" w:sz="4" w:space="0" w:color="auto"/>
              <w:right w:val="single" w:sz="4" w:space="0" w:color="auto"/>
            </w:tcBorders>
            <w:vAlign w:val="center"/>
            <w:hideMark/>
          </w:tcPr>
          <w:p w:rsidR="009A4DF8" w:rsidRPr="00223BB0" w:rsidRDefault="009A4DF8" w:rsidP="009A4DF8">
            <w:pPr>
              <w:spacing w:after="0"/>
              <w:rPr>
                <w:rFonts w:ascii="Arial" w:hAnsi="Arial" w:cs="Arial"/>
                <w:color w:val="000000" w:themeColor="text1"/>
                <w:lang w:eastAsia="fr-FR"/>
              </w:rPr>
            </w:pPr>
          </w:p>
        </w:tc>
        <w:tc>
          <w:tcPr>
            <w:tcW w:w="1855" w:type="dxa"/>
            <w:vMerge/>
            <w:tcBorders>
              <w:top w:val="nil"/>
              <w:left w:val="single" w:sz="4" w:space="0" w:color="auto"/>
              <w:bottom w:val="single" w:sz="4" w:space="0" w:color="000000"/>
              <w:right w:val="single" w:sz="4" w:space="0" w:color="auto"/>
            </w:tcBorders>
            <w:vAlign w:val="center"/>
            <w:hideMark/>
          </w:tcPr>
          <w:p w:rsidR="009A4DF8" w:rsidRPr="00223BB0" w:rsidRDefault="009A4DF8" w:rsidP="009A4DF8">
            <w:pPr>
              <w:spacing w:after="0"/>
              <w:rPr>
                <w:rFonts w:ascii="Arial" w:hAnsi="Arial" w:cs="Arial"/>
                <w:color w:val="000000" w:themeColor="text1"/>
                <w:lang w:eastAsia="fr-FR"/>
              </w:rPr>
            </w:pPr>
          </w:p>
        </w:tc>
      </w:tr>
      <w:tr w:rsidR="009A4DF8" w:rsidRPr="00223BB0" w:rsidTr="005B67E4">
        <w:trPr>
          <w:trHeight w:val="175"/>
        </w:trPr>
        <w:tc>
          <w:tcPr>
            <w:tcW w:w="1985" w:type="dxa"/>
            <w:vMerge/>
            <w:tcBorders>
              <w:top w:val="nil"/>
              <w:left w:val="single" w:sz="4" w:space="0" w:color="auto"/>
              <w:bottom w:val="single" w:sz="4" w:space="0" w:color="000000"/>
              <w:right w:val="single" w:sz="4" w:space="0" w:color="auto"/>
            </w:tcBorders>
            <w:vAlign w:val="center"/>
            <w:hideMark/>
          </w:tcPr>
          <w:p w:rsidR="009A4DF8" w:rsidRPr="00223BB0" w:rsidRDefault="009A4DF8" w:rsidP="009A4DF8">
            <w:pPr>
              <w:spacing w:after="0"/>
              <w:rPr>
                <w:rFonts w:ascii="Arial" w:hAnsi="Arial" w:cs="Arial"/>
                <w:b/>
                <w:bCs/>
                <w:color w:val="000000" w:themeColor="text1"/>
                <w:lang w:eastAsia="fr-FR"/>
              </w:rPr>
            </w:pPr>
          </w:p>
        </w:tc>
        <w:tc>
          <w:tcPr>
            <w:tcW w:w="1956"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rPr>
                <w:rFonts w:ascii="Arial" w:hAnsi="Arial" w:cs="Arial"/>
                <w:color w:val="000000" w:themeColor="text1"/>
                <w:lang w:eastAsia="fr-FR"/>
              </w:rPr>
            </w:pPr>
            <w:r w:rsidRPr="00223BB0">
              <w:rPr>
                <w:rFonts w:ascii="Arial" w:hAnsi="Arial" w:cs="Arial"/>
                <w:color w:val="000000" w:themeColor="text1"/>
                <w:lang w:eastAsia="fr-FR"/>
              </w:rPr>
              <w:t>UHHCR</w:t>
            </w:r>
          </w:p>
        </w:tc>
        <w:tc>
          <w:tcPr>
            <w:tcW w:w="1855"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color w:val="000000" w:themeColor="text1"/>
                <w:lang w:eastAsia="fr-FR"/>
              </w:rPr>
            </w:pPr>
            <w:r w:rsidRPr="00223BB0">
              <w:rPr>
                <w:rFonts w:ascii="Arial" w:hAnsi="Arial" w:cs="Arial"/>
                <w:color w:val="000000" w:themeColor="text1"/>
                <w:lang w:eastAsia="fr-FR"/>
              </w:rPr>
              <w:t>1,508</w:t>
            </w:r>
          </w:p>
        </w:tc>
        <w:tc>
          <w:tcPr>
            <w:tcW w:w="1392" w:type="dxa"/>
            <w:vMerge/>
            <w:tcBorders>
              <w:top w:val="nil"/>
              <w:left w:val="single" w:sz="4" w:space="0" w:color="auto"/>
              <w:bottom w:val="single" w:sz="4" w:space="0" w:color="auto"/>
              <w:right w:val="single" w:sz="4" w:space="0" w:color="auto"/>
            </w:tcBorders>
            <w:vAlign w:val="center"/>
            <w:hideMark/>
          </w:tcPr>
          <w:p w:rsidR="009A4DF8" w:rsidRPr="00223BB0" w:rsidRDefault="009A4DF8" w:rsidP="009A4DF8">
            <w:pPr>
              <w:spacing w:after="0"/>
              <w:rPr>
                <w:rFonts w:ascii="Arial" w:hAnsi="Arial" w:cs="Arial"/>
                <w:color w:val="000000" w:themeColor="text1"/>
                <w:lang w:eastAsia="fr-FR"/>
              </w:rPr>
            </w:pPr>
          </w:p>
        </w:tc>
        <w:tc>
          <w:tcPr>
            <w:tcW w:w="1855" w:type="dxa"/>
            <w:vMerge/>
            <w:tcBorders>
              <w:top w:val="nil"/>
              <w:left w:val="single" w:sz="4" w:space="0" w:color="auto"/>
              <w:bottom w:val="single" w:sz="4" w:space="0" w:color="000000"/>
              <w:right w:val="single" w:sz="4" w:space="0" w:color="auto"/>
            </w:tcBorders>
            <w:vAlign w:val="center"/>
            <w:hideMark/>
          </w:tcPr>
          <w:p w:rsidR="009A4DF8" w:rsidRPr="00223BB0" w:rsidRDefault="009A4DF8" w:rsidP="009A4DF8">
            <w:pPr>
              <w:spacing w:after="0"/>
              <w:rPr>
                <w:rFonts w:ascii="Arial" w:hAnsi="Arial" w:cs="Arial"/>
                <w:color w:val="000000" w:themeColor="text1"/>
                <w:lang w:eastAsia="fr-FR"/>
              </w:rPr>
            </w:pPr>
          </w:p>
        </w:tc>
      </w:tr>
      <w:tr w:rsidR="009A4DF8" w:rsidRPr="00223BB0" w:rsidTr="005B67E4">
        <w:trPr>
          <w:trHeight w:val="175"/>
        </w:trPr>
        <w:tc>
          <w:tcPr>
            <w:tcW w:w="1985" w:type="dxa"/>
            <w:vMerge/>
            <w:tcBorders>
              <w:top w:val="nil"/>
              <w:left w:val="single" w:sz="4" w:space="0" w:color="auto"/>
              <w:bottom w:val="single" w:sz="4" w:space="0" w:color="000000"/>
              <w:right w:val="single" w:sz="4" w:space="0" w:color="auto"/>
            </w:tcBorders>
            <w:vAlign w:val="center"/>
            <w:hideMark/>
          </w:tcPr>
          <w:p w:rsidR="009A4DF8" w:rsidRPr="00223BB0" w:rsidRDefault="009A4DF8" w:rsidP="009A4DF8">
            <w:pPr>
              <w:spacing w:after="0"/>
              <w:rPr>
                <w:rFonts w:ascii="Arial" w:hAnsi="Arial" w:cs="Arial"/>
                <w:b/>
                <w:bCs/>
                <w:color w:val="000000" w:themeColor="text1"/>
                <w:lang w:eastAsia="fr-FR"/>
              </w:rPr>
            </w:pPr>
          </w:p>
        </w:tc>
        <w:tc>
          <w:tcPr>
            <w:tcW w:w="1956"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rPr>
                <w:rFonts w:ascii="Arial" w:hAnsi="Arial" w:cs="Arial"/>
                <w:color w:val="000000" w:themeColor="text1"/>
                <w:lang w:eastAsia="fr-FR"/>
              </w:rPr>
            </w:pPr>
            <w:r w:rsidRPr="00223BB0">
              <w:rPr>
                <w:rFonts w:ascii="Arial" w:hAnsi="Arial" w:cs="Arial"/>
                <w:color w:val="000000" w:themeColor="text1"/>
                <w:lang w:eastAsia="fr-FR"/>
              </w:rPr>
              <w:t>PNUD</w:t>
            </w:r>
          </w:p>
        </w:tc>
        <w:tc>
          <w:tcPr>
            <w:tcW w:w="1855" w:type="dxa"/>
            <w:tcBorders>
              <w:top w:val="nil"/>
              <w:left w:val="nil"/>
              <w:bottom w:val="single" w:sz="4" w:space="0" w:color="auto"/>
              <w:right w:val="single" w:sz="4" w:space="0" w:color="auto"/>
            </w:tcBorders>
            <w:shd w:val="clear" w:color="auto" w:fill="auto"/>
            <w:noWrap/>
            <w:vAlign w:val="center"/>
            <w:hideMark/>
          </w:tcPr>
          <w:p w:rsidR="009A4DF8" w:rsidRPr="00223BB0" w:rsidRDefault="009A4DF8" w:rsidP="009A4DF8">
            <w:pPr>
              <w:spacing w:after="0"/>
              <w:jc w:val="center"/>
              <w:rPr>
                <w:rFonts w:ascii="Arial" w:hAnsi="Arial" w:cs="Arial"/>
                <w:color w:val="000000" w:themeColor="text1"/>
                <w:lang w:eastAsia="fr-FR"/>
              </w:rPr>
            </w:pPr>
            <w:r w:rsidRPr="00223BB0">
              <w:rPr>
                <w:rFonts w:ascii="Arial" w:hAnsi="Arial" w:cs="Arial"/>
                <w:color w:val="000000" w:themeColor="text1"/>
                <w:lang w:eastAsia="fr-FR"/>
              </w:rPr>
              <w:t>0,503</w:t>
            </w:r>
          </w:p>
        </w:tc>
        <w:tc>
          <w:tcPr>
            <w:tcW w:w="1392" w:type="dxa"/>
            <w:vMerge/>
            <w:tcBorders>
              <w:top w:val="nil"/>
              <w:left w:val="single" w:sz="4" w:space="0" w:color="auto"/>
              <w:bottom w:val="single" w:sz="4" w:space="0" w:color="auto"/>
              <w:right w:val="single" w:sz="4" w:space="0" w:color="auto"/>
            </w:tcBorders>
            <w:vAlign w:val="center"/>
            <w:hideMark/>
          </w:tcPr>
          <w:p w:rsidR="009A4DF8" w:rsidRPr="00223BB0" w:rsidRDefault="009A4DF8" w:rsidP="009A4DF8">
            <w:pPr>
              <w:spacing w:after="0"/>
              <w:rPr>
                <w:rFonts w:ascii="Arial" w:hAnsi="Arial" w:cs="Arial"/>
                <w:color w:val="000000" w:themeColor="text1"/>
                <w:lang w:eastAsia="fr-FR"/>
              </w:rPr>
            </w:pPr>
          </w:p>
        </w:tc>
        <w:tc>
          <w:tcPr>
            <w:tcW w:w="1855" w:type="dxa"/>
            <w:vMerge/>
            <w:tcBorders>
              <w:top w:val="nil"/>
              <w:left w:val="single" w:sz="4" w:space="0" w:color="auto"/>
              <w:bottom w:val="single" w:sz="4" w:space="0" w:color="000000"/>
              <w:right w:val="single" w:sz="4" w:space="0" w:color="auto"/>
            </w:tcBorders>
            <w:vAlign w:val="center"/>
            <w:hideMark/>
          </w:tcPr>
          <w:p w:rsidR="009A4DF8" w:rsidRPr="00223BB0" w:rsidRDefault="009A4DF8" w:rsidP="009A4DF8">
            <w:pPr>
              <w:spacing w:after="0"/>
              <w:rPr>
                <w:rFonts w:ascii="Arial" w:hAnsi="Arial" w:cs="Arial"/>
                <w:color w:val="000000" w:themeColor="text1"/>
                <w:lang w:eastAsia="fr-FR"/>
              </w:rPr>
            </w:pPr>
          </w:p>
        </w:tc>
      </w:tr>
      <w:tr w:rsidR="009A4DF8" w:rsidRPr="00223BB0" w:rsidTr="005B67E4">
        <w:trPr>
          <w:trHeight w:val="175"/>
        </w:trPr>
        <w:tc>
          <w:tcPr>
            <w:tcW w:w="394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Total</w:t>
            </w:r>
          </w:p>
        </w:tc>
        <w:tc>
          <w:tcPr>
            <w:tcW w:w="1855" w:type="dxa"/>
            <w:tcBorders>
              <w:top w:val="nil"/>
              <w:left w:val="nil"/>
              <w:bottom w:val="single" w:sz="4" w:space="0" w:color="auto"/>
              <w:right w:val="single" w:sz="4" w:space="0" w:color="auto"/>
            </w:tcBorders>
            <w:shd w:val="clear" w:color="auto" w:fill="auto"/>
            <w:noWrap/>
            <w:vAlign w:val="bottom"/>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5,512</w:t>
            </w:r>
          </w:p>
        </w:tc>
        <w:tc>
          <w:tcPr>
            <w:tcW w:w="1392" w:type="dxa"/>
            <w:tcBorders>
              <w:top w:val="nil"/>
              <w:left w:val="nil"/>
              <w:bottom w:val="single" w:sz="4" w:space="0" w:color="auto"/>
              <w:right w:val="single" w:sz="4" w:space="0" w:color="auto"/>
            </w:tcBorders>
            <w:shd w:val="clear" w:color="auto" w:fill="auto"/>
            <w:noWrap/>
            <w:vAlign w:val="bottom"/>
            <w:hideMark/>
          </w:tcPr>
          <w:p w:rsidR="009A4DF8" w:rsidRPr="00223BB0" w:rsidRDefault="009A4DF8" w:rsidP="009A4DF8">
            <w:pPr>
              <w:spacing w:after="0"/>
              <w:jc w:val="center"/>
              <w:rPr>
                <w:rFonts w:ascii="Arial" w:hAnsi="Arial" w:cs="Arial"/>
                <w:b/>
                <w:bCs/>
                <w:color w:val="000000" w:themeColor="text1"/>
                <w:lang w:eastAsia="fr-FR"/>
              </w:rPr>
            </w:pPr>
            <w:r w:rsidRPr="00223BB0">
              <w:rPr>
                <w:rFonts w:ascii="Arial" w:hAnsi="Arial" w:cs="Arial"/>
                <w:b/>
                <w:bCs/>
                <w:color w:val="000000" w:themeColor="text1"/>
                <w:lang w:eastAsia="fr-FR"/>
              </w:rPr>
              <w:t>5,512</w:t>
            </w:r>
          </w:p>
        </w:tc>
        <w:tc>
          <w:tcPr>
            <w:tcW w:w="1855" w:type="dxa"/>
            <w:tcBorders>
              <w:top w:val="nil"/>
              <w:left w:val="nil"/>
              <w:bottom w:val="single" w:sz="4" w:space="0" w:color="auto"/>
              <w:right w:val="single" w:sz="4" w:space="0" w:color="auto"/>
            </w:tcBorders>
            <w:shd w:val="clear" w:color="auto" w:fill="auto"/>
            <w:noWrap/>
            <w:vAlign w:val="bottom"/>
            <w:hideMark/>
          </w:tcPr>
          <w:p w:rsidR="009A4DF8" w:rsidRPr="00223BB0" w:rsidRDefault="009A4DF8" w:rsidP="009A4DF8">
            <w:pPr>
              <w:spacing w:after="0"/>
              <w:jc w:val="right"/>
              <w:rPr>
                <w:rFonts w:ascii="Arial" w:hAnsi="Arial" w:cs="Arial"/>
                <w:b/>
                <w:bCs/>
                <w:color w:val="000000" w:themeColor="text1"/>
                <w:lang w:eastAsia="fr-FR"/>
              </w:rPr>
            </w:pPr>
            <w:r w:rsidRPr="00223BB0">
              <w:rPr>
                <w:rFonts w:ascii="Arial" w:hAnsi="Arial" w:cs="Arial"/>
                <w:b/>
                <w:bCs/>
                <w:color w:val="000000" w:themeColor="text1"/>
                <w:lang w:eastAsia="fr-FR"/>
              </w:rPr>
              <w:t>100,00%</w:t>
            </w:r>
          </w:p>
        </w:tc>
      </w:tr>
    </w:tbl>
    <w:p w:rsidR="009A4DF8" w:rsidRPr="00223BB0" w:rsidRDefault="009A4DF8" w:rsidP="009A4DF8">
      <w:pPr>
        <w:jc w:val="both"/>
        <w:rPr>
          <w:rFonts w:ascii="Arial" w:hAnsi="Arial" w:cs="Arial"/>
          <w:i/>
          <w:color w:val="000000" w:themeColor="text1"/>
          <w:sz w:val="18"/>
          <w:szCs w:val="18"/>
        </w:rPr>
      </w:pPr>
      <w:r w:rsidRPr="00223BB0">
        <w:rPr>
          <w:rFonts w:ascii="Arial" w:hAnsi="Arial" w:cs="Arial"/>
          <w:b/>
          <w:i/>
          <w:color w:val="000000" w:themeColor="text1"/>
          <w:sz w:val="18"/>
          <w:szCs w:val="18"/>
          <w:u w:val="single"/>
        </w:rPr>
        <w:t>Source :</w:t>
      </w:r>
      <w:r w:rsidRPr="00223BB0">
        <w:rPr>
          <w:rFonts w:ascii="Arial" w:hAnsi="Arial" w:cs="Arial"/>
          <w:i/>
          <w:color w:val="000000" w:themeColor="text1"/>
          <w:sz w:val="18"/>
          <w:szCs w:val="18"/>
        </w:rPr>
        <w:t xml:space="preserve"> DGCOOP, Juillet 2017</w:t>
      </w:r>
    </w:p>
    <w:p w:rsidR="00FF6FF1" w:rsidRPr="002D1974" w:rsidRDefault="009A4DF8" w:rsidP="008D7758">
      <w:pPr>
        <w:pStyle w:val="Titre3"/>
        <w:numPr>
          <w:ilvl w:val="0"/>
          <w:numId w:val="124"/>
        </w:numPr>
        <w:tabs>
          <w:tab w:val="left" w:pos="1560"/>
        </w:tabs>
        <w:ind w:left="1560"/>
      </w:pPr>
      <w:bookmarkStart w:id="550" w:name="_Toc461526828"/>
      <w:bookmarkStart w:id="551" w:name="_Toc461618009"/>
      <w:bookmarkStart w:id="552" w:name="_Toc492972219"/>
      <w:r w:rsidRPr="002D1974">
        <w:t>L’aide aux ONG</w:t>
      </w:r>
      <w:bookmarkEnd w:id="550"/>
      <w:bookmarkEnd w:id="551"/>
      <w:bookmarkEnd w:id="552"/>
      <w:r w:rsidRPr="002D1974">
        <w:t xml:space="preserve"> </w:t>
      </w:r>
    </w:p>
    <w:p w:rsidR="0082238C" w:rsidRPr="00475F95" w:rsidRDefault="00FF6FF1" w:rsidP="009A4DF8">
      <w:pPr>
        <w:jc w:val="both"/>
        <w:rPr>
          <w:rFonts w:ascii="Arial" w:hAnsi="Arial" w:cs="Arial"/>
          <w:color w:val="000000" w:themeColor="text1"/>
        </w:rPr>
      </w:pPr>
      <w:r w:rsidRPr="00FF6FF1">
        <w:rPr>
          <w:rFonts w:ascii="Arial" w:hAnsi="Arial" w:cs="Arial"/>
          <w:color w:val="000000" w:themeColor="text1"/>
        </w:rPr>
        <w:t>En 2016, ce sont 48 Organisations non Gouvernementales (ONG) qui ont bénéficié d’un financement de 24,56 millions dollars US de la part de 07 bailleurs de fonds. Le nombre d’ONG a baissé tandis que le montant reçu par ces derniers est en hausse de 62,4%. Cette hausse peut s’expliquer par la contribution du Luxembourg qui est passée de 4,06 millions dollars US en 2015 à 16,77 millions dollars US en 2016, soit 313.1%.</w:t>
      </w:r>
    </w:p>
    <w:p w:rsidR="003206FB" w:rsidRPr="00475F95" w:rsidRDefault="00475F95" w:rsidP="00475F95">
      <w:pPr>
        <w:pStyle w:val="Lgende"/>
        <w:rPr>
          <w:color w:val="auto"/>
        </w:rPr>
      </w:pPr>
      <w:bookmarkStart w:id="553" w:name="_Toc492895489"/>
      <w:r w:rsidRPr="00475F95">
        <w:rPr>
          <w:color w:val="auto"/>
        </w:rPr>
        <w:t xml:space="preserve">Tableau </w:t>
      </w:r>
      <w:r w:rsidRPr="00475F95">
        <w:rPr>
          <w:color w:val="auto"/>
        </w:rPr>
        <w:fldChar w:fldCharType="begin"/>
      </w:r>
      <w:r w:rsidRPr="00475F95">
        <w:rPr>
          <w:color w:val="auto"/>
        </w:rPr>
        <w:instrText xml:space="preserve"> SEQ Tableau \* ARABIC </w:instrText>
      </w:r>
      <w:r w:rsidRPr="00475F95">
        <w:rPr>
          <w:color w:val="auto"/>
        </w:rPr>
        <w:fldChar w:fldCharType="separate"/>
      </w:r>
      <w:r w:rsidR="009A1402">
        <w:rPr>
          <w:noProof/>
          <w:color w:val="auto"/>
        </w:rPr>
        <w:t>21</w:t>
      </w:r>
      <w:r w:rsidRPr="00475F95">
        <w:rPr>
          <w:color w:val="auto"/>
        </w:rPr>
        <w:fldChar w:fldCharType="end"/>
      </w:r>
      <w:r w:rsidRPr="00475F95">
        <w:rPr>
          <w:color w:val="auto"/>
        </w:rPr>
        <w:t> :</w:t>
      </w:r>
      <w:r w:rsidR="0082238C" w:rsidRPr="00475F95">
        <w:rPr>
          <w:color w:val="auto"/>
        </w:rPr>
        <w:t xml:space="preserve"> </w:t>
      </w:r>
      <w:r w:rsidR="0082238C" w:rsidRPr="00475F95">
        <w:rPr>
          <w:rFonts w:eastAsia="Times New Roman"/>
          <w:bCs w:val="0"/>
          <w:color w:val="auto"/>
          <w:u w:val="none"/>
        </w:rPr>
        <w:t>Situation des partenaires ayant fourni un appui aux ONG en 2016 en millions dollars US</w:t>
      </w:r>
      <w:bookmarkEnd w:id="553"/>
    </w:p>
    <w:tbl>
      <w:tblPr>
        <w:tblW w:w="9429" w:type="dxa"/>
        <w:tblInd w:w="70" w:type="dxa"/>
        <w:tblCellMar>
          <w:left w:w="70" w:type="dxa"/>
          <w:right w:w="70" w:type="dxa"/>
        </w:tblCellMar>
        <w:tblLook w:val="04A0" w:firstRow="1" w:lastRow="0" w:firstColumn="1" w:lastColumn="0" w:noHBand="0" w:noVBand="1"/>
      </w:tblPr>
      <w:tblGrid>
        <w:gridCol w:w="2433"/>
        <w:gridCol w:w="2332"/>
        <w:gridCol w:w="2332"/>
        <w:gridCol w:w="2332"/>
      </w:tblGrid>
      <w:tr w:rsidR="003206FB" w:rsidRPr="003206FB" w:rsidTr="003D6C65">
        <w:trPr>
          <w:trHeight w:val="302"/>
        </w:trPr>
        <w:tc>
          <w:tcPr>
            <w:tcW w:w="243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b/>
                <w:bCs/>
                <w:color w:val="000000"/>
                <w:sz w:val="20"/>
                <w:szCs w:val="20"/>
                <w:lang w:eastAsia="fr-FR"/>
              </w:rPr>
            </w:pPr>
            <w:r w:rsidRPr="003206FB">
              <w:rPr>
                <w:rFonts w:ascii="Arial" w:eastAsia="Times New Roman" w:hAnsi="Arial" w:cs="Arial"/>
                <w:b/>
                <w:bCs/>
                <w:color w:val="000000"/>
                <w:sz w:val="20"/>
                <w:szCs w:val="20"/>
                <w:lang w:eastAsia="fr-FR"/>
              </w:rPr>
              <w:t>PTF</w:t>
            </w:r>
          </w:p>
        </w:tc>
        <w:tc>
          <w:tcPr>
            <w:tcW w:w="2332" w:type="dxa"/>
            <w:tcBorders>
              <w:top w:val="single" w:sz="8" w:space="0" w:color="auto"/>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b/>
                <w:bCs/>
                <w:color w:val="000000"/>
                <w:sz w:val="20"/>
                <w:szCs w:val="20"/>
                <w:lang w:eastAsia="fr-FR"/>
              </w:rPr>
            </w:pPr>
            <w:r w:rsidRPr="003206FB">
              <w:rPr>
                <w:rFonts w:ascii="Arial" w:eastAsia="Times New Roman" w:hAnsi="Arial" w:cs="Arial"/>
                <w:b/>
                <w:bCs/>
                <w:color w:val="000000"/>
                <w:sz w:val="20"/>
                <w:szCs w:val="20"/>
                <w:lang w:eastAsia="fr-FR"/>
              </w:rPr>
              <w:t>Nombre d'ONG</w:t>
            </w:r>
          </w:p>
        </w:tc>
        <w:tc>
          <w:tcPr>
            <w:tcW w:w="2332" w:type="dxa"/>
            <w:tcBorders>
              <w:top w:val="single" w:sz="8" w:space="0" w:color="auto"/>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b/>
                <w:bCs/>
                <w:color w:val="000000"/>
                <w:sz w:val="20"/>
                <w:szCs w:val="20"/>
                <w:lang w:eastAsia="fr-FR"/>
              </w:rPr>
            </w:pPr>
            <w:r w:rsidRPr="003206FB">
              <w:rPr>
                <w:rFonts w:ascii="Arial" w:eastAsia="Times New Roman" w:hAnsi="Arial" w:cs="Arial"/>
                <w:b/>
                <w:bCs/>
                <w:color w:val="000000"/>
                <w:sz w:val="20"/>
                <w:szCs w:val="20"/>
                <w:lang w:eastAsia="fr-FR"/>
              </w:rPr>
              <w:t>Total</w:t>
            </w:r>
          </w:p>
        </w:tc>
        <w:tc>
          <w:tcPr>
            <w:tcW w:w="2332" w:type="dxa"/>
            <w:tcBorders>
              <w:top w:val="single" w:sz="8" w:space="0" w:color="auto"/>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b/>
                <w:bCs/>
                <w:color w:val="000000"/>
                <w:sz w:val="20"/>
                <w:szCs w:val="20"/>
                <w:lang w:eastAsia="fr-FR"/>
              </w:rPr>
            </w:pPr>
            <w:r w:rsidRPr="003206FB">
              <w:rPr>
                <w:rFonts w:ascii="Arial" w:eastAsia="Times New Roman" w:hAnsi="Arial" w:cs="Arial"/>
                <w:b/>
                <w:bCs/>
                <w:color w:val="000000"/>
                <w:sz w:val="20"/>
                <w:szCs w:val="20"/>
                <w:lang w:eastAsia="fr-FR"/>
              </w:rPr>
              <w:t>% dans le CD totale</w:t>
            </w:r>
          </w:p>
        </w:tc>
      </w:tr>
      <w:tr w:rsidR="003206FB" w:rsidRPr="003206FB" w:rsidTr="003D6C65">
        <w:trPr>
          <w:trHeight w:val="302"/>
        </w:trPr>
        <w:tc>
          <w:tcPr>
            <w:tcW w:w="2433" w:type="dxa"/>
            <w:tcBorders>
              <w:top w:val="nil"/>
              <w:left w:val="single" w:sz="8" w:space="0" w:color="auto"/>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Luxembourg</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13</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16,77</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68,27</w:t>
            </w:r>
          </w:p>
        </w:tc>
      </w:tr>
      <w:tr w:rsidR="003206FB" w:rsidRPr="003206FB" w:rsidTr="003D6C65">
        <w:trPr>
          <w:trHeight w:val="302"/>
        </w:trPr>
        <w:tc>
          <w:tcPr>
            <w:tcW w:w="2433" w:type="dxa"/>
            <w:tcBorders>
              <w:top w:val="nil"/>
              <w:left w:val="single" w:sz="8" w:space="0" w:color="auto"/>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Suède</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5</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4,33</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17,63</w:t>
            </w:r>
          </w:p>
        </w:tc>
      </w:tr>
      <w:tr w:rsidR="003206FB" w:rsidRPr="003206FB" w:rsidTr="003D6C65">
        <w:trPr>
          <w:trHeight w:val="302"/>
        </w:trPr>
        <w:tc>
          <w:tcPr>
            <w:tcW w:w="2433" w:type="dxa"/>
            <w:tcBorders>
              <w:top w:val="nil"/>
              <w:left w:val="single" w:sz="8" w:space="0" w:color="auto"/>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ACDI-VOCA</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4</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2,46</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10,03</w:t>
            </w:r>
          </w:p>
        </w:tc>
      </w:tr>
      <w:tr w:rsidR="003206FB" w:rsidRPr="003206FB" w:rsidTr="003D6C65">
        <w:trPr>
          <w:trHeight w:val="302"/>
        </w:trPr>
        <w:tc>
          <w:tcPr>
            <w:tcW w:w="2433" w:type="dxa"/>
            <w:tcBorders>
              <w:top w:val="nil"/>
              <w:left w:val="single" w:sz="8" w:space="0" w:color="auto"/>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France</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16</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0,53</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2,17</w:t>
            </w:r>
          </w:p>
        </w:tc>
      </w:tr>
      <w:tr w:rsidR="003206FB" w:rsidRPr="003206FB" w:rsidTr="003D6C65">
        <w:trPr>
          <w:trHeight w:val="302"/>
        </w:trPr>
        <w:tc>
          <w:tcPr>
            <w:tcW w:w="2433" w:type="dxa"/>
            <w:tcBorders>
              <w:top w:val="nil"/>
              <w:left w:val="single" w:sz="8" w:space="0" w:color="auto"/>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Japon</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5</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0,35</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1,43</w:t>
            </w:r>
          </w:p>
        </w:tc>
      </w:tr>
      <w:tr w:rsidR="003206FB" w:rsidRPr="003206FB" w:rsidTr="003D6C65">
        <w:trPr>
          <w:trHeight w:val="302"/>
        </w:trPr>
        <w:tc>
          <w:tcPr>
            <w:tcW w:w="2433" w:type="dxa"/>
            <w:tcBorders>
              <w:top w:val="nil"/>
              <w:left w:val="single" w:sz="8" w:space="0" w:color="auto"/>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Borne Fonden</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2</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0,06</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0,25</w:t>
            </w:r>
          </w:p>
        </w:tc>
      </w:tr>
      <w:tr w:rsidR="003206FB" w:rsidRPr="003206FB" w:rsidTr="003D6C65">
        <w:trPr>
          <w:trHeight w:val="302"/>
        </w:trPr>
        <w:tc>
          <w:tcPr>
            <w:tcW w:w="2433" w:type="dxa"/>
            <w:tcBorders>
              <w:top w:val="nil"/>
              <w:left w:val="single" w:sz="8" w:space="0" w:color="auto"/>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Oxfam Québec</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3</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0,05</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color w:val="000000"/>
                <w:sz w:val="20"/>
                <w:szCs w:val="20"/>
                <w:lang w:eastAsia="fr-FR"/>
              </w:rPr>
            </w:pPr>
            <w:r w:rsidRPr="003206FB">
              <w:rPr>
                <w:rFonts w:ascii="Arial" w:eastAsia="Times New Roman" w:hAnsi="Arial" w:cs="Arial"/>
                <w:color w:val="000000"/>
                <w:sz w:val="20"/>
                <w:szCs w:val="20"/>
                <w:lang w:eastAsia="fr-FR"/>
              </w:rPr>
              <w:t>0,22</w:t>
            </w:r>
          </w:p>
        </w:tc>
      </w:tr>
      <w:tr w:rsidR="003206FB" w:rsidRPr="003206FB" w:rsidTr="003D6C65">
        <w:trPr>
          <w:trHeight w:val="302"/>
        </w:trPr>
        <w:tc>
          <w:tcPr>
            <w:tcW w:w="2433" w:type="dxa"/>
            <w:tcBorders>
              <w:top w:val="nil"/>
              <w:left w:val="single" w:sz="8" w:space="0" w:color="auto"/>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rPr>
                <w:rFonts w:ascii="Arial" w:eastAsia="Times New Roman" w:hAnsi="Arial" w:cs="Arial"/>
                <w:b/>
                <w:bCs/>
                <w:color w:val="000000"/>
                <w:sz w:val="20"/>
                <w:szCs w:val="20"/>
                <w:lang w:eastAsia="fr-FR"/>
              </w:rPr>
            </w:pPr>
            <w:r w:rsidRPr="003206FB">
              <w:rPr>
                <w:rFonts w:ascii="Arial" w:eastAsia="Times New Roman" w:hAnsi="Arial" w:cs="Arial"/>
                <w:b/>
                <w:bCs/>
                <w:color w:val="000000"/>
                <w:sz w:val="20"/>
                <w:szCs w:val="20"/>
                <w:lang w:eastAsia="fr-FR"/>
              </w:rPr>
              <w:t>Total</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b/>
                <w:bCs/>
                <w:color w:val="000000"/>
                <w:sz w:val="20"/>
                <w:szCs w:val="20"/>
                <w:lang w:eastAsia="fr-FR"/>
              </w:rPr>
            </w:pPr>
            <w:r w:rsidRPr="003206FB">
              <w:rPr>
                <w:rFonts w:ascii="Arial" w:eastAsia="Times New Roman" w:hAnsi="Arial" w:cs="Arial"/>
                <w:b/>
                <w:bCs/>
                <w:color w:val="000000"/>
                <w:sz w:val="20"/>
                <w:szCs w:val="20"/>
                <w:lang w:eastAsia="fr-FR"/>
              </w:rPr>
              <w:t>48</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b/>
                <w:bCs/>
                <w:color w:val="000000"/>
                <w:sz w:val="20"/>
                <w:szCs w:val="20"/>
                <w:lang w:eastAsia="fr-FR"/>
              </w:rPr>
            </w:pPr>
            <w:r w:rsidRPr="003206FB">
              <w:rPr>
                <w:rFonts w:ascii="Arial" w:eastAsia="Times New Roman" w:hAnsi="Arial" w:cs="Arial"/>
                <w:b/>
                <w:bCs/>
                <w:color w:val="000000"/>
                <w:sz w:val="20"/>
                <w:szCs w:val="20"/>
                <w:lang w:eastAsia="fr-FR"/>
              </w:rPr>
              <w:t>24,56</w:t>
            </w:r>
          </w:p>
        </w:tc>
        <w:tc>
          <w:tcPr>
            <w:tcW w:w="2332" w:type="dxa"/>
            <w:tcBorders>
              <w:top w:val="nil"/>
              <w:left w:val="nil"/>
              <w:bottom w:val="single" w:sz="8" w:space="0" w:color="auto"/>
              <w:right w:val="single" w:sz="8" w:space="0" w:color="auto"/>
            </w:tcBorders>
            <w:shd w:val="clear" w:color="auto" w:fill="auto"/>
            <w:noWrap/>
            <w:vAlign w:val="center"/>
            <w:hideMark/>
          </w:tcPr>
          <w:p w:rsidR="003206FB" w:rsidRPr="003206FB" w:rsidRDefault="003206FB" w:rsidP="003206FB">
            <w:pPr>
              <w:spacing w:after="0" w:line="240" w:lineRule="auto"/>
              <w:jc w:val="center"/>
              <w:rPr>
                <w:rFonts w:ascii="Arial" w:eastAsia="Times New Roman" w:hAnsi="Arial" w:cs="Arial"/>
                <w:b/>
                <w:bCs/>
                <w:color w:val="000000"/>
                <w:sz w:val="20"/>
                <w:szCs w:val="20"/>
                <w:lang w:eastAsia="fr-FR"/>
              </w:rPr>
            </w:pPr>
            <w:r w:rsidRPr="003206FB">
              <w:rPr>
                <w:rFonts w:ascii="Arial" w:eastAsia="Times New Roman" w:hAnsi="Arial" w:cs="Arial"/>
                <w:b/>
                <w:bCs/>
                <w:color w:val="000000"/>
                <w:sz w:val="20"/>
                <w:szCs w:val="20"/>
                <w:lang w:eastAsia="fr-FR"/>
              </w:rPr>
              <w:t>100</w:t>
            </w:r>
          </w:p>
        </w:tc>
      </w:tr>
    </w:tbl>
    <w:p w:rsidR="00A32C02" w:rsidRDefault="009A4DF8" w:rsidP="003D6C65">
      <w:pPr>
        <w:spacing w:after="160" w:line="259" w:lineRule="auto"/>
        <w:rPr>
          <w:rFonts w:ascii="Arial" w:hAnsi="Arial" w:cs="Arial"/>
          <w:b/>
          <w:color w:val="000000" w:themeColor="text1"/>
          <w:sz w:val="24"/>
          <w:szCs w:val="24"/>
        </w:rPr>
      </w:pPr>
      <w:r w:rsidRPr="00045B09">
        <w:rPr>
          <w:rFonts w:ascii="Arial" w:hAnsi="Arial" w:cs="Arial"/>
          <w:b/>
          <w:i/>
          <w:color w:val="000000" w:themeColor="text1"/>
          <w:sz w:val="18"/>
          <w:szCs w:val="18"/>
          <w:u w:val="single"/>
        </w:rPr>
        <w:t>Source</w:t>
      </w:r>
      <w:r w:rsidRPr="00045B09">
        <w:rPr>
          <w:rFonts w:ascii="Arial" w:hAnsi="Arial" w:cs="Arial"/>
          <w:i/>
          <w:color w:val="000000" w:themeColor="text1"/>
          <w:sz w:val="18"/>
          <w:szCs w:val="18"/>
        </w:rPr>
        <w:t> : DGCOOP, juillet 2017</w:t>
      </w:r>
      <w:r w:rsidR="00A32C02">
        <w:rPr>
          <w:rFonts w:ascii="Arial" w:hAnsi="Arial" w:cs="Arial"/>
          <w:b/>
          <w:color w:val="000000" w:themeColor="text1"/>
          <w:sz w:val="24"/>
          <w:szCs w:val="24"/>
        </w:rPr>
        <w:br w:type="page"/>
      </w:r>
    </w:p>
    <w:p w:rsidR="009A4DF8" w:rsidRPr="00D234CC" w:rsidRDefault="009A4DF8" w:rsidP="00D234CC">
      <w:pPr>
        <w:pStyle w:val="Titre1"/>
        <w:jc w:val="center"/>
        <w:rPr>
          <w:lang w:eastAsia="fr-FR"/>
        </w:rPr>
      </w:pPr>
      <w:bookmarkStart w:id="554" w:name="_Toc492972220"/>
      <w:r w:rsidRPr="00D234CC">
        <w:rPr>
          <w:lang w:eastAsia="fr-FR"/>
        </w:rPr>
        <w:lastRenderedPageBreak/>
        <w:t>CHAPITRE 3. TENDANCES DE L'AIDE PAR SECTEUR</w:t>
      </w:r>
      <w:bookmarkEnd w:id="554"/>
    </w:p>
    <w:p w:rsidR="001F59B4" w:rsidRPr="001F59B4" w:rsidRDefault="001F59B4" w:rsidP="001F59B4">
      <w:pPr>
        <w:jc w:val="both"/>
        <w:rPr>
          <w:rFonts w:ascii="Arial" w:hAnsi="Arial" w:cs="Arial"/>
        </w:rPr>
      </w:pPr>
      <w:bookmarkStart w:id="555" w:name="_Toc304393377"/>
      <w:bookmarkStart w:id="556" w:name="_Toc245804660"/>
      <w:bookmarkStart w:id="557" w:name="_Toc335610142"/>
      <w:bookmarkStart w:id="558" w:name="_Toc368779373"/>
      <w:bookmarkStart w:id="559" w:name="_Toc336091075"/>
      <w:bookmarkStart w:id="560" w:name="_Toc459122857"/>
      <w:bookmarkStart w:id="561" w:name="_Toc365284014"/>
      <w:bookmarkStart w:id="562" w:name="_Toc365675593"/>
      <w:bookmarkStart w:id="563" w:name="_Toc368483826"/>
      <w:bookmarkStart w:id="564" w:name="_Toc368779708"/>
      <w:bookmarkStart w:id="565" w:name="_Toc399933275"/>
      <w:bookmarkStart w:id="566" w:name="_Toc400638580"/>
      <w:bookmarkStart w:id="567" w:name="_Toc400643311"/>
      <w:bookmarkStart w:id="568" w:name="_Toc424551000"/>
      <w:bookmarkStart w:id="569" w:name="_Toc424552506"/>
      <w:bookmarkStart w:id="570" w:name="_Toc427009769"/>
      <w:bookmarkStart w:id="571" w:name="_Toc459122859"/>
      <w:r w:rsidRPr="001F59B4">
        <w:rPr>
          <w:rFonts w:ascii="Arial" w:hAnsi="Arial" w:cs="Arial"/>
        </w:rPr>
        <w:t xml:space="preserve">L’étude sur les tendances de l’aide par secteur en 2016 est faites à travers un aperçu des principaux secteurs bénéficiaires de l’APD d’une part, et l’analyse des secteurs selon la classification nationale définie dans le Plan national de développement économique et social (PNDES) 2016-2020, d’autre part. Cette classification comporte 14 secteurs. </w:t>
      </w:r>
    </w:p>
    <w:p w:rsidR="00380C15" w:rsidRPr="0084654F" w:rsidRDefault="00380C15" w:rsidP="008D7758">
      <w:pPr>
        <w:pStyle w:val="Titre2"/>
        <w:numPr>
          <w:ilvl w:val="0"/>
          <w:numId w:val="117"/>
        </w:numPr>
        <w:tabs>
          <w:tab w:val="left" w:pos="1134"/>
        </w:tabs>
      </w:pPr>
      <w:bookmarkStart w:id="572" w:name="_Toc492972221"/>
      <w:bookmarkEnd w:id="555"/>
      <w:bookmarkEnd w:id="556"/>
      <w:bookmarkEnd w:id="557"/>
      <w:bookmarkEnd w:id="558"/>
      <w:bookmarkEnd w:id="559"/>
      <w:r w:rsidRPr="0084654F">
        <w:t>Aperçu des principaux secteurs bénéficiaires de l’APD</w:t>
      </w:r>
      <w:bookmarkEnd w:id="560"/>
      <w:bookmarkEnd w:id="572"/>
    </w:p>
    <w:p w:rsidR="000940C1" w:rsidRPr="003C359A" w:rsidRDefault="000940C1" w:rsidP="000940C1">
      <w:pPr>
        <w:spacing w:after="0" w:line="240" w:lineRule="auto"/>
        <w:rPr>
          <w:rFonts w:ascii="Arial" w:hAnsi="Arial" w:cs="Arial"/>
        </w:rPr>
      </w:pPr>
      <w:r w:rsidRPr="003C359A">
        <w:rPr>
          <w:rFonts w:ascii="Arial" w:hAnsi="Arial" w:cs="Arial"/>
        </w:rPr>
        <w:t>En 2016, cinq principaux secteurs ont bénéficié des plus grandes parts de l’APD. Il s’agit des secteurs :</w:t>
      </w:r>
    </w:p>
    <w:p w:rsidR="000940C1" w:rsidRPr="0084654F" w:rsidRDefault="000940C1" w:rsidP="000940C1">
      <w:pPr>
        <w:numPr>
          <w:ilvl w:val="0"/>
          <w:numId w:val="1"/>
        </w:numPr>
        <w:spacing w:after="0" w:line="240" w:lineRule="auto"/>
        <w:rPr>
          <w:rFonts w:ascii="Arial" w:eastAsia="Times New Roman" w:hAnsi="Arial" w:cs="Arial"/>
          <w:bCs/>
          <w:lang w:eastAsia="fr-FR"/>
        </w:rPr>
      </w:pPr>
      <w:r w:rsidRPr="0084654F">
        <w:rPr>
          <w:rFonts w:ascii="Arial" w:eastAsia="Times New Roman" w:hAnsi="Arial" w:cs="Arial"/>
          <w:bCs/>
          <w:lang w:eastAsia="fr-FR"/>
        </w:rPr>
        <w:t>Gouvernance économique (</w:t>
      </w:r>
      <w:r w:rsidR="00E7441A">
        <w:rPr>
          <w:rFonts w:ascii="Arial" w:eastAsia="Times New Roman" w:hAnsi="Arial" w:cs="Arial"/>
          <w:bCs/>
          <w:lang w:eastAsia="fr-FR"/>
        </w:rPr>
        <w:t>24,2</w:t>
      </w:r>
      <w:r w:rsidRPr="0084654F">
        <w:rPr>
          <w:rFonts w:ascii="Arial" w:eastAsia="Times New Roman" w:hAnsi="Arial" w:cs="Arial"/>
          <w:bCs/>
          <w:lang w:eastAsia="fr-FR"/>
        </w:rPr>
        <w:t>%) ;</w:t>
      </w:r>
    </w:p>
    <w:p w:rsidR="000940C1" w:rsidRPr="0084654F" w:rsidRDefault="000940C1" w:rsidP="000940C1">
      <w:pPr>
        <w:numPr>
          <w:ilvl w:val="0"/>
          <w:numId w:val="1"/>
        </w:numPr>
        <w:spacing w:after="0" w:line="240" w:lineRule="auto"/>
        <w:rPr>
          <w:rFonts w:ascii="Arial" w:eastAsia="Times New Roman" w:hAnsi="Arial" w:cs="Arial"/>
          <w:bCs/>
          <w:lang w:eastAsia="fr-FR"/>
        </w:rPr>
      </w:pPr>
      <w:r w:rsidRPr="0084654F">
        <w:rPr>
          <w:rFonts w:ascii="Arial" w:eastAsia="Times New Roman" w:hAnsi="Arial" w:cs="Arial"/>
          <w:bCs/>
          <w:lang w:eastAsia="fr-FR"/>
        </w:rPr>
        <w:t>Environnement eau et assainissement (15,</w:t>
      </w:r>
      <w:r w:rsidR="00E7441A">
        <w:rPr>
          <w:rFonts w:ascii="Arial" w:eastAsia="Times New Roman" w:hAnsi="Arial" w:cs="Arial"/>
          <w:bCs/>
          <w:lang w:eastAsia="fr-FR"/>
        </w:rPr>
        <w:t>3</w:t>
      </w:r>
      <w:r w:rsidRPr="0084654F">
        <w:rPr>
          <w:rFonts w:ascii="Arial" w:eastAsia="Times New Roman" w:hAnsi="Arial" w:cs="Arial"/>
          <w:bCs/>
          <w:lang w:eastAsia="fr-FR"/>
        </w:rPr>
        <w:t>%) ;</w:t>
      </w:r>
    </w:p>
    <w:p w:rsidR="000940C1" w:rsidRPr="0084654F" w:rsidRDefault="000940C1" w:rsidP="000940C1">
      <w:pPr>
        <w:numPr>
          <w:ilvl w:val="0"/>
          <w:numId w:val="1"/>
        </w:numPr>
        <w:spacing w:after="0" w:line="240" w:lineRule="auto"/>
        <w:rPr>
          <w:rFonts w:ascii="Arial" w:eastAsia="Times New Roman" w:hAnsi="Arial" w:cs="Arial"/>
          <w:bCs/>
          <w:lang w:eastAsia="fr-FR"/>
        </w:rPr>
      </w:pPr>
      <w:r w:rsidRPr="0084654F">
        <w:rPr>
          <w:rFonts w:ascii="Arial" w:eastAsia="Times New Roman" w:hAnsi="Arial" w:cs="Arial"/>
          <w:bCs/>
          <w:lang w:eastAsia="fr-FR"/>
        </w:rPr>
        <w:t>Produc</w:t>
      </w:r>
      <w:r w:rsidR="00E7441A">
        <w:rPr>
          <w:rFonts w:ascii="Arial" w:eastAsia="Times New Roman" w:hAnsi="Arial" w:cs="Arial"/>
          <w:bCs/>
          <w:lang w:eastAsia="fr-FR"/>
        </w:rPr>
        <w:t>tion agro-sylvo-pastorale (10,1</w:t>
      </w:r>
      <w:r w:rsidRPr="0084654F">
        <w:rPr>
          <w:rFonts w:ascii="Arial" w:eastAsia="Times New Roman" w:hAnsi="Arial" w:cs="Arial"/>
          <w:bCs/>
          <w:lang w:eastAsia="fr-FR"/>
        </w:rPr>
        <w:t>%);</w:t>
      </w:r>
    </w:p>
    <w:p w:rsidR="000940C1" w:rsidRPr="0084654F" w:rsidRDefault="00E7441A" w:rsidP="000940C1">
      <w:pPr>
        <w:numPr>
          <w:ilvl w:val="0"/>
          <w:numId w:val="1"/>
        </w:numPr>
        <w:spacing w:after="0" w:line="240" w:lineRule="auto"/>
        <w:rPr>
          <w:rFonts w:ascii="Arial" w:eastAsia="Times New Roman" w:hAnsi="Arial" w:cs="Arial"/>
          <w:bCs/>
          <w:lang w:eastAsia="fr-FR"/>
        </w:rPr>
      </w:pPr>
      <w:r>
        <w:rPr>
          <w:rFonts w:ascii="Arial" w:eastAsia="Times New Roman" w:hAnsi="Arial" w:cs="Arial"/>
          <w:bCs/>
          <w:lang w:eastAsia="fr-FR"/>
        </w:rPr>
        <w:t>Education et formation (9,3</w:t>
      </w:r>
      <w:r w:rsidR="000940C1" w:rsidRPr="0084654F">
        <w:rPr>
          <w:rFonts w:ascii="Arial" w:eastAsia="Times New Roman" w:hAnsi="Arial" w:cs="Arial"/>
          <w:bCs/>
          <w:lang w:eastAsia="fr-FR"/>
        </w:rPr>
        <w:t>%) ;</w:t>
      </w:r>
    </w:p>
    <w:p w:rsidR="000940C1" w:rsidRPr="0084654F" w:rsidRDefault="000940C1" w:rsidP="000940C1">
      <w:pPr>
        <w:numPr>
          <w:ilvl w:val="0"/>
          <w:numId w:val="1"/>
        </w:numPr>
        <w:spacing w:after="0" w:line="240" w:lineRule="auto"/>
        <w:rPr>
          <w:rFonts w:ascii="Arial" w:eastAsia="Times New Roman" w:hAnsi="Arial" w:cs="Arial"/>
          <w:bCs/>
          <w:lang w:eastAsia="fr-FR"/>
        </w:rPr>
      </w:pPr>
      <w:r w:rsidRPr="0084654F">
        <w:rPr>
          <w:rFonts w:ascii="Arial" w:eastAsia="Times New Roman" w:hAnsi="Arial" w:cs="Arial"/>
          <w:bCs/>
          <w:lang w:eastAsia="fr-FR"/>
        </w:rPr>
        <w:t>Transformations in</w:t>
      </w:r>
      <w:r w:rsidR="00E7441A">
        <w:rPr>
          <w:rFonts w:ascii="Arial" w:eastAsia="Times New Roman" w:hAnsi="Arial" w:cs="Arial"/>
          <w:bCs/>
          <w:lang w:eastAsia="fr-FR"/>
        </w:rPr>
        <w:t>dustrielles et artisanales (8,1</w:t>
      </w:r>
      <w:r w:rsidRPr="0084654F">
        <w:rPr>
          <w:rFonts w:ascii="Arial" w:eastAsia="Times New Roman" w:hAnsi="Arial" w:cs="Arial"/>
          <w:bCs/>
          <w:lang w:eastAsia="fr-FR"/>
        </w:rPr>
        <w:t>%).</w:t>
      </w:r>
    </w:p>
    <w:p w:rsidR="000940C1" w:rsidRPr="0084654F" w:rsidRDefault="000940C1" w:rsidP="000940C1">
      <w:pPr>
        <w:spacing w:before="120" w:after="120" w:line="240" w:lineRule="auto"/>
        <w:jc w:val="both"/>
        <w:rPr>
          <w:rFonts w:ascii="Arial" w:eastAsia="Times New Roman" w:hAnsi="Arial" w:cs="Arial"/>
          <w:bCs/>
          <w:sz w:val="20"/>
          <w:szCs w:val="20"/>
          <w:lang w:eastAsia="fr-FR"/>
        </w:rPr>
      </w:pPr>
      <w:r w:rsidRPr="0084654F">
        <w:rPr>
          <w:rFonts w:ascii="Arial" w:hAnsi="Arial" w:cs="Arial"/>
        </w:rPr>
        <w:t>Le volume global de l’aide alloué aux cinq secteurs se situe à 764,91 millions dol</w:t>
      </w:r>
      <w:r>
        <w:rPr>
          <w:rFonts w:ascii="Arial" w:hAnsi="Arial" w:cs="Arial"/>
        </w:rPr>
        <w:t>lars US soit</w:t>
      </w:r>
      <w:r w:rsidRPr="0084654F">
        <w:rPr>
          <w:rFonts w:ascii="Arial" w:hAnsi="Arial" w:cs="Arial"/>
        </w:rPr>
        <w:t xml:space="preserve"> 67,</w:t>
      </w:r>
      <w:r w:rsidR="00AB08D6">
        <w:rPr>
          <w:rFonts w:ascii="Arial" w:hAnsi="Arial" w:cs="Arial"/>
        </w:rPr>
        <w:t>1</w:t>
      </w:r>
      <w:r w:rsidRPr="0084654F">
        <w:rPr>
          <w:rFonts w:ascii="Arial" w:hAnsi="Arial" w:cs="Arial"/>
        </w:rPr>
        <w:t xml:space="preserve"> % de l’APD totale reçue par le Burkina Faso en 2016. Il </w:t>
      </w:r>
      <w:r>
        <w:rPr>
          <w:rFonts w:ascii="Arial" w:hAnsi="Arial" w:cs="Arial"/>
        </w:rPr>
        <w:t xml:space="preserve">se situait à </w:t>
      </w:r>
      <w:r w:rsidRPr="0084654F">
        <w:rPr>
          <w:rFonts w:ascii="Arial" w:hAnsi="Arial" w:cs="Arial"/>
        </w:rPr>
        <w:t>744,01 millions dollars US</w:t>
      </w:r>
      <w:r>
        <w:rPr>
          <w:rFonts w:ascii="Arial" w:hAnsi="Arial" w:cs="Arial"/>
        </w:rPr>
        <w:t xml:space="preserve"> en</w:t>
      </w:r>
      <w:r w:rsidRPr="0084654F">
        <w:rPr>
          <w:rFonts w:ascii="Arial" w:hAnsi="Arial" w:cs="Arial"/>
        </w:rPr>
        <w:t xml:space="preserve"> </w:t>
      </w:r>
      <w:r>
        <w:rPr>
          <w:rFonts w:ascii="Arial" w:hAnsi="Arial" w:cs="Arial"/>
        </w:rPr>
        <w:t>2015,</w:t>
      </w:r>
      <w:r w:rsidRPr="0084654F">
        <w:rPr>
          <w:rFonts w:ascii="Arial" w:hAnsi="Arial" w:cs="Arial"/>
        </w:rPr>
        <w:t xml:space="preserve"> en hausse de 2,8%. Cet accroissement est principalement imputable à la forte augmentation enregistrée au niveau du secteur des transformations industrielles et artisanales (41,01%).</w:t>
      </w:r>
    </w:p>
    <w:p w:rsidR="00380C15" w:rsidRPr="00475F95" w:rsidRDefault="000940C1" w:rsidP="00475F95">
      <w:pPr>
        <w:spacing w:before="120" w:after="120" w:line="240" w:lineRule="auto"/>
        <w:jc w:val="both"/>
        <w:rPr>
          <w:rFonts w:ascii="Arial" w:hAnsi="Arial" w:cs="Arial"/>
        </w:rPr>
      </w:pPr>
      <w:r>
        <w:rPr>
          <w:rFonts w:ascii="Arial" w:hAnsi="Arial" w:cs="Arial"/>
        </w:rPr>
        <w:t>Outre ces cinq secteurs, les</w:t>
      </w:r>
      <w:r w:rsidRPr="0084654F">
        <w:rPr>
          <w:rFonts w:ascii="Arial" w:hAnsi="Arial" w:cs="Arial"/>
        </w:rPr>
        <w:t xml:space="preserve"> autres ont absorbé 375, 33 millions dollars US soit 32,92% de la contribution totale des partenaires. Parmi ces derniers, figurent les secteurs des Infrastructures de transport, de communication et d'habitat (6,81%), Santé (7,14%), Gouvernance administrative et locale (5,40%) ; Travail, emploi et protection sociale (4,91%) ; Commerce et services marchands (2,48%).</w:t>
      </w:r>
    </w:p>
    <w:p w:rsidR="00380C15" w:rsidRPr="00475F95" w:rsidRDefault="00475F95" w:rsidP="00475F95">
      <w:pPr>
        <w:pStyle w:val="Lgende"/>
        <w:rPr>
          <w:color w:val="auto"/>
          <w:u w:val="none"/>
        </w:rPr>
      </w:pPr>
      <w:bookmarkStart w:id="573" w:name="_Toc400703531"/>
      <w:bookmarkStart w:id="574" w:name="_Toc424705049"/>
      <w:bookmarkStart w:id="575" w:name="_Toc492895490"/>
      <w:r w:rsidRPr="00475F95">
        <w:rPr>
          <w:color w:val="auto"/>
        </w:rPr>
        <w:t xml:space="preserve">Tableau </w:t>
      </w:r>
      <w:r w:rsidRPr="00475F95">
        <w:rPr>
          <w:color w:val="auto"/>
        </w:rPr>
        <w:fldChar w:fldCharType="begin"/>
      </w:r>
      <w:r w:rsidRPr="00475F95">
        <w:rPr>
          <w:color w:val="auto"/>
        </w:rPr>
        <w:instrText xml:space="preserve"> SEQ Tableau \* ARABIC </w:instrText>
      </w:r>
      <w:r w:rsidRPr="00475F95">
        <w:rPr>
          <w:color w:val="auto"/>
        </w:rPr>
        <w:fldChar w:fldCharType="separate"/>
      </w:r>
      <w:r w:rsidR="009A1402">
        <w:rPr>
          <w:noProof/>
          <w:color w:val="auto"/>
        </w:rPr>
        <w:t>22</w:t>
      </w:r>
      <w:r w:rsidRPr="00475F95">
        <w:rPr>
          <w:color w:val="auto"/>
        </w:rPr>
        <w:fldChar w:fldCharType="end"/>
      </w:r>
      <w:r w:rsidRPr="00475F95">
        <w:rPr>
          <w:color w:val="auto"/>
        </w:rPr>
        <w:t> :</w:t>
      </w:r>
      <w:r w:rsidR="00380C15" w:rsidRPr="00475F95">
        <w:rPr>
          <w:color w:val="auto"/>
        </w:rPr>
        <w:t xml:space="preserve"> </w:t>
      </w:r>
      <w:r w:rsidR="00380C15" w:rsidRPr="00475F95">
        <w:rPr>
          <w:color w:val="auto"/>
          <w:u w:val="none"/>
        </w:rPr>
        <w:t>Les principaux secteurs bénéficiaires de l’APD en 201</w:t>
      </w:r>
      <w:bookmarkStart w:id="576" w:name="_Toc245804683"/>
      <w:bookmarkEnd w:id="573"/>
      <w:bookmarkEnd w:id="574"/>
      <w:r w:rsidR="00380C15" w:rsidRPr="00475F95">
        <w:rPr>
          <w:color w:val="auto"/>
          <w:u w:val="none"/>
        </w:rPr>
        <w:t>6</w:t>
      </w:r>
      <w:bookmarkEnd w:id="575"/>
      <w:bookmarkEnd w:id="576"/>
      <w:r w:rsidR="00380C15" w:rsidRPr="00475F95">
        <w:rPr>
          <w:color w:val="auto"/>
          <w:u w:val="none"/>
        </w:rPr>
        <w:t xml:space="preserve"> </w:t>
      </w:r>
    </w:p>
    <w:tbl>
      <w:tblPr>
        <w:tblW w:w="9801" w:type="dxa"/>
        <w:tblInd w:w="55" w:type="dxa"/>
        <w:tblCellMar>
          <w:left w:w="70" w:type="dxa"/>
          <w:right w:w="70" w:type="dxa"/>
        </w:tblCellMar>
        <w:tblLook w:val="04A0" w:firstRow="1" w:lastRow="0" w:firstColumn="1" w:lastColumn="0" w:noHBand="0" w:noVBand="1"/>
      </w:tblPr>
      <w:tblGrid>
        <w:gridCol w:w="2992"/>
        <w:gridCol w:w="1362"/>
        <w:gridCol w:w="1361"/>
        <w:gridCol w:w="1634"/>
        <w:gridCol w:w="1226"/>
        <w:gridCol w:w="1226"/>
      </w:tblGrid>
      <w:tr w:rsidR="0084654F" w:rsidRPr="00475F95" w:rsidTr="00BA488E">
        <w:trPr>
          <w:trHeight w:val="295"/>
        </w:trPr>
        <w:tc>
          <w:tcPr>
            <w:tcW w:w="2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Secteurs</w:t>
            </w:r>
          </w:p>
        </w:tc>
        <w:tc>
          <w:tcPr>
            <w:tcW w:w="2723" w:type="dxa"/>
            <w:gridSpan w:val="2"/>
            <w:tcBorders>
              <w:top w:val="single" w:sz="4" w:space="0" w:color="auto"/>
              <w:left w:val="nil"/>
              <w:bottom w:val="single" w:sz="4" w:space="0" w:color="auto"/>
              <w:right w:val="single" w:sz="4" w:space="0" w:color="auto"/>
            </w:tcBorders>
            <w:shd w:val="clear" w:color="auto" w:fill="auto"/>
            <w:vAlign w:val="center"/>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2015</w:t>
            </w:r>
          </w:p>
        </w:tc>
        <w:tc>
          <w:tcPr>
            <w:tcW w:w="2860" w:type="dxa"/>
            <w:gridSpan w:val="2"/>
            <w:tcBorders>
              <w:top w:val="single" w:sz="4" w:space="0" w:color="auto"/>
              <w:left w:val="nil"/>
              <w:bottom w:val="single" w:sz="4" w:space="0" w:color="auto"/>
              <w:right w:val="single" w:sz="4" w:space="0" w:color="auto"/>
            </w:tcBorders>
            <w:shd w:val="clear" w:color="auto" w:fill="auto"/>
            <w:vAlign w:val="center"/>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2016</w:t>
            </w:r>
          </w:p>
        </w:tc>
        <w:tc>
          <w:tcPr>
            <w:tcW w:w="122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Variation en  %</w:t>
            </w:r>
          </w:p>
        </w:tc>
      </w:tr>
      <w:tr w:rsidR="0084654F" w:rsidRPr="00475F95" w:rsidTr="00BA488E">
        <w:trPr>
          <w:trHeight w:val="556"/>
        </w:trPr>
        <w:tc>
          <w:tcPr>
            <w:tcW w:w="2992" w:type="dxa"/>
            <w:vMerge/>
            <w:tcBorders>
              <w:top w:val="single" w:sz="4" w:space="0" w:color="auto"/>
              <w:left w:val="single" w:sz="4" w:space="0" w:color="auto"/>
              <w:bottom w:val="single" w:sz="4" w:space="0" w:color="auto"/>
              <w:right w:val="single" w:sz="4" w:space="0" w:color="auto"/>
            </w:tcBorders>
            <w:vAlign w:val="center"/>
            <w:hideMark/>
          </w:tcPr>
          <w:p w:rsidR="00380C15" w:rsidRPr="00475F95" w:rsidRDefault="00380C15" w:rsidP="007340D6">
            <w:pPr>
              <w:spacing w:after="0" w:line="240" w:lineRule="auto"/>
              <w:rPr>
                <w:rFonts w:ascii="Arial" w:eastAsia="Times New Roman" w:hAnsi="Arial" w:cs="Arial"/>
                <w:b/>
                <w:bCs/>
                <w:sz w:val="20"/>
                <w:szCs w:val="20"/>
                <w:lang w:eastAsia="fr-FR"/>
              </w:rPr>
            </w:pPr>
          </w:p>
        </w:tc>
        <w:tc>
          <w:tcPr>
            <w:tcW w:w="1362" w:type="dxa"/>
            <w:tcBorders>
              <w:top w:val="nil"/>
              <w:left w:val="nil"/>
              <w:bottom w:val="single" w:sz="4" w:space="0" w:color="auto"/>
              <w:right w:val="single" w:sz="4" w:space="0" w:color="auto"/>
            </w:tcBorders>
            <w:shd w:val="clear" w:color="auto" w:fill="auto"/>
            <w:vAlign w:val="center"/>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Montant en millions $US</w:t>
            </w:r>
          </w:p>
        </w:tc>
        <w:tc>
          <w:tcPr>
            <w:tcW w:w="1361" w:type="dxa"/>
            <w:tcBorders>
              <w:top w:val="nil"/>
              <w:left w:val="nil"/>
              <w:bottom w:val="single" w:sz="4" w:space="0" w:color="auto"/>
              <w:right w:val="single" w:sz="4" w:space="0" w:color="auto"/>
            </w:tcBorders>
            <w:shd w:val="clear" w:color="auto" w:fill="auto"/>
            <w:vAlign w:val="center"/>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En% de l'APD</w:t>
            </w:r>
          </w:p>
        </w:tc>
        <w:tc>
          <w:tcPr>
            <w:tcW w:w="1634" w:type="dxa"/>
            <w:tcBorders>
              <w:top w:val="nil"/>
              <w:left w:val="nil"/>
              <w:bottom w:val="single" w:sz="4" w:space="0" w:color="auto"/>
              <w:right w:val="single" w:sz="4" w:space="0" w:color="auto"/>
            </w:tcBorders>
            <w:shd w:val="clear" w:color="auto" w:fill="auto"/>
            <w:vAlign w:val="center"/>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Montant en millions $US</w:t>
            </w:r>
          </w:p>
        </w:tc>
        <w:tc>
          <w:tcPr>
            <w:tcW w:w="1226" w:type="dxa"/>
            <w:tcBorders>
              <w:top w:val="nil"/>
              <w:left w:val="nil"/>
              <w:bottom w:val="single" w:sz="4" w:space="0" w:color="auto"/>
              <w:right w:val="single" w:sz="4" w:space="0" w:color="auto"/>
            </w:tcBorders>
            <w:shd w:val="clear" w:color="auto" w:fill="auto"/>
            <w:vAlign w:val="center"/>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En% de l'APD</w:t>
            </w:r>
          </w:p>
        </w:tc>
        <w:tc>
          <w:tcPr>
            <w:tcW w:w="1226" w:type="dxa"/>
            <w:vMerge/>
            <w:tcBorders>
              <w:top w:val="single" w:sz="4" w:space="0" w:color="auto"/>
              <w:left w:val="single" w:sz="4" w:space="0" w:color="auto"/>
              <w:bottom w:val="single" w:sz="4" w:space="0" w:color="000000"/>
              <w:right w:val="single" w:sz="4" w:space="0" w:color="auto"/>
            </w:tcBorders>
            <w:vAlign w:val="center"/>
            <w:hideMark/>
          </w:tcPr>
          <w:p w:rsidR="00380C15" w:rsidRPr="00475F95" w:rsidRDefault="00380C15" w:rsidP="007340D6">
            <w:pPr>
              <w:spacing w:after="0" w:line="240" w:lineRule="auto"/>
              <w:rPr>
                <w:rFonts w:ascii="Arial" w:eastAsia="Times New Roman" w:hAnsi="Arial" w:cs="Arial"/>
                <w:b/>
                <w:bCs/>
                <w:sz w:val="20"/>
                <w:szCs w:val="20"/>
                <w:lang w:eastAsia="fr-FR"/>
              </w:rPr>
            </w:pPr>
          </w:p>
        </w:tc>
      </w:tr>
      <w:tr w:rsidR="0084654F" w:rsidRPr="00475F95" w:rsidTr="00BA488E">
        <w:trPr>
          <w:trHeight w:val="289"/>
        </w:trPr>
        <w:tc>
          <w:tcPr>
            <w:tcW w:w="2992" w:type="dxa"/>
            <w:tcBorders>
              <w:top w:val="nil"/>
              <w:left w:val="single" w:sz="4" w:space="0" w:color="000000"/>
              <w:bottom w:val="single" w:sz="4" w:space="0" w:color="000000"/>
              <w:right w:val="single" w:sz="4" w:space="0" w:color="000000"/>
            </w:tcBorders>
            <w:shd w:val="clear" w:color="000000" w:fill="FFFFFF"/>
            <w:vAlign w:val="bottom"/>
            <w:hideMark/>
          </w:tcPr>
          <w:p w:rsidR="00380C15" w:rsidRPr="00475F95" w:rsidRDefault="00380C15" w:rsidP="007340D6">
            <w:pPr>
              <w:spacing w:after="0" w:line="240" w:lineRule="auto"/>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Gouvernance économique</w:t>
            </w:r>
          </w:p>
        </w:tc>
        <w:tc>
          <w:tcPr>
            <w:tcW w:w="1362"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305,75</w:t>
            </w:r>
          </w:p>
        </w:tc>
        <w:tc>
          <w:tcPr>
            <w:tcW w:w="1361" w:type="dxa"/>
            <w:tcBorders>
              <w:top w:val="nil"/>
              <w:left w:val="nil"/>
              <w:bottom w:val="single" w:sz="4" w:space="0" w:color="auto"/>
              <w:right w:val="single" w:sz="4" w:space="0" w:color="auto"/>
            </w:tcBorders>
            <w:shd w:val="clear" w:color="auto" w:fill="auto"/>
            <w:vAlign w:val="bottom"/>
            <w:hideMark/>
          </w:tcPr>
          <w:p w:rsidR="00380C15" w:rsidRPr="00475F95" w:rsidRDefault="00626E7B" w:rsidP="00626E7B">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27,8</w:t>
            </w:r>
          </w:p>
        </w:tc>
        <w:tc>
          <w:tcPr>
            <w:tcW w:w="1634"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276,21</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626E7B">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24,2</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-9,66</w:t>
            </w:r>
          </w:p>
        </w:tc>
      </w:tr>
      <w:tr w:rsidR="0084654F" w:rsidRPr="00475F95" w:rsidTr="00BA488E">
        <w:trPr>
          <w:trHeight w:val="289"/>
        </w:trPr>
        <w:tc>
          <w:tcPr>
            <w:tcW w:w="2992" w:type="dxa"/>
            <w:tcBorders>
              <w:top w:val="nil"/>
              <w:left w:val="single" w:sz="4" w:space="0" w:color="000000"/>
              <w:bottom w:val="single" w:sz="4" w:space="0" w:color="000000"/>
              <w:right w:val="single" w:sz="4" w:space="0" w:color="000000"/>
            </w:tcBorders>
            <w:shd w:val="clear" w:color="000000" w:fill="FFFFFF"/>
            <w:vAlign w:val="bottom"/>
            <w:hideMark/>
          </w:tcPr>
          <w:p w:rsidR="00380C15" w:rsidRPr="00475F95" w:rsidRDefault="00380C15" w:rsidP="007340D6">
            <w:pPr>
              <w:spacing w:after="0" w:line="240" w:lineRule="auto"/>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Environnement eau et assainissement</w:t>
            </w:r>
          </w:p>
        </w:tc>
        <w:tc>
          <w:tcPr>
            <w:tcW w:w="1362"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167,63</w:t>
            </w:r>
          </w:p>
        </w:tc>
        <w:tc>
          <w:tcPr>
            <w:tcW w:w="1361" w:type="dxa"/>
            <w:tcBorders>
              <w:top w:val="nil"/>
              <w:left w:val="nil"/>
              <w:bottom w:val="single" w:sz="4" w:space="0" w:color="auto"/>
              <w:right w:val="single" w:sz="4" w:space="0" w:color="auto"/>
            </w:tcBorders>
            <w:shd w:val="clear" w:color="auto" w:fill="auto"/>
            <w:vAlign w:val="bottom"/>
            <w:hideMark/>
          </w:tcPr>
          <w:p w:rsidR="00380C15" w:rsidRPr="00475F95" w:rsidRDefault="00626E7B"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15,2</w:t>
            </w:r>
          </w:p>
        </w:tc>
        <w:tc>
          <w:tcPr>
            <w:tcW w:w="1634"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174,09</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626E7B">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15,</w:t>
            </w:r>
            <w:r w:rsidR="00626E7B" w:rsidRPr="00475F95">
              <w:rPr>
                <w:rFonts w:ascii="Arial" w:eastAsia="Times New Roman" w:hAnsi="Arial" w:cs="Arial"/>
                <w:sz w:val="20"/>
                <w:szCs w:val="20"/>
                <w:lang w:eastAsia="fr-FR"/>
              </w:rPr>
              <w:t>3</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3,86</w:t>
            </w:r>
          </w:p>
        </w:tc>
      </w:tr>
      <w:tr w:rsidR="0084654F" w:rsidRPr="00475F95" w:rsidTr="00BA488E">
        <w:trPr>
          <w:trHeight w:val="289"/>
        </w:trPr>
        <w:tc>
          <w:tcPr>
            <w:tcW w:w="2992" w:type="dxa"/>
            <w:tcBorders>
              <w:top w:val="nil"/>
              <w:left w:val="single" w:sz="4" w:space="0" w:color="000000"/>
              <w:bottom w:val="single" w:sz="4" w:space="0" w:color="000000"/>
              <w:right w:val="single" w:sz="4" w:space="0" w:color="000000"/>
            </w:tcBorders>
            <w:shd w:val="clear" w:color="000000" w:fill="FFFFFF"/>
            <w:vAlign w:val="bottom"/>
            <w:hideMark/>
          </w:tcPr>
          <w:p w:rsidR="00380C15" w:rsidRPr="00475F95" w:rsidRDefault="00380C15" w:rsidP="007340D6">
            <w:pPr>
              <w:spacing w:after="0" w:line="240" w:lineRule="auto"/>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Production agro-sylvo-pastorale</w:t>
            </w:r>
          </w:p>
        </w:tc>
        <w:tc>
          <w:tcPr>
            <w:tcW w:w="1362"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114,52</w:t>
            </w:r>
          </w:p>
        </w:tc>
        <w:tc>
          <w:tcPr>
            <w:tcW w:w="1361" w:type="dxa"/>
            <w:tcBorders>
              <w:top w:val="nil"/>
              <w:left w:val="nil"/>
              <w:bottom w:val="single" w:sz="4" w:space="0" w:color="auto"/>
              <w:right w:val="single" w:sz="4" w:space="0" w:color="auto"/>
            </w:tcBorders>
            <w:shd w:val="clear" w:color="auto" w:fill="auto"/>
            <w:vAlign w:val="bottom"/>
            <w:hideMark/>
          </w:tcPr>
          <w:p w:rsidR="00380C15" w:rsidRPr="00475F95" w:rsidRDefault="00626E7B"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10,4</w:t>
            </w:r>
          </w:p>
        </w:tc>
        <w:tc>
          <w:tcPr>
            <w:tcW w:w="1634"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115,33</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626E7B">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10,1</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0,71</w:t>
            </w:r>
          </w:p>
        </w:tc>
      </w:tr>
      <w:tr w:rsidR="0084654F" w:rsidRPr="00475F95" w:rsidTr="00BA488E">
        <w:trPr>
          <w:trHeight w:val="289"/>
        </w:trPr>
        <w:tc>
          <w:tcPr>
            <w:tcW w:w="2992" w:type="dxa"/>
            <w:tcBorders>
              <w:top w:val="nil"/>
              <w:left w:val="single" w:sz="4" w:space="0" w:color="000000"/>
              <w:bottom w:val="single" w:sz="4" w:space="0" w:color="000000"/>
              <w:right w:val="single" w:sz="4" w:space="0" w:color="000000"/>
            </w:tcBorders>
            <w:shd w:val="clear" w:color="000000" w:fill="FFFFFF"/>
            <w:vAlign w:val="bottom"/>
            <w:hideMark/>
          </w:tcPr>
          <w:p w:rsidR="00380C15" w:rsidRPr="00475F95" w:rsidRDefault="00380C15" w:rsidP="007340D6">
            <w:pPr>
              <w:spacing w:after="0" w:line="240" w:lineRule="auto"/>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Education et formation</w:t>
            </w:r>
          </w:p>
        </w:tc>
        <w:tc>
          <w:tcPr>
            <w:tcW w:w="1362"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90,28</w:t>
            </w:r>
          </w:p>
        </w:tc>
        <w:tc>
          <w:tcPr>
            <w:tcW w:w="1361" w:type="dxa"/>
            <w:tcBorders>
              <w:top w:val="nil"/>
              <w:left w:val="nil"/>
              <w:bottom w:val="single" w:sz="4" w:space="0" w:color="auto"/>
              <w:right w:val="single" w:sz="4" w:space="0" w:color="auto"/>
            </w:tcBorders>
            <w:shd w:val="clear" w:color="auto" w:fill="auto"/>
            <w:vAlign w:val="bottom"/>
            <w:hideMark/>
          </w:tcPr>
          <w:p w:rsidR="00380C15" w:rsidRPr="00475F95" w:rsidRDefault="00626E7B"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8,2</w:t>
            </w:r>
          </w:p>
        </w:tc>
        <w:tc>
          <w:tcPr>
            <w:tcW w:w="1634"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106,44</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626E7B"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9,</w:t>
            </w:r>
            <w:r w:rsidR="00380C15" w:rsidRPr="00475F95">
              <w:rPr>
                <w:rFonts w:ascii="Arial" w:eastAsia="Times New Roman" w:hAnsi="Arial" w:cs="Arial"/>
                <w:sz w:val="20"/>
                <w:szCs w:val="20"/>
                <w:lang w:eastAsia="fr-FR"/>
              </w:rPr>
              <w:t>4</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17,90</w:t>
            </w:r>
          </w:p>
        </w:tc>
      </w:tr>
      <w:tr w:rsidR="0084654F" w:rsidRPr="00475F95" w:rsidTr="00BA488E">
        <w:trPr>
          <w:trHeight w:val="367"/>
        </w:trPr>
        <w:tc>
          <w:tcPr>
            <w:tcW w:w="2992" w:type="dxa"/>
            <w:tcBorders>
              <w:top w:val="nil"/>
              <w:left w:val="single" w:sz="4" w:space="0" w:color="000000"/>
              <w:bottom w:val="nil"/>
              <w:right w:val="single" w:sz="4" w:space="0" w:color="000000"/>
            </w:tcBorders>
            <w:shd w:val="clear" w:color="000000" w:fill="FFFFFF"/>
            <w:vAlign w:val="bottom"/>
            <w:hideMark/>
          </w:tcPr>
          <w:p w:rsidR="00380C15" w:rsidRPr="00475F95" w:rsidRDefault="00380C15" w:rsidP="007340D6">
            <w:pPr>
              <w:spacing w:after="0" w:line="240" w:lineRule="auto"/>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Transformations industrielles et artisanales</w:t>
            </w:r>
          </w:p>
        </w:tc>
        <w:tc>
          <w:tcPr>
            <w:tcW w:w="1362"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65,83</w:t>
            </w:r>
          </w:p>
        </w:tc>
        <w:tc>
          <w:tcPr>
            <w:tcW w:w="1361" w:type="dxa"/>
            <w:tcBorders>
              <w:top w:val="nil"/>
              <w:left w:val="nil"/>
              <w:bottom w:val="single" w:sz="4" w:space="0" w:color="auto"/>
              <w:right w:val="single" w:sz="4" w:space="0" w:color="auto"/>
            </w:tcBorders>
            <w:shd w:val="clear" w:color="auto" w:fill="auto"/>
            <w:hideMark/>
          </w:tcPr>
          <w:p w:rsidR="00380C15" w:rsidRPr="00475F95" w:rsidRDefault="00626E7B"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5,9</w:t>
            </w:r>
          </w:p>
        </w:tc>
        <w:tc>
          <w:tcPr>
            <w:tcW w:w="1634" w:type="dxa"/>
            <w:tcBorders>
              <w:top w:val="nil"/>
              <w:left w:val="nil"/>
              <w:bottom w:val="single" w:sz="4" w:space="0" w:color="auto"/>
              <w:right w:val="single" w:sz="4" w:space="0" w:color="auto"/>
            </w:tcBorders>
            <w:shd w:val="clear" w:color="000000" w:fill="FFFFFF"/>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92,83</w:t>
            </w:r>
          </w:p>
        </w:tc>
        <w:tc>
          <w:tcPr>
            <w:tcW w:w="1226" w:type="dxa"/>
            <w:tcBorders>
              <w:top w:val="nil"/>
              <w:left w:val="nil"/>
              <w:bottom w:val="single" w:sz="4" w:space="0" w:color="auto"/>
              <w:right w:val="single" w:sz="4" w:space="0" w:color="auto"/>
            </w:tcBorders>
            <w:shd w:val="clear" w:color="auto" w:fill="auto"/>
            <w:hideMark/>
          </w:tcPr>
          <w:p w:rsidR="00380C15" w:rsidRPr="00475F95" w:rsidRDefault="00380C15" w:rsidP="00626E7B">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8,</w:t>
            </w:r>
            <w:r w:rsidR="00626E7B" w:rsidRPr="00475F95">
              <w:rPr>
                <w:rFonts w:ascii="Arial" w:eastAsia="Times New Roman" w:hAnsi="Arial" w:cs="Arial"/>
                <w:sz w:val="20"/>
                <w:szCs w:val="20"/>
                <w:lang w:eastAsia="fr-FR"/>
              </w:rPr>
              <w:t>1</w:t>
            </w:r>
          </w:p>
        </w:tc>
        <w:tc>
          <w:tcPr>
            <w:tcW w:w="1226" w:type="dxa"/>
            <w:tcBorders>
              <w:top w:val="nil"/>
              <w:left w:val="nil"/>
              <w:bottom w:val="single" w:sz="4" w:space="0" w:color="auto"/>
              <w:right w:val="single" w:sz="4" w:space="0" w:color="auto"/>
            </w:tcBorders>
            <w:shd w:val="clear" w:color="auto" w:fill="auto"/>
            <w:hideMark/>
          </w:tcPr>
          <w:p w:rsidR="00380C15" w:rsidRPr="00475F95" w:rsidRDefault="00380C15" w:rsidP="007340D6">
            <w:pPr>
              <w:spacing w:after="0" w:line="240" w:lineRule="auto"/>
              <w:jc w:val="center"/>
              <w:rPr>
                <w:rFonts w:ascii="Arial" w:eastAsia="Times New Roman" w:hAnsi="Arial" w:cs="Arial"/>
                <w:sz w:val="20"/>
                <w:szCs w:val="20"/>
                <w:lang w:eastAsia="fr-FR"/>
              </w:rPr>
            </w:pPr>
            <w:r w:rsidRPr="00475F95">
              <w:rPr>
                <w:rFonts w:ascii="Arial" w:eastAsia="Times New Roman" w:hAnsi="Arial" w:cs="Arial"/>
                <w:sz w:val="20"/>
                <w:szCs w:val="20"/>
                <w:lang w:eastAsia="fr-FR"/>
              </w:rPr>
              <w:t>41,01</w:t>
            </w:r>
          </w:p>
        </w:tc>
      </w:tr>
      <w:tr w:rsidR="0084654F" w:rsidRPr="00475F95" w:rsidTr="00BA488E">
        <w:trPr>
          <w:trHeight w:val="289"/>
        </w:trPr>
        <w:tc>
          <w:tcPr>
            <w:tcW w:w="299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Total des principaux secteurs</w:t>
            </w:r>
          </w:p>
        </w:tc>
        <w:tc>
          <w:tcPr>
            <w:tcW w:w="1362"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744,01</w:t>
            </w:r>
          </w:p>
        </w:tc>
        <w:tc>
          <w:tcPr>
            <w:tcW w:w="1361"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E524E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67,6</w:t>
            </w:r>
          </w:p>
        </w:tc>
        <w:tc>
          <w:tcPr>
            <w:tcW w:w="1634"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764,91</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B757CE"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67,1</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2,81</w:t>
            </w:r>
          </w:p>
        </w:tc>
      </w:tr>
      <w:tr w:rsidR="0084654F" w:rsidRPr="00475F95" w:rsidTr="00BA488E">
        <w:trPr>
          <w:trHeight w:val="289"/>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Autres</w:t>
            </w:r>
          </w:p>
        </w:tc>
        <w:tc>
          <w:tcPr>
            <w:tcW w:w="1362"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356,33</w:t>
            </w:r>
          </w:p>
        </w:tc>
        <w:tc>
          <w:tcPr>
            <w:tcW w:w="1361"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E524E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32,</w:t>
            </w:r>
            <w:r w:rsidR="00E524E6" w:rsidRPr="00475F95">
              <w:rPr>
                <w:rFonts w:ascii="Arial" w:eastAsia="Times New Roman" w:hAnsi="Arial" w:cs="Arial"/>
                <w:b/>
                <w:bCs/>
                <w:sz w:val="20"/>
                <w:szCs w:val="20"/>
                <w:lang w:eastAsia="fr-FR"/>
              </w:rPr>
              <w:t>4</w:t>
            </w:r>
          </w:p>
        </w:tc>
        <w:tc>
          <w:tcPr>
            <w:tcW w:w="1634"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375,33</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B757CE"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32,9</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5,33</w:t>
            </w:r>
          </w:p>
        </w:tc>
      </w:tr>
      <w:tr w:rsidR="0084654F" w:rsidRPr="00475F95" w:rsidTr="00BA488E">
        <w:trPr>
          <w:trHeight w:val="289"/>
        </w:trPr>
        <w:tc>
          <w:tcPr>
            <w:tcW w:w="2992" w:type="dxa"/>
            <w:tcBorders>
              <w:top w:val="nil"/>
              <w:left w:val="single" w:sz="4" w:space="0" w:color="auto"/>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Total général</w:t>
            </w:r>
          </w:p>
        </w:tc>
        <w:tc>
          <w:tcPr>
            <w:tcW w:w="1362"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1 100,34</w:t>
            </w:r>
          </w:p>
        </w:tc>
        <w:tc>
          <w:tcPr>
            <w:tcW w:w="1361" w:type="dxa"/>
            <w:tcBorders>
              <w:top w:val="nil"/>
              <w:left w:val="nil"/>
              <w:bottom w:val="single" w:sz="4" w:space="0" w:color="auto"/>
              <w:right w:val="single" w:sz="4" w:space="0" w:color="auto"/>
            </w:tcBorders>
            <w:shd w:val="clear" w:color="auto" w:fill="auto"/>
            <w:vAlign w:val="bottom"/>
            <w:hideMark/>
          </w:tcPr>
          <w:p w:rsidR="00380C15" w:rsidRPr="00475F95" w:rsidRDefault="00E524E6"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100,0</w:t>
            </w:r>
          </w:p>
        </w:tc>
        <w:tc>
          <w:tcPr>
            <w:tcW w:w="1634" w:type="dxa"/>
            <w:tcBorders>
              <w:top w:val="nil"/>
              <w:left w:val="nil"/>
              <w:bottom w:val="single" w:sz="4" w:space="0" w:color="000000"/>
              <w:right w:val="single" w:sz="4" w:space="0" w:color="000000"/>
            </w:tcBorders>
            <w:shd w:val="clear" w:color="000000" w:fill="FFFFFF"/>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1140,23</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B757CE"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100,0</w:t>
            </w:r>
          </w:p>
        </w:tc>
        <w:tc>
          <w:tcPr>
            <w:tcW w:w="1226" w:type="dxa"/>
            <w:tcBorders>
              <w:top w:val="nil"/>
              <w:left w:val="nil"/>
              <w:bottom w:val="single" w:sz="4" w:space="0" w:color="auto"/>
              <w:right w:val="single" w:sz="4" w:space="0" w:color="auto"/>
            </w:tcBorders>
            <w:shd w:val="clear" w:color="auto" w:fill="auto"/>
            <w:vAlign w:val="bottom"/>
            <w:hideMark/>
          </w:tcPr>
          <w:p w:rsidR="00380C15" w:rsidRPr="00475F95" w:rsidRDefault="00380C15" w:rsidP="007340D6">
            <w:pPr>
              <w:spacing w:after="0" w:line="240" w:lineRule="auto"/>
              <w:jc w:val="center"/>
              <w:rPr>
                <w:rFonts w:ascii="Arial" w:eastAsia="Times New Roman" w:hAnsi="Arial" w:cs="Arial"/>
                <w:b/>
                <w:bCs/>
                <w:sz w:val="20"/>
                <w:szCs w:val="20"/>
                <w:lang w:eastAsia="fr-FR"/>
              </w:rPr>
            </w:pPr>
            <w:r w:rsidRPr="00475F95">
              <w:rPr>
                <w:rFonts w:ascii="Arial" w:eastAsia="Times New Roman" w:hAnsi="Arial" w:cs="Arial"/>
                <w:b/>
                <w:bCs/>
                <w:sz w:val="20"/>
                <w:szCs w:val="20"/>
                <w:lang w:eastAsia="fr-FR"/>
              </w:rPr>
              <w:t>3,63</w:t>
            </w:r>
          </w:p>
        </w:tc>
      </w:tr>
    </w:tbl>
    <w:p w:rsidR="00380C15" w:rsidRPr="0084654F" w:rsidRDefault="00380C15" w:rsidP="00BA488E">
      <w:pPr>
        <w:spacing w:after="120" w:line="240" w:lineRule="auto"/>
        <w:rPr>
          <w:rFonts w:ascii="Arial" w:hAnsi="Arial" w:cs="Arial"/>
          <w:i/>
        </w:rPr>
      </w:pPr>
      <w:r w:rsidRPr="0084654F">
        <w:rPr>
          <w:rFonts w:ascii="Arial" w:hAnsi="Arial" w:cs="Arial"/>
          <w:i/>
          <w:u w:val="single"/>
        </w:rPr>
        <w:t>Source :</w:t>
      </w:r>
      <w:r w:rsidRPr="0084654F">
        <w:rPr>
          <w:rFonts w:ascii="Arial" w:hAnsi="Arial" w:cs="Arial"/>
          <w:i/>
        </w:rPr>
        <w:t xml:space="preserve"> PGA/DGCOOP, juillet 2017</w:t>
      </w:r>
    </w:p>
    <w:p w:rsidR="000940C1" w:rsidRPr="007340D6" w:rsidRDefault="000940C1" w:rsidP="000940C1">
      <w:pPr>
        <w:jc w:val="both"/>
        <w:rPr>
          <w:rFonts w:ascii="Arial" w:hAnsi="Arial" w:cs="Arial"/>
        </w:rPr>
      </w:pPr>
      <w:r w:rsidRPr="007340D6">
        <w:rPr>
          <w:rFonts w:ascii="Arial" w:hAnsi="Arial" w:cs="Arial"/>
        </w:rPr>
        <w:t xml:space="preserve">La répartition de l’APD </w:t>
      </w:r>
      <w:r>
        <w:rPr>
          <w:rFonts w:ascii="Arial" w:hAnsi="Arial" w:cs="Arial"/>
        </w:rPr>
        <w:t xml:space="preserve">par </w:t>
      </w:r>
      <w:r w:rsidRPr="007340D6">
        <w:rPr>
          <w:rFonts w:ascii="Arial" w:hAnsi="Arial" w:cs="Arial"/>
        </w:rPr>
        <w:t xml:space="preserve">secteur est analysée selon les types d’aide, par bailleur et par condition. </w:t>
      </w:r>
    </w:p>
    <w:p w:rsidR="00380C15" w:rsidRPr="0033650B" w:rsidRDefault="00380C15" w:rsidP="008D7758">
      <w:pPr>
        <w:pStyle w:val="Titre2"/>
        <w:numPr>
          <w:ilvl w:val="0"/>
          <w:numId w:val="117"/>
        </w:numPr>
        <w:tabs>
          <w:tab w:val="left" w:pos="1134"/>
        </w:tabs>
      </w:pPr>
      <w:bookmarkStart w:id="577" w:name="_Toc459122858"/>
      <w:bookmarkStart w:id="578" w:name="_Toc492972222"/>
      <w:bookmarkStart w:id="579" w:name="_Toc399933274"/>
      <w:bookmarkStart w:id="580" w:name="_Toc400638579"/>
      <w:bookmarkStart w:id="581" w:name="_Toc400643310"/>
      <w:bookmarkStart w:id="582" w:name="_Toc424550999"/>
      <w:bookmarkStart w:id="583" w:name="_Toc424552505"/>
      <w:bookmarkStart w:id="584" w:name="_Toc427009768"/>
      <w:r w:rsidRPr="0033650B">
        <w:t>Secteur «Gouvernance économique»</w:t>
      </w:r>
      <w:bookmarkEnd w:id="577"/>
      <w:bookmarkEnd w:id="578"/>
    </w:p>
    <w:bookmarkEnd w:id="579"/>
    <w:bookmarkEnd w:id="580"/>
    <w:bookmarkEnd w:id="581"/>
    <w:bookmarkEnd w:id="582"/>
    <w:bookmarkEnd w:id="583"/>
    <w:bookmarkEnd w:id="584"/>
    <w:p w:rsidR="00380C15" w:rsidRPr="0084654F" w:rsidRDefault="000940C1" w:rsidP="00380C15">
      <w:pPr>
        <w:spacing w:before="120" w:after="120" w:line="240" w:lineRule="auto"/>
        <w:jc w:val="both"/>
        <w:rPr>
          <w:rFonts w:ascii="Arial" w:hAnsi="Arial" w:cs="Arial"/>
        </w:rPr>
      </w:pPr>
      <w:r w:rsidRPr="0084654F">
        <w:rPr>
          <w:rFonts w:ascii="Arial" w:hAnsi="Arial" w:cs="Arial"/>
        </w:rPr>
        <w:t>Le secteur « Gouvernance économique » regroupe les activités liées au fonctionnement des organes exécutifs et législatifs, aux affaires financières et fiscales, aux affaires étrangères ; à la tutelle de l'économie générale, des échanges et de l'emploi et aux activités d'administration générale, économique, sociale et de prérogative publique.</w:t>
      </w:r>
    </w:p>
    <w:p w:rsidR="00F65DDE" w:rsidRDefault="00F65DDE" w:rsidP="001F2B6C">
      <w:pPr>
        <w:spacing w:before="120" w:after="120" w:line="240" w:lineRule="auto"/>
        <w:jc w:val="both"/>
        <w:rPr>
          <w:rFonts w:ascii="Arial" w:hAnsi="Arial" w:cs="Arial"/>
        </w:rPr>
      </w:pPr>
      <w:r w:rsidRPr="00F65DDE">
        <w:rPr>
          <w:rFonts w:ascii="Arial" w:hAnsi="Arial" w:cs="Arial"/>
        </w:rPr>
        <w:lastRenderedPageBreak/>
        <w:t xml:space="preserve">Le </w:t>
      </w:r>
      <w:r>
        <w:rPr>
          <w:rFonts w:ascii="Arial" w:hAnsi="Arial" w:cs="Arial"/>
        </w:rPr>
        <w:t xml:space="preserve">secteur de la gouvernance économique a totalisé un montant de </w:t>
      </w:r>
      <w:r w:rsidRPr="00F65DDE">
        <w:rPr>
          <w:rFonts w:ascii="Arial" w:hAnsi="Arial" w:cs="Arial"/>
        </w:rPr>
        <w:t>276,21 en millions $US, soit  24,2</w:t>
      </w:r>
      <w:r w:rsidR="00051C3E">
        <w:rPr>
          <w:rFonts w:ascii="Arial" w:hAnsi="Arial" w:cs="Arial"/>
        </w:rPr>
        <w:t>%</w:t>
      </w:r>
      <w:r w:rsidRPr="00F65DDE">
        <w:rPr>
          <w:rFonts w:ascii="Arial" w:hAnsi="Arial" w:cs="Arial"/>
        </w:rPr>
        <w:t xml:space="preserve"> de l’APD totale</w:t>
      </w:r>
      <w:r w:rsidR="00051C3E">
        <w:rPr>
          <w:rFonts w:ascii="Arial" w:hAnsi="Arial" w:cs="Arial"/>
        </w:rPr>
        <w:t xml:space="preserve">. Ce montant </w:t>
      </w:r>
      <w:r w:rsidRPr="00F65DDE">
        <w:rPr>
          <w:rFonts w:ascii="Arial" w:hAnsi="Arial" w:cs="Arial"/>
        </w:rPr>
        <w:t>devrait être nuancé car prenant en compte les appuis budgétaires généraux qui ont un caractère transversal</w:t>
      </w:r>
      <w:r w:rsidR="00051C3E">
        <w:rPr>
          <w:rFonts w:ascii="Arial" w:hAnsi="Arial" w:cs="Arial"/>
        </w:rPr>
        <w:t>.</w:t>
      </w:r>
      <w:r w:rsidR="00C93359">
        <w:rPr>
          <w:rFonts w:ascii="Arial" w:hAnsi="Arial" w:cs="Arial"/>
        </w:rPr>
        <w:t xml:space="preserve"> Comparé à son niveau de 2015 qui s’élevait à </w:t>
      </w:r>
      <w:r w:rsidR="00C93359" w:rsidRPr="0084654F">
        <w:rPr>
          <w:rFonts w:ascii="Arial" w:eastAsia="Times New Roman" w:hAnsi="Arial" w:cs="Arial"/>
          <w:lang w:eastAsia="fr-FR"/>
        </w:rPr>
        <w:t>305,75</w:t>
      </w:r>
      <w:r w:rsidR="00C93359">
        <w:rPr>
          <w:rFonts w:ascii="Arial" w:eastAsia="Times New Roman" w:hAnsi="Arial" w:cs="Arial"/>
          <w:lang w:eastAsia="fr-FR"/>
        </w:rPr>
        <w:t xml:space="preserve"> </w:t>
      </w:r>
      <w:r w:rsidR="00C93359" w:rsidRPr="00F65DDE">
        <w:rPr>
          <w:rFonts w:ascii="Arial" w:hAnsi="Arial" w:cs="Arial"/>
        </w:rPr>
        <w:t>en millions $US</w:t>
      </w:r>
      <w:r w:rsidR="001F2B6C">
        <w:rPr>
          <w:rFonts w:ascii="Arial" w:hAnsi="Arial" w:cs="Arial"/>
        </w:rPr>
        <w:t>, l’APD allouée à ce secteur a baissé de 9,7%.</w:t>
      </w:r>
    </w:p>
    <w:p w:rsidR="00EC4963" w:rsidRDefault="00EC4963" w:rsidP="00380C15">
      <w:pPr>
        <w:spacing w:before="120" w:after="120" w:line="240" w:lineRule="auto"/>
        <w:rPr>
          <w:rFonts w:ascii="Arial" w:hAnsi="Arial" w:cs="Arial"/>
        </w:rPr>
      </w:pPr>
      <w:bookmarkStart w:id="585" w:name="_Toc400662985"/>
      <w:bookmarkStart w:id="586" w:name="_Toc400703532"/>
      <w:bookmarkStart w:id="587" w:name="_Toc424705050"/>
    </w:p>
    <w:p w:rsidR="00380C15" w:rsidRPr="00475F95" w:rsidRDefault="00475F95" w:rsidP="00475F95">
      <w:pPr>
        <w:pStyle w:val="Lgende"/>
        <w:rPr>
          <w:color w:val="auto"/>
          <w:u w:val="none"/>
        </w:rPr>
      </w:pPr>
      <w:bookmarkStart w:id="588" w:name="_Toc492895491"/>
      <w:r w:rsidRPr="00475F95">
        <w:rPr>
          <w:color w:val="auto"/>
        </w:rPr>
        <w:t xml:space="preserve">Tableau </w:t>
      </w:r>
      <w:r w:rsidRPr="00475F95">
        <w:rPr>
          <w:color w:val="auto"/>
        </w:rPr>
        <w:fldChar w:fldCharType="begin"/>
      </w:r>
      <w:r w:rsidRPr="00475F95">
        <w:rPr>
          <w:color w:val="auto"/>
        </w:rPr>
        <w:instrText xml:space="preserve"> SEQ Tableau \* ARABIC </w:instrText>
      </w:r>
      <w:r w:rsidRPr="00475F95">
        <w:rPr>
          <w:color w:val="auto"/>
        </w:rPr>
        <w:fldChar w:fldCharType="separate"/>
      </w:r>
      <w:r w:rsidR="009A1402">
        <w:rPr>
          <w:noProof/>
          <w:color w:val="auto"/>
        </w:rPr>
        <w:t>23</w:t>
      </w:r>
      <w:r w:rsidRPr="00475F95">
        <w:rPr>
          <w:color w:val="auto"/>
        </w:rPr>
        <w:fldChar w:fldCharType="end"/>
      </w:r>
      <w:r w:rsidRPr="00475F95">
        <w:rPr>
          <w:color w:val="auto"/>
        </w:rPr>
        <w:t> :</w:t>
      </w:r>
      <w:r w:rsidR="00380C15" w:rsidRPr="00475F95">
        <w:rPr>
          <w:color w:val="auto"/>
        </w:rPr>
        <w:t xml:space="preserve"> </w:t>
      </w:r>
      <w:r w:rsidR="00380C15" w:rsidRPr="00475F95">
        <w:rPr>
          <w:color w:val="auto"/>
          <w:u w:val="none"/>
        </w:rPr>
        <w:t>Principales caractéristiques du secteur « Gouvernance économique» en 201</w:t>
      </w:r>
      <w:bookmarkEnd w:id="585"/>
      <w:bookmarkEnd w:id="586"/>
      <w:bookmarkEnd w:id="587"/>
      <w:r w:rsidR="00380C15" w:rsidRPr="00475F95">
        <w:rPr>
          <w:color w:val="auto"/>
          <w:u w:val="none"/>
        </w:rPr>
        <w:t>6</w:t>
      </w:r>
      <w:bookmarkEnd w:id="588"/>
    </w:p>
    <w:tbl>
      <w:tblPr>
        <w:tblW w:w="9542" w:type="dxa"/>
        <w:tblInd w:w="75" w:type="dxa"/>
        <w:tblCellMar>
          <w:left w:w="70" w:type="dxa"/>
          <w:right w:w="70" w:type="dxa"/>
        </w:tblCellMar>
        <w:tblLook w:val="04A0" w:firstRow="1" w:lastRow="0" w:firstColumn="1" w:lastColumn="0" w:noHBand="0" w:noVBand="1"/>
      </w:tblPr>
      <w:tblGrid>
        <w:gridCol w:w="4334"/>
        <w:gridCol w:w="2604"/>
        <w:gridCol w:w="2604"/>
      </w:tblGrid>
      <w:tr w:rsidR="0084654F" w:rsidRPr="0084654F" w:rsidTr="007340D6">
        <w:trPr>
          <w:trHeight w:val="330"/>
        </w:trPr>
        <w:tc>
          <w:tcPr>
            <w:tcW w:w="43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0C15" w:rsidRPr="0084654F" w:rsidRDefault="00380C15" w:rsidP="007340D6">
            <w:pPr>
              <w:spacing w:after="0" w:line="240" w:lineRule="auto"/>
              <w:rPr>
                <w:rFonts w:eastAsia="Times New Roman" w:cs="Calibri"/>
                <w:b/>
                <w:bCs/>
                <w:lang w:eastAsia="fr-FR"/>
              </w:rPr>
            </w:pPr>
            <w:r w:rsidRPr="0084654F">
              <w:rPr>
                <w:rFonts w:eastAsia="Times New Roman" w:cs="Calibri"/>
                <w:b/>
                <w:bCs/>
                <w:lang w:eastAsia="fr-FR"/>
              </w:rPr>
              <w:t>Gouvernance économique</w:t>
            </w:r>
          </w:p>
        </w:tc>
        <w:tc>
          <w:tcPr>
            <w:tcW w:w="2604" w:type="dxa"/>
            <w:tcBorders>
              <w:top w:val="single" w:sz="4" w:space="0" w:color="auto"/>
              <w:left w:val="nil"/>
              <w:bottom w:val="single" w:sz="4" w:space="0" w:color="auto"/>
              <w:right w:val="single" w:sz="4" w:space="0" w:color="auto"/>
            </w:tcBorders>
            <w:shd w:val="clear" w:color="auto" w:fill="auto"/>
            <w:noWrap/>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Montant en millions $US</w:t>
            </w:r>
          </w:p>
        </w:tc>
        <w:tc>
          <w:tcPr>
            <w:tcW w:w="2604" w:type="dxa"/>
            <w:tcBorders>
              <w:top w:val="single" w:sz="4" w:space="0" w:color="auto"/>
              <w:left w:val="nil"/>
              <w:bottom w:val="single" w:sz="4" w:space="0" w:color="auto"/>
              <w:right w:val="single" w:sz="4" w:space="0" w:color="auto"/>
            </w:tcBorders>
            <w:shd w:val="clear" w:color="auto" w:fill="auto"/>
            <w:noWrap/>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 de l'APD totale</w:t>
            </w:r>
          </w:p>
        </w:tc>
      </w:tr>
      <w:tr w:rsidR="0084654F" w:rsidRPr="0084654F" w:rsidTr="007340D6">
        <w:trPr>
          <w:trHeight w:val="244"/>
        </w:trPr>
        <w:tc>
          <w:tcPr>
            <w:tcW w:w="4334" w:type="dxa"/>
            <w:tcBorders>
              <w:top w:val="nil"/>
              <w:left w:val="single" w:sz="4" w:space="0" w:color="auto"/>
              <w:bottom w:val="single" w:sz="4" w:space="0" w:color="auto"/>
              <w:right w:val="single" w:sz="4" w:space="0" w:color="auto"/>
            </w:tcBorders>
            <w:shd w:val="clear" w:color="auto" w:fill="auto"/>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Total secteur</w:t>
            </w:r>
          </w:p>
        </w:tc>
        <w:tc>
          <w:tcPr>
            <w:tcW w:w="2604" w:type="dxa"/>
            <w:tcBorders>
              <w:top w:val="nil"/>
              <w:left w:val="nil"/>
              <w:bottom w:val="single" w:sz="4" w:space="0" w:color="auto"/>
              <w:right w:val="single" w:sz="4" w:space="0" w:color="auto"/>
            </w:tcBorders>
            <w:shd w:val="clear" w:color="auto" w:fill="auto"/>
            <w:noWrap/>
            <w:vAlign w:val="bottom"/>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276,21</w:t>
            </w:r>
          </w:p>
        </w:tc>
        <w:tc>
          <w:tcPr>
            <w:tcW w:w="2604" w:type="dxa"/>
            <w:tcBorders>
              <w:top w:val="nil"/>
              <w:left w:val="nil"/>
              <w:bottom w:val="single" w:sz="4" w:space="0" w:color="auto"/>
              <w:right w:val="single" w:sz="4" w:space="0" w:color="auto"/>
            </w:tcBorders>
            <w:shd w:val="clear" w:color="auto" w:fill="auto"/>
            <w:noWrap/>
            <w:vAlign w:val="bottom"/>
            <w:hideMark/>
          </w:tcPr>
          <w:p w:rsidR="00380C15" w:rsidRPr="0084654F" w:rsidRDefault="005B6BDC" w:rsidP="007340D6">
            <w:pPr>
              <w:spacing w:after="0" w:line="240" w:lineRule="auto"/>
              <w:jc w:val="center"/>
              <w:rPr>
                <w:rFonts w:eastAsia="Times New Roman" w:cs="Calibri"/>
                <w:b/>
                <w:bCs/>
                <w:lang w:eastAsia="fr-FR"/>
              </w:rPr>
            </w:pPr>
            <w:r>
              <w:rPr>
                <w:rFonts w:eastAsia="Times New Roman" w:cs="Calibri"/>
                <w:b/>
                <w:bCs/>
                <w:lang w:eastAsia="fr-FR"/>
              </w:rPr>
              <w:t>24,2</w:t>
            </w:r>
          </w:p>
        </w:tc>
      </w:tr>
      <w:tr w:rsidR="0084654F" w:rsidRPr="0084654F" w:rsidTr="00475F95">
        <w:trPr>
          <w:trHeight w:val="208"/>
        </w:trPr>
        <w:tc>
          <w:tcPr>
            <w:tcW w:w="4334" w:type="dxa"/>
            <w:tcBorders>
              <w:top w:val="nil"/>
              <w:left w:val="single" w:sz="4" w:space="0" w:color="auto"/>
              <w:bottom w:val="single" w:sz="4" w:space="0" w:color="auto"/>
              <w:right w:val="single" w:sz="4" w:space="0" w:color="auto"/>
            </w:tcBorders>
            <w:shd w:val="clear" w:color="auto" w:fill="CCFFFF"/>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Répartition par type d'aide</w:t>
            </w:r>
          </w:p>
        </w:tc>
        <w:tc>
          <w:tcPr>
            <w:tcW w:w="2604" w:type="dxa"/>
            <w:tcBorders>
              <w:top w:val="nil"/>
              <w:left w:val="nil"/>
              <w:bottom w:val="single" w:sz="4" w:space="0" w:color="auto"/>
              <w:right w:val="single" w:sz="4" w:space="0" w:color="auto"/>
            </w:tcBorders>
            <w:shd w:val="clear" w:color="auto" w:fill="CCFFFF"/>
            <w:noWrap/>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Montant en millions $US</w:t>
            </w:r>
          </w:p>
        </w:tc>
        <w:tc>
          <w:tcPr>
            <w:tcW w:w="2604" w:type="dxa"/>
            <w:tcBorders>
              <w:top w:val="nil"/>
              <w:left w:val="nil"/>
              <w:bottom w:val="single" w:sz="4" w:space="0" w:color="auto"/>
              <w:right w:val="single" w:sz="4" w:space="0" w:color="auto"/>
            </w:tcBorders>
            <w:shd w:val="clear" w:color="auto" w:fill="CCFFFF"/>
            <w:noWrap/>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 de l'APD du secteur</w:t>
            </w:r>
          </w:p>
        </w:tc>
      </w:tr>
      <w:tr w:rsidR="0084654F" w:rsidRPr="0084654F" w:rsidTr="007340D6">
        <w:trPr>
          <w:trHeight w:val="208"/>
        </w:trPr>
        <w:tc>
          <w:tcPr>
            <w:tcW w:w="4334" w:type="dxa"/>
            <w:tcBorders>
              <w:top w:val="nil"/>
              <w:left w:val="single" w:sz="4" w:space="0" w:color="auto"/>
              <w:bottom w:val="single" w:sz="4" w:space="0" w:color="auto"/>
              <w:right w:val="single" w:sz="4" w:space="0" w:color="auto"/>
            </w:tcBorders>
            <w:shd w:val="clear" w:color="auto" w:fill="auto"/>
            <w:vAlign w:val="center"/>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Appui Budgétaire Général</w:t>
            </w:r>
          </w:p>
        </w:tc>
        <w:tc>
          <w:tcPr>
            <w:tcW w:w="2604" w:type="dxa"/>
            <w:tcBorders>
              <w:top w:val="nil"/>
              <w:left w:val="nil"/>
              <w:bottom w:val="single" w:sz="4" w:space="0" w:color="000000"/>
              <w:right w:val="single" w:sz="4" w:space="0" w:color="000000"/>
            </w:tcBorders>
            <w:shd w:val="clear" w:color="000000" w:fill="FFFFFF"/>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257,35</w:t>
            </w:r>
          </w:p>
        </w:tc>
        <w:tc>
          <w:tcPr>
            <w:tcW w:w="2604" w:type="dxa"/>
            <w:tcBorders>
              <w:top w:val="nil"/>
              <w:left w:val="nil"/>
              <w:bottom w:val="single" w:sz="4" w:space="0" w:color="auto"/>
              <w:right w:val="single" w:sz="4" w:space="0" w:color="auto"/>
            </w:tcBorders>
            <w:shd w:val="clear" w:color="auto" w:fill="auto"/>
            <w:noWrap/>
            <w:vAlign w:val="bottom"/>
            <w:hideMark/>
          </w:tcPr>
          <w:p w:rsidR="00380C15" w:rsidRPr="0084654F" w:rsidRDefault="00380C15" w:rsidP="005B6BDC">
            <w:pPr>
              <w:spacing w:after="0" w:line="240" w:lineRule="auto"/>
              <w:jc w:val="center"/>
              <w:rPr>
                <w:rFonts w:eastAsia="Times New Roman" w:cs="Calibri"/>
                <w:lang w:eastAsia="fr-FR"/>
              </w:rPr>
            </w:pPr>
            <w:r w:rsidRPr="0084654F">
              <w:rPr>
                <w:rFonts w:eastAsia="Times New Roman" w:cs="Calibri"/>
                <w:lang w:eastAsia="fr-FR"/>
              </w:rPr>
              <w:t>93,</w:t>
            </w:r>
            <w:r w:rsidR="005B6BDC">
              <w:rPr>
                <w:rFonts w:eastAsia="Times New Roman" w:cs="Calibri"/>
                <w:lang w:eastAsia="fr-FR"/>
              </w:rPr>
              <w:t>2</w:t>
            </w:r>
          </w:p>
        </w:tc>
      </w:tr>
      <w:tr w:rsidR="0084654F" w:rsidRPr="0084654F" w:rsidTr="007340D6">
        <w:trPr>
          <w:trHeight w:val="228"/>
        </w:trPr>
        <w:tc>
          <w:tcPr>
            <w:tcW w:w="4334" w:type="dxa"/>
            <w:tcBorders>
              <w:top w:val="nil"/>
              <w:left w:val="single" w:sz="4" w:space="0" w:color="auto"/>
              <w:bottom w:val="single" w:sz="4" w:space="0" w:color="auto"/>
              <w:right w:val="single" w:sz="4" w:space="0" w:color="auto"/>
            </w:tcBorders>
            <w:shd w:val="clear" w:color="auto" w:fill="auto"/>
            <w:vAlign w:val="center"/>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 xml:space="preserve">  Aide Projet - Sans fonds commun et/ou CAST </w:t>
            </w:r>
          </w:p>
        </w:tc>
        <w:tc>
          <w:tcPr>
            <w:tcW w:w="2604" w:type="dxa"/>
            <w:tcBorders>
              <w:top w:val="nil"/>
              <w:left w:val="nil"/>
              <w:bottom w:val="single" w:sz="4" w:space="0" w:color="auto"/>
              <w:right w:val="single" w:sz="4" w:space="0" w:color="auto"/>
            </w:tcBorders>
            <w:shd w:val="clear" w:color="auto" w:fill="auto"/>
            <w:noWrap/>
            <w:vAlign w:val="bottom"/>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16,02</w:t>
            </w:r>
          </w:p>
        </w:tc>
        <w:tc>
          <w:tcPr>
            <w:tcW w:w="2604" w:type="dxa"/>
            <w:tcBorders>
              <w:top w:val="nil"/>
              <w:left w:val="nil"/>
              <w:bottom w:val="single" w:sz="4" w:space="0" w:color="auto"/>
              <w:right w:val="single" w:sz="4" w:space="0" w:color="auto"/>
            </w:tcBorders>
            <w:shd w:val="clear" w:color="auto" w:fill="auto"/>
            <w:noWrap/>
            <w:vAlign w:val="bottom"/>
            <w:hideMark/>
          </w:tcPr>
          <w:p w:rsidR="00380C15" w:rsidRPr="0084654F" w:rsidRDefault="00380C15" w:rsidP="005B6BDC">
            <w:pPr>
              <w:spacing w:after="0" w:line="240" w:lineRule="auto"/>
              <w:jc w:val="center"/>
              <w:rPr>
                <w:rFonts w:eastAsia="Times New Roman" w:cs="Calibri"/>
                <w:lang w:eastAsia="fr-FR"/>
              </w:rPr>
            </w:pPr>
            <w:r w:rsidRPr="0084654F">
              <w:rPr>
                <w:rFonts w:eastAsia="Times New Roman" w:cs="Calibri"/>
                <w:lang w:eastAsia="fr-FR"/>
              </w:rPr>
              <w:t>5,8</w:t>
            </w:r>
          </w:p>
        </w:tc>
      </w:tr>
      <w:tr w:rsidR="0084654F" w:rsidRPr="0084654F" w:rsidTr="007340D6">
        <w:trPr>
          <w:trHeight w:val="244"/>
        </w:trPr>
        <w:tc>
          <w:tcPr>
            <w:tcW w:w="4334" w:type="dxa"/>
            <w:tcBorders>
              <w:top w:val="nil"/>
              <w:left w:val="single" w:sz="4" w:space="0" w:color="auto"/>
              <w:bottom w:val="single" w:sz="4" w:space="0" w:color="auto"/>
              <w:right w:val="single" w:sz="4" w:space="0" w:color="auto"/>
            </w:tcBorders>
            <w:shd w:val="clear" w:color="auto" w:fill="auto"/>
            <w:vAlign w:val="center"/>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 xml:space="preserve">  Aide Projet - Avec fonds commun </w:t>
            </w:r>
          </w:p>
        </w:tc>
        <w:tc>
          <w:tcPr>
            <w:tcW w:w="2604" w:type="dxa"/>
            <w:tcBorders>
              <w:top w:val="nil"/>
              <w:left w:val="nil"/>
              <w:bottom w:val="single" w:sz="4" w:space="0" w:color="000000"/>
              <w:right w:val="single" w:sz="4" w:space="0" w:color="000000"/>
            </w:tcBorders>
            <w:shd w:val="clear" w:color="000000" w:fill="FFFFFF"/>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2,84</w:t>
            </w:r>
          </w:p>
        </w:tc>
        <w:tc>
          <w:tcPr>
            <w:tcW w:w="2604" w:type="dxa"/>
            <w:tcBorders>
              <w:top w:val="nil"/>
              <w:left w:val="nil"/>
              <w:bottom w:val="single" w:sz="4" w:space="0" w:color="auto"/>
              <w:right w:val="single" w:sz="4" w:space="0" w:color="auto"/>
            </w:tcBorders>
            <w:shd w:val="clear" w:color="auto" w:fill="auto"/>
            <w:noWrap/>
            <w:vAlign w:val="bottom"/>
            <w:hideMark/>
          </w:tcPr>
          <w:p w:rsidR="00380C15" w:rsidRPr="0084654F" w:rsidRDefault="005B6BDC" w:rsidP="007340D6">
            <w:pPr>
              <w:spacing w:after="0" w:line="240" w:lineRule="auto"/>
              <w:jc w:val="center"/>
              <w:rPr>
                <w:rFonts w:eastAsia="Times New Roman" w:cs="Calibri"/>
                <w:lang w:eastAsia="fr-FR"/>
              </w:rPr>
            </w:pPr>
            <w:r>
              <w:rPr>
                <w:rFonts w:eastAsia="Times New Roman" w:cs="Calibri"/>
                <w:lang w:eastAsia="fr-FR"/>
              </w:rPr>
              <w:t>1,0</w:t>
            </w:r>
          </w:p>
        </w:tc>
      </w:tr>
      <w:tr w:rsidR="0084654F" w:rsidRPr="0084654F" w:rsidTr="007340D6">
        <w:trPr>
          <w:trHeight w:val="244"/>
        </w:trPr>
        <w:tc>
          <w:tcPr>
            <w:tcW w:w="4334" w:type="dxa"/>
            <w:tcBorders>
              <w:top w:val="nil"/>
              <w:left w:val="single" w:sz="4" w:space="0" w:color="auto"/>
              <w:bottom w:val="single" w:sz="4" w:space="0" w:color="auto"/>
              <w:right w:val="single" w:sz="4" w:space="0" w:color="auto"/>
            </w:tcBorders>
            <w:shd w:val="clear" w:color="auto" w:fill="auto"/>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Principaux bailleurs</w:t>
            </w:r>
          </w:p>
        </w:tc>
        <w:tc>
          <w:tcPr>
            <w:tcW w:w="2604" w:type="dxa"/>
            <w:tcBorders>
              <w:top w:val="nil"/>
              <w:left w:val="nil"/>
              <w:bottom w:val="single" w:sz="4" w:space="0" w:color="auto"/>
              <w:right w:val="single" w:sz="4" w:space="0" w:color="auto"/>
            </w:tcBorders>
            <w:shd w:val="clear" w:color="auto" w:fill="auto"/>
            <w:noWrap/>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Montant en millions $US</w:t>
            </w:r>
          </w:p>
        </w:tc>
        <w:tc>
          <w:tcPr>
            <w:tcW w:w="2604" w:type="dxa"/>
            <w:tcBorders>
              <w:top w:val="nil"/>
              <w:left w:val="nil"/>
              <w:bottom w:val="single" w:sz="4" w:space="0" w:color="auto"/>
              <w:right w:val="single" w:sz="4" w:space="0" w:color="auto"/>
            </w:tcBorders>
            <w:shd w:val="clear" w:color="auto" w:fill="auto"/>
            <w:noWrap/>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 de l'APD du secteur</w:t>
            </w:r>
          </w:p>
        </w:tc>
      </w:tr>
      <w:tr w:rsidR="0084654F" w:rsidRPr="0084654F" w:rsidTr="007340D6">
        <w:trPr>
          <w:trHeight w:val="244"/>
        </w:trPr>
        <w:tc>
          <w:tcPr>
            <w:tcW w:w="4334" w:type="dxa"/>
            <w:tcBorders>
              <w:top w:val="nil"/>
              <w:left w:val="single" w:sz="4" w:space="0" w:color="auto"/>
              <w:bottom w:val="single" w:sz="4" w:space="0" w:color="auto"/>
              <w:right w:val="single" w:sz="4" w:space="0" w:color="auto"/>
            </w:tcBorders>
            <w:shd w:val="clear" w:color="000000" w:fill="FFFFFF"/>
            <w:noWrap/>
            <w:vAlign w:val="bottom"/>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Banque Mondial</w:t>
            </w:r>
          </w:p>
        </w:tc>
        <w:tc>
          <w:tcPr>
            <w:tcW w:w="2604" w:type="dxa"/>
            <w:tcBorders>
              <w:top w:val="nil"/>
              <w:left w:val="nil"/>
              <w:bottom w:val="single" w:sz="4" w:space="0" w:color="000000"/>
              <w:right w:val="single" w:sz="4" w:space="0" w:color="000000"/>
            </w:tcBorders>
            <w:shd w:val="clear" w:color="000000" w:fill="FFFFFF"/>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152,69</w:t>
            </w:r>
          </w:p>
        </w:tc>
        <w:tc>
          <w:tcPr>
            <w:tcW w:w="2604" w:type="dxa"/>
            <w:tcBorders>
              <w:top w:val="nil"/>
              <w:left w:val="nil"/>
              <w:bottom w:val="single" w:sz="4" w:space="0" w:color="auto"/>
              <w:right w:val="single" w:sz="4" w:space="0" w:color="auto"/>
            </w:tcBorders>
            <w:shd w:val="clear" w:color="auto" w:fill="auto"/>
            <w:noWrap/>
            <w:vAlign w:val="center"/>
            <w:hideMark/>
          </w:tcPr>
          <w:p w:rsidR="00380C15" w:rsidRPr="0084654F" w:rsidRDefault="00380C15" w:rsidP="005B6BDC">
            <w:pPr>
              <w:spacing w:after="0" w:line="240" w:lineRule="auto"/>
              <w:jc w:val="center"/>
              <w:rPr>
                <w:rFonts w:eastAsia="Times New Roman" w:cs="Calibri"/>
                <w:lang w:eastAsia="fr-FR"/>
              </w:rPr>
            </w:pPr>
            <w:r w:rsidRPr="0084654F">
              <w:rPr>
                <w:rFonts w:eastAsia="Times New Roman" w:cs="Calibri"/>
                <w:lang w:eastAsia="fr-FR"/>
              </w:rPr>
              <w:t>55,</w:t>
            </w:r>
            <w:r w:rsidR="005B6BDC">
              <w:rPr>
                <w:rFonts w:eastAsia="Times New Roman" w:cs="Calibri"/>
                <w:lang w:eastAsia="fr-FR"/>
              </w:rPr>
              <w:t>3</w:t>
            </w:r>
          </w:p>
        </w:tc>
      </w:tr>
      <w:tr w:rsidR="0084654F" w:rsidRPr="0084654F" w:rsidTr="007340D6">
        <w:trPr>
          <w:trHeight w:val="244"/>
        </w:trPr>
        <w:tc>
          <w:tcPr>
            <w:tcW w:w="4334" w:type="dxa"/>
            <w:tcBorders>
              <w:top w:val="nil"/>
              <w:left w:val="single" w:sz="4" w:space="0" w:color="auto"/>
              <w:bottom w:val="single" w:sz="4" w:space="0" w:color="auto"/>
              <w:right w:val="single" w:sz="4" w:space="0" w:color="auto"/>
            </w:tcBorders>
            <w:shd w:val="clear" w:color="000000" w:fill="FFFFFF"/>
            <w:noWrap/>
            <w:vAlign w:val="bottom"/>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Union Européenne</w:t>
            </w:r>
          </w:p>
        </w:tc>
        <w:tc>
          <w:tcPr>
            <w:tcW w:w="2604" w:type="dxa"/>
            <w:tcBorders>
              <w:top w:val="nil"/>
              <w:left w:val="nil"/>
              <w:bottom w:val="single" w:sz="4" w:space="0" w:color="000000"/>
              <w:right w:val="single" w:sz="4" w:space="0" w:color="000000"/>
            </w:tcBorders>
            <w:shd w:val="clear" w:color="000000" w:fill="FFFFFF"/>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75,07</w:t>
            </w:r>
          </w:p>
        </w:tc>
        <w:tc>
          <w:tcPr>
            <w:tcW w:w="2604" w:type="dxa"/>
            <w:tcBorders>
              <w:top w:val="nil"/>
              <w:left w:val="nil"/>
              <w:bottom w:val="single" w:sz="4" w:space="0" w:color="auto"/>
              <w:right w:val="single" w:sz="4" w:space="0" w:color="auto"/>
            </w:tcBorders>
            <w:shd w:val="clear" w:color="auto" w:fill="auto"/>
            <w:noWrap/>
            <w:vAlign w:val="center"/>
            <w:hideMark/>
          </w:tcPr>
          <w:p w:rsidR="00380C15" w:rsidRPr="0084654F" w:rsidRDefault="00380C15" w:rsidP="00CA7EBD">
            <w:pPr>
              <w:spacing w:after="0" w:line="240" w:lineRule="auto"/>
              <w:jc w:val="center"/>
              <w:rPr>
                <w:rFonts w:eastAsia="Times New Roman" w:cs="Calibri"/>
                <w:lang w:eastAsia="fr-FR"/>
              </w:rPr>
            </w:pPr>
            <w:r w:rsidRPr="0084654F">
              <w:rPr>
                <w:rFonts w:eastAsia="Times New Roman" w:cs="Calibri"/>
                <w:lang w:eastAsia="fr-FR"/>
              </w:rPr>
              <w:t>27,</w:t>
            </w:r>
            <w:r w:rsidR="00CA7EBD">
              <w:rPr>
                <w:rFonts w:eastAsia="Times New Roman" w:cs="Calibri"/>
                <w:lang w:eastAsia="fr-FR"/>
              </w:rPr>
              <w:t>2</w:t>
            </w:r>
          </w:p>
        </w:tc>
      </w:tr>
      <w:tr w:rsidR="0084654F" w:rsidRPr="0084654F" w:rsidTr="007340D6">
        <w:trPr>
          <w:trHeight w:val="244"/>
        </w:trPr>
        <w:tc>
          <w:tcPr>
            <w:tcW w:w="4334" w:type="dxa"/>
            <w:tcBorders>
              <w:top w:val="nil"/>
              <w:left w:val="single" w:sz="4" w:space="0" w:color="auto"/>
              <w:bottom w:val="single" w:sz="4" w:space="0" w:color="auto"/>
              <w:right w:val="single" w:sz="4" w:space="0" w:color="auto"/>
            </w:tcBorders>
            <w:shd w:val="clear" w:color="000000" w:fill="FFFFFF"/>
            <w:noWrap/>
            <w:vAlign w:val="bottom"/>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FMI</w:t>
            </w:r>
          </w:p>
        </w:tc>
        <w:tc>
          <w:tcPr>
            <w:tcW w:w="2604" w:type="dxa"/>
            <w:tcBorders>
              <w:top w:val="nil"/>
              <w:left w:val="nil"/>
              <w:bottom w:val="single" w:sz="4" w:space="0" w:color="000000"/>
              <w:right w:val="single" w:sz="4" w:space="0" w:color="000000"/>
            </w:tcBorders>
            <w:shd w:val="clear" w:color="000000" w:fill="FFFFFF"/>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32,04</w:t>
            </w:r>
          </w:p>
        </w:tc>
        <w:tc>
          <w:tcPr>
            <w:tcW w:w="2604" w:type="dxa"/>
            <w:tcBorders>
              <w:top w:val="nil"/>
              <w:left w:val="nil"/>
              <w:bottom w:val="single" w:sz="4" w:space="0" w:color="auto"/>
              <w:right w:val="single" w:sz="4" w:space="0" w:color="auto"/>
            </w:tcBorders>
            <w:shd w:val="clear" w:color="auto" w:fill="auto"/>
            <w:noWrap/>
            <w:vAlign w:val="center"/>
            <w:hideMark/>
          </w:tcPr>
          <w:p w:rsidR="00380C15" w:rsidRPr="0084654F" w:rsidRDefault="00CA7EBD" w:rsidP="007340D6">
            <w:pPr>
              <w:spacing w:after="0" w:line="240" w:lineRule="auto"/>
              <w:jc w:val="center"/>
              <w:rPr>
                <w:rFonts w:eastAsia="Times New Roman" w:cs="Calibri"/>
                <w:lang w:eastAsia="fr-FR"/>
              </w:rPr>
            </w:pPr>
            <w:r>
              <w:rPr>
                <w:rFonts w:eastAsia="Times New Roman" w:cs="Calibri"/>
                <w:lang w:eastAsia="fr-FR"/>
              </w:rPr>
              <w:t>11,6</w:t>
            </w:r>
          </w:p>
        </w:tc>
      </w:tr>
      <w:tr w:rsidR="0084654F" w:rsidRPr="0084654F" w:rsidTr="007340D6">
        <w:trPr>
          <w:trHeight w:val="244"/>
        </w:trPr>
        <w:tc>
          <w:tcPr>
            <w:tcW w:w="4334" w:type="dxa"/>
            <w:tcBorders>
              <w:top w:val="nil"/>
              <w:left w:val="single" w:sz="4" w:space="0" w:color="000000"/>
              <w:bottom w:val="single" w:sz="4" w:space="0" w:color="000000"/>
              <w:right w:val="single" w:sz="4" w:space="0" w:color="000000"/>
            </w:tcBorders>
            <w:shd w:val="clear" w:color="000000" w:fill="FFFFFF"/>
            <w:noWrap/>
            <w:vAlign w:val="bottom"/>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France</w:t>
            </w:r>
          </w:p>
        </w:tc>
        <w:tc>
          <w:tcPr>
            <w:tcW w:w="2604" w:type="dxa"/>
            <w:tcBorders>
              <w:top w:val="nil"/>
              <w:left w:val="nil"/>
              <w:bottom w:val="single" w:sz="4" w:space="0" w:color="000000"/>
              <w:right w:val="single" w:sz="4" w:space="0" w:color="000000"/>
            </w:tcBorders>
            <w:shd w:val="clear" w:color="000000" w:fill="FFFFFF"/>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8,35</w:t>
            </w:r>
          </w:p>
        </w:tc>
        <w:tc>
          <w:tcPr>
            <w:tcW w:w="2604" w:type="dxa"/>
            <w:tcBorders>
              <w:top w:val="nil"/>
              <w:left w:val="nil"/>
              <w:bottom w:val="single" w:sz="4" w:space="0" w:color="auto"/>
              <w:right w:val="single" w:sz="4" w:space="0" w:color="auto"/>
            </w:tcBorders>
            <w:shd w:val="clear" w:color="auto" w:fill="auto"/>
            <w:noWrap/>
            <w:vAlign w:val="center"/>
            <w:hideMark/>
          </w:tcPr>
          <w:p w:rsidR="00380C15" w:rsidRPr="0084654F" w:rsidRDefault="00CA7EBD" w:rsidP="007340D6">
            <w:pPr>
              <w:spacing w:after="0" w:line="240" w:lineRule="auto"/>
              <w:jc w:val="center"/>
              <w:rPr>
                <w:rFonts w:eastAsia="Times New Roman" w:cs="Calibri"/>
                <w:lang w:eastAsia="fr-FR"/>
              </w:rPr>
            </w:pPr>
            <w:r>
              <w:rPr>
                <w:rFonts w:eastAsia="Times New Roman" w:cs="Calibri"/>
                <w:lang w:eastAsia="fr-FR"/>
              </w:rPr>
              <w:t>3,0</w:t>
            </w:r>
          </w:p>
        </w:tc>
      </w:tr>
      <w:tr w:rsidR="0084654F" w:rsidRPr="0084654F" w:rsidTr="007340D6">
        <w:trPr>
          <w:trHeight w:val="244"/>
        </w:trPr>
        <w:tc>
          <w:tcPr>
            <w:tcW w:w="4334" w:type="dxa"/>
            <w:tcBorders>
              <w:top w:val="nil"/>
              <w:left w:val="single" w:sz="4" w:space="0" w:color="000000"/>
              <w:bottom w:val="nil"/>
              <w:right w:val="single" w:sz="4" w:space="0" w:color="000000"/>
            </w:tcBorders>
            <w:shd w:val="clear" w:color="000000" w:fill="FFFFFF"/>
            <w:noWrap/>
            <w:vAlign w:val="bottom"/>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Italie</w:t>
            </w:r>
          </w:p>
        </w:tc>
        <w:tc>
          <w:tcPr>
            <w:tcW w:w="2604" w:type="dxa"/>
            <w:tcBorders>
              <w:top w:val="nil"/>
              <w:left w:val="nil"/>
              <w:bottom w:val="single" w:sz="4" w:space="0" w:color="000000"/>
              <w:right w:val="single" w:sz="4" w:space="0" w:color="000000"/>
            </w:tcBorders>
            <w:shd w:val="clear" w:color="000000" w:fill="FFFFFF"/>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2,45</w:t>
            </w:r>
          </w:p>
        </w:tc>
        <w:tc>
          <w:tcPr>
            <w:tcW w:w="2604" w:type="dxa"/>
            <w:tcBorders>
              <w:top w:val="nil"/>
              <w:left w:val="nil"/>
              <w:bottom w:val="single" w:sz="4" w:space="0" w:color="auto"/>
              <w:right w:val="single" w:sz="4" w:space="0" w:color="auto"/>
            </w:tcBorders>
            <w:shd w:val="clear" w:color="auto" w:fill="auto"/>
            <w:noWrap/>
            <w:vAlign w:val="center"/>
            <w:hideMark/>
          </w:tcPr>
          <w:p w:rsidR="00380C15" w:rsidRPr="0084654F" w:rsidRDefault="00CA7EBD" w:rsidP="007340D6">
            <w:pPr>
              <w:spacing w:after="0" w:line="240" w:lineRule="auto"/>
              <w:jc w:val="center"/>
              <w:rPr>
                <w:rFonts w:eastAsia="Times New Roman" w:cs="Calibri"/>
                <w:lang w:eastAsia="fr-FR"/>
              </w:rPr>
            </w:pPr>
            <w:r>
              <w:rPr>
                <w:rFonts w:eastAsia="Times New Roman" w:cs="Calibri"/>
                <w:lang w:eastAsia="fr-FR"/>
              </w:rPr>
              <w:t>0,</w:t>
            </w:r>
            <w:r w:rsidR="00380C15" w:rsidRPr="0084654F">
              <w:rPr>
                <w:rFonts w:eastAsia="Times New Roman" w:cs="Calibri"/>
                <w:lang w:eastAsia="fr-FR"/>
              </w:rPr>
              <w:t>9</w:t>
            </w:r>
          </w:p>
        </w:tc>
      </w:tr>
      <w:tr w:rsidR="0084654F" w:rsidRPr="0084654F" w:rsidTr="007340D6">
        <w:trPr>
          <w:trHeight w:val="244"/>
        </w:trPr>
        <w:tc>
          <w:tcPr>
            <w:tcW w:w="433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Autres</w:t>
            </w:r>
          </w:p>
        </w:tc>
        <w:tc>
          <w:tcPr>
            <w:tcW w:w="2604" w:type="dxa"/>
            <w:tcBorders>
              <w:top w:val="nil"/>
              <w:left w:val="nil"/>
              <w:bottom w:val="nil"/>
              <w:right w:val="nil"/>
            </w:tcBorders>
            <w:shd w:val="clear" w:color="000000" w:fill="FFFFFF"/>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5,60</w:t>
            </w:r>
          </w:p>
        </w:tc>
        <w:tc>
          <w:tcPr>
            <w:tcW w:w="2604" w:type="dxa"/>
            <w:tcBorders>
              <w:top w:val="nil"/>
              <w:left w:val="single" w:sz="4" w:space="0" w:color="auto"/>
              <w:bottom w:val="single" w:sz="4" w:space="0" w:color="auto"/>
              <w:right w:val="single" w:sz="4" w:space="0" w:color="auto"/>
            </w:tcBorders>
            <w:shd w:val="clear" w:color="auto" w:fill="auto"/>
            <w:noWrap/>
            <w:vAlign w:val="center"/>
            <w:hideMark/>
          </w:tcPr>
          <w:p w:rsidR="00380C15" w:rsidRPr="0084654F" w:rsidRDefault="00CA7EBD" w:rsidP="007340D6">
            <w:pPr>
              <w:spacing w:after="0" w:line="240" w:lineRule="auto"/>
              <w:jc w:val="center"/>
              <w:rPr>
                <w:rFonts w:eastAsia="Times New Roman" w:cs="Calibri"/>
                <w:lang w:eastAsia="fr-FR"/>
              </w:rPr>
            </w:pPr>
            <w:r>
              <w:rPr>
                <w:rFonts w:eastAsia="Times New Roman" w:cs="Calibri"/>
                <w:lang w:eastAsia="fr-FR"/>
              </w:rPr>
              <w:t>2,0</w:t>
            </w:r>
          </w:p>
        </w:tc>
      </w:tr>
      <w:tr w:rsidR="0084654F" w:rsidRPr="0084654F" w:rsidTr="00475F95">
        <w:trPr>
          <w:trHeight w:val="244"/>
        </w:trPr>
        <w:tc>
          <w:tcPr>
            <w:tcW w:w="4334" w:type="dxa"/>
            <w:tcBorders>
              <w:top w:val="nil"/>
              <w:left w:val="single" w:sz="4" w:space="0" w:color="auto"/>
              <w:bottom w:val="single" w:sz="4" w:space="0" w:color="auto"/>
              <w:right w:val="single" w:sz="4" w:space="0" w:color="auto"/>
            </w:tcBorders>
            <w:shd w:val="clear" w:color="auto" w:fill="CCFFFF"/>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Répartition par conditions</w:t>
            </w:r>
          </w:p>
        </w:tc>
        <w:tc>
          <w:tcPr>
            <w:tcW w:w="2604" w:type="dxa"/>
            <w:tcBorders>
              <w:top w:val="single" w:sz="4" w:space="0" w:color="auto"/>
              <w:left w:val="nil"/>
              <w:bottom w:val="single" w:sz="4" w:space="0" w:color="auto"/>
              <w:right w:val="single" w:sz="4" w:space="0" w:color="auto"/>
            </w:tcBorders>
            <w:shd w:val="clear" w:color="auto" w:fill="CCFFFF"/>
            <w:noWrap/>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Montant en millions $US</w:t>
            </w:r>
          </w:p>
        </w:tc>
        <w:tc>
          <w:tcPr>
            <w:tcW w:w="2604" w:type="dxa"/>
            <w:tcBorders>
              <w:top w:val="nil"/>
              <w:left w:val="nil"/>
              <w:bottom w:val="single" w:sz="4" w:space="0" w:color="auto"/>
              <w:right w:val="single" w:sz="4" w:space="0" w:color="auto"/>
            </w:tcBorders>
            <w:shd w:val="clear" w:color="auto" w:fill="CCFFFF"/>
            <w:vAlign w:val="center"/>
            <w:hideMark/>
          </w:tcPr>
          <w:p w:rsidR="00380C15" w:rsidRPr="0084654F" w:rsidRDefault="00380C15" w:rsidP="007340D6">
            <w:pPr>
              <w:spacing w:after="0" w:line="240" w:lineRule="auto"/>
              <w:jc w:val="center"/>
              <w:rPr>
                <w:rFonts w:eastAsia="Times New Roman" w:cs="Calibri"/>
                <w:b/>
                <w:bCs/>
                <w:lang w:eastAsia="fr-FR"/>
              </w:rPr>
            </w:pPr>
            <w:r w:rsidRPr="0084654F">
              <w:rPr>
                <w:rFonts w:eastAsia="Times New Roman" w:cs="Calibri"/>
                <w:b/>
                <w:bCs/>
                <w:lang w:eastAsia="fr-FR"/>
              </w:rPr>
              <w:t>% de l'APD du secteur</w:t>
            </w:r>
          </w:p>
        </w:tc>
      </w:tr>
      <w:tr w:rsidR="0084654F" w:rsidRPr="0084654F" w:rsidTr="007340D6">
        <w:trPr>
          <w:trHeight w:val="244"/>
        </w:trPr>
        <w:tc>
          <w:tcPr>
            <w:tcW w:w="4334" w:type="dxa"/>
            <w:tcBorders>
              <w:top w:val="nil"/>
              <w:left w:val="single" w:sz="4" w:space="0" w:color="auto"/>
              <w:bottom w:val="single" w:sz="4" w:space="0" w:color="auto"/>
              <w:right w:val="single" w:sz="4" w:space="0" w:color="auto"/>
            </w:tcBorders>
            <w:shd w:val="clear" w:color="auto" w:fill="auto"/>
            <w:vAlign w:val="center"/>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Prêts</w:t>
            </w:r>
          </w:p>
        </w:tc>
        <w:tc>
          <w:tcPr>
            <w:tcW w:w="2604" w:type="dxa"/>
            <w:tcBorders>
              <w:top w:val="nil"/>
              <w:left w:val="nil"/>
              <w:bottom w:val="single" w:sz="4" w:space="0" w:color="auto"/>
              <w:right w:val="single" w:sz="4" w:space="0" w:color="auto"/>
            </w:tcBorders>
            <w:shd w:val="clear" w:color="auto" w:fill="auto"/>
            <w:noWrap/>
            <w:vAlign w:val="bottom"/>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138,22</w:t>
            </w:r>
          </w:p>
        </w:tc>
        <w:tc>
          <w:tcPr>
            <w:tcW w:w="2604" w:type="dxa"/>
            <w:tcBorders>
              <w:top w:val="nil"/>
              <w:left w:val="nil"/>
              <w:bottom w:val="single" w:sz="4" w:space="0" w:color="auto"/>
              <w:right w:val="single" w:sz="4" w:space="0" w:color="auto"/>
            </w:tcBorders>
            <w:shd w:val="clear" w:color="auto" w:fill="auto"/>
            <w:noWrap/>
            <w:vAlign w:val="center"/>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50,04</w:t>
            </w:r>
          </w:p>
        </w:tc>
      </w:tr>
      <w:tr w:rsidR="0084654F" w:rsidRPr="0084654F" w:rsidTr="007340D6">
        <w:trPr>
          <w:trHeight w:val="244"/>
        </w:trPr>
        <w:tc>
          <w:tcPr>
            <w:tcW w:w="4334" w:type="dxa"/>
            <w:tcBorders>
              <w:top w:val="nil"/>
              <w:left w:val="single" w:sz="4" w:space="0" w:color="auto"/>
              <w:bottom w:val="single" w:sz="4" w:space="0" w:color="auto"/>
              <w:right w:val="single" w:sz="4" w:space="0" w:color="auto"/>
            </w:tcBorders>
            <w:shd w:val="clear" w:color="auto" w:fill="auto"/>
            <w:vAlign w:val="center"/>
            <w:hideMark/>
          </w:tcPr>
          <w:p w:rsidR="00380C15" w:rsidRPr="0084654F" w:rsidRDefault="00380C15" w:rsidP="007340D6">
            <w:pPr>
              <w:spacing w:after="0" w:line="240" w:lineRule="auto"/>
              <w:rPr>
                <w:rFonts w:eastAsia="Times New Roman" w:cs="Calibri"/>
                <w:lang w:eastAsia="fr-FR"/>
              </w:rPr>
            </w:pPr>
            <w:r w:rsidRPr="0084654F">
              <w:rPr>
                <w:rFonts w:eastAsia="Times New Roman" w:cs="Calibri"/>
                <w:lang w:eastAsia="fr-FR"/>
              </w:rPr>
              <w:t>Dons</w:t>
            </w:r>
          </w:p>
        </w:tc>
        <w:tc>
          <w:tcPr>
            <w:tcW w:w="2604" w:type="dxa"/>
            <w:tcBorders>
              <w:top w:val="nil"/>
              <w:left w:val="nil"/>
              <w:bottom w:val="single" w:sz="4" w:space="0" w:color="auto"/>
              <w:right w:val="single" w:sz="4" w:space="0" w:color="auto"/>
            </w:tcBorders>
            <w:shd w:val="clear" w:color="auto" w:fill="auto"/>
            <w:noWrap/>
            <w:vAlign w:val="bottom"/>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137,99</w:t>
            </w:r>
          </w:p>
        </w:tc>
        <w:tc>
          <w:tcPr>
            <w:tcW w:w="2604" w:type="dxa"/>
            <w:tcBorders>
              <w:top w:val="nil"/>
              <w:left w:val="nil"/>
              <w:bottom w:val="single" w:sz="4" w:space="0" w:color="auto"/>
              <w:right w:val="single" w:sz="4" w:space="0" w:color="auto"/>
            </w:tcBorders>
            <w:shd w:val="clear" w:color="auto" w:fill="auto"/>
            <w:noWrap/>
            <w:vAlign w:val="center"/>
            <w:hideMark/>
          </w:tcPr>
          <w:p w:rsidR="00380C15" w:rsidRPr="0084654F" w:rsidRDefault="00380C15" w:rsidP="007340D6">
            <w:pPr>
              <w:spacing w:after="0" w:line="240" w:lineRule="auto"/>
              <w:jc w:val="center"/>
              <w:rPr>
                <w:rFonts w:eastAsia="Times New Roman" w:cs="Calibri"/>
                <w:lang w:eastAsia="fr-FR"/>
              </w:rPr>
            </w:pPr>
            <w:r w:rsidRPr="0084654F">
              <w:rPr>
                <w:rFonts w:eastAsia="Times New Roman" w:cs="Calibri"/>
                <w:lang w:eastAsia="fr-FR"/>
              </w:rPr>
              <w:t>49,96</w:t>
            </w:r>
          </w:p>
        </w:tc>
      </w:tr>
    </w:tbl>
    <w:p w:rsidR="00380C15" w:rsidRPr="0084654F" w:rsidRDefault="00380C15" w:rsidP="00380C15">
      <w:pPr>
        <w:spacing w:after="240" w:line="240" w:lineRule="auto"/>
        <w:rPr>
          <w:rFonts w:ascii="Arial" w:hAnsi="Arial" w:cs="Arial"/>
          <w:i/>
        </w:rPr>
      </w:pPr>
      <w:r w:rsidRPr="0084654F">
        <w:rPr>
          <w:rFonts w:ascii="Arial" w:hAnsi="Arial" w:cs="Arial"/>
          <w:i/>
          <w:u w:val="single"/>
        </w:rPr>
        <w:t>Source :</w:t>
      </w:r>
      <w:r w:rsidRPr="0084654F">
        <w:rPr>
          <w:rFonts w:ascii="Arial" w:hAnsi="Arial" w:cs="Arial"/>
          <w:i/>
        </w:rPr>
        <w:t xml:space="preserve"> PGA/DGCOOP, juillet 2017</w:t>
      </w:r>
    </w:p>
    <w:p w:rsidR="000940C1" w:rsidRPr="0084654F" w:rsidRDefault="000940C1" w:rsidP="000940C1">
      <w:pPr>
        <w:spacing w:before="120" w:after="120" w:line="240" w:lineRule="auto"/>
        <w:jc w:val="both"/>
        <w:rPr>
          <w:rFonts w:ascii="Arial" w:hAnsi="Arial" w:cs="Arial"/>
        </w:rPr>
      </w:pPr>
      <w:bookmarkStart w:id="589" w:name="_Toc245804684"/>
      <w:bookmarkStart w:id="590" w:name="_Toc304393273"/>
      <w:bookmarkStart w:id="591" w:name="_Toc335610160"/>
      <w:bookmarkStart w:id="592" w:name="_Toc368779240"/>
      <w:bookmarkStart w:id="593" w:name="_Toc400703584"/>
      <w:bookmarkStart w:id="594" w:name="_Toc424706042"/>
      <w:r w:rsidRPr="0084654F">
        <w:rPr>
          <w:rFonts w:ascii="Arial" w:hAnsi="Arial" w:cs="Arial"/>
        </w:rPr>
        <w:t>Les cinq principaux PTF ayant orientés leurs aides vers le secteur « Gouvernance économique » se composent de la Banque mondiale (152,69 millions dollars US), de l’Union Européenne (75,07 millions dollars US), du Fonds Monétaire international (32,04 millions dollars US), de la France (8,35 millions dollars US), et de l’Italie (2,45 millions de dollars US).</w:t>
      </w:r>
    </w:p>
    <w:p w:rsidR="000940C1" w:rsidRPr="0084654F" w:rsidRDefault="000940C1" w:rsidP="000940C1">
      <w:pPr>
        <w:spacing w:before="120" w:after="120" w:line="240" w:lineRule="auto"/>
        <w:jc w:val="both"/>
        <w:rPr>
          <w:rFonts w:ascii="Arial" w:hAnsi="Arial" w:cs="Arial"/>
        </w:rPr>
      </w:pPr>
      <w:r w:rsidRPr="0084654F">
        <w:rPr>
          <w:rFonts w:ascii="Arial" w:hAnsi="Arial" w:cs="Arial"/>
        </w:rPr>
        <w:t>L’APD du secteur a été délivrée en prêts à hauteur de 50,04% contre 49,96% en dons.</w:t>
      </w:r>
    </w:p>
    <w:p w:rsidR="000940C1" w:rsidRPr="0084654F" w:rsidRDefault="000940C1" w:rsidP="000940C1">
      <w:pPr>
        <w:spacing w:before="120" w:after="120" w:line="240" w:lineRule="auto"/>
        <w:jc w:val="both"/>
        <w:rPr>
          <w:rFonts w:ascii="Arial" w:hAnsi="Arial" w:cs="Arial"/>
        </w:rPr>
      </w:pPr>
      <w:r w:rsidRPr="0084654F">
        <w:rPr>
          <w:rFonts w:ascii="Arial" w:hAnsi="Arial" w:cs="Arial"/>
        </w:rPr>
        <w:t xml:space="preserve">Les principaux programmes concernant la « Gouvernance économique » sont : </w:t>
      </w:r>
    </w:p>
    <w:p w:rsidR="000940C1" w:rsidRPr="0084654F" w:rsidRDefault="000940C1" w:rsidP="000940C1">
      <w:pPr>
        <w:numPr>
          <w:ilvl w:val="0"/>
          <w:numId w:val="2"/>
        </w:numPr>
        <w:spacing w:before="120" w:after="120" w:line="240" w:lineRule="auto"/>
        <w:jc w:val="both"/>
        <w:rPr>
          <w:rFonts w:ascii="Arial" w:hAnsi="Arial" w:cs="Arial"/>
        </w:rPr>
      </w:pPr>
      <w:r w:rsidRPr="0084654F">
        <w:rPr>
          <w:rFonts w:ascii="Arial" w:hAnsi="Arial" w:cs="Arial"/>
        </w:rPr>
        <w:t xml:space="preserve">le «4e Crédit d'Appui à la Croissance économique et à la Compétitivité (CCC) » de la Banque mondiale pour un montant de </w:t>
      </w:r>
      <w:r w:rsidRPr="0084654F">
        <w:rPr>
          <w:rFonts w:ascii="Arial" w:eastAsia="Times New Roman" w:hAnsi="Arial" w:cs="Arial"/>
          <w:lang w:eastAsia="fr-FR"/>
        </w:rPr>
        <w:t>152,68</w:t>
      </w:r>
      <w:r w:rsidRPr="0084654F">
        <w:rPr>
          <w:rFonts w:ascii="Arial" w:hAnsi="Arial" w:cs="Arial"/>
        </w:rPr>
        <w:t xml:space="preserve"> millions dollars US;</w:t>
      </w:r>
    </w:p>
    <w:p w:rsidR="000940C1" w:rsidRPr="0084654F" w:rsidRDefault="000940C1" w:rsidP="000940C1">
      <w:pPr>
        <w:numPr>
          <w:ilvl w:val="0"/>
          <w:numId w:val="2"/>
        </w:numPr>
        <w:spacing w:before="120" w:after="120" w:line="240" w:lineRule="auto"/>
        <w:jc w:val="both"/>
        <w:rPr>
          <w:rFonts w:ascii="Arial" w:hAnsi="Arial" w:cs="Arial"/>
        </w:rPr>
      </w:pPr>
      <w:r w:rsidRPr="0084654F">
        <w:rPr>
          <w:rFonts w:ascii="Arial" w:hAnsi="Arial" w:cs="Arial"/>
        </w:rPr>
        <w:t xml:space="preserve">le State building contract de l’Union Européenne pour </w:t>
      </w:r>
      <w:r w:rsidRPr="0084654F">
        <w:rPr>
          <w:rFonts w:ascii="Arial" w:eastAsia="Times New Roman" w:hAnsi="Arial" w:cs="Arial"/>
          <w:lang w:eastAsia="fr-FR"/>
        </w:rPr>
        <w:t xml:space="preserve">64, 27 </w:t>
      </w:r>
      <w:r w:rsidRPr="0084654F">
        <w:rPr>
          <w:rFonts w:ascii="Arial" w:hAnsi="Arial" w:cs="Arial"/>
        </w:rPr>
        <w:t>millions dollars US ;</w:t>
      </w:r>
    </w:p>
    <w:p w:rsidR="000940C1" w:rsidRPr="0084654F" w:rsidRDefault="000940C1" w:rsidP="000940C1">
      <w:pPr>
        <w:numPr>
          <w:ilvl w:val="0"/>
          <w:numId w:val="2"/>
        </w:numPr>
        <w:spacing w:before="120" w:after="120" w:line="240" w:lineRule="auto"/>
        <w:jc w:val="both"/>
        <w:rPr>
          <w:rFonts w:ascii="Arial" w:eastAsia="Times New Roman" w:hAnsi="Arial" w:cs="Arial"/>
          <w:lang w:eastAsia="fr-FR"/>
        </w:rPr>
      </w:pPr>
      <w:r w:rsidRPr="0084654F">
        <w:rPr>
          <w:rFonts w:ascii="Arial" w:eastAsia="Times New Roman" w:hAnsi="Arial" w:cs="Arial"/>
          <w:lang w:eastAsia="fr-FR"/>
        </w:rPr>
        <w:t xml:space="preserve">la 42ème convention FMI pour 25, 69 </w:t>
      </w:r>
      <w:r w:rsidRPr="0084654F">
        <w:rPr>
          <w:rFonts w:ascii="Arial" w:hAnsi="Arial" w:cs="Arial"/>
        </w:rPr>
        <w:t>millions dollars US</w:t>
      </w:r>
      <w:r>
        <w:rPr>
          <w:rFonts w:ascii="Arial" w:hAnsi="Arial" w:cs="Arial"/>
        </w:rPr>
        <w:t> ;</w:t>
      </w:r>
    </w:p>
    <w:p w:rsidR="000940C1" w:rsidRPr="0084654F" w:rsidRDefault="000940C1" w:rsidP="000940C1">
      <w:pPr>
        <w:numPr>
          <w:ilvl w:val="0"/>
          <w:numId w:val="2"/>
        </w:numPr>
        <w:spacing w:before="120" w:after="120" w:line="240" w:lineRule="auto"/>
        <w:jc w:val="both"/>
        <w:rPr>
          <w:rFonts w:ascii="Arial" w:eastAsia="Times New Roman" w:hAnsi="Arial" w:cs="Arial"/>
          <w:lang w:eastAsia="fr-FR"/>
        </w:rPr>
      </w:pPr>
      <w:r w:rsidRPr="0084654F">
        <w:rPr>
          <w:rFonts w:ascii="Arial" w:eastAsia="Times New Roman" w:hAnsi="Arial" w:cs="Arial"/>
          <w:lang w:eastAsia="fr-FR"/>
        </w:rPr>
        <w:t xml:space="preserve">le programme « Appui Budgétaire Général (ABG) 2012-2014 » de la France pour 8, 35 </w:t>
      </w:r>
      <w:r w:rsidRPr="0084654F">
        <w:rPr>
          <w:rFonts w:ascii="Arial" w:hAnsi="Arial" w:cs="Arial"/>
        </w:rPr>
        <w:t>millions dollars US</w:t>
      </w:r>
      <w:r>
        <w:rPr>
          <w:rFonts w:ascii="Arial" w:hAnsi="Arial" w:cs="Arial"/>
        </w:rPr>
        <w:t> ;</w:t>
      </w:r>
    </w:p>
    <w:p w:rsidR="00380C15" w:rsidRPr="0084654F" w:rsidRDefault="000940C1" w:rsidP="000940C1">
      <w:pPr>
        <w:numPr>
          <w:ilvl w:val="0"/>
          <w:numId w:val="2"/>
        </w:numPr>
        <w:spacing w:before="120" w:after="120" w:line="240" w:lineRule="auto"/>
        <w:jc w:val="both"/>
        <w:rPr>
          <w:rFonts w:ascii="Arial" w:hAnsi="Arial" w:cs="Arial"/>
        </w:rPr>
      </w:pPr>
      <w:r>
        <w:rPr>
          <w:rFonts w:ascii="Arial" w:eastAsia="Times New Roman" w:hAnsi="Arial" w:cs="Arial"/>
          <w:lang w:eastAsia="fr-FR"/>
        </w:rPr>
        <w:t xml:space="preserve">la </w:t>
      </w:r>
      <w:r w:rsidRPr="0084654F">
        <w:rPr>
          <w:rFonts w:ascii="Arial" w:eastAsia="Times New Roman" w:hAnsi="Arial" w:cs="Arial"/>
          <w:lang w:eastAsia="fr-FR"/>
        </w:rPr>
        <w:t>43ème convention FMI pour 6, 36</w:t>
      </w:r>
      <w:r w:rsidRPr="0084654F">
        <w:rPr>
          <w:rFonts w:ascii="Arial" w:hAnsi="Arial" w:cs="Arial"/>
        </w:rPr>
        <w:t xml:space="preserve"> millions dollars US</w:t>
      </w:r>
      <w:r>
        <w:rPr>
          <w:rFonts w:ascii="Arial" w:hAnsi="Arial" w:cs="Arial"/>
        </w:rPr>
        <w:t>.</w:t>
      </w:r>
    </w:p>
    <w:p w:rsidR="00380C15" w:rsidRPr="00475F95" w:rsidRDefault="00475F95" w:rsidP="00475F95">
      <w:pPr>
        <w:pStyle w:val="Lgende"/>
        <w:rPr>
          <w:color w:val="auto"/>
        </w:rPr>
      </w:pPr>
      <w:bookmarkStart w:id="595" w:name="_Toc492895747"/>
      <w:r w:rsidRPr="00475F95">
        <w:rPr>
          <w:color w:val="auto"/>
        </w:rPr>
        <w:t xml:space="preserve">Graphique </w:t>
      </w:r>
      <w:r w:rsidRPr="00475F95">
        <w:rPr>
          <w:color w:val="auto"/>
        </w:rPr>
        <w:fldChar w:fldCharType="begin"/>
      </w:r>
      <w:r w:rsidRPr="00475F95">
        <w:rPr>
          <w:color w:val="auto"/>
        </w:rPr>
        <w:instrText xml:space="preserve"> SEQ Graphique \* ARABIC </w:instrText>
      </w:r>
      <w:r w:rsidRPr="00475F95">
        <w:rPr>
          <w:color w:val="auto"/>
        </w:rPr>
        <w:fldChar w:fldCharType="separate"/>
      </w:r>
      <w:r w:rsidR="009A1402">
        <w:rPr>
          <w:noProof/>
          <w:color w:val="auto"/>
        </w:rPr>
        <w:t>14</w:t>
      </w:r>
      <w:r w:rsidRPr="00475F95">
        <w:rPr>
          <w:color w:val="auto"/>
        </w:rPr>
        <w:fldChar w:fldCharType="end"/>
      </w:r>
      <w:r w:rsidRPr="00475F95">
        <w:rPr>
          <w:color w:val="auto"/>
        </w:rPr>
        <w:t> :</w:t>
      </w:r>
      <w:r w:rsidR="00380C15" w:rsidRPr="00475F95">
        <w:rPr>
          <w:color w:val="auto"/>
        </w:rPr>
        <w:t xml:space="preserve"> </w:t>
      </w:r>
      <w:r w:rsidR="00380C15" w:rsidRPr="00475F95">
        <w:rPr>
          <w:color w:val="auto"/>
          <w:u w:val="none"/>
        </w:rPr>
        <w:t>Les cinq principaux bailleurs du secteur « Gouvernance économique »</w:t>
      </w:r>
      <w:bookmarkEnd w:id="589"/>
      <w:bookmarkEnd w:id="590"/>
      <w:bookmarkEnd w:id="591"/>
      <w:r w:rsidR="00380C15" w:rsidRPr="00475F95">
        <w:rPr>
          <w:color w:val="auto"/>
          <w:u w:val="none"/>
        </w:rPr>
        <w:t xml:space="preserve"> en 2016 (en millions dollars US)</w:t>
      </w:r>
      <w:bookmarkEnd w:id="592"/>
      <w:bookmarkEnd w:id="593"/>
      <w:bookmarkEnd w:id="594"/>
      <w:bookmarkEnd w:id="595"/>
    </w:p>
    <w:p w:rsidR="00380C15" w:rsidRPr="0084654F" w:rsidRDefault="00380C15" w:rsidP="00380C15">
      <w:pPr>
        <w:spacing w:before="120" w:after="120" w:line="240" w:lineRule="auto"/>
        <w:jc w:val="both"/>
        <w:rPr>
          <w:rFonts w:ascii="Arial" w:hAnsi="Arial" w:cs="Arial"/>
        </w:rPr>
      </w:pPr>
      <w:r w:rsidRPr="0084654F">
        <w:rPr>
          <w:noProof/>
          <w:lang w:eastAsia="fr-FR"/>
        </w:rPr>
        <w:lastRenderedPageBreak/>
        <w:drawing>
          <wp:inline distT="0" distB="0" distL="0" distR="0" wp14:anchorId="2D97D924" wp14:editId="3572175D">
            <wp:extent cx="5800725" cy="1781175"/>
            <wp:effectExtent l="0" t="0" r="9525" b="9525"/>
            <wp:docPr id="15" name="Graphique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9A4DF8" w:rsidRPr="00BA488E" w:rsidRDefault="00380C15" w:rsidP="00BA488E">
      <w:pPr>
        <w:spacing w:before="120" w:after="120" w:line="240" w:lineRule="auto"/>
        <w:rPr>
          <w:rFonts w:ascii="Arial" w:hAnsi="Arial" w:cs="Arial"/>
          <w:sz w:val="20"/>
        </w:rPr>
      </w:pPr>
      <w:r w:rsidRPr="0084654F">
        <w:rPr>
          <w:rFonts w:ascii="Arial" w:hAnsi="Arial" w:cs="Arial"/>
          <w:b/>
          <w:sz w:val="20"/>
          <w:u w:val="single"/>
        </w:rPr>
        <w:t xml:space="preserve">Source </w:t>
      </w:r>
      <w:r w:rsidRPr="0084654F">
        <w:rPr>
          <w:rFonts w:ascii="Arial" w:hAnsi="Arial" w:cs="Arial"/>
          <w:b/>
          <w:sz w:val="20"/>
        </w:rPr>
        <w:t xml:space="preserve">: </w:t>
      </w:r>
      <w:r w:rsidRPr="0084654F">
        <w:rPr>
          <w:rFonts w:ascii="Arial" w:hAnsi="Arial" w:cs="Arial"/>
          <w:sz w:val="20"/>
        </w:rPr>
        <w:t>PGA/DGCOOP, Juillet 201</w:t>
      </w:r>
      <w:bookmarkStart w:id="596" w:name="_Toc335610162"/>
      <w:bookmarkStart w:id="597" w:name="_Toc368779241"/>
      <w:bookmarkStart w:id="598" w:name="_Toc400703585"/>
      <w:bookmarkStart w:id="599" w:name="_Toc424706043"/>
      <w:bookmarkEnd w:id="561"/>
      <w:bookmarkEnd w:id="562"/>
      <w:bookmarkEnd w:id="563"/>
      <w:bookmarkEnd w:id="564"/>
      <w:bookmarkEnd w:id="565"/>
      <w:bookmarkEnd w:id="566"/>
      <w:bookmarkEnd w:id="567"/>
      <w:bookmarkEnd w:id="568"/>
      <w:bookmarkEnd w:id="569"/>
      <w:bookmarkEnd w:id="570"/>
      <w:bookmarkEnd w:id="596"/>
      <w:bookmarkEnd w:id="597"/>
      <w:bookmarkEnd w:id="598"/>
      <w:bookmarkEnd w:id="599"/>
      <w:r w:rsidRPr="0084654F">
        <w:rPr>
          <w:rFonts w:ascii="Arial" w:hAnsi="Arial" w:cs="Arial"/>
          <w:sz w:val="20"/>
        </w:rPr>
        <w:t>7</w:t>
      </w:r>
    </w:p>
    <w:p w:rsidR="009A4DF8" w:rsidRPr="00F538F7" w:rsidRDefault="009A4DF8" w:rsidP="008D7758">
      <w:pPr>
        <w:pStyle w:val="Titre2"/>
        <w:numPr>
          <w:ilvl w:val="0"/>
          <w:numId w:val="117"/>
        </w:numPr>
        <w:tabs>
          <w:tab w:val="left" w:pos="1134"/>
        </w:tabs>
      </w:pPr>
      <w:bookmarkStart w:id="600" w:name="_Toc492972223"/>
      <w:r w:rsidRPr="00F538F7">
        <w:t>Secteur «Environnement, Eau et Assainissement »</w:t>
      </w:r>
      <w:bookmarkStart w:id="601" w:name="_Toc400663198"/>
      <w:bookmarkStart w:id="602" w:name="_Toc400703534"/>
      <w:bookmarkStart w:id="603" w:name="_Toc424705052"/>
      <w:bookmarkEnd w:id="571"/>
      <w:bookmarkEnd w:id="600"/>
    </w:p>
    <w:bookmarkEnd w:id="601"/>
    <w:bookmarkEnd w:id="602"/>
    <w:bookmarkEnd w:id="603"/>
    <w:p w:rsidR="000940C1" w:rsidRPr="000940C1" w:rsidRDefault="000940C1" w:rsidP="000940C1">
      <w:pPr>
        <w:spacing w:before="120" w:after="120" w:line="240" w:lineRule="auto"/>
        <w:jc w:val="both"/>
        <w:rPr>
          <w:rFonts w:ascii="Arial" w:hAnsi="Arial" w:cs="Arial"/>
        </w:rPr>
      </w:pPr>
      <w:r w:rsidRPr="000940C1">
        <w:rPr>
          <w:rFonts w:ascii="Arial" w:hAnsi="Arial" w:cs="Arial"/>
        </w:rPr>
        <w:t>Les principa</w:t>
      </w:r>
      <w:r w:rsidR="006C3CAD">
        <w:rPr>
          <w:rFonts w:ascii="Arial" w:hAnsi="Arial" w:cs="Arial"/>
        </w:rPr>
        <w:t xml:space="preserve">les composantes  de ce secteur </w:t>
      </w:r>
      <w:r w:rsidRPr="000940C1">
        <w:rPr>
          <w:rFonts w:ascii="Arial" w:hAnsi="Arial" w:cs="Arial"/>
        </w:rPr>
        <w:t xml:space="preserve">sont : la protection </w:t>
      </w:r>
      <w:r w:rsidR="000E669D">
        <w:rPr>
          <w:rFonts w:ascii="Arial" w:hAnsi="Arial" w:cs="Arial"/>
        </w:rPr>
        <w:t>de l’environnement, le captage,</w:t>
      </w:r>
      <w:r w:rsidRPr="000940C1">
        <w:rPr>
          <w:rFonts w:ascii="Arial" w:hAnsi="Arial" w:cs="Arial"/>
        </w:rPr>
        <w:t xml:space="preserve"> le traitement et distribution d'eau, l’assainissement et l’économie verte. Parmi les secteurs ayant bénéficié de l’APD en 2016, le secteur «Environnement, Eau et Assainissement » occupe la deuxième place en terme d’appui financier. En effet, le financement reçu par ce secteur représente 15,</w:t>
      </w:r>
      <w:r w:rsidR="00F65DDE">
        <w:rPr>
          <w:rFonts w:ascii="Arial" w:hAnsi="Arial" w:cs="Arial"/>
        </w:rPr>
        <w:t>3</w:t>
      </w:r>
      <w:r w:rsidRPr="000940C1">
        <w:rPr>
          <w:rFonts w:ascii="Arial" w:hAnsi="Arial" w:cs="Arial"/>
        </w:rPr>
        <w:t xml:space="preserve">% de l’APD totale soit 174,09 millions dollars US, derrière le secteur de </w:t>
      </w:r>
      <w:r w:rsidR="00F65DDE">
        <w:rPr>
          <w:rFonts w:ascii="Arial" w:hAnsi="Arial" w:cs="Arial"/>
        </w:rPr>
        <w:t>la Gouvernance  économique 24,2</w:t>
      </w:r>
      <w:r w:rsidRPr="000940C1">
        <w:rPr>
          <w:rFonts w:ascii="Arial" w:hAnsi="Arial" w:cs="Arial"/>
        </w:rPr>
        <w:t>% de l’APD soit 276,21millions dollars US.</w:t>
      </w:r>
    </w:p>
    <w:p w:rsidR="000940C1" w:rsidRPr="000940C1" w:rsidRDefault="000940C1" w:rsidP="000940C1">
      <w:pPr>
        <w:spacing w:before="120" w:after="120" w:line="240" w:lineRule="auto"/>
        <w:jc w:val="both"/>
        <w:rPr>
          <w:rFonts w:ascii="Arial" w:hAnsi="Arial" w:cs="Arial"/>
        </w:rPr>
      </w:pPr>
      <w:r w:rsidRPr="000940C1">
        <w:rPr>
          <w:rFonts w:ascii="Arial" w:hAnsi="Arial" w:cs="Arial"/>
        </w:rPr>
        <w:t>En 2015, le secteur «Environnement, Eau et Ass</w:t>
      </w:r>
      <w:r w:rsidR="00CD5E76">
        <w:rPr>
          <w:rFonts w:ascii="Arial" w:hAnsi="Arial" w:cs="Arial"/>
        </w:rPr>
        <w:t>ainissement » représentait 15,2</w:t>
      </w:r>
      <w:r w:rsidRPr="000940C1">
        <w:rPr>
          <w:rFonts w:ascii="Arial" w:hAnsi="Arial" w:cs="Arial"/>
        </w:rPr>
        <w:t xml:space="preserve"> % de l’APD totale (162,63 millions dollars US) contre 15,</w:t>
      </w:r>
      <w:r w:rsidR="00CD5E76">
        <w:rPr>
          <w:rFonts w:ascii="Arial" w:hAnsi="Arial" w:cs="Arial"/>
        </w:rPr>
        <w:t>3</w:t>
      </w:r>
      <w:r w:rsidRPr="000940C1">
        <w:rPr>
          <w:rFonts w:ascii="Arial" w:hAnsi="Arial" w:cs="Arial"/>
        </w:rPr>
        <w:t xml:space="preserve">% (174,09 millions dollars US) en 2016, soit en légère hausse de 0,04 point de pourcentage. </w:t>
      </w:r>
    </w:p>
    <w:p w:rsidR="00356AF2" w:rsidRPr="00B46D4D" w:rsidRDefault="000940C1" w:rsidP="00356AF2">
      <w:pPr>
        <w:spacing w:before="120" w:after="120" w:line="240" w:lineRule="auto"/>
        <w:jc w:val="both"/>
        <w:rPr>
          <w:rFonts w:ascii="Arial" w:hAnsi="Arial" w:cs="Arial"/>
        </w:rPr>
      </w:pPr>
      <w:r w:rsidRPr="000940C1">
        <w:rPr>
          <w:rFonts w:ascii="Arial" w:hAnsi="Arial" w:cs="Arial"/>
        </w:rPr>
        <w:t>Les principales caractéristiques de ce secteur sont consignées dans le tableau ci-après.</w:t>
      </w:r>
    </w:p>
    <w:p w:rsidR="00356AF2" w:rsidRPr="00475F95" w:rsidRDefault="00475F95" w:rsidP="00475F95">
      <w:pPr>
        <w:pStyle w:val="Lgende"/>
        <w:rPr>
          <w:color w:val="auto"/>
          <w:u w:val="none"/>
        </w:rPr>
      </w:pPr>
      <w:bookmarkStart w:id="604" w:name="_Toc492895492"/>
      <w:r w:rsidRPr="00475F95">
        <w:rPr>
          <w:color w:val="auto"/>
        </w:rPr>
        <w:t xml:space="preserve">Tableau </w:t>
      </w:r>
      <w:r w:rsidRPr="00475F95">
        <w:rPr>
          <w:color w:val="auto"/>
        </w:rPr>
        <w:fldChar w:fldCharType="begin"/>
      </w:r>
      <w:r w:rsidRPr="00475F95">
        <w:rPr>
          <w:color w:val="auto"/>
        </w:rPr>
        <w:instrText xml:space="preserve"> SEQ Tableau \* ARABIC </w:instrText>
      </w:r>
      <w:r w:rsidRPr="00475F95">
        <w:rPr>
          <w:color w:val="auto"/>
        </w:rPr>
        <w:fldChar w:fldCharType="separate"/>
      </w:r>
      <w:r w:rsidR="009A1402">
        <w:rPr>
          <w:noProof/>
          <w:color w:val="auto"/>
        </w:rPr>
        <w:t>24</w:t>
      </w:r>
      <w:r w:rsidRPr="00475F95">
        <w:rPr>
          <w:color w:val="auto"/>
        </w:rPr>
        <w:fldChar w:fldCharType="end"/>
      </w:r>
      <w:r>
        <w:rPr>
          <w:color w:val="auto"/>
        </w:rPr>
        <w:t> :</w:t>
      </w:r>
      <w:r w:rsidR="00356AF2" w:rsidRPr="00475F95">
        <w:rPr>
          <w:color w:val="auto"/>
        </w:rPr>
        <w:t xml:space="preserve"> </w:t>
      </w:r>
      <w:r w:rsidR="00356AF2" w:rsidRPr="00475F95">
        <w:rPr>
          <w:color w:val="auto"/>
          <w:u w:val="none"/>
        </w:rPr>
        <w:t>Principales caractéristiques du secteur « Environnement, Eau et Assainissement » en 2016</w:t>
      </w:r>
      <w:bookmarkEnd w:id="604"/>
    </w:p>
    <w:tbl>
      <w:tblPr>
        <w:tblW w:w="9343" w:type="dxa"/>
        <w:tblInd w:w="75" w:type="dxa"/>
        <w:tblCellMar>
          <w:left w:w="70" w:type="dxa"/>
          <w:right w:w="70" w:type="dxa"/>
        </w:tblCellMar>
        <w:tblLook w:val="04A0" w:firstRow="1" w:lastRow="0" w:firstColumn="1" w:lastColumn="0" w:noHBand="0" w:noVBand="1"/>
      </w:tblPr>
      <w:tblGrid>
        <w:gridCol w:w="4596"/>
        <w:gridCol w:w="2225"/>
        <w:gridCol w:w="2522"/>
      </w:tblGrid>
      <w:tr w:rsidR="00356AF2" w:rsidRPr="000C281B" w:rsidTr="00475F95">
        <w:trPr>
          <w:trHeight w:val="400"/>
        </w:trPr>
        <w:tc>
          <w:tcPr>
            <w:tcW w:w="45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Environnement eau et assainissement</w:t>
            </w:r>
          </w:p>
        </w:tc>
        <w:tc>
          <w:tcPr>
            <w:tcW w:w="2225" w:type="dxa"/>
            <w:tcBorders>
              <w:top w:val="single" w:sz="4" w:space="0" w:color="auto"/>
              <w:left w:val="nil"/>
              <w:bottom w:val="single" w:sz="4" w:space="0" w:color="auto"/>
              <w:right w:val="single" w:sz="4" w:space="0" w:color="auto"/>
            </w:tcBorders>
            <w:shd w:val="clear" w:color="auto" w:fill="auto"/>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Montant en millions $US</w:t>
            </w:r>
          </w:p>
        </w:tc>
        <w:tc>
          <w:tcPr>
            <w:tcW w:w="2522" w:type="dxa"/>
            <w:tcBorders>
              <w:top w:val="single" w:sz="4" w:space="0" w:color="auto"/>
              <w:left w:val="nil"/>
              <w:bottom w:val="single" w:sz="4" w:space="0" w:color="auto"/>
              <w:right w:val="single" w:sz="4" w:space="0" w:color="auto"/>
            </w:tcBorders>
            <w:shd w:val="clear" w:color="auto" w:fill="auto"/>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En % de l'APD totale</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auto" w:fill="auto"/>
            <w:vAlign w:val="bottom"/>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Total secteur</w:t>
            </w:r>
          </w:p>
        </w:tc>
        <w:tc>
          <w:tcPr>
            <w:tcW w:w="2225" w:type="dxa"/>
            <w:tcBorders>
              <w:top w:val="nil"/>
              <w:left w:val="nil"/>
              <w:bottom w:val="single" w:sz="4" w:space="0" w:color="auto"/>
              <w:right w:val="single" w:sz="4" w:space="0" w:color="auto"/>
            </w:tcBorders>
            <w:shd w:val="clear" w:color="auto" w:fill="auto"/>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174,09</w:t>
            </w:r>
          </w:p>
        </w:tc>
        <w:tc>
          <w:tcPr>
            <w:tcW w:w="2522" w:type="dxa"/>
            <w:tcBorders>
              <w:top w:val="nil"/>
              <w:left w:val="nil"/>
              <w:bottom w:val="single" w:sz="4" w:space="0" w:color="auto"/>
              <w:right w:val="single" w:sz="4" w:space="0" w:color="auto"/>
            </w:tcBorders>
            <w:shd w:val="clear" w:color="auto" w:fill="auto"/>
            <w:vAlign w:val="bottom"/>
            <w:hideMark/>
          </w:tcPr>
          <w:p w:rsidR="00356AF2" w:rsidRPr="000C281B" w:rsidRDefault="00356AF2" w:rsidP="00CD5E76">
            <w:pPr>
              <w:spacing w:after="0" w:line="240" w:lineRule="auto"/>
              <w:jc w:val="center"/>
              <w:rPr>
                <w:rFonts w:eastAsia="Times New Roman" w:cs="Calibri"/>
                <w:b/>
                <w:bCs/>
                <w:lang w:eastAsia="fr-FR"/>
              </w:rPr>
            </w:pPr>
            <w:r w:rsidRPr="000C281B">
              <w:rPr>
                <w:rFonts w:eastAsia="Times New Roman" w:cs="Calibri"/>
                <w:b/>
                <w:bCs/>
                <w:lang w:eastAsia="fr-FR"/>
              </w:rPr>
              <w:t>15,</w:t>
            </w:r>
            <w:r w:rsidR="00CD5E76">
              <w:rPr>
                <w:rFonts w:eastAsia="Times New Roman" w:cs="Calibri"/>
                <w:b/>
                <w:bCs/>
                <w:lang w:eastAsia="fr-FR"/>
              </w:rPr>
              <w:t>3</w:t>
            </w:r>
          </w:p>
        </w:tc>
      </w:tr>
      <w:tr w:rsidR="00356AF2" w:rsidRPr="000C281B" w:rsidTr="00475F95">
        <w:trPr>
          <w:trHeight w:val="272"/>
        </w:trPr>
        <w:tc>
          <w:tcPr>
            <w:tcW w:w="4596" w:type="dxa"/>
            <w:tcBorders>
              <w:top w:val="nil"/>
              <w:left w:val="single" w:sz="4" w:space="0" w:color="auto"/>
              <w:bottom w:val="single" w:sz="4" w:space="0" w:color="auto"/>
              <w:right w:val="single" w:sz="4" w:space="0" w:color="auto"/>
            </w:tcBorders>
            <w:shd w:val="clear" w:color="auto" w:fill="CCFFFF"/>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Répartition par type d'aide</w:t>
            </w:r>
          </w:p>
        </w:tc>
        <w:tc>
          <w:tcPr>
            <w:tcW w:w="2225" w:type="dxa"/>
            <w:tcBorders>
              <w:top w:val="nil"/>
              <w:left w:val="nil"/>
              <w:bottom w:val="single" w:sz="4" w:space="0" w:color="auto"/>
              <w:right w:val="single" w:sz="4" w:space="0" w:color="auto"/>
            </w:tcBorders>
            <w:shd w:val="clear" w:color="auto" w:fill="CCFFFF"/>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Montant en millions $US</w:t>
            </w:r>
          </w:p>
        </w:tc>
        <w:tc>
          <w:tcPr>
            <w:tcW w:w="2522" w:type="dxa"/>
            <w:tcBorders>
              <w:top w:val="nil"/>
              <w:left w:val="nil"/>
              <w:bottom w:val="single" w:sz="4" w:space="0" w:color="auto"/>
              <w:right w:val="single" w:sz="4" w:space="0" w:color="auto"/>
            </w:tcBorders>
            <w:shd w:val="clear" w:color="auto" w:fill="CCFFFF"/>
            <w:vAlign w:val="bottom"/>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En % de l'APD du secteur</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 xml:space="preserve">Aide projet - Sans fonds commun et/ou CAST </w:t>
            </w:r>
          </w:p>
        </w:tc>
        <w:tc>
          <w:tcPr>
            <w:tcW w:w="2225" w:type="dxa"/>
            <w:tcBorders>
              <w:top w:val="nil"/>
              <w:left w:val="nil"/>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142,46</w:t>
            </w:r>
          </w:p>
        </w:tc>
        <w:tc>
          <w:tcPr>
            <w:tcW w:w="2522" w:type="dxa"/>
            <w:tcBorders>
              <w:top w:val="nil"/>
              <w:left w:val="nil"/>
              <w:bottom w:val="single" w:sz="4" w:space="0" w:color="auto"/>
              <w:right w:val="single" w:sz="4" w:space="0" w:color="auto"/>
            </w:tcBorders>
            <w:shd w:val="clear" w:color="000000" w:fill="FFFFFF"/>
            <w:noWrap/>
            <w:vAlign w:val="bottom"/>
            <w:hideMark/>
          </w:tcPr>
          <w:p w:rsidR="00356AF2" w:rsidRPr="000C281B" w:rsidRDefault="00CD5E76" w:rsidP="00D602E7">
            <w:pPr>
              <w:spacing w:after="0" w:line="240" w:lineRule="auto"/>
              <w:jc w:val="center"/>
              <w:rPr>
                <w:rFonts w:eastAsia="Times New Roman" w:cs="Calibri"/>
                <w:lang w:eastAsia="fr-FR"/>
              </w:rPr>
            </w:pPr>
            <w:r>
              <w:rPr>
                <w:rFonts w:eastAsia="Times New Roman" w:cs="Calibri"/>
                <w:lang w:eastAsia="fr-FR"/>
              </w:rPr>
              <w:t>81,8</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 xml:space="preserve">Aide projet - Avec fonds commun et/ou CAST </w:t>
            </w:r>
          </w:p>
        </w:tc>
        <w:tc>
          <w:tcPr>
            <w:tcW w:w="2225" w:type="dxa"/>
            <w:tcBorders>
              <w:top w:val="nil"/>
              <w:left w:val="nil"/>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19,51</w:t>
            </w:r>
          </w:p>
        </w:tc>
        <w:tc>
          <w:tcPr>
            <w:tcW w:w="2522" w:type="dxa"/>
            <w:tcBorders>
              <w:top w:val="nil"/>
              <w:left w:val="nil"/>
              <w:bottom w:val="single" w:sz="4" w:space="0" w:color="auto"/>
              <w:right w:val="single" w:sz="4" w:space="0" w:color="auto"/>
            </w:tcBorders>
            <w:shd w:val="clear" w:color="000000" w:fill="FFFFFF"/>
            <w:noWrap/>
            <w:vAlign w:val="bottom"/>
            <w:hideMark/>
          </w:tcPr>
          <w:p w:rsidR="00356AF2" w:rsidRPr="000C281B" w:rsidRDefault="00CD5E76" w:rsidP="00D602E7">
            <w:pPr>
              <w:spacing w:after="0" w:line="240" w:lineRule="auto"/>
              <w:jc w:val="center"/>
              <w:rPr>
                <w:rFonts w:eastAsia="Times New Roman" w:cs="Calibri"/>
                <w:lang w:eastAsia="fr-FR"/>
              </w:rPr>
            </w:pPr>
            <w:r>
              <w:rPr>
                <w:rFonts w:eastAsia="Times New Roman" w:cs="Calibri"/>
                <w:lang w:eastAsia="fr-FR"/>
              </w:rPr>
              <w:t>11,2</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Appui budgétaire sectoriel</w:t>
            </w:r>
          </w:p>
        </w:tc>
        <w:tc>
          <w:tcPr>
            <w:tcW w:w="2225" w:type="dxa"/>
            <w:tcBorders>
              <w:top w:val="nil"/>
              <w:left w:val="nil"/>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10,68</w:t>
            </w:r>
          </w:p>
        </w:tc>
        <w:tc>
          <w:tcPr>
            <w:tcW w:w="2522" w:type="dxa"/>
            <w:tcBorders>
              <w:top w:val="nil"/>
              <w:left w:val="nil"/>
              <w:bottom w:val="single" w:sz="4" w:space="0" w:color="auto"/>
              <w:right w:val="single" w:sz="4" w:space="0" w:color="auto"/>
            </w:tcBorders>
            <w:shd w:val="clear" w:color="000000" w:fill="FFFFFF"/>
            <w:noWrap/>
            <w:vAlign w:val="bottom"/>
            <w:hideMark/>
          </w:tcPr>
          <w:p w:rsidR="00356AF2" w:rsidRPr="000C281B" w:rsidRDefault="00CD5E76" w:rsidP="00D602E7">
            <w:pPr>
              <w:spacing w:after="0" w:line="240" w:lineRule="auto"/>
              <w:jc w:val="center"/>
              <w:rPr>
                <w:rFonts w:eastAsia="Times New Roman" w:cs="Calibri"/>
                <w:lang w:eastAsia="fr-FR"/>
              </w:rPr>
            </w:pPr>
            <w:r>
              <w:rPr>
                <w:rFonts w:eastAsia="Times New Roman" w:cs="Calibri"/>
                <w:lang w:eastAsia="fr-FR"/>
              </w:rPr>
              <w:t>6,1</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Assistance et secours d'urgence</w:t>
            </w:r>
          </w:p>
        </w:tc>
        <w:tc>
          <w:tcPr>
            <w:tcW w:w="2225" w:type="dxa"/>
            <w:tcBorders>
              <w:top w:val="nil"/>
              <w:left w:val="nil"/>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1,45</w:t>
            </w:r>
          </w:p>
        </w:tc>
        <w:tc>
          <w:tcPr>
            <w:tcW w:w="2522" w:type="dxa"/>
            <w:tcBorders>
              <w:top w:val="nil"/>
              <w:left w:val="nil"/>
              <w:bottom w:val="single" w:sz="4" w:space="0" w:color="auto"/>
              <w:right w:val="single" w:sz="4" w:space="0" w:color="auto"/>
            </w:tcBorders>
            <w:shd w:val="clear" w:color="000000" w:fill="FFFFFF"/>
            <w:noWrap/>
            <w:vAlign w:val="bottom"/>
            <w:hideMark/>
          </w:tcPr>
          <w:p w:rsidR="00356AF2" w:rsidRPr="000C281B" w:rsidRDefault="00CD5E76" w:rsidP="00D602E7">
            <w:pPr>
              <w:spacing w:after="0" w:line="240" w:lineRule="auto"/>
              <w:jc w:val="center"/>
              <w:rPr>
                <w:rFonts w:eastAsia="Times New Roman" w:cs="Calibri"/>
                <w:lang w:eastAsia="fr-FR"/>
              </w:rPr>
            </w:pPr>
            <w:r>
              <w:rPr>
                <w:rFonts w:eastAsia="Times New Roman" w:cs="Calibri"/>
                <w:lang w:eastAsia="fr-FR"/>
              </w:rPr>
              <w:t>0,8</w:t>
            </w:r>
          </w:p>
        </w:tc>
      </w:tr>
      <w:tr w:rsidR="00356AF2" w:rsidRPr="000C281B" w:rsidTr="00475F95">
        <w:trPr>
          <w:trHeight w:val="300"/>
        </w:trPr>
        <w:tc>
          <w:tcPr>
            <w:tcW w:w="4596" w:type="dxa"/>
            <w:tcBorders>
              <w:top w:val="nil"/>
              <w:left w:val="single" w:sz="4" w:space="0" w:color="auto"/>
              <w:bottom w:val="single" w:sz="4" w:space="0" w:color="auto"/>
              <w:right w:val="single" w:sz="4" w:space="0" w:color="auto"/>
            </w:tcBorders>
            <w:shd w:val="clear" w:color="auto" w:fill="auto"/>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Principaux bailleurs</w:t>
            </w:r>
          </w:p>
        </w:tc>
        <w:tc>
          <w:tcPr>
            <w:tcW w:w="2225" w:type="dxa"/>
            <w:tcBorders>
              <w:top w:val="nil"/>
              <w:left w:val="nil"/>
              <w:bottom w:val="single" w:sz="4" w:space="0" w:color="auto"/>
              <w:right w:val="single" w:sz="4" w:space="0" w:color="auto"/>
            </w:tcBorders>
            <w:shd w:val="clear" w:color="auto" w:fill="auto"/>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Montant en millions $US</w:t>
            </w:r>
          </w:p>
        </w:tc>
        <w:tc>
          <w:tcPr>
            <w:tcW w:w="2522" w:type="dxa"/>
            <w:tcBorders>
              <w:top w:val="nil"/>
              <w:left w:val="nil"/>
              <w:bottom w:val="single" w:sz="4" w:space="0" w:color="auto"/>
              <w:right w:val="single" w:sz="4" w:space="0" w:color="auto"/>
            </w:tcBorders>
            <w:shd w:val="clear" w:color="auto" w:fill="auto"/>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En % de l'APD du secteur</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Banque Mondiale</w:t>
            </w:r>
          </w:p>
        </w:tc>
        <w:tc>
          <w:tcPr>
            <w:tcW w:w="2225" w:type="dxa"/>
            <w:tcBorders>
              <w:top w:val="nil"/>
              <w:left w:val="nil"/>
              <w:bottom w:val="single" w:sz="4" w:space="0" w:color="auto"/>
              <w:right w:val="single" w:sz="4" w:space="0" w:color="auto"/>
            </w:tcBorders>
            <w:shd w:val="clear" w:color="000000" w:fill="FFFFFF"/>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46,78</w:t>
            </w:r>
          </w:p>
        </w:tc>
        <w:tc>
          <w:tcPr>
            <w:tcW w:w="2522" w:type="dxa"/>
            <w:tcBorders>
              <w:top w:val="nil"/>
              <w:left w:val="nil"/>
              <w:bottom w:val="single" w:sz="4" w:space="0" w:color="auto"/>
              <w:right w:val="single" w:sz="4" w:space="0" w:color="auto"/>
            </w:tcBorders>
            <w:shd w:val="clear" w:color="000000" w:fill="FFFFFF"/>
            <w:hideMark/>
          </w:tcPr>
          <w:p w:rsidR="00356AF2" w:rsidRPr="000C281B" w:rsidRDefault="00CD5E76" w:rsidP="00D602E7">
            <w:pPr>
              <w:spacing w:after="0" w:line="240" w:lineRule="auto"/>
              <w:jc w:val="center"/>
              <w:rPr>
                <w:rFonts w:eastAsia="Times New Roman" w:cs="Calibri"/>
                <w:lang w:eastAsia="fr-FR"/>
              </w:rPr>
            </w:pPr>
            <w:r>
              <w:rPr>
                <w:rFonts w:eastAsia="Times New Roman" w:cs="Calibri"/>
                <w:lang w:eastAsia="fr-FR"/>
              </w:rPr>
              <w:t>26,9</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BAD/FAD</w:t>
            </w:r>
          </w:p>
        </w:tc>
        <w:tc>
          <w:tcPr>
            <w:tcW w:w="2225" w:type="dxa"/>
            <w:tcBorders>
              <w:top w:val="nil"/>
              <w:left w:val="nil"/>
              <w:bottom w:val="single" w:sz="4" w:space="0" w:color="auto"/>
              <w:right w:val="single" w:sz="4" w:space="0" w:color="auto"/>
            </w:tcBorders>
            <w:shd w:val="clear" w:color="000000" w:fill="FFFFFF"/>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26,09</w:t>
            </w:r>
          </w:p>
        </w:tc>
        <w:tc>
          <w:tcPr>
            <w:tcW w:w="2522" w:type="dxa"/>
            <w:tcBorders>
              <w:top w:val="nil"/>
              <w:left w:val="nil"/>
              <w:bottom w:val="single" w:sz="4" w:space="0" w:color="auto"/>
              <w:right w:val="single" w:sz="4" w:space="0" w:color="auto"/>
            </w:tcBorders>
            <w:shd w:val="clear" w:color="000000" w:fill="FFFFFF"/>
            <w:hideMark/>
          </w:tcPr>
          <w:p w:rsidR="00356AF2" w:rsidRPr="000C281B" w:rsidRDefault="00CD5E76" w:rsidP="00D602E7">
            <w:pPr>
              <w:spacing w:after="0" w:line="240" w:lineRule="auto"/>
              <w:jc w:val="center"/>
              <w:rPr>
                <w:rFonts w:eastAsia="Times New Roman" w:cs="Calibri"/>
                <w:lang w:eastAsia="fr-FR"/>
              </w:rPr>
            </w:pPr>
            <w:r>
              <w:rPr>
                <w:rFonts w:eastAsia="Times New Roman" w:cs="Calibri"/>
                <w:lang w:eastAsia="fr-FR"/>
              </w:rPr>
              <w:t>14,9</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Union Européenne</w:t>
            </w:r>
          </w:p>
        </w:tc>
        <w:tc>
          <w:tcPr>
            <w:tcW w:w="2225" w:type="dxa"/>
            <w:tcBorders>
              <w:top w:val="nil"/>
              <w:left w:val="nil"/>
              <w:bottom w:val="single" w:sz="4" w:space="0" w:color="auto"/>
              <w:right w:val="single" w:sz="4" w:space="0" w:color="auto"/>
            </w:tcBorders>
            <w:shd w:val="clear" w:color="000000" w:fill="FFFFFF"/>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14,02</w:t>
            </w:r>
          </w:p>
        </w:tc>
        <w:tc>
          <w:tcPr>
            <w:tcW w:w="2522" w:type="dxa"/>
            <w:tcBorders>
              <w:top w:val="nil"/>
              <w:left w:val="nil"/>
              <w:bottom w:val="single" w:sz="4" w:space="0" w:color="auto"/>
              <w:right w:val="single" w:sz="4" w:space="0" w:color="auto"/>
            </w:tcBorders>
            <w:shd w:val="clear" w:color="000000" w:fill="FFFFFF"/>
            <w:hideMark/>
          </w:tcPr>
          <w:p w:rsidR="00356AF2" w:rsidRPr="000C281B" w:rsidRDefault="00356AF2" w:rsidP="00CD5E76">
            <w:pPr>
              <w:spacing w:after="0" w:line="240" w:lineRule="auto"/>
              <w:jc w:val="center"/>
              <w:rPr>
                <w:rFonts w:eastAsia="Times New Roman" w:cs="Calibri"/>
                <w:lang w:eastAsia="fr-FR"/>
              </w:rPr>
            </w:pPr>
            <w:r w:rsidRPr="000C281B">
              <w:rPr>
                <w:rFonts w:eastAsia="Times New Roman" w:cs="Calibri"/>
                <w:lang w:eastAsia="fr-FR"/>
              </w:rPr>
              <w:t>8,</w:t>
            </w:r>
            <w:r w:rsidR="00CD5E76">
              <w:rPr>
                <w:rFonts w:eastAsia="Times New Roman" w:cs="Calibri"/>
                <w:lang w:eastAsia="fr-FR"/>
              </w:rPr>
              <w:t>1</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Suède</w:t>
            </w:r>
          </w:p>
        </w:tc>
        <w:tc>
          <w:tcPr>
            <w:tcW w:w="2225" w:type="dxa"/>
            <w:tcBorders>
              <w:top w:val="nil"/>
              <w:left w:val="nil"/>
              <w:bottom w:val="single" w:sz="4" w:space="0" w:color="auto"/>
              <w:right w:val="single" w:sz="4" w:space="0" w:color="auto"/>
            </w:tcBorders>
            <w:shd w:val="clear" w:color="000000" w:fill="FFFFFF"/>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13,55</w:t>
            </w:r>
          </w:p>
        </w:tc>
        <w:tc>
          <w:tcPr>
            <w:tcW w:w="2522" w:type="dxa"/>
            <w:tcBorders>
              <w:top w:val="nil"/>
              <w:left w:val="nil"/>
              <w:bottom w:val="single" w:sz="4" w:space="0" w:color="auto"/>
              <w:right w:val="single" w:sz="4" w:space="0" w:color="auto"/>
            </w:tcBorders>
            <w:shd w:val="clear" w:color="000000" w:fill="FFFFFF"/>
            <w:hideMark/>
          </w:tcPr>
          <w:p w:rsidR="00356AF2" w:rsidRPr="000C281B" w:rsidRDefault="00356AF2" w:rsidP="00CD5E76">
            <w:pPr>
              <w:spacing w:after="0" w:line="240" w:lineRule="auto"/>
              <w:jc w:val="center"/>
              <w:rPr>
                <w:rFonts w:eastAsia="Times New Roman" w:cs="Calibri"/>
                <w:lang w:eastAsia="fr-FR"/>
              </w:rPr>
            </w:pPr>
            <w:r w:rsidRPr="000C281B">
              <w:rPr>
                <w:rFonts w:eastAsia="Times New Roman" w:cs="Calibri"/>
                <w:lang w:eastAsia="fr-FR"/>
              </w:rPr>
              <w:t>7,</w:t>
            </w:r>
            <w:r w:rsidR="00CD5E76">
              <w:rPr>
                <w:rFonts w:eastAsia="Times New Roman" w:cs="Calibri"/>
                <w:lang w:eastAsia="fr-FR"/>
              </w:rPr>
              <w:t>8</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SNU</w:t>
            </w:r>
          </w:p>
        </w:tc>
        <w:tc>
          <w:tcPr>
            <w:tcW w:w="2225" w:type="dxa"/>
            <w:tcBorders>
              <w:top w:val="nil"/>
              <w:left w:val="nil"/>
              <w:bottom w:val="single" w:sz="4" w:space="0" w:color="auto"/>
              <w:right w:val="single" w:sz="4" w:space="0" w:color="auto"/>
            </w:tcBorders>
            <w:shd w:val="clear" w:color="000000" w:fill="FFFFFF"/>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13,17</w:t>
            </w:r>
          </w:p>
        </w:tc>
        <w:tc>
          <w:tcPr>
            <w:tcW w:w="2522" w:type="dxa"/>
            <w:tcBorders>
              <w:top w:val="nil"/>
              <w:left w:val="nil"/>
              <w:bottom w:val="single" w:sz="4" w:space="0" w:color="auto"/>
              <w:right w:val="single" w:sz="4" w:space="0" w:color="auto"/>
            </w:tcBorders>
            <w:shd w:val="clear" w:color="000000" w:fill="FFFFFF"/>
            <w:hideMark/>
          </w:tcPr>
          <w:p w:rsidR="00356AF2" w:rsidRPr="000C281B" w:rsidRDefault="00356AF2" w:rsidP="00CD5E76">
            <w:pPr>
              <w:spacing w:after="0" w:line="240" w:lineRule="auto"/>
              <w:jc w:val="center"/>
              <w:rPr>
                <w:rFonts w:eastAsia="Times New Roman" w:cs="Calibri"/>
                <w:lang w:eastAsia="fr-FR"/>
              </w:rPr>
            </w:pPr>
            <w:r w:rsidRPr="000C281B">
              <w:rPr>
                <w:rFonts w:eastAsia="Times New Roman" w:cs="Calibri"/>
                <w:lang w:eastAsia="fr-FR"/>
              </w:rPr>
              <w:t>7,</w:t>
            </w:r>
            <w:r w:rsidR="00CD5E76">
              <w:rPr>
                <w:rFonts w:eastAsia="Times New Roman" w:cs="Calibri"/>
                <w:lang w:eastAsia="fr-FR"/>
              </w:rPr>
              <w:t>6</w:t>
            </w:r>
          </w:p>
        </w:tc>
      </w:tr>
      <w:tr w:rsidR="00356AF2" w:rsidRPr="000C281B" w:rsidTr="00475F95">
        <w:trPr>
          <w:trHeight w:val="150"/>
        </w:trPr>
        <w:tc>
          <w:tcPr>
            <w:tcW w:w="4596" w:type="dxa"/>
            <w:tcBorders>
              <w:top w:val="nil"/>
              <w:left w:val="single" w:sz="4" w:space="0" w:color="auto"/>
              <w:bottom w:val="single" w:sz="4" w:space="0" w:color="auto"/>
              <w:right w:val="single" w:sz="4" w:space="0" w:color="auto"/>
            </w:tcBorders>
            <w:shd w:val="clear" w:color="auto" w:fill="auto"/>
            <w:vAlign w:val="bottom"/>
            <w:hideMark/>
          </w:tcPr>
          <w:p w:rsidR="00356AF2" w:rsidRPr="000C281B" w:rsidRDefault="00356AF2" w:rsidP="00D602E7">
            <w:pPr>
              <w:spacing w:after="0" w:line="240" w:lineRule="auto"/>
              <w:rPr>
                <w:rFonts w:eastAsia="Times New Roman" w:cs="Calibri"/>
                <w:b/>
                <w:bCs/>
                <w:lang w:eastAsia="fr-FR"/>
              </w:rPr>
            </w:pPr>
            <w:r w:rsidRPr="000C281B">
              <w:rPr>
                <w:rFonts w:eastAsia="Times New Roman" w:cs="Calibri"/>
                <w:b/>
                <w:bCs/>
                <w:lang w:eastAsia="fr-FR"/>
              </w:rPr>
              <w:t>Autres</w:t>
            </w:r>
          </w:p>
        </w:tc>
        <w:tc>
          <w:tcPr>
            <w:tcW w:w="2225" w:type="dxa"/>
            <w:tcBorders>
              <w:top w:val="nil"/>
              <w:left w:val="nil"/>
              <w:bottom w:val="single" w:sz="4" w:space="0" w:color="auto"/>
              <w:right w:val="single" w:sz="4" w:space="0" w:color="auto"/>
            </w:tcBorders>
            <w:shd w:val="clear" w:color="000000" w:fill="FFFFFF"/>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60,48</w:t>
            </w:r>
          </w:p>
        </w:tc>
        <w:tc>
          <w:tcPr>
            <w:tcW w:w="2522" w:type="dxa"/>
            <w:tcBorders>
              <w:top w:val="nil"/>
              <w:left w:val="nil"/>
              <w:bottom w:val="single" w:sz="4" w:space="0" w:color="auto"/>
              <w:right w:val="single" w:sz="4" w:space="0" w:color="auto"/>
            </w:tcBorders>
            <w:shd w:val="clear" w:color="000000" w:fill="FFFFFF"/>
            <w:hideMark/>
          </w:tcPr>
          <w:p w:rsidR="00356AF2" w:rsidRPr="000C281B" w:rsidRDefault="00CD5E76" w:rsidP="00D602E7">
            <w:pPr>
              <w:spacing w:after="0" w:line="240" w:lineRule="auto"/>
              <w:jc w:val="center"/>
              <w:rPr>
                <w:rFonts w:eastAsia="Times New Roman" w:cs="Calibri"/>
                <w:b/>
                <w:bCs/>
                <w:lang w:eastAsia="fr-FR"/>
              </w:rPr>
            </w:pPr>
            <w:r>
              <w:rPr>
                <w:rFonts w:eastAsia="Times New Roman" w:cs="Calibri"/>
                <w:b/>
                <w:bCs/>
                <w:lang w:eastAsia="fr-FR"/>
              </w:rPr>
              <w:t>34,7</w:t>
            </w:r>
          </w:p>
        </w:tc>
      </w:tr>
      <w:tr w:rsidR="00356AF2" w:rsidRPr="000C281B" w:rsidTr="00475F95">
        <w:trPr>
          <w:trHeight w:val="343"/>
        </w:trPr>
        <w:tc>
          <w:tcPr>
            <w:tcW w:w="4596" w:type="dxa"/>
            <w:tcBorders>
              <w:top w:val="nil"/>
              <w:left w:val="single" w:sz="4" w:space="0" w:color="auto"/>
              <w:bottom w:val="single" w:sz="4" w:space="0" w:color="auto"/>
              <w:right w:val="single" w:sz="4" w:space="0" w:color="auto"/>
            </w:tcBorders>
            <w:shd w:val="clear" w:color="auto" w:fill="CCFFFF"/>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Répartition par conditions</w:t>
            </w:r>
          </w:p>
        </w:tc>
        <w:tc>
          <w:tcPr>
            <w:tcW w:w="2225" w:type="dxa"/>
            <w:tcBorders>
              <w:top w:val="nil"/>
              <w:left w:val="nil"/>
              <w:bottom w:val="single" w:sz="4" w:space="0" w:color="auto"/>
              <w:right w:val="single" w:sz="4" w:space="0" w:color="auto"/>
            </w:tcBorders>
            <w:shd w:val="clear" w:color="auto" w:fill="CCFFFF"/>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Montant en millions $US</w:t>
            </w:r>
          </w:p>
        </w:tc>
        <w:tc>
          <w:tcPr>
            <w:tcW w:w="2522" w:type="dxa"/>
            <w:tcBorders>
              <w:top w:val="nil"/>
              <w:left w:val="nil"/>
              <w:bottom w:val="single" w:sz="4" w:space="0" w:color="auto"/>
              <w:right w:val="single" w:sz="4" w:space="0" w:color="auto"/>
            </w:tcBorders>
            <w:shd w:val="clear" w:color="auto" w:fill="CCFFFF"/>
            <w:vAlign w:val="center"/>
            <w:hideMark/>
          </w:tcPr>
          <w:p w:rsidR="00356AF2" w:rsidRPr="000C281B" w:rsidRDefault="00356AF2" w:rsidP="00D602E7">
            <w:pPr>
              <w:spacing w:after="0" w:line="240" w:lineRule="auto"/>
              <w:jc w:val="center"/>
              <w:rPr>
                <w:rFonts w:eastAsia="Times New Roman" w:cs="Calibri"/>
                <w:b/>
                <w:bCs/>
                <w:lang w:eastAsia="fr-FR"/>
              </w:rPr>
            </w:pPr>
            <w:r w:rsidRPr="000C281B">
              <w:rPr>
                <w:rFonts w:eastAsia="Times New Roman" w:cs="Calibri"/>
                <w:b/>
                <w:bCs/>
                <w:lang w:eastAsia="fr-FR"/>
              </w:rPr>
              <w:t>En % de l'APD du secteur</w:t>
            </w:r>
          </w:p>
        </w:tc>
      </w:tr>
      <w:tr w:rsidR="00356AF2" w:rsidRPr="000C281B" w:rsidTr="00475F95">
        <w:trPr>
          <w:trHeight w:val="142"/>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Prêts</w:t>
            </w:r>
          </w:p>
        </w:tc>
        <w:tc>
          <w:tcPr>
            <w:tcW w:w="2225" w:type="dxa"/>
            <w:tcBorders>
              <w:top w:val="nil"/>
              <w:left w:val="nil"/>
              <w:bottom w:val="single" w:sz="4" w:space="0" w:color="auto"/>
              <w:right w:val="single" w:sz="4" w:space="0" w:color="auto"/>
            </w:tcBorders>
            <w:shd w:val="clear" w:color="000000" w:fill="FFFFFF"/>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27,37</w:t>
            </w:r>
          </w:p>
        </w:tc>
        <w:tc>
          <w:tcPr>
            <w:tcW w:w="2522" w:type="dxa"/>
            <w:tcBorders>
              <w:top w:val="nil"/>
              <w:left w:val="nil"/>
              <w:bottom w:val="single" w:sz="4" w:space="0" w:color="auto"/>
              <w:right w:val="single" w:sz="4" w:space="0" w:color="auto"/>
            </w:tcBorders>
            <w:shd w:val="clear" w:color="000000" w:fill="FFFFFF"/>
            <w:hideMark/>
          </w:tcPr>
          <w:p w:rsidR="00356AF2" w:rsidRPr="000C281B" w:rsidRDefault="00CD5E76" w:rsidP="00D602E7">
            <w:pPr>
              <w:spacing w:after="0" w:line="240" w:lineRule="auto"/>
              <w:jc w:val="center"/>
              <w:rPr>
                <w:rFonts w:eastAsia="Times New Roman" w:cs="Calibri"/>
                <w:lang w:eastAsia="fr-FR"/>
              </w:rPr>
            </w:pPr>
            <w:r>
              <w:rPr>
                <w:rFonts w:eastAsia="Times New Roman" w:cs="Calibri"/>
                <w:lang w:eastAsia="fr-FR"/>
              </w:rPr>
              <w:t>15,7</w:t>
            </w:r>
          </w:p>
        </w:tc>
      </w:tr>
      <w:tr w:rsidR="00356AF2" w:rsidRPr="000C281B" w:rsidTr="00475F95">
        <w:trPr>
          <w:trHeight w:val="142"/>
        </w:trPr>
        <w:tc>
          <w:tcPr>
            <w:tcW w:w="4596" w:type="dxa"/>
            <w:tcBorders>
              <w:top w:val="nil"/>
              <w:left w:val="single" w:sz="4" w:space="0" w:color="auto"/>
              <w:bottom w:val="single" w:sz="4" w:space="0" w:color="auto"/>
              <w:right w:val="single" w:sz="4" w:space="0" w:color="auto"/>
            </w:tcBorders>
            <w:shd w:val="clear" w:color="000000" w:fill="FFFFFF"/>
            <w:noWrap/>
            <w:vAlign w:val="bottom"/>
            <w:hideMark/>
          </w:tcPr>
          <w:p w:rsidR="00356AF2" w:rsidRPr="000C281B" w:rsidRDefault="00356AF2" w:rsidP="00D602E7">
            <w:pPr>
              <w:spacing w:after="0" w:line="240" w:lineRule="auto"/>
              <w:rPr>
                <w:rFonts w:eastAsia="Times New Roman" w:cs="Calibri"/>
                <w:lang w:eastAsia="fr-FR"/>
              </w:rPr>
            </w:pPr>
            <w:r w:rsidRPr="000C281B">
              <w:rPr>
                <w:rFonts w:eastAsia="Times New Roman" w:cs="Calibri"/>
                <w:lang w:eastAsia="fr-FR"/>
              </w:rPr>
              <w:t>Dons</w:t>
            </w:r>
          </w:p>
        </w:tc>
        <w:tc>
          <w:tcPr>
            <w:tcW w:w="2225" w:type="dxa"/>
            <w:tcBorders>
              <w:top w:val="nil"/>
              <w:left w:val="nil"/>
              <w:bottom w:val="single" w:sz="4" w:space="0" w:color="auto"/>
              <w:right w:val="single" w:sz="4" w:space="0" w:color="auto"/>
            </w:tcBorders>
            <w:shd w:val="clear" w:color="000000" w:fill="FFFFFF"/>
            <w:hideMark/>
          </w:tcPr>
          <w:p w:rsidR="00356AF2" w:rsidRPr="000C281B" w:rsidRDefault="00356AF2" w:rsidP="00D602E7">
            <w:pPr>
              <w:spacing w:after="0" w:line="240" w:lineRule="auto"/>
              <w:jc w:val="center"/>
              <w:rPr>
                <w:rFonts w:eastAsia="Times New Roman" w:cs="Calibri"/>
                <w:lang w:eastAsia="fr-FR"/>
              </w:rPr>
            </w:pPr>
            <w:r w:rsidRPr="000C281B">
              <w:rPr>
                <w:rFonts w:eastAsia="Times New Roman" w:cs="Calibri"/>
                <w:lang w:eastAsia="fr-FR"/>
              </w:rPr>
              <w:t>146,73</w:t>
            </w:r>
          </w:p>
        </w:tc>
        <w:tc>
          <w:tcPr>
            <w:tcW w:w="2522" w:type="dxa"/>
            <w:tcBorders>
              <w:top w:val="nil"/>
              <w:left w:val="nil"/>
              <w:bottom w:val="single" w:sz="4" w:space="0" w:color="auto"/>
              <w:right w:val="single" w:sz="4" w:space="0" w:color="auto"/>
            </w:tcBorders>
            <w:shd w:val="clear" w:color="000000" w:fill="FFFFFF"/>
            <w:hideMark/>
          </w:tcPr>
          <w:p w:rsidR="00356AF2" w:rsidRPr="000C281B" w:rsidRDefault="00CD5E76" w:rsidP="00D602E7">
            <w:pPr>
              <w:spacing w:after="0" w:line="240" w:lineRule="auto"/>
              <w:jc w:val="center"/>
              <w:rPr>
                <w:rFonts w:eastAsia="Times New Roman" w:cs="Calibri"/>
                <w:lang w:eastAsia="fr-FR"/>
              </w:rPr>
            </w:pPr>
            <w:r>
              <w:rPr>
                <w:rFonts w:eastAsia="Times New Roman" w:cs="Calibri"/>
                <w:lang w:eastAsia="fr-FR"/>
              </w:rPr>
              <w:t>84,3</w:t>
            </w:r>
          </w:p>
        </w:tc>
      </w:tr>
    </w:tbl>
    <w:p w:rsidR="00356AF2" w:rsidRPr="00475F95" w:rsidRDefault="00356AF2" w:rsidP="00356AF2">
      <w:pPr>
        <w:spacing w:after="240" w:line="240" w:lineRule="auto"/>
        <w:jc w:val="both"/>
        <w:rPr>
          <w:rFonts w:ascii="Arial" w:hAnsi="Arial" w:cs="Arial"/>
          <w:i/>
        </w:rPr>
      </w:pPr>
      <w:r w:rsidRPr="00475F95">
        <w:rPr>
          <w:rFonts w:ascii="Arial" w:hAnsi="Arial" w:cs="Arial"/>
          <w:b/>
          <w:i/>
          <w:u w:val="single"/>
        </w:rPr>
        <w:t xml:space="preserve">Source </w:t>
      </w:r>
      <w:r w:rsidRPr="00475F95">
        <w:rPr>
          <w:rFonts w:ascii="Arial" w:hAnsi="Arial" w:cs="Arial"/>
          <w:b/>
          <w:i/>
        </w:rPr>
        <w:t>:</w:t>
      </w:r>
      <w:r w:rsidRPr="00475F95">
        <w:rPr>
          <w:rFonts w:ascii="Arial" w:hAnsi="Arial" w:cs="Arial"/>
          <w:i/>
        </w:rPr>
        <w:t xml:space="preserve"> PGA/DGCOOP, Juillet 2017</w:t>
      </w:r>
    </w:p>
    <w:p w:rsidR="000940C1" w:rsidRPr="0088621E" w:rsidRDefault="000940C1" w:rsidP="000940C1">
      <w:pPr>
        <w:spacing w:before="120" w:after="120" w:line="240" w:lineRule="auto"/>
        <w:jc w:val="both"/>
        <w:rPr>
          <w:rFonts w:ascii="Arial" w:eastAsiaTheme="minorEastAsia" w:hAnsi="Arial" w:cs="Arial"/>
          <w:lang w:eastAsia="fr-FR"/>
        </w:rPr>
      </w:pPr>
      <w:r w:rsidRPr="0088621E">
        <w:rPr>
          <w:rFonts w:ascii="Arial" w:eastAsiaTheme="minorEastAsia" w:hAnsi="Arial" w:cs="Arial"/>
          <w:lang w:eastAsia="fr-FR"/>
        </w:rPr>
        <w:lastRenderedPageBreak/>
        <w:t>Selon les types d’aide enregistré</w:t>
      </w:r>
      <w:r>
        <w:rPr>
          <w:rFonts w:ascii="Arial" w:eastAsiaTheme="minorEastAsia" w:hAnsi="Arial" w:cs="Arial"/>
          <w:lang w:eastAsia="fr-FR"/>
        </w:rPr>
        <w:t>s</w:t>
      </w:r>
      <w:r w:rsidRPr="0088621E">
        <w:rPr>
          <w:rFonts w:ascii="Arial" w:eastAsiaTheme="minorEastAsia" w:hAnsi="Arial" w:cs="Arial"/>
          <w:lang w:eastAsia="fr-FR"/>
        </w:rPr>
        <w:t>, les ressources financières reçues par le secteur ont été essentiellement fournies sous forme d’aide projet</w:t>
      </w:r>
      <w:r>
        <w:rPr>
          <w:rFonts w:ascii="Arial" w:eastAsiaTheme="minorEastAsia" w:hAnsi="Arial" w:cs="Arial"/>
          <w:lang w:eastAsia="fr-FR"/>
        </w:rPr>
        <w:t xml:space="preserve"> sans fonds communs </w:t>
      </w:r>
      <w:r w:rsidRPr="0088621E">
        <w:rPr>
          <w:rFonts w:ascii="Arial" w:eastAsiaTheme="minorEastAsia" w:hAnsi="Arial" w:cs="Arial"/>
          <w:lang w:eastAsia="fr-FR"/>
        </w:rPr>
        <w:t>(</w:t>
      </w:r>
      <w:r w:rsidR="00181DFA">
        <w:rPr>
          <w:rFonts w:ascii="Arial" w:eastAsiaTheme="minorEastAsia" w:hAnsi="Arial" w:cs="Arial"/>
          <w:lang w:eastAsia="fr-FR"/>
        </w:rPr>
        <w:t>81,8</w:t>
      </w:r>
      <w:r>
        <w:rPr>
          <w:rFonts w:ascii="Arial" w:eastAsiaTheme="minorEastAsia" w:hAnsi="Arial" w:cs="Arial"/>
          <w:lang w:eastAsia="fr-FR"/>
        </w:rPr>
        <w:t xml:space="preserve">% du total du secteur), de l’aide </w:t>
      </w:r>
      <w:r w:rsidR="00CD5E76">
        <w:rPr>
          <w:rFonts w:ascii="Arial" w:eastAsiaTheme="minorEastAsia" w:hAnsi="Arial" w:cs="Arial"/>
          <w:lang w:eastAsia="fr-FR"/>
        </w:rPr>
        <w:t>projet avec fonds communs (11,2</w:t>
      </w:r>
      <w:r>
        <w:rPr>
          <w:rFonts w:ascii="Arial" w:eastAsiaTheme="minorEastAsia" w:hAnsi="Arial" w:cs="Arial"/>
          <w:lang w:eastAsia="fr-FR"/>
        </w:rPr>
        <w:t>%), l’appui</w:t>
      </w:r>
      <w:r w:rsidRPr="0088621E">
        <w:rPr>
          <w:rFonts w:ascii="Arial" w:eastAsiaTheme="minorEastAsia" w:hAnsi="Arial" w:cs="Arial"/>
          <w:lang w:eastAsia="fr-FR"/>
        </w:rPr>
        <w:t xml:space="preserve"> budgétaire sectoriel </w:t>
      </w:r>
      <w:r>
        <w:rPr>
          <w:rFonts w:ascii="Arial" w:eastAsiaTheme="minorEastAsia" w:hAnsi="Arial" w:cs="Arial"/>
          <w:lang w:eastAsia="fr-FR"/>
        </w:rPr>
        <w:t>(</w:t>
      </w:r>
      <w:r w:rsidRPr="0088621E">
        <w:rPr>
          <w:rFonts w:ascii="Arial" w:eastAsiaTheme="minorEastAsia" w:hAnsi="Arial" w:cs="Arial"/>
          <w:lang w:eastAsia="fr-FR"/>
        </w:rPr>
        <w:t>6,</w:t>
      </w:r>
      <w:r w:rsidR="00CD5E76">
        <w:rPr>
          <w:rFonts w:ascii="Arial" w:eastAsiaTheme="minorEastAsia" w:hAnsi="Arial" w:cs="Arial"/>
          <w:lang w:eastAsia="fr-FR"/>
        </w:rPr>
        <w:t>1</w:t>
      </w:r>
      <w:r w:rsidRPr="00270F23">
        <w:rPr>
          <w:rFonts w:ascii="Arial" w:eastAsiaTheme="minorEastAsia" w:hAnsi="Arial" w:cs="Arial"/>
          <w:lang w:eastAsia="fr-FR"/>
        </w:rPr>
        <w:t>%) et de l’assis</w:t>
      </w:r>
      <w:r w:rsidR="00CD5E76">
        <w:rPr>
          <w:rFonts w:ascii="Arial" w:eastAsiaTheme="minorEastAsia" w:hAnsi="Arial" w:cs="Arial"/>
          <w:lang w:eastAsia="fr-FR"/>
        </w:rPr>
        <w:t>tance et secours d’urgence (0,8</w:t>
      </w:r>
      <w:r w:rsidRPr="00270F23">
        <w:rPr>
          <w:rFonts w:ascii="Arial" w:eastAsiaTheme="minorEastAsia" w:hAnsi="Arial" w:cs="Arial"/>
          <w:lang w:eastAsia="fr-FR"/>
        </w:rPr>
        <w:t>%).</w:t>
      </w:r>
    </w:p>
    <w:p w:rsidR="000940C1" w:rsidRPr="008703FA" w:rsidRDefault="000940C1" w:rsidP="000940C1">
      <w:pPr>
        <w:spacing w:before="120" w:after="120" w:line="240" w:lineRule="auto"/>
        <w:jc w:val="both"/>
        <w:rPr>
          <w:rFonts w:ascii="Arial" w:eastAsiaTheme="minorEastAsia" w:hAnsi="Arial" w:cs="Arial"/>
          <w:lang w:eastAsia="fr-FR"/>
        </w:rPr>
      </w:pPr>
      <w:r w:rsidRPr="0088621E">
        <w:rPr>
          <w:rFonts w:ascii="Arial" w:eastAsiaTheme="minorEastAsia" w:hAnsi="Arial" w:cs="Arial"/>
          <w:lang w:eastAsia="fr-FR"/>
        </w:rPr>
        <w:t>Les cinq principaux bailleurs ont apporté à ce secteur un volume d’aide d’un montant de 113,61 millions dollars US</w:t>
      </w:r>
      <w:r>
        <w:rPr>
          <w:rFonts w:ascii="Arial" w:eastAsiaTheme="minorEastAsia" w:hAnsi="Arial" w:cs="Arial"/>
          <w:lang w:eastAsia="fr-FR"/>
        </w:rPr>
        <w:t xml:space="preserve"> représentant 66,3% </w:t>
      </w:r>
      <w:r w:rsidRPr="0088621E">
        <w:rPr>
          <w:rFonts w:ascii="Arial" w:eastAsiaTheme="minorEastAsia" w:hAnsi="Arial" w:cs="Arial"/>
          <w:lang w:eastAsia="fr-FR"/>
        </w:rPr>
        <w:t>de l’APD du secteur. La Banque mondiale se hisse à la 1</w:t>
      </w:r>
      <w:r w:rsidRPr="0088621E">
        <w:rPr>
          <w:rFonts w:ascii="Arial" w:eastAsiaTheme="minorEastAsia" w:hAnsi="Arial" w:cs="Arial"/>
          <w:vertAlign w:val="superscript"/>
          <w:lang w:eastAsia="fr-FR"/>
        </w:rPr>
        <w:t>ère</w:t>
      </w:r>
      <w:r w:rsidRPr="0088621E">
        <w:rPr>
          <w:rFonts w:ascii="Arial" w:eastAsiaTheme="minorEastAsia" w:hAnsi="Arial" w:cs="Arial"/>
          <w:lang w:eastAsia="fr-FR"/>
        </w:rPr>
        <w:t xml:space="preserve"> place avec un concours s’élevant à 46,</w:t>
      </w:r>
      <w:r>
        <w:rPr>
          <w:rFonts w:ascii="Arial" w:eastAsiaTheme="minorEastAsia" w:hAnsi="Arial" w:cs="Arial"/>
          <w:lang w:eastAsia="fr-FR"/>
        </w:rPr>
        <w:t>78 millions dollar US,</w:t>
      </w:r>
      <w:r w:rsidRPr="0088621E">
        <w:rPr>
          <w:rFonts w:ascii="Arial" w:eastAsiaTheme="minorEastAsia" w:hAnsi="Arial" w:cs="Arial"/>
          <w:lang w:eastAsia="fr-FR"/>
        </w:rPr>
        <w:t xml:space="preserve"> suivis de la Banque Africaine de Développement pour 26,09 millions dollars US. Les 3</w:t>
      </w:r>
      <w:r w:rsidRPr="0088621E">
        <w:rPr>
          <w:rFonts w:ascii="Arial" w:eastAsiaTheme="minorEastAsia" w:hAnsi="Arial" w:cs="Arial"/>
          <w:vertAlign w:val="superscript"/>
          <w:lang w:eastAsia="fr-FR"/>
        </w:rPr>
        <w:t>ème</w:t>
      </w:r>
      <w:r w:rsidRPr="0088621E">
        <w:rPr>
          <w:rFonts w:ascii="Arial" w:eastAsiaTheme="minorEastAsia" w:hAnsi="Arial" w:cs="Arial"/>
          <w:lang w:eastAsia="fr-FR"/>
        </w:rPr>
        <w:t xml:space="preserve"> et 4</w:t>
      </w:r>
      <w:r w:rsidRPr="0088621E">
        <w:rPr>
          <w:rFonts w:ascii="Arial" w:eastAsiaTheme="minorEastAsia" w:hAnsi="Arial" w:cs="Arial"/>
          <w:vertAlign w:val="superscript"/>
          <w:lang w:eastAsia="fr-FR"/>
        </w:rPr>
        <w:t>ème</w:t>
      </w:r>
      <w:r w:rsidRPr="0088621E">
        <w:rPr>
          <w:rFonts w:ascii="Arial" w:eastAsiaTheme="minorEastAsia" w:hAnsi="Arial" w:cs="Arial"/>
          <w:lang w:eastAsia="fr-FR"/>
        </w:rPr>
        <w:t xml:space="preserve"> participations à ce secteur proviennent respectivement de l’Union Européenne</w:t>
      </w:r>
      <w:r>
        <w:rPr>
          <w:rFonts w:ascii="Arial" w:eastAsiaTheme="minorEastAsia" w:hAnsi="Arial" w:cs="Arial"/>
          <w:lang w:eastAsia="fr-FR"/>
        </w:rPr>
        <w:t xml:space="preserve"> 14,02 millions dollars US et</w:t>
      </w:r>
      <w:r w:rsidRPr="0088621E">
        <w:rPr>
          <w:rFonts w:ascii="Arial" w:eastAsiaTheme="minorEastAsia" w:hAnsi="Arial" w:cs="Arial"/>
          <w:lang w:eastAsia="fr-FR"/>
        </w:rPr>
        <w:t xml:space="preserve"> </w:t>
      </w:r>
      <w:r w:rsidRPr="00944A10">
        <w:rPr>
          <w:rFonts w:ascii="Arial" w:eastAsiaTheme="minorEastAsia" w:hAnsi="Arial" w:cs="Arial"/>
          <w:lang w:eastAsia="fr-FR"/>
        </w:rPr>
        <w:t xml:space="preserve">de la Suède 13,55 millions </w:t>
      </w:r>
      <w:r w:rsidRPr="008703FA">
        <w:rPr>
          <w:rFonts w:ascii="Arial" w:eastAsiaTheme="minorEastAsia" w:hAnsi="Arial" w:cs="Arial"/>
          <w:lang w:eastAsia="fr-FR"/>
        </w:rPr>
        <w:t>dollars US. Le</w:t>
      </w:r>
      <w:r>
        <w:rPr>
          <w:rFonts w:ascii="Arial" w:eastAsiaTheme="minorEastAsia" w:hAnsi="Arial" w:cs="Arial"/>
          <w:lang w:eastAsia="fr-FR"/>
        </w:rPr>
        <w:t xml:space="preserve"> Système des Nations Unies qui a apporté</w:t>
      </w:r>
      <w:r w:rsidRPr="008703FA">
        <w:rPr>
          <w:rFonts w:ascii="Arial" w:eastAsiaTheme="minorEastAsia" w:hAnsi="Arial" w:cs="Arial"/>
          <w:lang w:eastAsia="fr-FR"/>
        </w:rPr>
        <w:t xml:space="preserve"> 13,17 millions dollars US occupe la 5</w:t>
      </w:r>
      <w:r w:rsidRPr="008703FA">
        <w:rPr>
          <w:rFonts w:ascii="Arial" w:eastAsiaTheme="minorEastAsia" w:hAnsi="Arial" w:cs="Arial"/>
          <w:vertAlign w:val="superscript"/>
          <w:lang w:eastAsia="fr-FR"/>
        </w:rPr>
        <w:t>ème</w:t>
      </w:r>
      <w:r w:rsidRPr="008703FA">
        <w:rPr>
          <w:rFonts w:ascii="Arial" w:eastAsiaTheme="minorEastAsia" w:hAnsi="Arial" w:cs="Arial"/>
          <w:lang w:eastAsia="fr-FR"/>
        </w:rPr>
        <w:t xml:space="preserve"> place.</w:t>
      </w:r>
    </w:p>
    <w:p w:rsidR="00356AF2" w:rsidRPr="004110F7" w:rsidRDefault="000940C1" w:rsidP="000940C1">
      <w:pPr>
        <w:spacing w:before="120" w:after="120" w:line="240" w:lineRule="auto"/>
        <w:jc w:val="both"/>
        <w:rPr>
          <w:rFonts w:ascii="Arial" w:eastAsiaTheme="minorEastAsia" w:hAnsi="Arial" w:cs="Arial"/>
          <w:lang w:eastAsia="fr-FR"/>
        </w:rPr>
      </w:pPr>
      <w:r w:rsidRPr="004110F7">
        <w:rPr>
          <w:rFonts w:ascii="Arial" w:eastAsiaTheme="minorEastAsia" w:hAnsi="Arial" w:cs="Arial"/>
          <w:lang w:eastAsia="fr-FR"/>
        </w:rPr>
        <w:t>La répartition de l’APD du secteur par condition montre que 84,</w:t>
      </w:r>
      <w:r w:rsidR="00181DFA">
        <w:rPr>
          <w:rFonts w:ascii="Arial" w:eastAsiaTheme="minorEastAsia" w:hAnsi="Arial" w:cs="Arial"/>
          <w:lang w:eastAsia="fr-FR"/>
        </w:rPr>
        <w:t>3</w:t>
      </w:r>
      <w:r w:rsidRPr="004110F7">
        <w:rPr>
          <w:rFonts w:ascii="Arial" w:eastAsiaTheme="minorEastAsia" w:hAnsi="Arial" w:cs="Arial"/>
          <w:lang w:eastAsia="fr-FR"/>
        </w:rPr>
        <w:t>% de l’aide du secteur a été fournie principalement</w:t>
      </w:r>
      <w:r w:rsidR="00181DFA">
        <w:rPr>
          <w:rFonts w:ascii="Arial" w:eastAsiaTheme="minorEastAsia" w:hAnsi="Arial" w:cs="Arial"/>
          <w:lang w:eastAsia="fr-FR"/>
        </w:rPr>
        <w:t xml:space="preserve"> sous forme de dons contre 15,7</w:t>
      </w:r>
      <w:r w:rsidRPr="004110F7">
        <w:rPr>
          <w:rFonts w:ascii="Arial" w:eastAsiaTheme="minorEastAsia" w:hAnsi="Arial" w:cs="Arial"/>
          <w:lang w:eastAsia="fr-FR"/>
        </w:rPr>
        <w:t>% de prêts.</w:t>
      </w:r>
      <w:r w:rsidR="00356AF2" w:rsidRPr="004110F7">
        <w:rPr>
          <w:rFonts w:ascii="Arial" w:eastAsiaTheme="minorEastAsia" w:hAnsi="Arial" w:cs="Arial"/>
          <w:lang w:eastAsia="fr-FR"/>
        </w:rPr>
        <w:t xml:space="preserve">  </w:t>
      </w:r>
    </w:p>
    <w:p w:rsidR="00356AF2" w:rsidRPr="00475F95" w:rsidRDefault="00475F95" w:rsidP="00475F95">
      <w:pPr>
        <w:pStyle w:val="Lgende"/>
        <w:rPr>
          <w:color w:val="auto"/>
        </w:rPr>
      </w:pPr>
      <w:bookmarkStart w:id="605" w:name="_Toc492895748"/>
      <w:r w:rsidRPr="00475F95">
        <w:rPr>
          <w:color w:val="auto"/>
        </w:rPr>
        <w:t xml:space="preserve">Graphique </w:t>
      </w:r>
      <w:r w:rsidRPr="00475F95">
        <w:rPr>
          <w:color w:val="auto"/>
        </w:rPr>
        <w:fldChar w:fldCharType="begin"/>
      </w:r>
      <w:r w:rsidRPr="00475F95">
        <w:rPr>
          <w:color w:val="auto"/>
        </w:rPr>
        <w:instrText xml:space="preserve"> SEQ Graphique \* ARABIC </w:instrText>
      </w:r>
      <w:r w:rsidRPr="00475F95">
        <w:rPr>
          <w:color w:val="auto"/>
        </w:rPr>
        <w:fldChar w:fldCharType="separate"/>
      </w:r>
      <w:r w:rsidR="009A1402">
        <w:rPr>
          <w:noProof/>
          <w:color w:val="auto"/>
        </w:rPr>
        <w:t>15</w:t>
      </w:r>
      <w:r w:rsidRPr="00475F95">
        <w:rPr>
          <w:color w:val="auto"/>
        </w:rPr>
        <w:fldChar w:fldCharType="end"/>
      </w:r>
      <w:r w:rsidRPr="00475F95">
        <w:rPr>
          <w:color w:val="auto"/>
        </w:rPr>
        <w:t> :</w:t>
      </w:r>
      <w:r w:rsidR="00356AF2" w:rsidRPr="00475F95">
        <w:rPr>
          <w:color w:val="auto"/>
        </w:rPr>
        <w:t xml:space="preserve"> </w:t>
      </w:r>
      <w:r w:rsidR="00356AF2" w:rsidRPr="00475F95">
        <w:rPr>
          <w:color w:val="auto"/>
          <w:u w:val="none"/>
        </w:rPr>
        <w:t>Les cinq premiers bailleurs de fonds du secteur« Environnement, Eau et Assainissement » en 2016 en millions dollars US</w:t>
      </w:r>
      <w:bookmarkEnd w:id="605"/>
    </w:p>
    <w:p w:rsidR="00356AF2" w:rsidRDefault="00356AF2" w:rsidP="00475F95">
      <w:pPr>
        <w:spacing w:after="0" w:line="240" w:lineRule="auto"/>
        <w:jc w:val="both"/>
        <w:rPr>
          <w:rFonts w:ascii="Arial" w:hAnsi="Arial" w:cs="Arial"/>
          <w:b/>
          <w:color w:val="FF0000"/>
        </w:rPr>
      </w:pPr>
      <w:r>
        <w:rPr>
          <w:noProof/>
          <w:lang w:eastAsia="fr-FR"/>
        </w:rPr>
        <w:drawing>
          <wp:inline distT="0" distB="0" distL="0" distR="0" wp14:anchorId="74F72A17" wp14:editId="4916B65B">
            <wp:extent cx="5695950" cy="1647825"/>
            <wp:effectExtent l="0" t="0" r="0" b="9525"/>
            <wp:docPr id="16" name="Graphique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356AF2" w:rsidRPr="00475F95" w:rsidRDefault="00356AF2" w:rsidP="00356AF2">
      <w:pPr>
        <w:spacing w:after="240" w:line="240" w:lineRule="auto"/>
        <w:jc w:val="both"/>
        <w:rPr>
          <w:rFonts w:ascii="Arial" w:hAnsi="Arial" w:cs="Arial"/>
          <w:i/>
          <w:color w:val="FF0000"/>
        </w:rPr>
      </w:pPr>
      <w:r w:rsidRPr="00475F95">
        <w:rPr>
          <w:rFonts w:ascii="Arial" w:hAnsi="Arial" w:cs="Arial"/>
          <w:b/>
          <w:i/>
          <w:u w:val="single"/>
        </w:rPr>
        <w:t xml:space="preserve">Source </w:t>
      </w:r>
      <w:r w:rsidRPr="00475F95">
        <w:rPr>
          <w:rFonts w:ascii="Arial" w:hAnsi="Arial" w:cs="Arial"/>
          <w:b/>
          <w:i/>
        </w:rPr>
        <w:t>:</w:t>
      </w:r>
      <w:r w:rsidRPr="00475F95">
        <w:rPr>
          <w:rFonts w:ascii="Arial" w:hAnsi="Arial" w:cs="Arial"/>
          <w:i/>
        </w:rPr>
        <w:t xml:space="preserve"> PGA/DGCOOP, Juillet 2017</w:t>
      </w:r>
      <w:r w:rsidRPr="00475F95">
        <w:rPr>
          <w:rFonts w:ascii="Arial" w:hAnsi="Arial" w:cs="Arial"/>
          <w:i/>
          <w:color w:val="FF0000"/>
        </w:rPr>
        <w:tab/>
      </w:r>
    </w:p>
    <w:p w:rsidR="000940C1" w:rsidRPr="009A7D5D" w:rsidRDefault="000940C1" w:rsidP="000940C1">
      <w:pPr>
        <w:spacing w:before="120" w:after="120" w:line="240" w:lineRule="auto"/>
        <w:jc w:val="both"/>
        <w:rPr>
          <w:rFonts w:ascii="Arial" w:eastAsiaTheme="minorEastAsia" w:hAnsi="Arial" w:cs="Arial"/>
          <w:lang w:eastAsia="fr-FR"/>
        </w:rPr>
      </w:pPr>
      <w:r w:rsidRPr="009A7D5D">
        <w:rPr>
          <w:rFonts w:ascii="Arial" w:eastAsiaTheme="minorEastAsia" w:hAnsi="Arial" w:cs="Arial"/>
          <w:lang w:eastAsia="fr-FR"/>
        </w:rPr>
        <w:t>Les principaux projets financés dans le secteur «Environnement, Eau et Assainissement » se présentent comme suit :</w:t>
      </w:r>
    </w:p>
    <w:p w:rsidR="000940C1" w:rsidRPr="009A7D5D" w:rsidRDefault="000940C1" w:rsidP="000940C1">
      <w:pPr>
        <w:numPr>
          <w:ilvl w:val="0"/>
          <w:numId w:val="3"/>
        </w:numPr>
        <w:spacing w:after="0" w:line="240" w:lineRule="auto"/>
        <w:jc w:val="both"/>
        <w:rPr>
          <w:rFonts w:ascii="Arial" w:eastAsiaTheme="minorEastAsia" w:hAnsi="Arial" w:cs="Arial"/>
          <w:lang w:eastAsia="fr-FR"/>
        </w:rPr>
      </w:pPr>
      <w:r w:rsidRPr="009A7D5D">
        <w:rPr>
          <w:rFonts w:ascii="Arial" w:eastAsiaTheme="minorEastAsia" w:hAnsi="Arial" w:cs="Arial"/>
          <w:lang w:eastAsia="fr-FR"/>
        </w:rPr>
        <w:t>le projet sectoriel eau en milieu urbain (Urban Secteur Water Project) de la Banque Mondiale avec 29,30 millions dollars US ;</w:t>
      </w:r>
    </w:p>
    <w:p w:rsidR="000940C1" w:rsidRPr="009A7D5D" w:rsidRDefault="000940C1" w:rsidP="000940C1">
      <w:pPr>
        <w:numPr>
          <w:ilvl w:val="0"/>
          <w:numId w:val="3"/>
        </w:numPr>
        <w:spacing w:after="0" w:line="240" w:lineRule="auto"/>
        <w:jc w:val="both"/>
        <w:rPr>
          <w:rFonts w:ascii="Arial" w:eastAsiaTheme="minorEastAsia" w:hAnsi="Arial" w:cs="Arial"/>
          <w:lang w:eastAsia="fr-FR"/>
        </w:rPr>
      </w:pPr>
      <w:r w:rsidRPr="009A7D5D">
        <w:rPr>
          <w:rFonts w:ascii="Arial" w:eastAsiaTheme="minorEastAsia" w:hAnsi="Arial" w:cs="Arial"/>
          <w:lang w:eastAsia="fr-FR"/>
        </w:rPr>
        <w:t>le projet assainissement des quartiers périphériques de Ouagadougou de la BAD/FAD avec 20, 95 millions dollars US ;</w:t>
      </w:r>
    </w:p>
    <w:p w:rsidR="000940C1" w:rsidRPr="009A7D5D" w:rsidRDefault="000940C1" w:rsidP="000940C1">
      <w:pPr>
        <w:numPr>
          <w:ilvl w:val="0"/>
          <w:numId w:val="3"/>
        </w:numPr>
        <w:spacing w:after="0" w:line="240" w:lineRule="auto"/>
        <w:jc w:val="both"/>
        <w:rPr>
          <w:rFonts w:ascii="Arial" w:eastAsiaTheme="minorEastAsia" w:hAnsi="Arial" w:cs="Arial"/>
          <w:lang w:eastAsia="fr-FR"/>
        </w:rPr>
      </w:pPr>
      <w:r w:rsidRPr="009A7D5D">
        <w:rPr>
          <w:rFonts w:ascii="Arial" w:eastAsiaTheme="minorEastAsia" w:hAnsi="Arial" w:cs="Arial"/>
          <w:lang w:eastAsia="fr-FR"/>
        </w:rPr>
        <w:t>le projet Community based rural Developpement II pour une contribution de 16,80 millions dollars US, financé par la Banque Mondiale ;</w:t>
      </w:r>
    </w:p>
    <w:p w:rsidR="000940C1" w:rsidRPr="009A7D5D" w:rsidRDefault="000940C1" w:rsidP="000940C1">
      <w:pPr>
        <w:numPr>
          <w:ilvl w:val="0"/>
          <w:numId w:val="3"/>
        </w:numPr>
        <w:spacing w:after="0" w:line="240" w:lineRule="auto"/>
        <w:jc w:val="both"/>
        <w:rPr>
          <w:rFonts w:ascii="Arial" w:eastAsiaTheme="minorEastAsia" w:hAnsi="Arial" w:cs="Arial"/>
          <w:lang w:eastAsia="fr-FR"/>
        </w:rPr>
      </w:pPr>
      <w:r w:rsidRPr="009A7D5D">
        <w:rPr>
          <w:rFonts w:ascii="Arial" w:eastAsiaTheme="minorEastAsia" w:hAnsi="Arial" w:cs="Arial"/>
          <w:lang w:eastAsia="fr-FR"/>
        </w:rPr>
        <w:t>le plan d'Action pour la Gestion Intégrée</w:t>
      </w:r>
      <w:r>
        <w:rPr>
          <w:rFonts w:ascii="Arial" w:eastAsiaTheme="minorEastAsia" w:hAnsi="Arial" w:cs="Arial"/>
          <w:lang w:eastAsia="fr-FR"/>
        </w:rPr>
        <w:t xml:space="preserve"> des Ressources en Eau (PAGIRE n</w:t>
      </w:r>
      <w:r w:rsidRPr="009A7D5D">
        <w:rPr>
          <w:rFonts w:ascii="Arial" w:eastAsiaTheme="minorEastAsia" w:hAnsi="Arial" w:cs="Arial"/>
          <w:lang w:eastAsia="fr-FR"/>
        </w:rPr>
        <w:t>ouveau) 2016-2030 pour une contribution de 11,48 millions dollars US, financé par la Suède ;</w:t>
      </w:r>
    </w:p>
    <w:p w:rsidR="000940C1" w:rsidRPr="009A7D5D" w:rsidRDefault="000940C1" w:rsidP="000940C1">
      <w:pPr>
        <w:numPr>
          <w:ilvl w:val="0"/>
          <w:numId w:val="3"/>
        </w:numPr>
        <w:spacing w:after="0" w:line="240" w:lineRule="auto"/>
        <w:jc w:val="both"/>
        <w:rPr>
          <w:rFonts w:ascii="Arial" w:eastAsiaTheme="minorEastAsia" w:hAnsi="Arial" w:cs="Arial"/>
          <w:lang w:eastAsia="fr-FR"/>
        </w:rPr>
      </w:pPr>
      <w:r w:rsidRPr="009A7D5D">
        <w:rPr>
          <w:rFonts w:ascii="Arial" w:eastAsiaTheme="minorEastAsia" w:hAnsi="Arial" w:cs="Arial"/>
          <w:lang w:eastAsia="fr-FR"/>
        </w:rPr>
        <w:t>le programme d'appui à la politique sectorielle</w:t>
      </w:r>
      <w:r>
        <w:rPr>
          <w:rFonts w:ascii="Arial" w:eastAsiaTheme="minorEastAsia" w:hAnsi="Arial" w:cs="Arial"/>
          <w:lang w:eastAsia="fr-FR"/>
        </w:rPr>
        <w:t xml:space="preserve"> </w:t>
      </w:r>
      <w:r w:rsidRPr="009A7D5D">
        <w:rPr>
          <w:rFonts w:ascii="Arial" w:eastAsiaTheme="minorEastAsia" w:hAnsi="Arial" w:cs="Arial"/>
          <w:lang w:eastAsia="fr-FR"/>
        </w:rPr>
        <w:t>- Approvisionnement en eau potable et assainissement (PAPS-AEPA 2009-2014) pour une contribution de 6,94 millions dollars US par l’Union européenne.</w:t>
      </w:r>
    </w:p>
    <w:p w:rsidR="000940C1" w:rsidRPr="009A7D5D" w:rsidRDefault="000940C1" w:rsidP="000940C1">
      <w:pPr>
        <w:spacing w:after="0" w:line="240" w:lineRule="auto"/>
        <w:jc w:val="both"/>
        <w:rPr>
          <w:rFonts w:ascii="Arial" w:eastAsiaTheme="minorEastAsia" w:hAnsi="Arial" w:cs="Arial"/>
          <w:lang w:eastAsia="fr-FR"/>
        </w:rPr>
      </w:pPr>
    </w:p>
    <w:p w:rsidR="0086765E" w:rsidRPr="00F538F7" w:rsidRDefault="000940C1" w:rsidP="000940C1">
      <w:pPr>
        <w:rPr>
          <w:rFonts w:ascii="Arial" w:eastAsiaTheme="minorEastAsia" w:hAnsi="Arial" w:cs="Arial"/>
          <w:color w:val="FF0000"/>
          <w:lang w:eastAsia="fr-FR"/>
        </w:rPr>
      </w:pPr>
      <w:r w:rsidRPr="00120361">
        <w:rPr>
          <w:rFonts w:ascii="Arial" w:eastAsiaTheme="minorEastAsia" w:hAnsi="Arial" w:cs="Arial"/>
          <w:lang w:eastAsia="fr-FR"/>
        </w:rPr>
        <w:t>L’aide destinée à ces programmes et projets est évaluée à 85,47 millions dollars US soit 49,9% de l’aide totale du secteur</w:t>
      </w:r>
      <w:r w:rsidRPr="009F1F8A">
        <w:rPr>
          <w:rFonts w:ascii="Arial" w:eastAsiaTheme="minorEastAsia" w:hAnsi="Arial" w:cs="Arial"/>
          <w:color w:val="FF0000"/>
          <w:lang w:eastAsia="fr-FR"/>
        </w:rPr>
        <w:t>.</w:t>
      </w:r>
      <w:r w:rsidR="00356AF2">
        <w:rPr>
          <w:rFonts w:ascii="Arial" w:eastAsiaTheme="minorEastAsia" w:hAnsi="Arial" w:cs="Arial"/>
          <w:color w:val="FF0000"/>
          <w:lang w:eastAsia="fr-FR"/>
        </w:rPr>
        <w:t xml:space="preserve"> </w:t>
      </w:r>
    </w:p>
    <w:p w:rsidR="009A4DF8" w:rsidRPr="00F538F7" w:rsidRDefault="009A4DF8" w:rsidP="008D7758">
      <w:pPr>
        <w:pStyle w:val="Titre2"/>
        <w:numPr>
          <w:ilvl w:val="0"/>
          <w:numId w:val="117"/>
        </w:numPr>
        <w:tabs>
          <w:tab w:val="left" w:pos="1134"/>
        </w:tabs>
      </w:pPr>
      <w:bookmarkStart w:id="606" w:name="_Toc492972224"/>
      <w:r w:rsidRPr="00F538F7">
        <w:t>Secteur « Production agro-sylvo-pastorale »</w:t>
      </w:r>
      <w:bookmarkEnd w:id="606"/>
    </w:p>
    <w:p w:rsidR="000940C1" w:rsidRPr="000940C1" w:rsidRDefault="000940C1" w:rsidP="000940C1">
      <w:pPr>
        <w:jc w:val="both"/>
        <w:rPr>
          <w:rFonts w:ascii="Arial" w:eastAsiaTheme="minorEastAsia" w:hAnsi="Arial" w:cs="Arial"/>
          <w:lang w:eastAsia="fr-FR"/>
        </w:rPr>
      </w:pPr>
      <w:r w:rsidRPr="000940C1">
        <w:rPr>
          <w:rFonts w:ascii="Arial" w:eastAsiaTheme="minorEastAsia" w:hAnsi="Arial" w:cs="Arial"/>
          <w:lang w:eastAsia="fr-FR"/>
        </w:rPr>
        <w:t>Ce secteur comprend les sous-secteurs agriculture, sylviculture, pêche et chasse. En 2016, les ressources en destination de ce secteur se sont évaluées à 115,33</w:t>
      </w:r>
      <w:r w:rsidR="00181DFA">
        <w:rPr>
          <w:rFonts w:ascii="Arial" w:eastAsiaTheme="minorEastAsia" w:hAnsi="Arial" w:cs="Arial"/>
          <w:lang w:eastAsia="fr-FR"/>
        </w:rPr>
        <w:t xml:space="preserve"> millions dollars US, soit 10,1</w:t>
      </w:r>
      <w:r w:rsidRPr="000940C1">
        <w:rPr>
          <w:rFonts w:ascii="Arial" w:eastAsiaTheme="minorEastAsia" w:hAnsi="Arial" w:cs="Arial"/>
          <w:lang w:eastAsia="fr-FR"/>
        </w:rPr>
        <w:t>% de l’aide totale. Ce financem</w:t>
      </w:r>
      <w:r w:rsidR="00181DFA">
        <w:rPr>
          <w:rFonts w:ascii="Arial" w:eastAsiaTheme="minorEastAsia" w:hAnsi="Arial" w:cs="Arial"/>
          <w:lang w:eastAsia="fr-FR"/>
        </w:rPr>
        <w:t>ent est en légère hausse de 0,7</w:t>
      </w:r>
      <w:r w:rsidRPr="000940C1">
        <w:rPr>
          <w:rFonts w:ascii="Arial" w:eastAsiaTheme="minorEastAsia" w:hAnsi="Arial" w:cs="Arial"/>
          <w:lang w:eastAsia="fr-FR"/>
        </w:rPr>
        <w:t>% relativement à celui de 2015 qui s’évaluait à 114,52 millions dollars US. Cette hausse serait liée entre autres à la mise en œuvre de nouveaux projets dans le cadre du PNDES.</w:t>
      </w:r>
    </w:p>
    <w:p w:rsidR="00DA7A16" w:rsidRPr="000940C1" w:rsidRDefault="000940C1" w:rsidP="000940C1">
      <w:pPr>
        <w:jc w:val="both"/>
        <w:rPr>
          <w:rFonts w:ascii="Arial" w:eastAsiaTheme="minorEastAsia" w:hAnsi="Arial" w:cs="Arial"/>
          <w:lang w:eastAsia="fr-FR"/>
        </w:rPr>
      </w:pPr>
      <w:r w:rsidRPr="000940C1">
        <w:rPr>
          <w:rFonts w:ascii="Arial" w:eastAsiaTheme="minorEastAsia" w:hAnsi="Arial" w:cs="Arial"/>
          <w:lang w:eastAsia="fr-FR"/>
        </w:rPr>
        <w:lastRenderedPageBreak/>
        <w:t>Le tableau ci-après  présente les caractéristiques du secteur</w:t>
      </w:r>
      <w:r>
        <w:rPr>
          <w:rFonts w:ascii="Arial" w:eastAsiaTheme="minorEastAsia" w:hAnsi="Arial" w:cs="Arial"/>
          <w:lang w:eastAsia="fr-FR"/>
        </w:rPr>
        <w:t>.</w:t>
      </w:r>
    </w:p>
    <w:p w:rsidR="009A4DF8" w:rsidRPr="00F938B3" w:rsidRDefault="00F938B3" w:rsidP="00F938B3">
      <w:pPr>
        <w:pStyle w:val="Lgende"/>
        <w:rPr>
          <w:color w:val="auto"/>
          <w:u w:val="none"/>
        </w:rPr>
      </w:pPr>
      <w:bookmarkStart w:id="607" w:name="_Toc492895493"/>
      <w:r w:rsidRPr="00F938B3">
        <w:rPr>
          <w:color w:val="auto"/>
        </w:rPr>
        <w:t xml:space="preserve">Tableau </w:t>
      </w:r>
      <w:r w:rsidRPr="00F938B3">
        <w:rPr>
          <w:color w:val="auto"/>
        </w:rPr>
        <w:fldChar w:fldCharType="begin"/>
      </w:r>
      <w:r w:rsidRPr="00F938B3">
        <w:rPr>
          <w:color w:val="auto"/>
        </w:rPr>
        <w:instrText xml:space="preserve"> SEQ Tableau \* ARABIC </w:instrText>
      </w:r>
      <w:r w:rsidRPr="00F938B3">
        <w:rPr>
          <w:color w:val="auto"/>
        </w:rPr>
        <w:fldChar w:fldCharType="separate"/>
      </w:r>
      <w:r w:rsidR="009A1402">
        <w:rPr>
          <w:noProof/>
          <w:color w:val="auto"/>
        </w:rPr>
        <w:t>25</w:t>
      </w:r>
      <w:r w:rsidRPr="00F938B3">
        <w:rPr>
          <w:color w:val="auto"/>
        </w:rPr>
        <w:fldChar w:fldCharType="end"/>
      </w:r>
      <w:r w:rsidRPr="00F938B3">
        <w:rPr>
          <w:color w:val="auto"/>
        </w:rPr>
        <w:t> :</w:t>
      </w:r>
      <w:r w:rsidR="009A4DF8" w:rsidRPr="00F938B3">
        <w:rPr>
          <w:color w:val="auto"/>
        </w:rPr>
        <w:t xml:space="preserve"> </w:t>
      </w:r>
      <w:r w:rsidR="009A4DF8" w:rsidRPr="00F938B3">
        <w:rPr>
          <w:color w:val="auto"/>
          <w:u w:val="none"/>
        </w:rPr>
        <w:t>Principales caractéristiques du secteur « Production agro-sylvo-pastorale» en 2016</w:t>
      </w:r>
      <w:bookmarkEnd w:id="607"/>
    </w:p>
    <w:tbl>
      <w:tblPr>
        <w:tblW w:w="9521" w:type="dxa"/>
        <w:tblInd w:w="75" w:type="dxa"/>
        <w:tblCellMar>
          <w:left w:w="70" w:type="dxa"/>
          <w:right w:w="70" w:type="dxa"/>
        </w:tblCellMar>
        <w:tblLook w:val="04A0" w:firstRow="1" w:lastRow="0" w:firstColumn="1" w:lastColumn="0" w:noHBand="0" w:noVBand="1"/>
      </w:tblPr>
      <w:tblGrid>
        <w:gridCol w:w="5427"/>
        <w:gridCol w:w="2047"/>
        <w:gridCol w:w="2047"/>
      </w:tblGrid>
      <w:tr w:rsidR="00DC0068" w:rsidRPr="00DC0068" w:rsidTr="00F938B3">
        <w:trPr>
          <w:trHeight w:val="468"/>
        </w:trPr>
        <w:tc>
          <w:tcPr>
            <w:tcW w:w="54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Production agro-sylvo-pastorale</w:t>
            </w:r>
          </w:p>
        </w:tc>
        <w:tc>
          <w:tcPr>
            <w:tcW w:w="2047" w:type="dxa"/>
            <w:tcBorders>
              <w:top w:val="single" w:sz="4" w:space="0" w:color="auto"/>
              <w:left w:val="nil"/>
              <w:bottom w:val="single" w:sz="4" w:space="0" w:color="auto"/>
              <w:right w:val="single" w:sz="4" w:space="0" w:color="auto"/>
            </w:tcBorders>
            <w:shd w:val="clear" w:color="auto" w:fill="auto"/>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Montant en millions $US</w:t>
            </w:r>
          </w:p>
        </w:tc>
        <w:tc>
          <w:tcPr>
            <w:tcW w:w="2047" w:type="dxa"/>
            <w:tcBorders>
              <w:top w:val="single" w:sz="4" w:space="0" w:color="auto"/>
              <w:left w:val="nil"/>
              <w:bottom w:val="single" w:sz="4" w:space="0" w:color="auto"/>
              <w:right w:val="single" w:sz="4" w:space="0" w:color="auto"/>
            </w:tcBorders>
            <w:shd w:val="clear" w:color="auto" w:fill="auto"/>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En % de l'APD totale</w:t>
            </w:r>
          </w:p>
        </w:tc>
      </w:tr>
      <w:tr w:rsidR="00DC0068" w:rsidRPr="00DC0068" w:rsidTr="00F938B3">
        <w:trPr>
          <w:trHeight w:val="175"/>
        </w:trPr>
        <w:tc>
          <w:tcPr>
            <w:tcW w:w="5427" w:type="dxa"/>
            <w:tcBorders>
              <w:top w:val="nil"/>
              <w:left w:val="single" w:sz="4" w:space="0" w:color="auto"/>
              <w:bottom w:val="single" w:sz="4" w:space="0" w:color="auto"/>
              <w:right w:val="single" w:sz="4" w:space="0" w:color="auto"/>
            </w:tcBorders>
            <w:shd w:val="clear" w:color="auto" w:fill="auto"/>
            <w:vAlign w:val="bottom"/>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Total secteur</w:t>
            </w:r>
          </w:p>
        </w:tc>
        <w:tc>
          <w:tcPr>
            <w:tcW w:w="2047" w:type="dxa"/>
            <w:tcBorders>
              <w:top w:val="nil"/>
              <w:left w:val="nil"/>
              <w:bottom w:val="single" w:sz="4" w:space="0" w:color="auto"/>
              <w:right w:val="single" w:sz="4" w:space="0" w:color="auto"/>
            </w:tcBorders>
            <w:shd w:val="clear" w:color="auto" w:fill="auto"/>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115,33</w:t>
            </w:r>
          </w:p>
        </w:tc>
        <w:tc>
          <w:tcPr>
            <w:tcW w:w="2047" w:type="dxa"/>
            <w:tcBorders>
              <w:top w:val="nil"/>
              <w:left w:val="nil"/>
              <w:bottom w:val="single" w:sz="4" w:space="0" w:color="auto"/>
              <w:right w:val="single" w:sz="4" w:space="0" w:color="auto"/>
            </w:tcBorders>
            <w:shd w:val="clear" w:color="auto" w:fill="auto"/>
            <w:vAlign w:val="bottom"/>
            <w:hideMark/>
          </w:tcPr>
          <w:p w:rsidR="00DC0068" w:rsidRPr="00DC0068" w:rsidRDefault="00181DFA" w:rsidP="00DC0068">
            <w:pPr>
              <w:spacing w:after="0" w:line="240" w:lineRule="auto"/>
              <w:jc w:val="center"/>
              <w:rPr>
                <w:rFonts w:eastAsia="Times New Roman" w:cs="Calibri"/>
                <w:b/>
                <w:bCs/>
                <w:lang w:eastAsia="fr-FR"/>
              </w:rPr>
            </w:pPr>
            <w:r>
              <w:rPr>
                <w:rFonts w:eastAsia="Times New Roman" w:cs="Calibri"/>
                <w:b/>
                <w:bCs/>
                <w:lang w:eastAsia="fr-FR"/>
              </w:rPr>
              <w:t>10,1</w:t>
            </w:r>
          </w:p>
        </w:tc>
      </w:tr>
      <w:tr w:rsidR="00DC0068" w:rsidRPr="00DC0068" w:rsidTr="00F938B3">
        <w:trPr>
          <w:trHeight w:val="318"/>
        </w:trPr>
        <w:tc>
          <w:tcPr>
            <w:tcW w:w="5427" w:type="dxa"/>
            <w:tcBorders>
              <w:top w:val="nil"/>
              <w:left w:val="single" w:sz="4" w:space="0" w:color="auto"/>
              <w:bottom w:val="single" w:sz="4" w:space="0" w:color="auto"/>
              <w:right w:val="single" w:sz="4" w:space="0" w:color="auto"/>
            </w:tcBorders>
            <w:shd w:val="clear" w:color="auto" w:fill="CCFFFF"/>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Répartition par type d'aide</w:t>
            </w:r>
          </w:p>
        </w:tc>
        <w:tc>
          <w:tcPr>
            <w:tcW w:w="2047" w:type="dxa"/>
            <w:tcBorders>
              <w:top w:val="nil"/>
              <w:left w:val="nil"/>
              <w:bottom w:val="single" w:sz="4" w:space="0" w:color="auto"/>
              <w:right w:val="single" w:sz="4" w:space="0" w:color="auto"/>
            </w:tcBorders>
            <w:shd w:val="clear" w:color="auto" w:fill="CCFFFF"/>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Montant en millions $US</w:t>
            </w:r>
          </w:p>
        </w:tc>
        <w:tc>
          <w:tcPr>
            <w:tcW w:w="2047" w:type="dxa"/>
            <w:tcBorders>
              <w:top w:val="nil"/>
              <w:left w:val="nil"/>
              <w:bottom w:val="single" w:sz="4" w:space="0" w:color="auto"/>
              <w:right w:val="single" w:sz="4" w:space="0" w:color="auto"/>
            </w:tcBorders>
            <w:shd w:val="clear" w:color="auto" w:fill="CCFFFF"/>
            <w:vAlign w:val="bottom"/>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En % de l'APD du secteur</w:t>
            </w:r>
          </w:p>
        </w:tc>
      </w:tr>
      <w:tr w:rsidR="00DC0068" w:rsidRPr="00DC0068" w:rsidTr="00F938B3">
        <w:trPr>
          <w:trHeight w:val="175"/>
        </w:trPr>
        <w:tc>
          <w:tcPr>
            <w:tcW w:w="5427" w:type="dxa"/>
            <w:tcBorders>
              <w:top w:val="nil"/>
              <w:left w:val="single" w:sz="4" w:space="0" w:color="auto"/>
              <w:bottom w:val="single" w:sz="4" w:space="0" w:color="auto"/>
              <w:right w:val="single" w:sz="4" w:space="0" w:color="auto"/>
            </w:tcBorders>
            <w:shd w:val="clear" w:color="000000" w:fill="FFFFFF"/>
            <w:noWrap/>
            <w:vAlign w:val="bottom"/>
            <w:hideMark/>
          </w:tcPr>
          <w:p w:rsidR="00DC0068" w:rsidRPr="00DC0068" w:rsidRDefault="00DC0068" w:rsidP="00DC0068">
            <w:pPr>
              <w:spacing w:after="0" w:line="240" w:lineRule="auto"/>
              <w:rPr>
                <w:rFonts w:eastAsia="Times New Roman" w:cs="Calibri"/>
                <w:lang w:eastAsia="fr-FR"/>
              </w:rPr>
            </w:pPr>
            <w:r w:rsidRPr="00DC0068">
              <w:rPr>
                <w:rFonts w:eastAsia="Times New Roman" w:cs="Calibri"/>
                <w:lang w:eastAsia="fr-FR"/>
              </w:rPr>
              <w:t xml:space="preserve">Aide projet - Sans fonds commun et/ou CAST </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DC0068">
            <w:pPr>
              <w:spacing w:after="0" w:line="240" w:lineRule="auto"/>
              <w:jc w:val="center"/>
              <w:rPr>
                <w:rFonts w:eastAsia="Times New Roman" w:cs="Calibri"/>
                <w:lang w:eastAsia="fr-FR"/>
              </w:rPr>
            </w:pPr>
            <w:r w:rsidRPr="00DC0068">
              <w:rPr>
                <w:rFonts w:eastAsia="Times New Roman" w:cs="Calibri"/>
                <w:lang w:eastAsia="fr-FR"/>
              </w:rPr>
              <w:t>109,66</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181DFA">
            <w:pPr>
              <w:spacing w:after="0" w:line="240" w:lineRule="auto"/>
              <w:jc w:val="center"/>
              <w:rPr>
                <w:rFonts w:eastAsia="Times New Roman" w:cs="Calibri"/>
                <w:lang w:eastAsia="fr-FR"/>
              </w:rPr>
            </w:pPr>
            <w:r w:rsidRPr="00DC0068">
              <w:rPr>
                <w:rFonts w:eastAsia="Times New Roman" w:cs="Calibri"/>
                <w:lang w:eastAsia="fr-FR"/>
              </w:rPr>
              <w:t>95,</w:t>
            </w:r>
            <w:r w:rsidR="00181DFA">
              <w:rPr>
                <w:rFonts w:eastAsia="Times New Roman" w:cs="Calibri"/>
                <w:lang w:eastAsia="fr-FR"/>
              </w:rPr>
              <w:t>1</w:t>
            </w:r>
          </w:p>
        </w:tc>
      </w:tr>
      <w:tr w:rsidR="00DC0068" w:rsidRPr="00DC0068" w:rsidTr="00F938B3">
        <w:trPr>
          <w:trHeight w:val="175"/>
        </w:trPr>
        <w:tc>
          <w:tcPr>
            <w:tcW w:w="5427" w:type="dxa"/>
            <w:tcBorders>
              <w:top w:val="nil"/>
              <w:left w:val="single" w:sz="4" w:space="0" w:color="auto"/>
              <w:bottom w:val="single" w:sz="4" w:space="0" w:color="auto"/>
              <w:right w:val="single" w:sz="4" w:space="0" w:color="auto"/>
            </w:tcBorders>
            <w:shd w:val="clear" w:color="000000" w:fill="FFFFFF"/>
            <w:noWrap/>
            <w:vAlign w:val="bottom"/>
            <w:hideMark/>
          </w:tcPr>
          <w:p w:rsidR="00DC0068" w:rsidRPr="00DC0068" w:rsidRDefault="00DC0068" w:rsidP="00DC0068">
            <w:pPr>
              <w:spacing w:after="0" w:line="240" w:lineRule="auto"/>
              <w:rPr>
                <w:rFonts w:eastAsia="Times New Roman" w:cs="Calibri"/>
                <w:lang w:eastAsia="fr-FR"/>
              </w:rPr>
            </w:pPr>
            <w:r w:rsidRPr="00DC0068">
              <w:rPr>
                <w:rFonts w:eastAsia="Times New Roman" w:cs="Calibri"/>
                <w:lang w:eastAsia="fr-FR"/>
              </w:rPr>
              <w:t>Assistance et secours d'urgence</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DC0068">
            <w:pPr>
              <w:spacing w:after="0" w:line="240" w:lineRule="auto"/>
              <w:jc w:val="center"/>
              <w:rPr>
                <w:rFonts w:eastAsia="Times New Roman" w:cs="Calibri"/>
                <w:lang w:eastAsia="fr-FR"/>
              </w:rPr>
            </w:pPr>
            <w:r w:rsidRPr="00DC0068">
              <w:rPr>
                <w:rFonts w:eastAsia="Times New Roman" w:cs="Calibri"/>
                <w:lang w:eastAsia="fr-FR"/>
              </w:rPr>
              <w:t>3,03</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181DFA" w:rsidP="00DC0068">
            <w:pPr>
              <w:spacing w:after="0" w:line="240" w:lineRule="auto"/>
              <w:jc w:val="center"/>
              <w:rPr>
                <w:rFonts w:eastAsia="Times New Roman" w:cs="Calibri"/>
                <w:lang w:eastAsia="fr-FR"/>
              </w:rPr>
            </w:pPr>
            <w:r>
              <w:rPr>
                <w:rFonts w:eastAsia="Times New Roman" w:cs="Calibri"/>
                <w:lang w:eastAsia="fr-FR"/>
              </w:rPr>
              <w:t>2,6</w:t>
            </w:r>
          </w:p>
        </w:tc>
      </w:tr>
      <w:tr w:rsidR="00DC0068" w:rsidRPr="00DC0068" w:rsidTr="00F938B3">
        <w:trPr>
          <w:trHeight w:val="175"/>
        </w:trPr>
        <w:tc>
          <w:tcPr>
            <w:tcW w:w="5427" w:type="dxa"/>
            <w:tcBorders>
              <w:top w:val="nil"/>
              <w:left w:val="single" w:sz="4" w:space="0" w:color="auto"/>
              <w:bottom w:val="single" w:sz="4" w:space="0" w:color="auto"/>
              <w:right w:val="single" w:sz="4" w:space="0" w:color="auto"/>
            </w:tcBorders>
            <w:shd w:val="clear" w:color="000000" w:fill="FFFFFF"/>
            <w:noWrap/>
            <w:vAlign w:val="bottom"/>
            <w:hideMark/>
          </w:tcPr>
          <w:p w:rsidR="00DC0068" w:rsidRPr="00DC0068" w:rsidRDefault="00DC0068" w:rsidP="00DC0068">
            <w:pPr>
              <w:spacing w:after="0" w:line="240" w:lineRule="auto"/>
              <w:rPr>
                <w:rFonts w:eastAsia="Times New Roman" w:cs="Calibri"/>
                <w:lang w:eastAsia="fr-FR"/>
              </w:rPr>
            </w:pPr>
            <w:r w:rsidRPr="00DC0068">
              <w:rPr>
                <w:rFonts w:eastAsia="Times New Roman" w:cs="Calibri"/>
                <w:lang w:eastAsia="fr-FR"/>
              </w:rPr>
              <w:t>Aide alimentaire</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DC0068">
            <w:pPr>
              <w:spacing w:after="0" w:line="240" w:lineRule="auto"/>
              <w:jc w:val="center"/>
              <w:rPr>
                <w:rFonts w:eastAsia="Times New Roman" w:cs="Calibri"/>
                <w:lang w:eastAsia="fr-FR"/>
              </w:rPr>
            </w:pPr>
            <w:r w:rsidRPr="00DC0068">
              <w:rPr>
                <w:rFonts w:eastAsia="Times New Roman" w:cs="Calibri"/>
                <w:lang w:eastAsia="fr-FR"/>
              </w:rPr>
              <w:t>2,64</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181DFA">
            <w:pPr>
              <w:spacing w:after="0" w:line="240" w:lineRule="auto"/>
              <w:jc w:val="center"/>
              <w:rPr>
                <w:rFonts w:eastAsia="Times New Roman" w:cs="Calibri"/>
                <w:lang w:eastAsia="fr-FR"/>
              </w:rPr>
            </w:pPr>
            <w:r w:rsidRPr="00DC0068">
              <w:rPr>
                <w:rFonts w:eastAsia="Times New Roman" w:cs="Calibri"/>
                <w:lang w:eastAsia="fr-FR"/>
              </w:rPr>
              <w:t>2,</w:t>
            </w:r>
            <w:r w:rsidR="00181DFA">
              <w:rPr>
                <w:rFonts w:eastAsia="Times New Roman" w:cs="Calibri"/>
                <w:lang w:eastAsia="fr-FR"/>
              </w:rPr>
              <w:t>3</w:t>
            </w:r>
          </w:p>
        </w:tc>
      </w:tr>
      <w:tr w:rsidR="00DC0068" w:rsidRPr="00DC0068" w:rsidTr="00F938B3">
        <w:trPr>
          <w:trHeight w:val="352"/>
        </w:trPr>
        <w:tc>
          <w:tcPr>
            <w:tcW w:w="5427" w:type="dxa"/>
            <w:tcBorders>
              <w:top w:val="nil"/>
              <w:left w:val="single" w:sz="4" w:space="0" w:color="auto"/>
              <w:bottom w:val="single" w:sz="4" w:space="0" w:color="auto"/>
              <w:right w:val="single" w:sz="4" w:space="0" w:color="auto"/>
            </w:tcBorders>
            <w:shd w:val="clear" w:color="auto" w:fill="auto"/>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Principaux bailleurs</w:t>
            </w:r>
          </w:p>
        </w:tc>
        <w:tc>
          <w:tcPr>
            <w:tcW w:w="2047" w:type="dxa"/>
            <w:tcBorders>
              <w:top w:val="nil"/>
              <w:left w:val="nil"/>
              <w:bottom w:val="single" w:sz="4" w:space="0" w:color="auto"/>
              <w:right w:val="single" w:sz="4" w:space="0" w:color="auto"/>
            </w:tcBorders>
            <w:shd w:val="clear" w:color="auto" w:fill="auto"/>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Montant en millions $US</w:t>
            </w:r>
          </w:p>
        </w:tc>
        <w:tc>
          <w:tcPr>
            <w:tcW w:w="2047" w:type="dxa"/>
            <w:tcBorders>
              <w:top w:val="nil"/>
              <w:left w:val="nil"/>
              <w:bottom w:val="single" w:sz="4" w:space="0" w:color="auto"/>
              <w:right w:val="single" w:sz="4" w:space="0" w:color="auto"/>
            </w:tcBorders>
            <w:shd w:val="clear" w:color="auto" w:fill="auto"/>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En % de l'APD du secteur</w:t>
            </w:r>
          </w:p>
        </w:tc>
      </w:tr>
      <w:tr w:rsidR="00DC0068" w:rsidRPr="00DC0068" w:rsidTr="00F938B3">
        <w:trPr>
          <w:trHeight w:val="175"/>
        </w:trPr>
        <w:tc>
          <w:tcPr>
            <w:tcW w:w="5427" w:type="dxa"/>
            <w:tcBorders>
              <w:top w:val="nil"/>
              <w:left w:val="single" w:sz="4" w:space="0" w:color="000000"/>
              <w:bottom w:val="single" w:sz="4" w:space="0" w:color="000000"/>
              <w:right w:val="single" w:sz="4" w:space="0" w:color="000000"/>
            </w:tcBorders>
            <w:shd w:val="clear" w:color="000000" w:fill="FFFFFF"/>
            <w:noWrap/>
            <w:vAlign w:val="bottom"/>
            <w:hideMark/>
          </w:tcPr>
          <w:p w:rsidR="00DC0068" w:rsidRPr="00DC0068" w:rsidRDefault="00DC0068" w:rsidP="00DC0068">
            <w:pPr>
              <w:spacing w:after="0" w:line="240" w:lineRule="auto"/>
              <w:rPr>
                <w:rFonts w:eastAsia="Times New Roman" w:cs="Calibri"/>
                <w:lang w:eastAsia="fr-FR"/>
              </w:rPr>
            </w:pPr>
            <w:r w:rsidRPr="00DC0068">
              <w:rPr>
                <w:rFonts w:eastAsia="Times New Roman" w:cs="Calibri"/>
                <w:lang w:eastAsia="fr-FR"/>
              </w:rPr>
              <w:t>Banque Mondiale</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DC0068">
            <w:pPr>
              <w:spacing w:after="0" w:line="240" w:lineRule="auto"/>
              <w:jc w:val="center"/>
              <w:rPr>
                <w:rFonts w:eastAsia="Times New Roman" w:cs="Calibri"/>
                <w:lang w:eastAsia="fr-FR"/>
              </w:rPr>
            </w:pPr>
            <w:r w:rsidRPr="00DC0068">
              <w:rPr>
                <w:rFonts w:eastAsia="Times New Roman" w:cs="Calibri"/>
                <w:lang w:eastAsia="fr-FR"/>
              </w:rPr>
              <w:t>49,48</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181DFA" w:rsidP="00DC0068">
            <w:pPr>
              <w:spacing w:after="0" w:line="240" w:lineRule="auto"/>
              <w:jc w:val="center"/>
              <w:rPr>
                <w:rFonts w:eastAsia="Times New Roman" w:cs="Calibri"/>
                <w:lang w:eastAsia="fr-FR"/>
              </w:rPr>
            </w:pPr>
            <w:r>
              <w:rPr>
                <w:rFonts w:eastAsia="Times New Roman" w:cs="Calibri"/>
                <w:lang w:eastAsia="fr-FR"/>
              </w:rPr>
              <w:t>42,9</w:t>
            </w:r>
          </w:p>
        </w:tc>
      </w:tr>
      <w:tr w:rsidR="00DC0068" w:rsidRPr="00DC0068" w:rsidTr="00F938B3">
        <w:trPr>
          <w:trHeight w:val="175"/>
        </w:trPr>
        <w:tc>
          <w:tcPr>
            <w:tcW w:w="5427" w:type="dxa"/>
            <w:tcBorders>
              <w:top w:val="nil"/>
              <w:left w:val="single" w:sz="4" w:space="0" w:color="000000"/>
              <w:bottom w:val="single" w:sz="4" w:space="0" w:color="000000"/>
              <w:right w:val="single" w:sz="4" w:space="0" w:color="000000"/>
            </w:tcBorders>
            <w:shd w:val="clear" w:color="000000" w:fill="FFFFFF"/>
            <w:noWrap/>
            <w:vAlign w:val="bottom"/>
            <w:hideMark/>
          </w:tcPr>
          <w:p w:rsidR="00DC0068" w:rsidRPr="00DC0068" w:rsidRDefault="00DC0068" w:rsidP="00DC0068">
            <w:pPr>
              <w:spacing w:after="0" w:line="240" w:lineRule="auto"/>
              <w:rPr>
                <w:rFonts w:eastAsia="Times New Roman" w:cs="Calibri"/>
                <w:lang w:eastAsia="fr-FR"/>
              </w:rPr>
            </w:pPr>
            <w:r w:rsidRPr="00DC0068">
              <w:rPr>
                <w:rFonts w:eastAsia="Times New Roman" w:cs="Calibri"/>
                <w:lang w:eastAsia="fr-FR"/>
              </w:rPr>
              <w:t>Allemagne</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DC0068">
            <w:pPr>
              <w:spacing w:after="0" w:line="240" w:lineRule="auto"/>
              <w:jc w:val="center"/>
              <w:rPr>
                <w:rFonts w:eastAsia="Times New Roman" w:cs="Calibri"/>
                <w:lang w:eastAsia="fr-FR"/>
              </w:rPr>
            </w:pPr>
            <w:r w:rsidRPr="00DC0068">
              <w:rPr>
                <w:rFonts w:eastAsia="Times New Roman" w:cs="Calibri"/>
                <w:lang w:eastAsia="fr-FR"/>
              </w:rPr>
              <w:t>18,76</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181DFA">
            <w:pPr>
              <w:spacing w:after="0" w:line="240" w:lineRule="auto"/>
              <w:jc w:val="center"/>
              <w:rPr>
                <w:rFonts w:eastAsia="Times New Roman" w:cs="Calibri"/>
                <w:lang w:eastAsia="fr-FR"/>
              </w:rPr>
            </w:pPr>
            <w:r w:rsidRPr="00DC0068">
              <w:rPr>
                <w:rFonts w:eastAsia="Times New Roman" w:cs="Calibri"/>
                <w:lang w:eastAsia="fr-FR"/>
              </w:rPr>
              <w:t>16,</w:t>
            </w:r>
            <w:r w:rsidR="00181DFA">
              <w:rPr>
                <w:rFonts w:eastAsia="Times New Roman" w:cs="Calibri"/>
                <w:lang w:eastAsia="fr-FR"/>
              </w:rPr>
              <w:t>3</w:t>
            </w:r>
          </w:p>
        </w:tc>
      </w:tr>
      <w:tr w:rsidR="00DC0068" w:rsidRPr="00DC0068" w:rsidTr="00F938B3">
        <w:trPr>
          <w:trHeight w:val="175"/>
        </w:trPr>
        <w:tc>
          <w:tcPr>
            <w:tcW w:w="5427" w:type="dxa"/>
            <w:tcBorders>
              <w:top w:val="nil"/>
              <w:left w:val="single" w:sz="4" w:space="0" w:color="000000"/>
              <w:bottom w:val="nil"/>
              <w:right w:val="single" w:sz="4" w:space="0" w:color="000000"/>
            </w:tcBorders>
            <w:shd w:val="clear" w:color="000000" w:fill="FFFFFF"/>
            <w:noWrap/>
            <w:vAlign w:val="bottom"/>
            <w:hideMark/>
          </w:tcPr>
          <w:p w:rsidR="00DC0068" w:rsidRPr="00DC0068" w:rsidRDefault="00DC0068" w:rsidP="00DC0068">
            <w:pPr>
              <w:spacing w:after="0" w:line="240" w:lineRule="auto"/>
              <w:rPr>
                <w:rFonts w:eastAsia="Times New Roman" w:cs="Calibri"/>
                <w:lang w:eastAsia="fr-FR"/>
              </w:rPr>
            </w:pPr>
            <w:r w:rsidRPr="00DC0068">
              <w:rPr>
                <w:rFonts w:eastAsia="Times New Roman" w:cs="Calibri"/>
                <w:lang w:eastAsia="fr-FR"/>
              </w:rPr>
              <w:t>Chine-Taïwan</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DC0068">
            <w:pPr>
              <w:spacing w:after="0" w:line="240" w:lineRule="auto"/>
              <w:jc w:val="center"/>
              <w:rPr>
                <w:rFonts w:eastAsia="Times New Roman" w:cs="Calibri"/>
                <w:lang w:eastAsia="fr-FR"/>
              </w:rPr>
            </w:pPr>
            <w:r w:rsidRPr="00DC0068">
              <w:rPr>
                <w:rFonts w:eastAsia="Times New Roman" w:cs="Calibri"/>
                <w:lang w:eastAsia="fr-FR"/>
              </w:rPr>
              <w:t>8,04</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181DFA" w:rsidP="00DC0068">
            <w:pPr>
              <w:spacing w:after="0" w:line="240" w:lineRule="auto"/>
              <w:jc w:val="center"/>
              <w:rPr>
                <w:rFonts w:eastAsia="Times New Roman" w:cs="Calibri"/>
                <w:lang w:eastAsia="fr-FR"/>
              </w:rPr>
            </w:pPr>
            <w:r>
              <w:rPr>
                <w:rFonts w:eastAsia="Times New Roman" w:cs="Calibri"/>
                <w:lang w:eastAsia="fr-FR"/>
              </w:rPr>
              <w:t>7</w:t>
            </w:r>
          </w:p>
        </w:tc>
      </w:tr>
      <w:tr w:rsidR="00DC0068" w:rsidRPr="00DC0068" w:rsidTr="00F938B3">
        <w:trPr>
          <w:trHeight w:val="175"/>
        </w:trPr>
        <w:tc>
          <w:tcPr>
            <w:tcW w:w="5427" w:type="dxa"/>
            <w:tcBorders>
              <w:top w:val="single" w:sz="4" w:space="0" w:color="000000"/>
              <w:left w:val="single" w:sz="4" w:space="0" w:color="000000"/>
              <w:bottom w:val="nil"/>
              <w:right w:val="single" w:sz="4" w:space="0" w:color="000000"/>
            </w:tcBorders>
            <w:shd w:val="clear" w:color="000000" w:fill="FFFFFF"/>
            <w:noWrap/>
            <w:vAlign w:val="bottom"/>
            <w:hideMark/>
          </w:tcPr>
          <w:p w:rsidR="00DC0068" w:rsidRPr="00DC0068" w:rsidRDefault="00B46C1E" w:rsidP="00DC0068">
            <w:pPr>
              <w:spacing w:after="0" w:line="240" w:lineRule="auto"/>
              <w:rPr>
                <w:rFonts w:eastAsia="Times New Roman" w:cs="Calibri"/>
                <w:lang w:eastAsia="fr-FR"/>
              </w:rPr>
            </w:pPr>
            <w:r w:rsidRPr="00DC0068">
              <w:rPr>
                <w:rFonts w:eastAsia="Times New Roman" w:cs="Calibri"/>
                <w:lang w:eastAsia="fr-FR"/>
              </w:rPr>
              <w:t>BOAD</w:t>
            </w:r>
          </w:p>
        </w:tc>
        <w:tc>
          <w:tcPr>
            <w:tcW w:w="2047" w:type="dxa"/>
            <w:tcBorders>
              <w:top w:val="nil"/>
              <w:left w:val="nil"/>
              <w:bottom w:val="nil"/>
              <w:right w:val="single" w:sz="4" w:space="0" w:color="000000"/>
            </w:tcBorders>
            <w:shd w:val="clear" w:color="000000" w:fill="FFFFFF"/>
            <w:hideMark/>
          </w:tcPr>
          <w:p w:rsidR="00DC0068" w:rsidRPr="00DC0068" w:rsidRDefault="007444EB" w:rsidP="007444EB">
            <w:pPr>
              <w:spacing w:after="0" w:line="240" w:lineRule="auto"/>
              <w:jc w:val="center"/>
              <w:rPr>
                <w:rFonts w:eastAsia="Times New Roman" w:cs="Calibri"/>
                <w:lang w:eastAsia="fr-FR"/>
              </w:rPr>
            </w:pPr>
            <w:r w:rsidRPr="00DC0068">
              <w:rPr>
                <w:rFonts w:eastAsia="Times New Roman" w:cs="Calibri"/>
                <w:lang w:eastAsia="fr-FR"/>
              </w:rPr>
              <w:t>6,55</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B46C1E" w:rsidP="00B46C1E">
            <w:pPr>
              <w:spacing w:after="0" w:line="240" w:lineRule="auto"/>
              <w:jc w:val="center"/>
              <w:rPr>
                <w:rFonts w:eastAsia="Times New Roman" w:cs="Calibri"/>
                <w:lang w:eastAsia="fr-FR"/>
              </w:rPr>
            </w:pPr>
            <w:r w:rsidRPr="00DC0068">
              <w:rPr>
                <w:rFonts w:eastAsia="Times New Roman" w:cs="Calibri"/>
                <w:lang w:eastAsia="fr-FR"/>
              </w:rPr>
              <w:t>5,</w:t>
            </w:r>
            <w:r>
              <w:rPr>
                <w:rFonts w:eastAsia="Times New Roman" w:cs="Calibri"/>
                <w:lang w:eastAsia="fr-FR"/>
              </w:rPr>
              <w:t>7</w:t>
            </w:r>
          </w:p>
        </w:tc>
      </w:tr>
      <w:tr w:rsidR="00DC0068" w:rsidRPr="00DC0068" w:rsidTr="00F938B3">
        <w:trPr>
          <w:trHeight w:val="175"/>
        </w:trPr>
        <w:tc>
          <w:tcPr>
            <w:tcW w:w="542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C0068" w:rsidRPr="00DC0068" w:rsidRDefault="00B46C1E" w:rsidP="00DC0068">
            <w:pPr>
              <w:spacing w:after="0" w:line="240" w:lineRule="auto"/>
              <w:rPr>
                <w:rFonts w:eastAsia="Times New Roman" w:cs="Calibri"/>
                <w:lang w:eastAsia="fr-FR"/>
              </w:rPr>
            </w:pPr>
            <w:r w:rsidRPr="00DC0068">
              <w:rPr>
                <w:rFonts w:eastAsia="Times New Roman" w:cs="Calibri"/>
                <w:lang w:eastAsia="fr-FR"/>
              </w:rPr>
              <w:t>SNU</w:t>
            </w:r>
          </w:p>
        </w:tc>
        <w:tc>
          <w:tcPr>
            <w:tcW w:w="2047" w:type="dxa"/>
            <w:tcBorders>
              <w:top w:val="single" w:sz="4" w:space="0" w:color="000000"/>
              <w:left w:val="nil"/>
              <w:bottom w:val="single" w:sz="4" w:space="0" w:color="000000"/>
              <w:right w:val="single" w:sz="4" w:space="0" w:color="000000"/>
            </w:tcBorders>
            <w:shd w:val="clear" w:color="000000" w:fill="FFFFFF"/>
            <w:hideMark/>
          </w:tcPr>
          <w:p w:rsidR="00DC0068" w:rsidRPr="00DC0068" w:rsidRDefault="007444EB" w:rsidP="00DC0068">
            <w:pPr>
              <w:spacing w:after="0" w:line="240" w:lineRule="auto"/>
              <w:jc w:val="center"/>
              <w:rPr>
                <w:rFonts w:eastAsia="Times New Roman" w:cs="Calibri"/>
                <w:lang w:eastAsia="fr-FR"/>
              </w:rPr>
            </w:pPr>
            <w:r w:rsidRPr="00DC0068">
              <w:rPr>
                <w:rFonts w:eastAsia="Times New Roman" w:cs="Calibri"/>
                <w:lang w:eastAsia="fr-FR"/>
              </w:rPr>
              <w:t>6,47</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B46C1E" w:rsidP="00181DFA">
            <w:pPr>
              <w:spacing w:after="0" w:line="240" w:lineRule="auto"/>
              <w:jc w:val="center"/>
              <w:rPr>
                <w:rFonts w:eastAsia="Times New Roman" w:cs="Calibri"/>
                <w:lang w:eastAsia="fr-FR"/>
              </w:rPr>
            </w:pPr>
            <w:r>
              <w:rPr>
                <w:rFonts w:eastAsia="Times New Roman" w:cs="Calibri"/>
                <w:lang w:eastAsia="fr-FR"/>
              </w:rPr>
              <w:t>5,6</w:t>
            </w:r>
          </w:p>
        </w:tc>
      </w:tr>
      <w:tr w:rsidR="00DC0068" w:rsidRPr="00DC0068" w:rsidTr="00F938B3">
        <w:trPr>
          <w:trHeight w:val="175"/>
        </w:trPr>
        <w:tc>
          <w:tcPr>
            <w:tcW w:w="5427" w:type="dxa"/>
            <w:tcBorders>
              <w:top w:val="nil"/>
              <w:left w:val="single" w:sz="4" w:space="0" w:color="auto"/>
              <w:bottom w:val="single" w:sz="4" w:space="0" w:color="auto"/>
              <w:right w:val="single" w:sz="4" w:space="0" w:color="auto"/>
            </w:tcBorders>
            <w:shd w:val="clear" w:color="auto" w:fill="auto"/>
            <w:vAlign w:val="bottom"/>
            <w:hideMark/>
          </w:tcPr>
          <w:p w:rsidR="00DC0068" w:rsidRPr="00DC0068" w:rsidRDefault="00DC0068" w:rsidP="00DC0068">
            <w:pPr>
              <w:spacing w:after="0" w:line="240" w:lineRule="auto"/>
              <w:rPr>
                <w:rFonts w:eastAsia="Times New Roman" w:cs="Calibri"/>
                <w:b/>
                <w:bCs/>
                <w:lang w:eastAsia="fr-FR"/>
              </w:rPr>
            </w:pPr>
            <w:r w:rsidRPr="00DC0068">
              <w:rPr>
                <w:rFonts w:eastAsia="Times New Roman" w:cs="Calibri"/>
                <w:b/>
                <w:bCs/>
                <w:lang w:eastAsia="fr-FR"/>
              </w:rPr>
              <w:t>Autres</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26,04</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181DFA" w:rsidP="00DC0068">
            <w:pPr>
              <w:spacing w:after="0" w:line="240" w:lineRule="auto"/>
              <w:jc w:val="center"/>
              <w:rPr>
                <w:rFonts w:eastAsia="Times New Roman" w:cs="Calibri"/>
                <w:b/>
                <w:bCs/>
                <w:lang w:eastAsia="fr-FR"/>
              </w:rPr>
            </w:pPr>
            <w:r>
              <w:rPr>
                <w:rFonts w:eastAsia="Times New Roman" w:cs="Calibri"/>
                <w:b/>
                <w:bCs/>
                <w:lang w:eastAsia="fr-FR"/>
              </w:rPr>
              <w:t>22,6</w:t>
            </w:r>
          </w:p>
        </w:tc>
      </w:tr>
      <w:tr w:rsidR="00DC0068" w:rsidRPr="00DC0068" w:rsidTr="00F938B3">
        <w:trPr>
          <w:trHeight w:val="402"/>
        </w:trPr>
        <w:tc>
          <w:tcPr>
            <w:tcW w:w="5427" w:type="dxa"/>
            <w:tcBorders>
              <w:top w:val="nil"/>
              <w:left w:val="single" w:sz="4" w:space="0" w:color="auto"/>
              <w:bottom w:val="single" w:sz="4" w:space="0" w:color="auto"/>
              <w:right w:val="single" w:sz="4" w:space="0" w:color="auto"/>
            </w:tcBorders>
            <w:shd w:val="clear" w:color="auto" w:fill="CCFFFF"/>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Répartition par conditions</w:t>
            </w:r>
          </w:p>
        </w:tc>
        <w:tc>
          <w:tcPr>
            <w:tcW w:w="2047" w:type="dxa"/>
            <w:tcBorders>
              <w:top w:val="nil"/>
              <w:left w:val="nil"/>
              <w:bottom w:val="single" w:sz="4" w:space="0" w:color="auto"/>
              <w:right w:val="single" w:sz="4" w:space="0" w:color="auto"/>
            </w:tcBorders>
            <w:shd w:val="clear" w:color="auto" w:fill="CCFFFF"/>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Montant en millions $US</w:t>
            </w:r>
          </w:p>
        </w:tc>
        <w:tc>
          <w:tcPr>
            <w:tcW w:w="2047" w:type="dxa"/>
            <w:tcBorders>
              <w:top w:val="nil"/>
              <w:left w:val="nil"/>
              <w:bottom w:val="single" w:sz="4" w:space="0" w:color="auto"/>
              <w:right w:val="single" w:sz="4" w:space="0" w:color="auto"/>
            </w:tcBorders>
            <w:shd w:val="clear" w:color="auto" w:fill="CCFFFF"/>
            <w:vAlign w:val="center"/>
            <w:hideMark/>
          </w:tcPr>
          <w:p w:rsidR="00DC0068" w:rsidRPr="00DC0068" w:rsidRDefault="00DC0068" w:rsidP="00DC0068">
            <w:pPr>
              <w:spacing w:after="0" w:line="240" w:lineRule="auto"/>
              <w:jc w:val="center"/>
              <w:rPr>
                <w:rFonts w:eastAsia="Times New Roman" w:cs="Calibri"/>
                <w:b/>
                <w:bCs/>
                <w:lang w:eastAsia="fr-FR"/>
              </w:rPr>
            </w:pPr>
            <w:r w:rsidRPr="00DC0068">
              <w:rPr>
                <w:rFonts w:eastAsia="Times New Roman" w:cs="Calibri"/>
                <w:b/>
                <w:bCs/>
                <w:lang w:eastAsia="fr-FR"/>
              </w:rPr>
              <w:t>En % de l'APD du secteur</w:t>
            </w:r>
          </w:p>
        </w:tc>
      </w:tr>
      <w:tr w:rsidR="00DC0068" w:rsidRPr="00DC0068" w:rsidTr="00F938B3">
        <w:trPr>
          <w:trHeight w:val="167"/>
        </w:trPr>
        <w:tc>
          <w:tcPr>
            <w:tcW w:w="5427" w:type="dxa"/>
            <w:tcBorders>
              <w:top w:val="nil"/>
              <w:left w:val="single" w:sz="4" w:space="0" w:color="auto"/>
              <w:bottom w:val="single" w:sz="4" w:space="0" w:color="auto"/>
              <w:right w:val="single" w:sz="4" w:space="0" w:color="auto"/>
            </w:tcBorders>
            <w:shd w:val="clear" w:color="000000" w:fill="FFFFFF"/>
            <w:noWrap/>
            <w:vAlign w:val="bottom"/>
            <w:hideMark/>
          </w:tcPr>
          <w:p w:rsidR="00DC0068" w:rsidRPr="00DC0068" w:rsidRDefault="00DC0068" w:rsidP="00DC0068">
            <w:pPr>
              <w:spacing w:after="0" w:line="240" w:lineRule="auto"/>
              <w:rPr>
                <w:rFonts w:eastAsia="Times New Roman" w:cs="Calibri"/>
                <w:lang w:eastAsia="fr-FR"/>
              </w:rPr>
            </w:pPr>
            <w:r w:rsidRPr="00DC0068">
              <w:rPr>
                <w:rFonts w:eastAsia="Times New Roman" w:cs="Calibri"/>
                <w:lang w:eastAsia="fr-FR"/>
              </w:rPr>
              <w:t>Prêts</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DC0068" w:rsidP="00DC0068">
            <w:pPr>
              <w:spacing w:after="0" w:line="240" w:lineRule="auto"/>
              <w:jc w:val="center"/>
              <w:rPr>
                <w:rFonts w:eastAsia="Times New Roman" w:cs="Calibri"/>
                <w:lang w:eastAsia="fr-FR"/>
              </w:rPr>
            </w:pPr>
            <w:r w:rsidRPr="00DC0068">
              <w:rPr>
                <w:rFonts w:eastAsia="Times New Roman" w:cs="Calibri"/>
                <w:lang w:eastAsia="fr-FR"/>
              </w:rPr>
              <w:t>42,74</w:t>
            </w:r>
          </w:p>
        </w:tc>
        <w:tc>
          <w:tcPr>
            <w:tcW w:w="2047" w:type="dxa"/>
            <w:tcBorders>
              <w:top w:val="nil"/>
              <w:left w:val="nil"/>
              <w:bottom w:val="single" w:sz="4" w:space="0" w:color="000000"/>
              <w:right w:val="single" w:sz="4" w:space="0" w:color="000000"/>
            </w:tcBorders>
            <w:shd w:val="clear" w:color="000000" w:fill="FFFFFF"/>
            <w:hideMark/>
          </w:tcPr>
          <w:p w:rsidR="00DC0068" w:rsidRPr="00DC0068" w:rsidRDefault="00181DFA" w:rsidP="00DC0068">
            <w:pPr>
              <w:spacing w:after="0" w:line="240" w:lineRule="auto"/>
              <w:jc w:val="center"/>
              <w:rPr>
                <w:rFonts w:eastAsia="Times New Roman" w:cs="Calibri"/>
                <w:lang w:eastAsia="fr-FR"/>
              </w:rPr>
            </w:pPr>
            <w:r>
              <w:rPr>
                <w:rFonts w:eastAsia="Times New Roman" w:cs="Calibri"/>
                <w:lang w:eastAsia="fr-FR"/>
              </w:rPr>
              <w:t>37,1</w:t>
            </w:r>
          </w:p>
        </w:tc>
      </w:tr>
      <w:tr w:rsidR="00DC0068" w:rsidRPr="000940C1" w:rsidTr="00F938B3">
        <w:trPr>
          <w:trHeight w:val="167"/>
        </w:trPr>
        <w:tc>
          <w:tcPr>
            <w:tcW w:w="5427" w:type="dxa"/>
            <w:tcBorders>
              <w:top w:val="nil"/>
              <w:left w:val="single" w:sz="4" w:space="0" w:color="auto"/>
              <w:bottom w:val="single" w:sz="4" w:space="0" w:color="auto"/>
              <w:right w:val="single" w:sz="4" w:space="0" w:color="auto"/>
            </w:tcBorders>
            <w:shd w:val="clear" w:color="000000" w:fill="FFFFFF"/>
            <w:noWrap/>
            <w:vAlign w:val="bottom"/>
            <w:hideMark/>
          </w:tcPr>
          <w:p w:rsidR="00DC0068" w:rsidRPr="000940C1" w:rsidRDefault="00DC0068" w:rsidP="00DC0068">
            <w:pPr>
              <w:spacing w:after="0" w:line="240" w:lineRule="auto"/>
              <w:rPr>
                <w:rFonts w:eastAsia="Times New Roman" w:cs="Calibri"/>
                <w:lang w:eastAsia="fr-FR"/>
              </w:rPr>
            </w:pPr>
            <w:r w:rsidRPr="000940C1">
              <w:rPr>
                <w:rFonts w:eastAsia="Times New Roman" w:cs="Calibri"/>
                <w:lang w:eastAsia="fr-FR"/>
              </w:rPr>
              <w:t>Dons</w:t>
            </w:r>
          </w:p>
        </w:tc>
        <w:tc>
          <w:tcPr>
            <w:tcW w:w="2047" w:type="dxa"/>
            <w:tcBorders>
              <w:top w:val="nil"/>
              <w:left w:val="nil"/>
              <w:bottom w:val="single" w:sz="4" w:space="0" w:color="000000"/>
              <w:right w:val="single" w:sz="4" w:space="0" w:color="000000"/>
            </w:tcBorders>
            <w:shd w:val="clear" w:color="000000" w:fill="FFFFFF"/>
            <w:hideMark/>
          </w:tcPr>
          <w:p w:rsidR="00DC0068" w:rsidRPr="000940C1" w:rsidRDefault="00DC0068" w:rsidP="00DC0068">
            <w:pPr>
              <w:spacing w:after="0" w:line="240" w:lineRule="auto"/>
              <w:jc w:val="center"/>
              <w:rPr>
                <w:rFonts w:eastAsia="Times New Roman" w:cs="Calibri"/>
                <w:lang w:eastAsia="fr-FR"/>
              </w:rPr>
            </w:pPr>
            <w:r w:rsidRPr="000940C1">
              <w:rPr>
                <w:rFonts w:eastAsia="Times New Roman" w:cs="Calibri"/>
                <w:lang w:eastAsia="fr-FR"/>
              </w:rPr>
              <w:t>72,59</w:t>
            </w:r>
          </w:p>
        </w:tc>
        <w:tc>
          <w:tcPr>
            <w:tcW w:w="2047" w:type="dxa"/>
            <w:tcBorders>
              <w:top w:val="nil"/>
              <w:left w:val="nil"/>
              <w:bottom w:val="single" w:sz="4" w:space="0" w:color="000000"/>
              <w:right w:val="single" w:sz="4" w:space="0" w:color="000000"/>
            </w:tcBorders>
            <w:shd w:val="clear" w:color="000000" w:fill="FFFFFF"/>
            <w:hideMark/>
          </w:tcPr>
          <w:p w:rsidR="00DC0068" w:rsidRPr="000940C1" w:rsidRDefault="00181DFA" w:rsidP="00DC0068">
            <w:pPr>
              <w:spacing w:after="0" w:line="240" w:lineRule="auto"/>
              <w:jc w:val="center"/>
              <w:rPr>
                <w:rFonts w:eastAsia="Times New Roman" w:cs="Calibri"/>
                <w:lang w:eastAsia="fr-FR"/>
              </w:rPr>
            </w:pPr>
            <w:r>
              <w:rPr>
                <w:rFonts w:eastAsia="Times New Roman" w:cs="Calibri"/>
                <w:lang w:eastAsia="fr-FR"/>
              </w:rPr>
              <w:t>62,9</w:t>
            </w:r>
          </w:p>
        </w:tc>
      </w:tr>
    </w:tbl>
    <w:p w:rsidR="009A4DF8" w:rsidRPr="00F938B3" w:rsidRDefault="009A4DF8" w:rsidP="009A4DF8">
      <w:pPr>
        <w:jc w:val="both"/>
        <w:rPr>
          <w:rFonts w:ascii="Arial" w:hAnsi="Arial" w:cs="Arial"/>
          <w:i/>
        </w:rPr>
      </w:pPr>
      <w:r w:rsidRPr="00F938B3">
        <w:rPr>
          <w:rFonts w:ascii="Arial" w:hAnsi="Arial" w:cs="Arial"/>
          <w:b/>
          <w:i/>
          <w:u w:val="single"/>
        </w:rPr>
        <w:t>Source :</w:t>
      </w:r>
      <w:r w:rsidRPr="00F938B3">
        <w:rPr>
          <w:rFonts w:ascii="Arial" w:hAnsi="Arial" w:cs="Arial"/>
          <w:i/>
        </w:rPr>
        <w:t xml:space="preserve"> PGA/DGCOOP, juillet 2017</w:t>
      </w:r>
    </w:p>
    <w:p w:rsidR="000940C1" w:rsidRPr="000940C1" w:rsidRDefault="000940C1" w:rsidP="000940C1">
      <w:pPr>
        <w:jc w:val="both"/>
        <w:rPr>
          <w:rFonts w:ascii="Arial" w:hAnsi="Arial" w:cs="Arial"/>
        </w:rPr>
      </w:pPr>
      <w:r w:rsidRPr="000940C1">
        <w:rPr>
          <w:rFonts w:ascii="Arial" w:hAnsi="Arial" w:cs="Arial"/>
        </w:rPr>
        <w:t xml:space="preserve">L’aide projet sans fonds commun avec </w:t>
      </w:r>
      <w:r w:rsidRPr="000940C1">
        <w:rPr>
          <w:rFonts w:ascii="Arial" w:eastAsia="Times New Roman" w:hAnsi="Arial" w:cs="Arial"/>
          <w:sz w:val="20"/>
          <w:szCs w:val="20"/>
          <w:lang w:eastAsia="fr-FR"/>
        </w:rPr>
        <w:t xml:space="preserve">109,66 </w:t>
      </w:r>
      <w:r w:rsidRPr="000940C1">
        <w:rPr>
          <w:rFonts w:ascii="Arial" w:hAnsi="Arial" w:cs="Arial"/>
        </w:rPr>
        <w:t>millions dollars US est le principal type d’assistance utilisé pour financer les projets dans le secteur. L’Assistance et secours d’urgence et l’aide alimentaire ont été très marginalement utilisés avec des proportions respectives de 2,6% et 2,3% de l’aide du secteur.</w:t>
      </w:r>
    </w:p>
    <w:p w:rsidR="000940C1" w:rsidRPr="000940C1" w:rsidRDefault="000940C1" w:rsidP="000940C1">
      <w:pPr>
        <w:jc w:val="both"/>
        <w:rPr>
          <w:rFonts w:ascii="Arial" w:hAnsi="Arial" w:cs="Arial"/>
        </w:rPr>
      </w:pPr>
      <w:r w:rsidRPr="000940C1">
        <w:rPr>
          <w:rFonts w:ascii="Arial" w:hAnsi="Arial" w:cs="Arial"/>
        </w:rPr>
        <w:t>Le graphique ci-dessus retrace les principaux partenaires intervenant dans le secteur.</w:t>
      </w:r>
    </w:p>
    <w:p w:rsidR="009A4DF8" w:rsidRPr="00F938B3" w:rsidRDefault="00F938B3" w:rsidP="00F938B3">
      <w:pPr>
        <w:pStyle w:val="Lgende"/>
        <w:rPr>
          <w:color w:val="auto"/>
          <w:u w:val="none"/>
        </w:rPr>
      </w:pPr>
      <w:bookmarkStart w:id="608" w:name="_Toc492895749"/>
      <w:r w:rsidRPr="00F938B3">
        <w:rPr>
          <w:color w:val="auto"/>
        </w:rPr>
        <w:t xml:space="preserve">Graphique </w:t>
      </w:r>
      <w:r w:rsidRPr="00F938B3">
        <w:rPr>
          <w:color w:val="auto"/>
        </w:rPr>
        <w:fldChar w:fldCharType="begin"/>
      </w:r>
      <w:r w:rsidRPr="00F938B3">
        <w:rPr>
          <w:color w:val="auto"/>
        </w:rPr>
        <w:instrText xml:space="preserve"> SEQ Graphique \* ARABIC </w:instrText>
      </w:r>
      <w:r w:rsidRPr="00F938B3">
        <w:rPr>
          <w:color w:val="auto"/>
        </w:rPr>
        <w:fldChar w:fldCharType="separate"/>
      </w:r>
      <w:r w:rsidR="009A1402">
        <w:rPr>
          <w:noProof/>
          <w:color w:val="auto"/>
        </w:rPr>
        <w:t>16</w:t>
      </w:r>
      <w:r w:rsidRPr="00F938B3">
        <w:rPr>
          <w:color w:val="auto"/>
        </w:rPr>
        <w:fldChar w:fldCharType="end"/>
      </w:r>
      <w:r w:rsidRPr="00F938B3">
        <w:rPr>
          <w:color w:val="auto"/>
        </w:rPr>
        <w:t> :</w:t>
      </w:r>
      <w:r w:rsidR="009A4DF8" w:rsidRPr="00F938B3">
        <w:rPr>
          <w:color w:val="auto"/>
        </w:rPr>
        <w:t xml:space="preserve"> </w:t>
      </w:r>
      <w:r w:rsidR="009A4DF8" w:rsidRPr="00F938B3">
        <w:rPr>
          <w:color w:val="auto"/>
          <w:u w:val="none"/>
        </w:rPr>
        <w:t>Les cinq premiers bailleurs de fonds du secteur « Production agro-sylvo-pastorale » en 2016 (en millions dollars US)</w:t>
      </w:r>
      <w:bookmarkEnd w:id="608"/>
    </w:p>
    <w:p w:rsidR="00DC0068" w:rsidRPr="009F1F8A" w:rsidRDefault="00736C2D" w:rsidP="00DC0068">
      <w:pPr>
        <w:spacing w:after="0"/>
        <w:jc w:val="both"/>
        <w:rPr>
          <w:rFonts w:ascii="Arial" w:hAnsi="Arial" w:cs="Arial"/>
          <w:b/>
          <w:color w:val="FF0000"/>
        </w:rPr>
      </w:pPr>
      <w:r>
        <w:rPr>
          <w:noProof/>
          <w:lang w:eastAsia="fr-FR"/>
        </w:rPr>
        <w:drawing>
          <wp:inline distT="0" distB="0" distL="0" distR="0" wp14:anchorId="075EA099" wp14:editId="5443B166">
            <wp:extent cx="5760720" cy="1783715"/>
            <wp:effectExtent l="0" t="0" r="11430" b="6985"/>
            <wp:docPr id="2"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9A4DF8" w:rsidRPr="00181DFA" w:rsidRDefault="009A4DF8" w:rsidP="00DC0068">
      <w:pPr>
        <w:spacing w:after="240" w:line="240" w:lineRule="auto"/>
        <w:jc w:val="both"/>
        <w:rPr>
          <w:rFonts w:ascii="Arial" w:hAnsi="Arial" w:cs="Arial"/>
          <w:b/>
          <w:i/>
        </w:rPr>
      </w:pPr>
      <w:r w:rsidRPr="00181DFA">
        <w:rPr>
          <w:rFonts w:ascii="Arial" w:hAnsi="Arial" w:cs="Arial"/>
          <w:b/>
          <w:i/>
          <w:u w:val="single"/>
        </w:rPr>
        <w:t>Source </w:t>
      </w:r>
      <w:r w:rsidRPr="00181DFA">
        <w:rPr>
          <w:rFonts w:ascii="Arial" w:hAnsi="Arial" w:cs="Arial"/>
          <w:b/>
          <w:i/>
        </w:rPr>
        <w:t>:</w:t>
      </w:r>
      <w:r w:rsidR="00AA7503" w:rsidRPr="00181DFA">
        <w:rPr>
          <w:rFonts w:ascii="Arial" w:hAnsi="Arial" w:cs="Arial"/>
          <w:b/>
          <w:i/>
        </w:rPr>
        <w:t xml:space="preserve"> </w:t>
      </w:r>
      <w:r w:rsidRPr="00181DFA">
        <w:rPr>
          <w:rFonts w:ascii="Arial" w:hAnsi="Arial" w:cs="Arial"/>
          <w:b/>
          <w:i/>
        </w:rPr>
        <w:t>PGA/DGCOOP/juillet 2017</w:t>
      </w:r>
    </w:p>
    <w:p w:rsidR="000940C1" w:rsidRPr="008E2B01" w:rsidRDefault="000940C1" w:rsidP="000940C1">
      <w:pPr>
        <w:jc w:val="both"/>
        <w:rPr>
          <w:rFonts w:ascii="Arial" w:hAnsi="Arial" w:cs="Arial"/>
        </w:rPr>
      </w:pPr>
      <w:r w:rsidRPr="009B2A1E">
        <w:rPr>
          <w:rFonts w:ascii="Arial" w:hAnsi="Arial" w:cs="Arial"/>
        </w:rPr>
        <w:t>En termes de volume d’aide fournie à ce secteur, les cinq principaux bailleurs ont contribué à hauteur de 89,3</w:t>
      </w:r>
      <w:r w:rsidR="00181DFA">
        <w:rPr>
          <w:rFonts w:ascii="Arial" w:hAnsi="Arial" w:cs="Arial"/>
        </w:rPr>
        <w:t xml:space="preserve"> millions dollars US soit, 77,4</w:t>
      </w:r>
      <w:r w:rsidRPr="009B2A1E">
        <w:rPr>
          <w:rFonts w:ascii="Arial" w:hAnsi="Arial" w:cs="Arial"/>
        </w:rPr>
        <w:t>% l’APD du secteur</w:t>
      </w:r>
      <w:r w:rsidRPr="008E2B01">
        <w:rPr>
          <w:rFonts w:ascii="Arial" w:hAnsi="Arial" w:cs="Arial"/>
        </w:rPr>
        <w:t>. Avec une contribution de 49,95 millions dollar US, la Banque mondiale se hisse à la 1</w:t>
      </w:r>
      <w:r w:rsidRPr="008E2B01">
        <w:rPr>
          <w:rFonts w:ascii="Arial" w:hAnsi="Arial" w:cs="Arial"/>
          <w:vertAlign w:val="superscript"/>
        </w:rPr>
        <w:t xml:space="preserve">ère </w:t>
      </w:r>
      <w:r w:rsidRPr="008E2B01">
        <w:rPr>
          <w:rFonts w:ascii="Arial" w:hAnsi="Arial" w:cs="Arial"/>
        </w:rPr>
        <w:t>place des contributeurs du secteur, suivi de l’Allemagne, de  la Chine Taiwan, de la BOAD et du SNU pour des proportions respectives de 16,</w:t>
      </w:r>
      <w:r w:rsidR="00181DFA">
        <w:rPr>
          <w:rFonts w:ascii="Arial" w:hAnsi="Arial" w:cs="Arial"/>
        </w:rPr>
        <w:t>3%, 7</w:t>
      </w:r>
      <w:r w:rsidRPr="008E2B01">
        <w:rPr>
          <w:rFonts w:ascii="Arial" w:hAnsi="Arial" w:cs="Arial"/>
        </w:rPr>
        <w:t>%, 5,</w:t>
      </w:r>
      <w:r w:rsidR="00181DFA">
        <w:rPr>
          <w:rFonts w:ascii="Arial" w:hAnsi="Arial" w:cs="Arial"/>
        </w:rPr>
        <w:t>7% et 5,6</w:t>
      </w:r>
      <w:r w:rsidRPr="008E2B01">
        <w:rPr>
          <w:rFonts w:ascii="Arial" w:hAnsi="Arial" w:cs="Arial"/>
        </w:rPr>
        <w:t>%</w:t>
      </w:r>
    </w:p>
    <w:p w:rsidR="000940C1" w:rsidRPr="00AB4191" w:rsidRDefault="000940C1" w:rsidP="000940C1">
      <w:pPr>
        <w:jc w:val="both"/>
        <w:rPr>
          <w:rFonts w:ascii="Arial" w:eastAsia="Times New Roman" w:hAnsi="Arial" w:cs="Arial"/>
          <w:lang w:eastAsia="fr-FR"/>
        </w:rPr>
      </w:pPr>
      <w:r w:rsidRPr="00AB4191">
        <w:rPr>
          <w:rFonts w:ascii="Arial" w:hAnsi="Arial" w:cs="Arial"/>
        </w:rPr>
        <w:lastRenderedPageBreak/>
        <w:t xml:space="preserve">Les financements de ce secteur ont été fournis sous forme de dons à hauteur de </w:t>
      </w:r>
      <w:r w:rsidR="00181DFA">
        <w:rPr>
          <w:rFonts w:ascii="Arial" w:eastAsia="Times New Roman" w:hAnsi="Arial" w:cs="Arial"/>
          <w:lang w:eastAsia="fr-FR"/>
        </w:rPr>
        <w:t>62,9</w:t>
      </w:r>
      <w:r w:rsidRPr="00AB4191">
        <w:rPr>
          <w:rFonts w:ascii="Arial" w:eastAsia="Times New Roman" w:hAnsi="Arial" w:cs="Arial"/>
          <w:lang w:eastAsia="fr-FR"/>
        </w:rPr>
        <w:t>% contre 37,</w:t>
      </w:r>
      <w:r w:rsidR="00181DFA">
        <w:rPr>
          <w:rFonts w:ascii="Arial" w:eastAsia="Times New Roman" w:hAnsi="Arial" w:cs="Arial"/>
          <w:lang w:eastAsia="fr-FR"/>
        </w:rPr>
        <w:t>1</w:t>
      </w:r>
      <w:r w:rsidRPr="00AB4191">
        <w:rPr>
          <w:rFonts w:ascii="Arial" w:eastAsia="Times New Roman" w:hAnsi="Arial" w:cs="Arial"/>
          <w:lang w:eastAsia="fr-FR"/>
        </w:rPr>
        <w:t>% sous forme de prêts.</w:t>
      </w:r>
    </w:p>
    <w:p w:rsidR="000940C1" w:rsidRPr="00381CD3" w:rsidRDefault="000940C1" w:rsidP="000940C1">
      <w:pPr>
        <w:rPr>
          <w:sz w:val="24"/>
          <w:szCs w:val="24"/>
        </w:rPr>
      </w:pPr>
      <w:r w:rsidRPr="00381CD3">
        <w:rPr>
          <w:rFonts w:ascii="Arial" w:hAnsi="Arial" w:cs="Arial"/>
        </w:rPr>
        <w:t>Les principaux projets financés dans ce secteur se présentent comme suit :</w:t>
      </w:r>
      <w:r w:rsidRPr="00381CD3">
        <w:rPr>
          <w:rFonts w:ascii="Arial" w:eastAsia="Times New Roman" w:hAnsi="Arial" w:cs="Arial"/>
          <w:sz w:val="24"/>
          <w:szCs w:val="24"/>
          <w:lang w:eastAsia="fr-FR"/>
        </w:rPr>
        <w:t xml:space="preserve"> </w:t>
      </w:r>
    </w:p>
    <w:p w:rsidR="000940C1" w:rsidRPr="00181DFA" w:rsidRDefault="000940C1" w:rsidP="008D7758">
      <w:pPr>
        <w:pStyle w:val="Paragraphedeliste"/>
        <w:numPr>
          <w:ilvl w:val="0"/>
          <w:numId w:val="130"/>
        </w:numPr>
      </w:pPr>
      <w:r w:rsidRPr="00181DFA">
        <w:rPr>
          <w:rFonts w:ascii="Arial" w:eastAsia="Times New Roman" w:hAnsi="Arial" w:cs="Arial"/>
          <w:lang w:eastAsia="fr-FR"/>
        </w:rPr>
        <w:t>le Programme d'Appui aux Filières Agro-Sylvo-Pastorales (PAFASP) d’un montant de 21,60 millions dollars US de la Banque Mondiale ;</w:t>
      </w:r>
    </w:p>
    <w:p w:rsidR="000940C1" w:rsidRPr="00181DFA" w:rsidRDefault="000940C1" w:rsidP="008D7758">
      <w:pPr>
        <w:pStyle w:val="Paragraphedeliste"/>
        <w:numPr>
          <w:ilvl w:val="0"/>
          <w:numId w:val="130"/>
        </w:numPr>
      </w:pPr>
      <w:r w:rsidRPr="00181DFA">
        <w:rPr>
          <w:rFonts w:ascii="Arial" w:eastAsia="Times New Roman" w:hAnsi="Arial" w:cs="Arial"/>
          <w:lang w:eastAsia="fr-FR"/>
        </w:rPr>
        <w:t>le projet Pôle de Croissance de Bagré pour 13, 90 millions dollars US de la Banque Mondiale ;</w:t>
      </w:r>
    </w:p>
    <w:p w:rsidR="000940C1" w:rsidRPr="00181DFA" w:rsidRDefault="000940C1" w:rsidP="008D7758">
      <w:pPr>
        <w:pStyle w:val="Paragraphedeliste"/>
        <w:numPr>
          <w:ilvl w:val="0"/>
          <w:numId w:val="130"/>
        </w:numPr>
      </w:pPr>
      <w:r w:rsidRPr="00181DFA">
        <w:rPr>
          <w:rFonts w:ascii="Arial" w:eastAsia="Times New Roman" w:hAnsi="Arial" w:cs="Arial"/>
          <w:lang w:eastAsia="fr-FR"/>
        </w:rPr>
        <w:t>le Projet d'amélioration de la productivité Agricole et la Sécurité Alimentaire (PAPSA) financé à hauteur de 8,20 millions dollars US par la Banque Mondiale ;</w:t>
      </w:r>
    </w:p>
    <w:p w:rsidR="000940C1" w:rsidRPr="00181DFA" w:rsidRDefault="000940C1" w:rsidP="008D7758">
      <w:pPr>
        <w:pStyle w:val="Paragraphedeliste"/>
        <w:numPr>
          <w:ilvl w:val="0"/>
          <w:numId w:val="130"/>
        </w:numPr>
      </w:pPr>
      <w:r w:rsidRPr="00181DFA">
        <w:rPr>
          <w:rFonts w:ascii="Arial" w:eastAsia="Times New Roman" w:hAnsi="Arial" w:cs="Arial"/>
          <w:lang w:eastAsia="fr-FR"/>
        </w:rPr>
        <w:t>le PRP III/MA pour 5,14 millions dollars US de la Chine-Taiwan ;</w:t>
      </w:r>
    </w:p>
    <w:p w:rsidR="000940C1" w:rsidRPr="00181DFA" w:rsidRDefault="000940C1" w:rsidP="008D7758">
      <w:pPr>
        <w:pStyle w:val="Paragraphedeliste"/>
        <w:numPr>
          <w:ilvl w:val="0"/>
          <w:numId w:val="130"/>
        </w:numPr>
      </w:pPr>
      <w:r w:rsidRPr="00181DFA">
        <w:rPr>
          <w:rFonts w:ascii="Arial" w:eastAsia="Times New Roman" w:hAnsi="Arial" w:cs="Arial"/>
          <w:lang w:eastAsia="fr-FR"/>
        </w:rPr>
        <w:t>le Programme de Développement de l'Agriculture (PDA) 4,86 millions dollars US financé par l’Allemagne.</w:t>
      </w:r>
    </w:p>
    <w:p w:rsidR="009A4DF8" w:rsidRPr="000940C1" w:rsidRDefault="000940C1" w:rsidP="000940C1">
      <w:pPr>
        <w:jc w:val="both"/>
        <w:rPr>
          <w:rFonts w:ascii="Arial" w:hAnsi="Arial" w:cs="Arial"/>
        </w:rPr>
      </w:pPr>
      <w:r w:rsidRPr="000940C1">
        <w:rPr>
          <w:rFonts w:ascii="Arial" w:hAnsi="Arial" w:cs="Arial"/>
        </w:rPr>
        <w:t>L’aide destinée à ces programmes et projets est évaluée à 53,7 millions dollars US soit 46,6% de l’aide totale du secteur.</w:t>
      </w:r>
    </w:p>
    <w:p w:rsidR="009A4DF8" w:rsidRPr="00F538F7" w:rsidRDefault="009A4DF8" w:rsidP="008D7758">
      <w:pPr>
        <w:pStyle w:val="Titre2"/>
        <w:numPr>
          <w:ilvl w:val="0"/>
          <w:numId w:val="117"/>
        </w:numPr>
        <w:tabs>
          <w:tab w:val="left" w:pos="1134"/>
        </w:tabs>
      </w:pPr>
      <w:bookmarkStart w:id="609" w:name="_Toc427009771"/>
      <w:bookmarkStart w:id="610" w:name="_Toc459122861"/>
      <w:bookmarkStart w:id="611" w:name="_Toc492972225"/>
      <w:r w:rsidRPr="00F538F7">
        <w:t>Secteur « Education et formation»</w:t>
      </w:r>
      <w:bookmarkEnd w:id="609"/>
      <w:bookmarkEnd w:id="610"/>
      <w:bookmarkEnd w:id="611"/>
    </w:p>
    <w:p w:rsidR="000E4CEA" w:rsidRPr="000E4CEA" w:rsidRDefault="000E4CEA" w:rsidP="000E4CEA">
      <w:pPr>
        <w:jc w:val="both"/>
        <w:rPr>
          <w:rFonts w:ascii="Arial" w:hAnsi="Arial" w:cs="Arial"/>
        </w:rPr>
      </w:pPr>
      <w:r w:rsidRPr="000E4CEA">
        <w:rPr>
          <w:rFonts w:ascii="Arial" w:hAnsi="Arial" w:cs="Arial"/>
        </w:rPr>
        <w:t>Le secteur « Education et Formation » concerne les sous-secteurs enseignement préélémentaire et primaire, enseignement secondaire, enseignement postsecondaire non supérieur, enseignement supérieur, enseignement non défini par niveau, services annexes à l'enseignement et formations technique et professionnelle.</w:t>
      </w:r>
    </w:p>
    <w:p w:rsidR="000E4CEA" w:rsidRPr="000E4CEA" w:rsidRDefault="000E4CEA" w:rsidP="000E4CEA">
      <w:pPr>
        <w:jc w:val="both"/>
        <w:rPr>
          <w:rFonts w:ascii="Arial" w:hAnsi="Arial" w:cs="Arial"/>
        </w:rPr>
      </w:pPr>
      <w:r w:rsidRPr="000E4CEA">
        <w:rPr>
          <w:rFonts w:ascii="Arial" w:hAnsi="Arial" w:cs="Arial"/>
        </w:rPr>
        <w:t>En 2016, le secteur a reçu  un montant de 106,</w:t>
      </w:r>
      <w:r w:rsidR="0099570E">
        <w:rPr>
          <w:rFonts w:ascii="Arial" w:hAnsi="Arial" w:cs="Arial"/>
        </w:rPr>
        <w:t>44 millions dollars US soit 9.3</w:t>
      </w:r>
      <w:r w:rsidRPr="000E4CEA">
        <w:rPr>
          <w:rFonts w:ascii="Arial" w:hAnsi="Arial" w:cs="Arial"/>
        </w:rPr>
        <w:t xml:space="preserve">% de l’APD totale. Cette enveloppe représente une hausse de </w:t>
      </w:r>
      <w:r w:rsidR="0099570E">
        <w:rPr>
          <w:rFonts w:ascii="Arial" w:hAnsi="Arial" w:cs="Arial"/>
        </w:rPr>
        <w:t>18</w:t>
      </w:r>
      <w:r w:rsidRPr="000E4CEA">
        <w:rPr>
          <w:rFonts w:ascii="Arial" w:hAnsi="Arial" w:cs="Arial"/>
        </w:rPr>
        <w:t>% par rapport à celle de 2015. Tout comme l’année précédente, l’aide sans fonds communs demeure la modalité la plus utilis</w:t>
      </w:r>
      <w:r w:rsidR="0099570E">
        <w:rPr>
          <w:rFonts w:ascii="Arial" w:hAnsi="Arial" w:cs="Arial"/>
        </w:rPr>
        <w:t>ée en 2016 avec un taux de 77,3</w:t>
      </w:r>
      <w:r w:rsidRPr="000E4CEA">
        <w:rPr>
          <w:rFonts w:ascii="Arial" w:hAnsi="Arial" w:cs="Arial"/>
        </w:rPr>
        <w:t xml:space="preserve">%.   </w:t>
      </w:r>
    </w:p>
    <w:p w:rsidR="007340D6" w:rsidRPr="000E4CEA" w:rsidRDefault="000E4CEA" w:rsidP="000E4CEA">
      <w:pPr>
        <w:jc w:val="both"/>
        <w:rPr>
          <w:rFonts w:ascii="Arial" w:hAnsi="Arial" w:cs="Arial"/>
        </w:rPr>
      </w:pPr>
      <w:r w:rsidRPr="000E4CEA">
        <w:rPr>
          <w:rFonts w:ascii="Arial" w:hAnsi="Arial" w:cs="Arial"/>
        </w:rPr>
        <w:t xml:space="preserve">La majeure partie de l’APD consacrée au secteur de l’Education provient de cinq principaux bailleurs. Il s’agit par ordre d’importance de la France, du Luxembourg, du Canada, de la Banque Mondiale et du SNU. En effet, leurs allocations représentent </w:t>
      </w:r>
      <w:r w:rsidR="0099570E">
        <w:rPr>
          <w:rFonts w:ascii="Arial" w:hAnsi="Arial" w:cs="Arial"/>
        </w:rPr>
        <w:t>74</w:t>
      </w:r>
      <w:r w:rsidRPr="000E4CEA">
        <w:rPr>
          <w:rFonts w:ascii="Arial" w:hAnsi="Arial" w:cs="Arial"/>
        </w:rPr>
        <w:t>% des ressources allouées audit secteur. Selon les conditions d’octroi de l’aide, les dons  prédomin</w:t>
      </w:r>
      <w:r w:rsidR="0099570E">
        <w:rPr>
          <w:rFonts w:ascii="Arial" w:hAnsi="Arial" w:cs="Arial"/>
        </w:rPr>
        <w:t>ent avec une proportion de 94,3% contre 5,</w:t>
      </w:r>
      <w:r w:rsidRPr="000E4CEA">
        <w:rPr>
          <w:rFonts w:ascii="Arial" w:hAnsi="Arial" w:cs="Arial"/>
        </w:rPr>
        <w:t>7% pour les prêts.</w:t>
      </w:r>
    </w:p>
    <w:p w:rsidR="007340D6" w:rsidRPr="00F938B3" w:rsidRDefault="00F938B3" w:rsidP="00F938B3">
      <w:pPr>
        <w:pStyle w:val="Lgende"/>
        <w:rPr>
          <w:color w:val="auto"/>
        </w:rPr>
      </w:pPr>
      <w:bookmarkStart w:id="612" w:name="_Toc400663274"/>
      <w:bookmarkStart w:id="613" w:name="_Toc400703535"/>
      <w:bookmarkStart w:id="614" w:name="_Toc424705053"/>
      <w:bookmarkStart w:id="615" w:name="_Toc492895494"/>
      <w:r w:rsidRPr="00F938B3">
        <w:rPr>
          <w:color w:val="auto"/>
        </w:rPr>
        <w:t xml:space="preserve">Tableau </w:t>
      </w:r>
      <w:r w:rsidRPr="00F938B3">
        <w:rPr>
          <w:color w:val="auto"/>
        </w:rPr>
        <w:fldChar w:fldCharType="begin"/>
      </w:r>
      <w:r w:rsidRPr="00F938B3">
        <w:rPr>
          <w:color w:val="auto"/>
        </w:rPr>
        <w:instrText xml:space="preserve"> SEQ Tableau \* ARABIC </w:instrText>
      </w:r>
      <w:r w:rsidRPr="00F938B3">
        <w:rPr>
          <w:color w:val="auto"/>
        </w:rPr>
        <w:fldChar w:fldCharType="separate"/>
      </w:r>
      <w:r w:rsidR="009A1402">
        <w:rPr>
          <w:noProof/>
          <w:color w:val="auto"/>
        </w:rPr>
        <w:t>26</w:t>
      </w:r>
      <w:r w:rsidRPr="00F938B3">
        <w:rPr>
          <w:color w:val="auto"/>
        </w:rPr>
        <w:fldChar w:fldCharType="end"/>
      </w:r>
      <w:r w:rsidRPr="00F938B3">
        <w:rPr>
          <w:color w:val="auto"/>
        </w:rPr>
        <w:t> :</w:t>
      </w:r>
      <w:r w:rsidR="007340D6" w:rsidRPr="00F938B3">
        <w:rPr>
          <w:color w:val="auto"/>
        </w:rPr>
        <w:t xml:space="preserve"> </w:t>
      </w:r>
      <w:r w:rsidR="007340D6" w:rsidRPr="00F938B3">
        <w:rPr>
          <w:color w:val="auto"/>
          <w:u w:val="none"/>
        </w:rPr>
        <w:t>Principales caractéristiques du secteur « Education et formation » en 201</w:t>
      </w:r>
      <w:bookmarkEnd w:id="612"/>
      <w:bookmarkEnd w:id="613"/>
      <w:bookmarkEnd w:id="614"/>
      <w:r w:rsidR="007340D6" w:rsidRPr="00F938B3">
        <w:rPr>
          <w:color w:val="auto"/>
          <w:u w:val="none"/>
        </w:rPr>
        <w:t>6</w:t>
      </w:r>
      <w:bookmarkEnd w:id="615"/>
    </w:p>
    <w:tbl>
      <w:tblPr>
        <w:tblW w:w="9581" w:type="dxa"/>
        <w:tblInd w:w="75" w:type="dxa"/>
        <w:tblCellMar>
          <w:left w:w="70" w:type="dxa"/>
          <w:right w:w="70" w:type="dxa"/>
        </w:tblCellMar>
        <w:tblLook w:val="04A0" w:firstRow="1" w:lastRow="0" w:firstColumn="1" w:lastColumn="0" w:noHBand="0" w:noVBand="1"/>
      </w:tblPr>
      <w:tblGrid>
        <w:gridCol w:w="5533"/>
        <w:gridCol w:w="2024"/>
        <w:gridCol w:w="2024"/>
      </w:tblGrid>
      <w:tr w:rsidR="007340D6" w:rsidRPr="007340D6" w:rsidTr="00F938B3">
        <w:trPr>
          <w:trHeight w:val="319"/>
        </w:trPr>
        <w:tc>
          <w:tcPr>
            <w:tcW w:w="55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Education</w:t>
            </w:r>
          </w:p>
        </w:tc>
        <w:tc>
          <w:tcPr>
            <w:tcW w:w="2024" w:type="dxa"/>
            <w:tcBorders>
              <w:top w:val="single" w:sz="4" w:space="0" w:color="auto"/>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Montant en millions $US</w:t>
            </w:r>
          </w:p>
        </w:tc>
        <w:tc>
          <w:tcPr>
            <w:tcW w:w="2024" w:type="dxa"/>
            <w:tcBorders>
              <w:top w:val="single" w:sz="4" w:space="0" w:color="auto"/>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En % de l'APD totale</w:t>
            </w:r>
          </w:p>
        </w:tc>
      </w:tr>
      <w:tr w:rsidR="007340D6" w:rsidRPr="007340D6" w:rsidTr="00F938B3">
        <w:trPr>
          <w:trHeight w:val="206"/>
        </w:trPr>
        <w:tc>
          <w:tcPr>
            <w:tcW w:w="5533"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Total secteur</w:t>
            </w:r>
          </w:p>
        </w:tc>
        <w:tc>
          <w:tcPr>
            <w:tcW w:w="2024" w:type="dxa"/>
            <w:tcBorders>
              <w:top w:val="nil"/>
              <w:left w:val="nil"/>
              <w:bottom w:val="single" w:sz="4" w:space="0" w:color="auto"/>
              <w:right w:val="single" w:sz="4" w:space="0" w:color="auto"/>
            </w:tcBorders>
            <w:shd w:val="clear" w:color="auto" w:fill="auto"/>
            <w:noWrap/>
            <w:vAlign w:val="bottom"/>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106,44</w:t>
            </w:r>
          </w:p>
        </w:tc>
        <w:tc>
          <w:tcPr>
            <w:tcW w:w="2024" w:type="dxa"/>
            <w:tcBorders>
              <w:top w:val="nil"/>
              <w:left w:val="nil"/>
              <w:bottom w:val="single" w:sz="4" w:space="0" w:color="auto"/>
              <w:right w:val="single" w:sz="4" w:space="0" w:color="auto"/>
            </w:tcBorders>
            <w:shd w:val="clear" w:color="auto" w:fill="auto"/>
            <w:noWrap/>
            <w:vAlign w:val="bottom"/>
            <w:hideMark/>
          </w:tcPr>
          <w:p w:rsidR="007340D6" w:rsidRPr="007340D6" w:rsidRDefault="0099570E" w:rsidP="007340D6">
            <w:pPr>
              <w:spacing w:after="0" w:line="240" w:lineRule="auto"/>
              <w:jc w:val="center"/>
              <w:rPr>
                <w:rFonts w:eastAsia="Times New Roman" w:cs="Calibri"/>
                <w:b/>
                <w:bCs/>
                <w:lang w:eastAsia="fr-FR"/>
              </w:rPr>
            </w:pPr>
            <w:r>
              <w:rPr>
                <w:rFonts w:eastAsia="Times New Roman" w:cs="Calibri"/>
                <w:b/>
                <w:bCs/>
                <w:lang w:eastAsia="fr-FR"/>
              </w:rPr>
              <w:t>9,3</w:t>
            </w:r>
          </w:p>
        </w:tc>
      </w:tr>
      <w:tr w:rsidR="007340D6" w:rsidRPr="007340D6" w:rsidTr="00F938B3">
        <w:trPr>
          <w:trHeight w:val="350"/>
        </w:trPr>
        <w:tc>
          <w:tcPr>
            <w:tcW w:w="5533" w:type="dxa"/>
            <w:tcBorders>
              <w:top w:val="nil"/>
              <w:left w:val="single" w:sz="4" w:space="0" w:color="auto"/>
              <w:bottom w:val="single" w:sz="4" w:space="0" w:color="auto"/>
              <w:right w:val="single" w:sz="4" w:space="0" w:color="auto"/>
            </w:tcBorders>
            <w:shd w:val="clear" w:color="auto" w:fill="CCFFFF"/>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Répartition par type d'aide</w:t>
            </w:r>
          </w:p>
        </w:tc>
        <w:tc>
          <w:tcPr>
            <w:tcW w:w="2024" w:type="dxa"/>
            <w:tcBorders>
              <w:top w:val="nil"/>
              <w:left w:val="nil"/>
              <w:bottom w:val="single" w:sz="4" w:space="0" w:color="auto"/>
              <w:right w:val="single" w:sz="4" w:space="0" w:color="auto"/>
            </w:tcBorders>
            <w:shd w:val="clear" w:color="auto" w:fill="CCFFFF"/>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Montant en millions $US</w:t>
            </w:r>
          </w:p>
        </w:tc>
        <w:tc>
          <w:tcPr>
            <w:tcW w:w="2024" w:type="dxa"/>
            <w:tcBorders>
              <w:top w:val="nil"/>
              <w:left w:val="nil"/>
              <w:bottom w:val="single" w:sz="4" w:space="0" w:color="auto"/>
              <w:right w:val="single" w:sz="4" w:space="0" w:color="auto"/>
            </w:tcBorders>
            <w:shd w:val="clear" w:color="auto" w:fill="CCFFFF"/>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 de l'APD du secteur</w:t>
            </w:r>
          </w:p>
        </w:tc>
      </w:tr>
      <w:tr w:rsidR="007340D6" w:rsidRPr="007340D6" w:rsidTr="00F938B3">
        <w:trPr>
          <w:trHeight w:val="185"/>
        </w:trPr>
        <w:tc>
          <w:tcPr>
            <w:tcW w:w="5533"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 xml:space="preserve">Aide projet - Sans fonds commun et/ou CAST </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82,30</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99570E" w:rsidP="007340D6">
            <w:pPr>
              <w:spacing w:after="0" w:line="240" w:lineRule="auto"/>
              <w:jc w:val="center"/>
              <w:rPr>
                <w:rFonts w:eastAsia="Times New Roman" w:cs="Calibri"/>
                <w:lang w:eastAsia="fr-FR"/>
              </w:rPr>
            </w:pPr>
            <w:r>
              <w:rPr>
                <w:rFonts w:eastAsia="Times New Roman" w:cs="Calibri"/>
                <w:lang w:eastAsia="fr-FR"/>
              </w:rPr>
              <w:t>77,3</w:t>
            </w:r>
          </w:p>
        </w:tc>
      </w:tr>
      <w:tr w:rsidR="007340D6" w:rsidRPr="007340D6" w:rsidTr="00F938B3">
        <w:trPr>
          <w:trHeight w:val="185"/>
        </w:trPr>
        <w:tc>
          <w:tcPr>
            <w:tcW w:w="5533"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 xml:space="preserve">Aide projet-avec fonds commun et/ou CAST </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22,82</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99570E" w:rsidP="007340D6">
            <w:pPr>
              <w:spacing w:after="0" w:line="240" w:lineRule="auto"/>
              <w:jc w:val="center"/>
              <w:rPr>
                <w:rFonts w:eastAsia="Times New Roman" w:cs="Calibri"/>
                <w:lang w:eastAsia="fr-FR"/>
              </w:rPr>
            </w:pPr>
            <w:r>
              <w:rPr>
                <w:rFonts w:eastAsia="Times New Roman" w:cs="Calibri"/>
                <w:lang w:eastAsia="fr-FR"/>
              </w:rPr>
              <w:t>21,4</w:t>
            </w:r>
          </w:p>
        </w:tc>
      </w:tr>
      <w:tr w:rsidR="007340D6" w:rsidRPr="007340D6" w:rsidTr="00F938B3">
        <w:trPr>
          <w:trHeight w:val="185"/>
        </w:trPr>
        <w:tc>
          <w:tcPr>
            <w:tcW w:w="5533"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Aide alimentaire</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1,32</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99570E" w:rsidP="007340D6">
            <w:pPr>
              <w:spacing w:after="0" w:line="240" w:lineRule="auto"/>
              <w:jc w:val="center"/>
              <w:rPr>
                <w:rFonts w:eastAsia="Times New Roman" w:cs="Calibri"/>
                <w:lang w:eastAsia="fr-FR"/>
              </w:rPr>
            </w:pPr>
            <w:r>
              <w:rPr>
                <w:rFonts w:eastAsia="Times New Roman" w:cs="Calibri"/>
                <w:lang w:eastAsia="fr-FR"/>
              </w:rPr>
              <w:t>1,2</w:t>
            </w:r>
          </w:p>
        </w:tc>
      </w:tr>
      <w:tr w:rsidR="007340D6" w:rsidRPr="007340D6" w:rsidTr="00F938B3">
        <w:trPr>
          <w:trHeight w:val="391"/>
        </w:trPr>
        <w:tc>
          <w:tcPr>
            <w:tcW w:w="5533" w:type="dxa"/>
            <w:tcBorders>
              <w:top w:val="nil"/>
              <w:left w:val="single" w:sz="4" w:space="0" w:color="auto"/>
              <w:bottom w:val="single" w:sz="4" w:space="0" w:color="auto"/>
              <w:right w:val="single" w:sz="4" w:space="0" w:color="auto"/>
            </w:tcBorders>
            <w:shd w:val="clear" w:color="auto" w:fill="CCFFFF"/>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Principaux bailleurs</w:t>
            </w:r>
          </w:p>
        </w:tc>
        <w:tc>
          <w:tcPr>
            <w:tcW w:w="2024" w:type="dxa"/>
            <w:tcBorders>
              <w:top w:val="nil"/>
              <w:left w:val="nil"/>
              <w:bottom w:val="single" w:sz="4" w:space="0" w:color="auto"/>
              <w:right w:val="single" w:sz="4" w:space="0" w:color="auto"/>
            </w:tcBorders>
            <w:shd w:val="clear" w:color="auto" w:fill="CCFFFF"/>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Montant en millions $US</w:t>
            </w:r>
          </w:p>
        </w:tc>
        <w:tc>
          <w:tcPr>
            <w:tcW w:w="2024" w:type="dxa"/>
            <w:tcBorders>
              <w:top w:val="nil"/>
              <w:left w:val="nil"/>
              <w:bottom w:val="single" w:sz="4" w:space="0" w:color="auto"/>
              <w:right w:val="single" w:sz="4" w:space="0" w:color="auto"/>
            </w:tcBorders>
            <w:shd w:val="clear" w:color="auto" w:fill="CCFFFF"/>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 de l'APD du secteur</w:t>
            </w:r>
          </w:p>
        </w:tc>
      </w:tr>
      <w:tr w:rsidR="007340D6" w:rsidRPr="007340D6" w:rsidTr="00F938B3">
        <w:trPr>
          <w:trHeight w:val="185"/>
        </w:trPr>
        <w:tc>
          <w:tcPr>
            <w:tcW w:w="5533"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 xml:space="preserve">  France </w:t>
            </w:r>
          </w:p>
        </w:tc>
        <w:tc>
          <w:tcPr>
            <w:tcW w:w="2024" w:type="dxa"/>
            <w:tcBorders>
              <w:top w:val="nil"/>
              <w:left w:val="nil"/>
              <w:bottom w:val="single" w:sz="4" w:space="0" w:color="000000"/>
              <w:right w:val="single" w:sz="4" w:space="0" w:color="000000"/>
            </w:tcBorders>
            <w:shd w:val="clear" w:color="000000" w:fill="FFFFFF"/>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31,62</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99570E" w:rsidP="007340D6">
            <w:pPr>
              <w:spacing w:after="0" w:line="240" w:lineRule="auto"/>
              <w:jc w:val="center"/>
              <w:rPr>
                <w:rFonts w:eastAsia="Times New Roman" w:cs="Calibri"/>
                <w:lang w:eastAsia="fr-FR"/>
              </w:rPr>
            </w:pPr>
            <w:r>
              <w:rPr>
                <w:rFonts w:eastAsia="Times New Roman" w:cs="Calibri"/>
                <w:lang w:eastAsia="fr-FR"/>
              </w:rPr>
              <w:t>29,7</w:t>
            </w:r>
          </w:p>
        </w:tc>
      </w:tr>
      <w:tr w:rsidR="007340D6" w:rsidRPr="007340D6" w:rsidTr="00F938B3">
        <w:trPr>
          <w:trHeight w:val="185"/>
        </w:trPr>
        <w:tc>
          <w:tcPr>
            <w:tcW w:w="5533"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 xml:space="preserve">  Luxembourg </w:t>
            </w:r>
          </w:p>
        </w:tc>
        <w:tc>
          <w:tcPr>
            <w:tcW w:w="2024" w:type="dxa"/>
            <w:tcBorders>
              <w:top w:val="nil"/>
              <w:left w:val="nil"/>
              <w:bottom w:val="single" w:sz="4" w:space="0" w:color="000000"/>
              <w:right w:val="single" w:sz="4" w:space="0" w:color="000000"/>
            </w:tcBorders>
            <w:shd w:val="clear" w:color="000000" w:fill="FFFFFF"/>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14,81</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99570E" w:rsidP="007340D6">
            <w:pPr>
              <w:spacing w:after="0" w:line="240" w:lineRule="auto"/>
              <w:jc w:val="center"/>
              <w:rPr>
                <w:rFonts w:eastAsia="Times New Roman" w:cs="Calibri"/>
                <w:lang w:eastAsia="fr-FR"/>
              </w:rPr>
            </w:pPr>
            <w:r>
              <w:rPr>
                <w:rFonts w:eastAsia="Times New Roman" w:cs="Calibri"/>
                <w:lang w:eastAsia="fr-FR"/>
              </w:rPr>
              <w:t>13,9</w:t>
            </w:r>
          </w:p>
        </w:tc>
      </w:tr>
      <w:tr w:rsidR="007340D6" w:rsidRPr="007340D6" w:rsidTr="00F938B3">
        <w:trPr>
          <w:trHeight w:val="185"/>
        </w:trPr>
        <w:tc>
          <w:tcPr>
            <w:tcW w:w="5533"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 xml:space="preserve">  Canada </w:t>
            </w:r>
          </w:p>
        </w:tc>
        <w:tc>
          <w:tcPr>
            <w:tcW w:w="2024" w:type="dxa"/>
            <w:tcBorders>
              <w:top w:val="nil"/>
              <w:left w:val="nil"/>
              <w:bottom w:val="single" w:sz="4" w:space="0" w:color="000000"/>
              <w:right w:val="single" w:sz="4" w:space="0" w:color="000000"/>
            </w:tcBorders>
            <w:shd w:val="clear" w:color="000000" w:fill="FFFFFF"/>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13,02</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99570E" w:rsidP="007340D6">
            <w:pPr>
              <w:spacing w:after="0" w:line="240" w:lineRule="auto"/>
              <w:jc w:val="center"/>
              <w:rPr>
                <w:rFonts w:eastAsia="Times New Roman" w:cs="Calibri"/>
                <w:lang w:eastAsia="fr-FR"/>
              </w:rPr>
            </w:pPr>
            <w:r>
              <w:rPr>
                <w:rFonts w:eastAsia="Times New Roman" w:cs="Calibri"/>
                <w:lang w:eastAsia="fr-FR"/>
              </w:rPr>
              <w:t>12,2</w:t>
            </w:r>
          </w:p>
        </w:tc>
      </w:tr>
      <w:tr w:rsidR="007340D6" w:rsidRPr="007340D6" w:rsidTr="00F938B3">
        <w:trPr>
          <w:trHeight w:val="185"/>
        </w:trPr>
        <w:tc>
          <w:tcPr>
            <w:tcW w:w="5533"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 xml:space="preserve">  Banque Mondiale </w:t>
            </w:r>
          </w:p>
        </w:tc>
        <w:tc>
          <w:tcPr>
            <w:tcW w:w="2024" w:type="dxa"/>
            <w:tcBorders>
              <w:top w:val="nil"/>
              <w:left w:val="nil"/>
              <w:bottom w:val="single" w:sz="4" w:space="0" w:color="000000"/>
              <w:right w:val="single" w:sz="4" w:space="0" w:color="000000"/>
            </w:tcBorders>
            <w:shd w:val="clear" w:color="000000" w:fill="FFFFFF"/>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12,50</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99570E" w:rsidP="007340D6">
            <w:pPr>
              <w:spacing w:after="0" w:line="240" w:lineRule="auto"/>
              <w:jc w:val="center"/>
              <w:rPr>
                <w:rFonts w:eastAsia="Times New Roman" w:cs="Calibri"/>
                <w:lang w:eastAsia="fr-FR"/>
              </w:rPr>
            </w:pPr>
            <w:r>
              <w:rPr>
                <w:rFonts w:eastAsia="Times New Roman" w:cs="Calibri"/>
                <w:lang w:eastAsia="fr-FR"/>
              </w:rPr>
              <w:t>11,7</w:t>
            </w:r>
          </w:p>
        </w:tc>
      </w:tr>
      <w:tr w:rsidR="007340D6" w:rsidRPr="007340D6" w:rsidTr="00F938B3">
        <w:trPr>
          <w:trHeight w:val="185"/>
        </w:trPr>
        <w:tc>
          <w:tcPr>
            <w:tcW w:w="5533"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lastRenderedPageBreak/>
              <w:t xml:space="preserve">  SNU</w:t>
            </w:r>
          </w:p>
        </w:tc>
        <w:tc>
          <w:tcPr>
            <w:tcW w:w="2024" w:type="dxa"/>
            <w:tcBorders>
              <w:top w:val="nil"/>
              <w:left w:val="nil"/>
              <w:bottom w:val="single" w:sz="4" w:space="0" w:color="000000"/>
              <w:right w:val="single" w:sz="4" w:space="0" w:color="000000"/>
            </w:tcBorders>
            <w:shd w:val="clear" w:color="000000" w:fill="FFFFFF"/>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6,76</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99570E">
            <w:pPr>
              <w:spacing w:after="0" w:line="240" w:lineRule="auto"/>
              <w:jc w:val="center"/>
              <w:rPr>
                <w:rFonts w:eastAsia="Times New Roman" w:cs="Calibri"/>
                <w:lang w:eastAsia="fr-FR"/>
              </w:rPr>
            </w:pPr>
            <w:r w:rsidRPr="007340D6">
              <w:rPr>
                <w:rFonts w:eastAsia="Times New Roman" w:cs="Calibri"/>
                <w:lang w:eastAsia="fr-FR"/>
              </w:rPr>
              <w:t>6,</w:t>
            </w:r>
            <w:r w:rsidR="0099570E">
              <w:rPr>
                <w:rFonts w:eastAsia="Times New Roman" w:cs="Calibri"/>
                <w:lang w:eastAsia="fr-FR"/>
              </w:rPr>
              <w:t>4</w:t>
            </w:r>
          </w:p>
        </w:tc>
      </w:tr>
      <w:tr w:rsidR="007340D6" w:rsidRPr="007340D6" w:rsidTr="00F938B3">
        <w:trPr>
          <w:trHeight w:val="185"/>
        </w:trPr>
        <w:tc>
          <w:tcPr>
            <w:tcW w:w="5533"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 xml:space="preserve">  Autres</w:t>
            </w:r>
          </w:p>
        </w:tc>
        <w:tc>
          <w:tcPr>
            <w:tcW w:w="2024" w:type="dxa"/>
            <w:tcBorders>
              <w:top w:val="nil"/>
              <w:left w:val="nil"/>
              <w:bottom w:val="nil"/>
              <w:right w:val="nil"/>
            </w:tcBorders>
            <w:shd w:val="clear" w:color="000000" w:fill="FFFFFF"/>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27,73</w:t>
            </w:r>
          </w:p>
        </w:tc>
        <w:tc>
          <w:tcPr>
            <w:tcW w:w="2024" w:type="dxa"/>
            <w:tcBorders>
              <w:top w:val="nil"/>
              <w:left w:val="single" w:sz="4" w:space="0" w:color="auto"/>
              <w:bottom w:val="single" w:sz="4" w:space="0" w:color="auto"/>
              <w:right w:val="single" w:sz="4" w:space="0" w:color="auto"/>
            </w:tcBorders>
            <w:shd w:val="clear" w:color="auto" w:fill="auto"/>
            <w:noWrap/>
            <w:vAlign w:val="center"/>
            <w:hideMark/>
          </w:tcPr>
          <w:p w:rsidR="007340D6" w:rsidRPr="007340D6" w:rsidRDefault="007340D6" w:rsidP="0099570E">
            <w:pPr>
              <w:spacing w:after="0" w:line="240" w:lineRule="auto"/>
              <w:jc w:val="center"/>
              <w:rPr>
                <w:rFonts w:eastAsia="Times New Roman" w:cs="Calibri"/>
                <w:lang w:eastAsia="fr-FR"/>
              </w:rPr>
            </w:pPr>
            <w:r w:rsidRPr="007340D6">
              <w:rPr>
                <w:rFonts w:eastAsia="Times New Roman" w:cs="Calibri"/>
                <w:lang w:eastAsia="fr-FR"/>
              </w:rPr>
              <w:t>26,</w:t>
            </w:r>
            <w:r w:rsidR="0099570E">
              <w:rPr>
                <w:rFonts w:eastAsia="Times New Roman" w:cs="Calibri"/>
                <w:lang w:eastAsia="fr-FR"/>
              </w:rPr>
              <w:t>1</w:t>
            </w:r>
          </w:p>
        </w:tc>
      </w:tr>
      <w:tr w:rsidR="007340D6" w:rsidRPr="007340D6" w:rsidTr="00F938B3">
        <w:trPr>
          <w:trHeight w:val="401"/>
        </w:trPr>
        <w:tc>
          <w:tcPr>
            <w:tcW w:w="5533" w:type="dxa"/>
            <w:tcBorders>
              <w:top w:val="nil"/>
              <w:left w:val="single" w:sz="4" w:space="0" w:color="auto"/>
              <w:bottom w:val="single" w:sz="4" w:space="0" w:color="auto"/>
              <w:right w:val="single" w:sz="4" w:space="0" w:color="auto"/>
            </w:tcBorders>
            <w:shd w:val="clear" w:color="auto" w:fill="CCFFFF"/>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Répartition par conditions</w:t>
            </w:r>
          </w:p>
        </w:tc>
        <w:tc>
          <w:tcPr>
            <w:tcW w:w="2024" w:type="dxa"/>
            <w:tcBorders>
              <w:top w:val="single" w:sz="4" w:space="0" w:color="auto"/>
              <w:left w:val="nil"/>
              <w:bottom w:val="single" w:sz="4" w:space="0" w:color="auto"/>
              <w:right w:val="single" w:sz="4" w:space="0" w:color="auto"/>
            </w:tcBorders>
            <w:shd w:val="clear" w:color="auto" w:fill="CCFFFF"/>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Montant en millions $US</w:t>
            </w:r>
          </w:p>
        </w:tc>
        <w:tc>
          <w:tcPr>
            <w:tcW w:w="2024" w:type="dxa"/>
            <w:tcBorders>
              <w:top w:val="nil"/>
              <w:left w:val="nil"/>
              <w:bottom w:val="single" w:sz="4" w:space="0" w:color="auto"/>
              <w:right w:val="single" w:sz="4" w:space="0" w:color="auto"/>
            </w:tcBorders>
            <w:shd w:val="clear" w:color="auto" w:fill="CCFFFF"/>
            <w:vAlign w:val="center"/>
            <w:hideMark/>
          </w:tcPr>
          <w:p w:rsidR="007340D6" w:rsidRPr="007340D6" w:rsidRDefault="007340D6" w:rsidP="007340D6">
            <w:pPr>
              <w:spacing w:after="0" w:line="240" w:lineRule="auto"/>
              <w:jc w:val="center"/>
              <w:rPr>
                <w:rFonts w:eastAsia="Times New Roman" w:cs="Calibri"/>
                <w:b/>
                <w:bCs/>
                <w:lang w:eastAsia="fr-FR"/>
              </w:rPr>
            </w:pPr>
            <w:r w:rsidRPr="007340D6">
              <w:rPr>
                <w:rFonts w:eastAsia="Times New Roman" w:cs="Calibri"/>
                <w:b/>
                <w:bCs/>
                <w:lang w:eastAsia="fr-FR"/>
              </w:rPr>
              <w:t>% de l'APD du secteur</w:t>
            </w:r>
          </w:p>
        </w:tc>
      </w:tr>
      <w:tr w:rsidR="007340D6" w:rsidRPr="007340D6" w:rsidTr="00F938B3">
        <w:trPr>
          <w:trHeight w:val="185"/>
        </w:trPr>
        <w:tc>
          <w:tcPr>
            <w:tcW w:w="5533"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Prêts</w:t>
            </w:r>
          </w:p>
        </w:tc>
        <w:tc>
          <w:tcPr>
            <w:tcW w:w="2024" w:type="dxa"/>
            <w:tcBorders>
              <w:top w:val="nil"/>
              <w:left w:val="nil"/>
              <w:bottom w:val="single" w:sz="4" w:space="0" w:color="auto"/>
              <w:right w:val="single" w:sz="4" w:space="0" w:color="auto"/>
            </w:tcBorders>
            <w:shd w:val="clear" w:color="auto" w:fill="auto"/>
            <w:noWrap/>
            <w:vAlign w:val="bottom"/>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6,04</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99570E">
            <w:pPr>
              <w:spacing w:after="0" w:line="240" w:lineRule="auto"/>
              <w:jc w:val="center"/>
              <w:rPr>
                <w:rFonts w:eastAsia="Times New Roman" w:cs="Calibri"/>
                <w:lang w:eastAsia="fr-FR"/>
              </w:rPr>
            </w:pPr>
            <w:r w:rsidRPr="007340D6">
              <w:rPr>
                <w:rFonts w:eastAsia="Times New Roman" w:cs="Calibri"/>
                <w:lang w:eastAsia="fr-FR"/>
              </w:rPr>
              <w:t>5,</w:t>
            </w:r>
            <w:r w:rsidR="0099570E">
              <w:rPr>
                <w:rFonts w:eastAsia="Times New Roman" w:cs="Calibri"/>
                <w:lang w:eastAsia="fr-FR"/>
              </w:rPr>
              <w:t>7</w:t>
            </w:r>
          </w:p>
        </w:tc>
      </w:tr>
      <w:tr w:rsidR="007340D6" w:rsidRPr="007340D6" w:rsidTr="00F938B3">
        <w:trPr>
          <w:trHeight w:val="185"/>
        </w:trPr>
        <w:tc>
          <w:tcPr>
            <w:tcW w:w="5533"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rPr>
                <w:rFonts w:eastAsia="Times New Roman" w:cs="Calibri"/>
                <w:lang w:eastAsia="fr-FR"/>
              </w:rPr>
            </w:pPr>
            <w:r w:rsidRPr="007340D6">
              <w:rPr>
                <w:rFonts w:eastAsia="Times New Roman" w:cs="Calibri"/>
                <w:lang w:eastAsia="fr-FR"/>
              </w:rPr>
              <w:t>Dons</w:t>
            </w:r>
          </w:p>
        </w:tc>
        <w:tc>
          <w:tcPr>
            <w:tcW w:w="2024" w:type="dxa"/>
            <w:tcBorders>
              <w:top w:val="nil"/>
              <w:left w:val="nil"/>
              <w:bottom w:val="single" w:sz="4" w:space="0" w:color="auto"/>
              <w:right w:val="single" w:sz="4" w:space="0" w:color="auto"/>
            </w:tcBorders>
            <w:shd w:val="clear" w:color="auto" w:fill="auto"/>
            <w:noWrap/>
            <w:vAlign w:val="bottom"/>
            <w:hideMark/>
          </w:tcPr>
          <w:p w:rsidR="007340D6" w:rsidRPr="007340D6" w:rsidRDefault="007340D6" w:rsidP="007340D6">
            <w:pPr>
              <w:spacing w:after="0" w:line="240" w:lineRule="auto"/>
              <w:jc w:val="center"/>
              <w:rPr>
                <w:rFonts w:eastAsia="Times New Roman" w:cs="Calibri"/>
                <w:lang w:eastAsia="fr-FR"/>
              </w:rPr>
            </w:pPr>
            <w:r w:rsidRPr="007340D6">
              <w:rPr>
                <w:rFonts w:eastAsia="Times New Roman" w:cs="Calibri"/>
                <w:lang w:eastAsia="fr-FR"/>
              </w:rPr>
              <w:t>100,403</w:t>
            </w:r>
          </w:p>
        </w:tc>
        <w:tc>
          <w:tcPr>
            <w:tcW w:w="2024"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99570E">
            <w:pPr>
              <w:spacing w:after="0" w:line="240" w:lineRule="auto"/>
              <w:jc w:val="center"/>
              <w:rPr>
                <w:rFonts w:eastAsia="Times New Roman" w:cs="Calibri"/>
                <w:lang w:eastAsia="fr-FR"/>
              </w:rPr>
            </w:pPr>
            <w:r w:rsidRPr="007340D6">
              <w:rPr>
                <w:rFonts w:eastAsia="Times New Roman" w:cs="Calibri"/>
                <w:lang w:eastAsia="fr-FR"/>
              </w:rPr>
              <w:t>94,3</w:t>
            </w:r>
          </w:p>
        </w:tc>
      </w:tr>
    </w:tbl>
    <w:p w:rsidR="007340D6" w:rsidRPr="007340D6" w:rsidRDefault="007340D6" w:rsidP="007340D6">
      <w:pPr>
        <w:spacing w:after="240"/>
        <w:jc w:val="both"/>
        <w:rPr>
          <w:rFonts w:ascii="Arial" w:hAnsi="Arial" w:cs="Arial"/>
          <w:sz w:val="20"/>
        </w:rPr>
      </w:pPr>
      <w:r w:rsidRPr="009A5FE6">
        <w:rPr>
          <w:rFonts w:ascii="Arial" w:hAnsi="Arial" w:cs="Arial"/>
          <w:b/>
          <w:sz w:val="20"/>
          <w:u w:val="single"/>
        </w:rPr>
        <w:t>Source :</w:t>
      </w:r>
      <w:r w:rsidRPr="007340D6">
        <w:rPr>
          <w:rFonts w:ascii="Arial" w:hAnsi="Arial" w:cs="Arial"/>
          <w:sz w:val="20"/>
        </w:rPr>
        <w:t xml:space="preserve"> PGA/DGCOOP, juillet 2017</w:t>
      </w:r>
    </w:p>
    <w:p w:rsidR="000E4CEA" w:rsidRPr="007340D6" w:rsidRDefault="000E4CEA" w:rsidP="000E4CEA">
      <w:pPr>
        <w:spacing w:after="0"/>
        <w:jc w:val="both"/>
        <w:rPr>
          <w:rFonts w:ascii="Arial" w:hAnsi="Arial" w:cs="Arial"/>
        </w:rPr>
      </w:pPr>
      <w:r w:rsidRPr="007340D6">
        <w:rPr>
          <w:rFonts w:ascii="Arial" w:hAnsi="Arial" w:cs="Arial"/>
        </w:rPr>
        <w:t>Selon le volume d’aide reçue par ce secteur, cinq projets comptabilisent 61,2% de l’</w:t>
      </w:r>
      <w:r>
        <w:rPr>
          <w:rFonts w:ascii="Arial" w:hAnsi="Arial" w:cs="Arial"/>
        </w:rPr>
        <w:t xml:space="preserve">APD </w:t>
      </w:r>
      <w:r w:rsidRPr="007340D6">
        <w:rPr>
          <w:rFonts w:ascii="Arial" w:hAnsi="Arial" w:cs="Arial"/>
        </w:rPr>
        <w:t>totale du</w:t>
      </w:r>
      <w:r>
        <w:rPr>
          <w:rFonts w:ascii="Arial" w:hAnsi="Arial" w:cs="Arial"/>
        </w:rPr>
        <w:t xml:space="preserve"> secteur, soit 65,16 millions</w:t>
      </w:r>
      <w:r w:rsidRPr="007340D6">
        <w:rPr>
          <w:rFonts w:ascii="Arial" w:hAnsi="Arial" w:cs="Arial"/>
        </w:rPr>
        <w:t xml:space="preserve"> dollars US. Ce sont : </w:t>
      </w:r>
    </w:p>
    <w:p w:rsidR="000E4CEA" w:rsidRPr="007340D6" w:rsidRDefault="000E4CEA" w:rsidP="000E4CEA">
      <w:pPr>
        <w:spacing w:after="0"/>
        <w:ind w:left="567" w:hanging="283"/>
        <w:jc w:val="both"/>
        <w:rPr>
          <w:rFonts w:ascii="Arial" w:hAnsi="Arial" w:cs="Arial"/>
        </w:rPr>
      </w:pPr>
      <w:r w:rsidRPr="007340D6">
        <w:rPr>
          <w:rFonts w:ascii="Arial" w:hAnsi="Arial" w:cs="Arial"/>
        </w:rPr>
        <w:t>-</w:t>
      </w:r>
      <w:r w:rsidRPr="007340D6">
        <w:rPr>
          <w:rFonts w:ascii="Arial" w:hAnsi="Arial" w:cs="Arial"/>
        </w:rPr>
        <w:tab/>
        <w:t>le projet Partenariat mondial pour l'éducation (PME) avec 30,21millions dollars US financé par la France ;</w:t>
      </w:r>
    </w:p>
    <w:p w:rsidR="000E4CEA" w:rsidRPr="007340D6" w:rsidRDefault="000E4CEA" w:rsidP="000E4CEA">
      <w:pPr>
        <w:spacing w:after="0"/>
        <w:ind w:left="567" w:hanging="283"/>
        <w:jc w:val="both"/>
        <w:rPr>
          <w:rFonts w:ascii="Arial" w:hAnsi="Arial" w:cs="Arial"/>
        </w:rPr>
      </w:pPr>
      <w:r w:rsidRPr="007340D6">
        <w:rPr>
          <w:rFonts w:ascii="Arial" w:hAnsi="Arial" w:cs="Arial"/>
        </w:rPr>
        <w:t>-</w:t>
      </w:r>
      <w:r w:rsidRPr="007340D6">
        <w:rPr>
          <w:rFonts w:ascii="Arial" w:hAnsi="Arial" w:cs="Arial"/>
        </w:rPr>
        <w:tab/>
        <w:t>le projet appui à la mise en œuvre de la Politique Nationale en matière d'Enseignement Technique et de Formation Professionnelle (BKF/018) 2009-2013 avec 12,05 millions dollars US financé par le Luxembourg ;</w:t>
      </w:r>
    </w:p>
    <w:p w:rsidR="000E4CEA" w:rsidRPr="007340D6" w:rsidRDefault="000E4CEA" w:rsidP="000E4CEA">
      <w:pPr>
        <w:spacing w:after="0"/>
        <w:ind w:left="567" w:hanging="283"/>
        <w:jc w:val="both"/>
        <w:rPr>
          <w:rFonts w:ascii="Arial" w:hAnsi="Arial" w:cs="Arial"/>
        </w:rPr>
      </w:pPr>
      <w:r w:rsidRPr="007340D6">
        <w:rPr>
          <w:rFonts w:ascii="Arial" w:hAnsi="Arial" w:cs="Arial"/>
        </w:rPr>
        <w:t>-</w:t>
      </w:r>
      <w:r w:rsidRPr="007340D6">
        <w:rPr>
          <w:rFonts w:ascii="Arial" w:hAnsi="Arial" w:cs="Arial"/>
        </w:rPr>
        <w:tab/>
        <w:t>le projet appui à l'éducation de base au Burkina Faso avec 10,00 millions dollars US, financé par le Canada ;</w:t>
      </w:r>
    </w:p>
    <w:p w:rsidR="000E4CEA" w:rsidRPr="007340D6" w:rsidRDefault="000E4CEA" w:rsidP="000E4CEA">
      <w:pPr>
        <w:spacing w:after="0"/>
        <w:ind w:left="567" w:hanging="283"/>
        <w:jc w:val="both"/>
        <w:rPr>
          <w:rFonts w:ascii="Arial" w:hAnsi="Arial" w:cs="Arial"/>
        </w:rPr>
      </w:pPr>
      <w:r w:rsidRPr="007340D6">
        <w:rPr>
          <w:rFonts w:ascii="Arial" w:hAnsi="Arial" w:cs="Arial"/>
        </w:rPr>
        <w:t>-</w:t>
      </w:r>
      <w:r w:rsidRPr="007340D6">
        <w:rPr>
          <w:rFonts w:ascii="Arial" w:hAnsi="Arial" w:cs="Arial"/>
        </w:rPr>
        <w:tab/>
        <w:t>the Education Sector Support Project avec 7,30 millions dollars US financé par la Banque Mondiale ;</w:t>
      </w:r>
    </w:p>
    <w:p w:rsidR="007340D6" w:rsidRPr="007340D6" w:rsidRDefault="000E4CEA" w:rsidP="000E4CEA">
      <w:pPr>
        <w:spacing w:after="0"/>
        <w:ind w:left="567" w:hanging="283"/>
        <w:jc w:val="both"/>
        <w:rPr>
          <w:rFonts w:ascii="Arial" w:hAnsi="Arial" w:cs="Arial"/>
        </w:rPr>
      </w:pPr>
      <w:r w:rsidRPr="007340D6">
        <w:rPr>
          <w:rFonts w:ascii="Arial" w:hAnsi="Arial" w:cs="Arial"/>
        </w:rPr>
        <w:t>-</w:t>
      </w:r>
      <w:r w:rsidRPr="007340D6">
        <w:rPr>
          <w:rFonts w:ascii="Arial" w:hAnsi="Arial" w:cs="Arial"/>
        </w:rPr>
        <w:tab/>
        <w:t>le projet de développement de l'éducation de base (phase 4) avec 5,60 millions dollars US financé par la Banque Islamique de Développement.</w:t>
      </w:r>
    </w:p>
    <w:p w:rsidR="007340D6" w:rsidRPr="007340D6" w:rsidRDefault="007340D6" w:rsidP="007340D6">
      <w:pPr>
        <w:spacing w:after="0"/>
        <w:jc w:val="both"/>
        <w:rPr>
          <w:rFonts w:ascii="Arial" w:hAnsi="Arial" w:cs="Arial"/>
        </w:rPr>
      </w:pPr>
    </w:p>
    <w:p w:rsidR="007340D6" w:rsidRPr="00F938B3" w:rsidRDefault="00F938B3" w:rsidP="00F938B3">
      <w:pPr>
        <w:pStyle w:val="Lgende"/>
        <w:rPr>
          <w:color w:val="auto"/>
        </w:rPr>
      </w:pPr>
      <w:bookmarkStart w:id="616" w:name="_Toc492895750"/>
      <w:r w:rsidRPr="00F938B3">
        <w:rPr>
          <w:color w:val="auto"/>
        </w:rPr>
        <w:t xml:space="preserve">Graphique </w:t>
      </w:r>
      <w:r w:rsidRPr="00F938B3">
        <w:rPr>
          <w:color w:val="auto"/>
        </w:rPr>
        <w:fldChar w:fldCharType="begin"/>
      </w:r>
      <w:r w:rsidRPr="00F938B3">
        <w:rPr>
          <w:color w:val="auto"/>
        </w:rPr>
        <w:instrText xml:space="preserve"> SEQ Graphique \* ARABIC </w:instrText>
      </w:r>
      <w:r w:rsidRPr="00F938B3">
        <w:rPr>
          <w:color w:val="auto"/>
        </w:rPr>
        <w:fldChar w:fldCharType="separate"/>
      </w:r>
      <w:r w:rsidR="009A1402">
        <w:rPr>
          <w:noProof/>
          <w:color w:val="auto"/>
        </w:rPr>
        <w:t>17</w:t>
      </w:r>
      <w:r w:rsidRPr="00F938B3">
        <w:rPr>
          <w:color w:val="auto"/>
        </w:rPr>
        <w:fldChar w:fldCharType="end"/>
      </w:r>
      <w:r w:rsidRPr="00F938B3">
        <w:rPr>
          <w:color w:val="auto"/>
        </w:rPr>
        <w:t> :</w:t>
      </w:r>
      <w:r w:rsidR="007340D6" w:rsidRPr="00F938B3">
        <w:rPr>
          <w:color w:val="auto"/>
        </w:rPr>
        <w:t xml:space="preserve"> </w:t>
      </w:r>
      <w:r w:rsidR="007340D6" w:rsidRPr="00F938B3">
        <w:rPr>
          <w:color w:val="auto"/>
          <w:u w:val="none"/>
        </w:rPr>
        <w:t>Les cinq principaux bailleurs du secteur « Education et formation » en 2016</w:t>
      </w:r>
      <w:bookmarkEnd w:id="616"/>
    </w:p>
    <w:p w:rsidR="007340D6" w:rsidRPr="007340D6" w:rsidRDefault="007340D6" w:rsidP="007340D6">
      <w:pPr>
        <w:jc w:val="both"/>
        <w:rPr>
          <w:rFonts w:ascii="Arial" w:hAnsi="Arial" w:cs="Arial"/>
          <w:b/>
        </w:rPr>
      </w:pPr>
      <w:r w:rsidRPr="007340D6">
        <w:rPr>
          <w:noProof/>
          <w:lang w:eastAsia="fr-FR"/>
        </w:rPr>
        <w:drawing>
          <wp:inline distT="0" distB="0" distL="0" distR="0" wp14:anchorId="43F96926" wp14:editId="5243C180">
            <wp:extent cx="5753100" cy="1695450"/>
            <wp:effectExtent l="0" t="0" r="0" b="0"/>
            <wp:docPr id="17" name="Graphique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rsidRPr="007340D6">
        <w:rPr>
          <w:rFonts w:ascii="Arial" w:hAnsi="Arial" w:cs="Arial"/>
          <w:b/>
          <w:u w:val="single"/>
        </w:rPr>
        <w:t>Source :</w:t>
      </w:r>
      <w:r w:rsidRPr="007340D6">
        <w:rPr>
          <w:rFonts w:ascii="Arial" w:hAnsi="Arial" w:cs="Arial"/>
          <w:b/>
        </w:rPr>
        <w:t xml:space="preserve"> PGA/DGCOOP, Juillet 2017</w:t>
      </w:r>
    </w:p>
    <w:p w:rsidR="007340D6" w:rsidRPr="00F538F7" w:rsidRDefault="007340D6" w:rsidP="008D7758">
      <w:pPr>
        <w:pStyle w:val="Titre2"/>
        <w:numPr>
          <w:ilvl w:val="0"/>
          <w:numId w:val="117"/>
        </w:numPr>
        <w:tabs>
          <w:tab w:val="left" w:pos="1134"/>
        </w:tabs>
      </w:pPr>
      <w:bookmarkStart w:id="617" w:name="_Toc459122862"/>
      <w:bookmarkStart w:id="618" w:name="_Toc492972226"/>
      <w:r w:rsidRPr="00F538F7">
        <w:t>Secteur « Transformation industrielle et artisanale »</w:t>
      </w:r>
      <w:bookmarkEnd w:id="617"/>
      <w:bookmarkEnd w:id="618"/>
    </w:p>
    <w:p w:rsidR="000E4CEA" w:rsidRPr="000E4CEA" w:rsidRDefault="000E4CEA" w:rsidP="000E4CEA">
      <w:pPr>
        <w:spacing w:after="120"/>
        <w:jc w:val="both"/>
        <w:rPr>
          <w:rFonts w:ascii="Arial" w:hAnsi="Arial" w:cs="Arial"/>
        </w:rPr>
      </w:pPr>
      <w:r w:rsidRPr="000E4CEA">
        <w:rPr>
          <w:rFonts w:ascii="Arial" w:hAnsi="Arial" w:cs="Arial"/>
        </w:rPr>
        <w:t>Ce secteur regroupe principalement les sous-secteurs combustible et énergie, industries extractives et manufacturières, construction et industries alimentaires. Il a absorbé en 2016 un montant de 92,83 millions dollars US, soit 8,1 % de l’APD totale.</w:t>
      </w:r>
    </w:p>
    <w:p w:rsidR="000E4CEA" w:rsidRPr="000E4CEA" w:rsidRDefault="000E4CEA" w:rsidP="000E4CEA">
      <w:pPr>
        <w:spacing w:after="120"/>
        <w:jc w:val="both"/>
        <w:rPr>
          <w:rFonts w:ascii="Arial" w:hAnsi="Arial" w:cs="Arial"/>
        </w:rPr>
      </w:pPr>
      <w:r w:rsidRPr="000E4CEA">
        <w:rPr>
          <w:rFonts w:ascii="Arial" w:hAnsi="Arial" w:cs="Arial"/>
        </w:rPr>
        <w:t xml:space="preserve">S’agissant des instruments d’aide dans ce secteur en 2016, ce sont exclusivement l’aide projet sans fonds communs (88,16 millions dollars US) et l’aide projet avec fonds communs (4,67 millions dollars US) qui ont été utilisés. </w:t>
      </w:r>
    </w:p>
    <w:p w:rsidR="000E4CEA" w:rsidRPr="000E4CEA" w:rsidRDefault="000E4CEA" w:rsidP="000E4CEA">
      <w:pPr>
        <w:spacing w:after="120"/>
        <w:jc w:val="both"/>
        <w:rPr>
          <w:rFonts w:ascii="Arial" w:hAnsi="Arial" w:cs="Arial"/>
        </w:rPr>
      </w:pPr>
      <w:r w:rsidRPr="000E4CEA">
        <w:rPr>
          <w:rFonts w:ascii="Arial" w:hAnsi="Arial" w:cs="Arial"/>
        </w:rPr>
        <w:t>Dans ce secteur, l’aide fournie sous forme de dons (47,60 millions dollars US) est légèrement au-dessus des prêts (45,24 millions dollars US).</w:t>
      </w:r>
    </w:p>
    <w:p w:rsidR="007340D6" w:rsidRPr="000E4CEA" w:rsidRDefault="000E4CEA" w:rsidP="000E4CEA">
      <w:pPr>
        <w:spacing w:after="120"/>
        <w:jc w:val="both"/>
        <w:rPr>
          <w:rFonts w:ascii="Arial" w:hAnsi="Arial" w:cs="Arial"/>
        </w:rPr>
      </w:pPr>
      <w:r w:rsidRPr="000E4CEA">
        <w:rPr>
          <w:rFonts w:ascii="Arial" w:hAnsi="Arial" w:cs="Arial"/>
        </w:rPr>
        <w:t>La France est le partenaire ayant le plus contribué au financement du secteur avec une part de 64,</w:t>
      </w:r>
      <w:r w:rsidR="00247ABF">
        <w:rPr>
          <w:rFonts w:ascii="Arial" w:hAnsi="Arial" w:cs="Arial"/>
        </w:rPr>
        <w:t>3</w:t>
      </w:r>
      <w:r w:rsidRPr="000E4CEA">
        <w:rPr>
          <w:rFonts w:ascii="Arial" w:hAnsi="Arial" w:cs="Arial"/>
        </w:rPr>
        <w:t xml:space="preserve"> % de l’APD du secteur.</w:t>
      </w:r>
    </w:p>
    <w:p w:rsidR="007340D6" w:rsidRPr="007340D6" w:rsidRDefault="007340D6" w:rsidP="007340D6">
      <w:pPr>
        <w:rPr>
          <w:rFonts w:ascii="Arial" w:hAnsi="Arial" w:cs="Arial"/>
          <w:b/>
        </w:rPr>
      </w:pPr>
      <w:r w:rsidRPr="007340D6">
        <w:rPr>
          <w:rFonts w:ascii="Arial" w:hAnsi="Arial" w:cs="Arial"/>
          <w:b/>
          <w:u w:val="single"/>
        </w:rPr>
        <w:lastRenderedPageBreak/>
        <w:t>Tableau 30:</w:t>
      </w:r>
      <w:r w:rsidRPr="007340D6">
        <w:rPr>
          <w:rFonts w:ascii="Arial" w:hAnsi="Arial" w:cs="Arial"/>
          <w:b/>
        </w:rPr>
        <w:t xml:space="preserve"> Principales caractéristiques du secteur « Transformation industrielle et artisanale » en 2016</w:t>
      </w:r>
    </w:p>
    <w:tbl>
      <w:tblPr>
        <w:tblW w:w="9031" w:type="dxa"/>
        <w:tblInd w:w="75" w:type="dxa"/>
        <w:tblCellMar>
          <w:left w:w="70" w:type="dxa"/>
          <w:right w:w="70" w:type="dxa"/>
        </w:tblCellMar>
        <w:tblLook w:val="04A0" w:firstRow="1" w:lastRow="0" w:firstColumn="1" w:lastColumn="0" w:noHBand="0" w:noVBand="1"/>
      </w:tblPr>
      <w:tblGrid>
        <w:gridCol w:w="5328"/>
        <w:gridCol w:w="1941"/>
        <w:gridCol w:w="1762"/>
      </w:tblGrid>
      <w:tr w:rsidR="007340D6" w:rsidRPr="007340D6" w:rsidTr="007340D6">
        <w:trPr>
          <w:trHeight w:val="461"/>
        </w:trPr>
        <w:tc>
          <w:tcPr>
            <w:tcW w:w="53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Transformation industrielle et artisanale</w:t>
            </w:r>
          </w:p>
        </w:tc>
        <w:tc>
          <w:tcPr>
            <w:tcW w:w="1941" w:type="dxa"/>
            <w:tcBorders>
              <w:top w:val="single" w:sz="4" w:space="0" w:color="auto"/>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Montant en millions $US</w:t>
            </w:r>
          </w:p>
        </w:tc>
        <w:tc>
          <w:tcPr>
            <w:tcW w:w="1762" w:type="dxa"/>
            <w:tcBorders>
              <w:top w:val="single" w:sz="4" w:space="0" w:color="auto"/>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En % de l'APD totale</w:t>
            </w:r>
          </w:p>
        </w:tc>
      </w:tr>
      <w:tr w:rsidR="007340D6" w:rsidRPr="007340D6" w:rsidTr="007340D6">
        <w:trPr>
          <w:trHeight w:val="153"/>
        </w:trPr>
        <w:tc>
          <w:tcPr>
            <w:tcW w:w="5328"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Total secteur</w:t>
            </w:r>
          </w:p>
        </w:tc>
        <w:tc>
          <w:tcPr>
            <w:tcW w:w="1941" w:type="dxa"/>
            <w:tcBorders>
              <w:top w:val="nil"/>
              <w:left w:val="nil"/>
              <w:bottom w:val="single" w:sz="4" w:space="0" w:color="auto"/>
              <w:right w:val="single" w:sz="4" w:space="0" w:color="auto"/>
            </w:tcBorders>
            <w:shd w:val="clear" w:color="auto" w:fill="auto"/>
            <w:noWrap/>
            <w:vAlign w:val="bottom"/>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92,83</w:t>
            </w:r>
          </w:p>
        </w:tc>
        <w:tc>
          <w:tcPr>
            <w:tcW w:w="1762" w:type="dxa"/>
            <w:tcBorders>
              <w:top w:val="nil"/>
              <w:left w:val="nil"/>
              <w:bottom w:val="single" w:sz="4" w:space="0" w:color="auto"/>
              <w:right w:val="single" w:sz="4" w:space="0" w:color="auto"/>
            </w:tcBorders>
            <w:shd w:val="clear" w:color="auto" w:fill="auto"/>
            <w:noWrap/>
            <w:vAlign w:val="bottom"/>
            <w:hideMark/>
          </w:tcPr>
          <w:p w:rsidR="007340D6" w:rsidRPr="007340D6" w:rsidRDefault="007340D6" w:rsidP="00642014">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8,</w:t>
            </w:r>
            <w:r w:rsidR="00642014">
              <w:rPr>
                <w:rFonts w:ascii="Arial" w:eastAsia="Times New Roman" w:hAnsi="Arial" w:cs="Arial"/>
                <w:b/>
                <w:bCs/>
                <w:sz w:val="20"/>
                <w:szCs w:val="20"/>
                <w:lang w:eastAsia="fr-FR"/>
              </w:rPr>
              <w:t>1</w:t>
            </w:r>
          </w:p>
        </w:tc>
      </w:tr>
      <w:tr w:rsidR="007340D6" w:rsidRPr="007340D6" w:rsidTr="007340D6">
        <w:trPr>
          <w:trHeight w:val="307"/>
        </w:trPr>
        <w:tc>
          <w:tcPr>
            <w:tcW w:w="5328"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Répartition par type d'aide</w:t>
            </w:r>
          </w:p>
        </w:tc>
        <w:tc>
          <w:tcPr>
            <w:tcW w:w="1941" w:type="dxa"/>
            <w:tcBorders>
              <w:top w:val="nil"/>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Montant en millions $US</w:t>
            </w:r>
          </w:p>
        </w:tc>
        <w:tc>
          <w:tcPr>
            <w:tcW w:w="1762" w:type="dxa"/>
            <w:tcBorders>
              <w:top w:val="nil"/>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 de l'APD du secteur</w:t>
            </w:r>
          </w:p>
        </w:tc>
      </w:tr>
      <w:tr w:rsidR="007340D6" w:rsidRPr="007340D6" w:rsidTr="007340D6">
        <w:trPr>
          <w:trHeight w:val="153"/>
        </w:trPr>
        <w:tc>
          <w:tcPr>
            <w:tcW w:w="5328"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rPr>
                <w:rFonts w:ascii="Arial" w:eastAsia="Times New Roman" w:hAnsi="Arial" w:cs="Arial"/>
                <w:sz w:val="20"/>
                <w:szCs w:val="20"/>
                <w:lang w:eastAsia="fr-FR"/>
              </w:rPr>
            </w:pPr>
            <w:r w:rsidRPr="007340D6">
              <w:rPr>
                <w:rFonts w:ascii="Arial" w:eastAsia="Times New Roman" w:hAnsi="Arial" w:cs="Arial"/>
                <w:sz w:val="20"/>
                <w:szCs w:val="20"/>
                <w:lang w:eastAsia="fr-FR"/>
              </w:rPr>
              <w:t xml:space="preserve">  Aide projet - Sans fonds commun </w:t>
            </w:r>
          </w:p>
        </w:tc>
        <w:tc>
          <w:tcPr>
            <w:tcW w:w="1941" w:type="dxa"/>
            <w:tcBorders>
              <w:top w:val="nil"/>
              <w:left w:val="nil"/>
              <w:bottom w:val="single" w:sz="4" w:space="0" w:color="auto"/>
              <w:right w:val="single" w:sz="4" w:space="0" w:color="auto"/>
            </w:tcBorders>
            <w:shd w:val="clear" w:color="auto" w:fill="auto"/>
            <w:noWrap/>
            <w:vAlign w:val="bottom"/>
            <w:hideMark/>
          </w:tcPr>
          <w:p w:rsidR="007340D6" w:rsidRPr="007340D6" w:rsidRDefault="007340D6" w:rsidP="007340D6">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88,16</w:t>
            </w:r>
          </w:p>
        </w:tc>
        <w:tc>
          <w:tcPr>
            <w:tcW w:w="1762" w:type="dxa"/>
            <w:tcBorders>
              <w:top w:val="nil"/>
              <w:left w:val="nil"/>
              <w:bottom w:val="single" w:sz="4" w:space="0" w:color="auto"/>
              <w:right w:val="single" w:sz="4" w:space="0" w:color="auto"/>
            </w:tcBorders>
            <w:shd w:val="clear" w:color="auto" w:fill="auto"/>
            <w:noWrap/>
            <w:vAlign w:val="bottom"/>
            <w:hideMark/>
          </w:tcPr>
          <w:p w:rsidR="007340D6" w:rsidRPr="007340D6" w:rsidRDefault="00642014" w:rsidP="00642014">
            <w:pPr>
              <w:spacing w:after="0" w:line="240" w:lineRule="auto"/>
              <w:jc w:val="center"/>
              <w:rPr>
                <w:rFonts w:ascii="Arial" w:eastAsia="Times New Roman" w:hAnsi="Arial" w:cs="Arial"/>
                <w:sz w:val="20"/>
                <w:szCs w:val="20"/>
                <w:lang w:eastAsia="fr-FR"/>
              </w:rPr>
            </w:pPr>
            <w:r>
              <w:rPr>
                <w:rFonts w:ascii="Arial" w:eastAsia="Times New Roman" w:hAnsi="Arial" w:cs="Arial"/>
                <w:sz w:val="20"/>
                <w:szCs w:val="20"/>
                <w:lang w:eastAsia="fr-FR"/>
              </w:rPr>
              <w:t>95</w:t>
            </w:r>
          </w:p>
        </w:tc>
      </w:tr>
      <w:tr w:rsidR="007340D6" w:rsidRPr="007340D6" w:rsidTr="007340D6">
        <w:trPr>
          <w:trHeight w:val="153"/>
        </w:trPr>
        <w:tc>
          <w:tcPr>
            <w:tcW w:w="5328"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rPr>
                <w:rFonts w:ascii="Arial" w:eastAsia="Times New Roman" w:hAnsi="Arial" w:cs="Arial"/>
                <w:sz w:val="20"/>
                <w:szCs w:val="20"/>
                <w:lang w:eastAsia="fr-FR"/>
              </w:rPr>
            </w:pPr>
            <w:r w:rsidRPr="007340D6">
              <w:rPr>
                <w:rFonts w:ascii="Arial" w:eastAsia="Times New Roman" w:hAnsi="Arial" w:cs="Arial"/>
                <w:sz w:val="20"/>
                <w:szCs w:val="20"/>
                <w:lang w:eastAsia="fr-FR"/>
              </w:rPr>
              <w:t xml:space="preserve">  Aide projet - Avec fonds commun </w:t>
            </w:r>
          </w:p>
        </w:tc>
        <w:tc>
          <w:tcPr>
            <w:tcW w:w="1941" w:type="dxa"/>
            <w:tcBorders>
              <w:top w:val="nil"/>
              <w:left w:val="nil"/>
              <w:bottom w:val="single" w:sz="4" w:space="0" w:color="auto"/>
              <w:right w:val="single" w:sz="4" w:space="0" w:color="auto"/>
            </w:tcBorders>
            <w:shd w:val="clear" w:color="auto" w:fill="auto"/>
            <w:noWrap/>
            <w:vAlign w:val="bottom"/>
            <w:hideMark/>
          </w:tcPr>
          <w:p w:rsidR="007340D6" w:rsidRPr="007340D6" w:rsidRDefault="007340D6" w:rsidP="007340D6">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4,67</w:t>
            </w:r>
          </w:p>
        </w:tc>
        <w:tc>
          <w:tcPr>
            <w:tcW w:w="1762" w:type="dxa"/>
            <w:tcBorders>
              <w:top w:val="nil"/>
              <w:left w:val="nil"/>
              <w:bottom w:val="single" w:sz="4" w:space="0" w:color="auto"/>
              <w:right w:val="single" w:sz="4" w:space="0" w:color="auto"/>
            </w:tcBorders>
            <w:shd w:val="clear" w:color="auto" w:fill="auto"/>
            <w:noWrap/>
            <w:vAlign w:val="bottom"/>
            <w:hideMark/>
          </w:tcPr>
          <w:p w:rsidR="007340D6" w:rsidRPr="007340D6" w:rsidRDefault="007340D6" w:rsidP="007340D6">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5,03</w:t>
            </w:r>
          </w:p>
        </w:tc>
      </w:tr>
      <w:tr w:rsidR="007340D6" w:rsidRPr="007340D6" w:rsidTr="007340D6">
        <w:trPr>
          <w:trHeight w:val="307"/>
        </w:trPr>
        <w:tc>
          <w:tcPr>
            <w:tcW w:w="5328"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Principaux bailleurs</w:t>
            </w:r>
          </w:p>
        </w:tc>
        <w:tc>
          <w:tcPr>
            <w:tcW w:w="1941" w:type="dxa"/>
            <w:tcBorders>
              <w:top w:val="nil"/>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Montant en millions $US</w:t>
            </w:r>
          </w:p>
        </w:tc>
        <w:tc>
          <w:tcPr>
            <w:tcW w:w="1762" w:type="dxa"/>
            <w:tcBorders>
              <w:top w:val="nil"/>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 de l'APD du secteur</w:t>
            </w:r>
          </w:p>
        </w:tc>
      </w:tr>
      <w:tr w:rsidR="007340D6" w:rsidRPr="007340D6" w:rsidTr="007340D6">
        <w:trPr>
          <w:trHeight w:val="153"/>
        </w:trPr>
        <w:tc>
          <w:tcPr>
            <w:tcW w:w="5328"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France</w:t>
            </w:r>
          </w:p>
        </w:tc>
        <w:tc>
          <w:tcPr>
            <w:tcW w:w="1941" w:type="dxa"/>
            <w:tcBorders>
              <w:top w:val="nil"/>
              <w:left w:val="nil"/>
              <w:bottom w:val="single" w:sz="4" w:space="0" w:color="000000"/>
              <w:right w:val="single" w:sz="4" w:space="0" w:color="000000"/>
            </w:tcBorders>
            <w:shd w:val="clear" w:color="000000" w:fill="FFFFFF"/>
            <w:noWrap/>
            <w:hideMark/>
          </w:tcPr>
          <w:p w:rsidR="007340D6" w:rsidRPr="007340D6" w:rsidRDefault="007340D6" w:rsidP="007340D6">
            <w:pPr>
              <w:spacing w:after="0" w:line="240" w:lineRule="auto"/>
              <w:jc w:val="right"/>
              <w:rPr>
                <w:rFonts w:ascii="Arial" w:eastAsia="Times New Roman" w:hAnsi="Arial" w:cs="Arial"/>
                <w:sz w:val="20"/>
                <w:szCs w:val="20"/>
                <w:lang w:eastAsia="fr-FR"/>
              </w:rPr>
            </w:pPr>
            <w:r w:rsidRPr="007340D6">
              <w:rPr>
                <w:rFonts w:ascii="Arial" w:eastAsia="Times New Roman" w:hAnsi="Arial" w:cs="Arial"/>
                <w:sz w:val="20"/>
                <w:szCs w:val="20"/>
                <w:lang w:eastAsia="fr-FR"/>
              </w:rPr>
              <w:t>59,67</w:t>
            </w:r>
          </w:p>
        </w:tc>
        <w:tc>
          <w:tcPr>
            <w:tcW w:w="1762"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642014">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64,</w:t>
            </w:r>
            <w:r w:rsidR="00642014">
              <w:rPr>
                <w:rFonts w:ascii="Arial" w:eastAsia="Times New Roman" w:hAnsi="Arial" w:cs="Arial"/>
                <w:sz w:val="20"/>
                <w:szCs w:val="20"/>
                <w:lang w:eastAsia="fr-FR"/>
              </w:rPr>
              <w:t>3</w:t>
            </w:r>
          </w:p>
        </w:tc>
      </w:tr>
      <w:tr w:rsidR="007340D6" w:rsidRPr="007340D6" w:rsidTr="007340D6">
        <w:trPr>
          <w:trHeight w:val="153"/>
        </w:trPr>
        <w:tc>
          <w:tcPr>
            <w:tcW w:w="5328"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 xml:space="preserve">Banque Mondiale </w:t>
            </w:r>
          </w:p>
        </w:tc>
        <w:tc>
          <w:tcPr>
            <w:tcW w:w="1941" w:type="dxa"/>
            <w:tcBorders>
              <w:top w:val="nil"/>
              <w:left w:val="nil"/>
              <w:bottom w:val="single" w:sz="4" w:space="0" w:color="000000"/>
              <w:right w:val="single" w:sz="4" w:space="0" w:color="000000"/>
            </w:tcBorders>
            <w:shd w:val="clear" w:color="000000" w:fill="FFFFFF"/>
            <w:noWrap/>
            <w:hideMark/>
          </w:tcPr>
          <w:p w:rsidR="007340D6" w:rsidRPr="007340D6" w:rsidRDefault="007340D6" w:rsidP="007340D6">
            <w:pPr>
              <w:spacing w:after="0" w:line="240" w:lineRule="auto"/>
              <w:jc w:val="right"/>
              <w:rPr>
                <w:rFonts w:ascii="Arial" w:eastAsia="Times New Roman" w:hAnsi="Arial" w:cs="Arial"/>
                <w:sz w:val="20"/>
                <w:szCs w:val="20"/>
                <w:lang w:eastAsia="fr-FR"/>
              </w:rPr>
            </w:pPr>
            <w:r w:rsidRPr="007340D6">
              <w:rPr>
                <w:rFonts w:ascii="Arial" w:eastAsia="Times New Roman" w:hAnsi="Arial" w:cs="Arial"/>
                <w:sz w:val="20"/>
                <w:szCs w:val="20"/>
                <w:lang w:eastAsia="fr-FR"/>
              </w:rPr>
              <w:t>12,55</w:t>
            </w:r>
          </w:p>
        </w:tc>
        <w:tc>
          <w:tcPr>
            <w:tcW w:w="1762" w:type="dxa"/>
            <w:tcBorders>
              <w:top w:val="nil"/>
              <w:left w:val="nil"/>
              <w:bottom w:val="single" w:sz="4" w:space="0" w:color="auto"/>
              <w:right w:val="single" w:sz="4" w:space="0" w:color="auto"/>
            </w:tcBorders>
            <w:shd w:val="clear" w:color="auto" w:fill="auto"/>
            <w:noWrap/>
            <w:vAlign w:val="center"/>
            <w:hideMark/>
          </w:tcPr>
          <w:p w:rsidR="007340D6" w:rsidRPr="007340D6" w:rsidRDefault="00642014" w:rsidP="007340D6">
            <w:pPr>
              <w:spacing w:after="0" w:line="240" w:lineRule="auto"/>
              <w:jc w:val="center"/>
              <w:rPr>
                <w:rFonts w:ascii="Arial" w:eastAsia="Times New Roman" w:hAnsi="Arial" w:cs="Arial"/>
                <w:sz w:val="20"/>
                <w:szCs w:val="20"/>
                <w:lang w:eastAsia="fr-FR"/>
              </w:rPr>
            </w:pPr>
            <w:r>
              <w:rPr>
                <w:rFonts w:ascii="Arial" w:eastAsia="Times New Roman" w:hAnsi="Arial" w:cs="Arial"/>
                <w:sz w:val="20"/>
                <w:szCs w:val="20"/>
                <w:lang w:eastAsia="fr-FR"/>
              </w:rPr>
              <w:t>13,5</w:t>
            </w:r>
          </w:p>
        </w:tc>
      </w:tr>
      <w:tr w:rsidR="007340D6" w:rsidRPr="007340D6" w:rsidTr="007340D6">
        <w:trPr>
          <w:trHeight w:val="153"/>
        </w:trPr>
        <w:tc>
          <w:tcPr>
            <w:tcW w:w="5328"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Union Européenne</w:t>
            </w:r>
          </w:p>
        </w:tc>
        <w:tc>
          <w:tcPr>
            <w:tcW w:w="1941" w:type="dxa"/>
            <w:tcBorders>
              <w:top w:val="nil"/>
              <w:left w:val="nil"/>
              <w:bottom w:val="single" w:sz="4" w:space="0" w:color="000000"/>
              <w:right w:val="single" w:sz="4" w:space="0" w:color="000000"/>
            </w:tcBorders>
            <w:shd w:val="clear" w:color="000000" w:fill="FFFFFF"/>
            <w:noWrap/>
            <w:hideMark/>
          </w:tcPr>
          <w:p w:rsidR="007340D6" w:rsidRPr="007340D6" w:rsidRDefault="007340D6" w:rsidP="007340D6">
            <w:pPr>
              <w:spacing w:after="0" w:line="240" w:lineRule="auto"/>
              <w:jc w:val="right"/>
              <w:rPr>
                <w:rFonts w:ascii="Arial" w:eastAsia="Times New Roman" w:hAnsi="Arial" w:cs="Arial"/>
                <w:sz w:val="20"/>
                <w:szCs w:val="20"/>
                <w:lang w:eastAsia="fr-FR"/>
              </w:rPr>
            </w:pPr>
            <w:r w:rsidRPr="007340D6">
              <w:rPr>
                <w:rFonts w:ascii="Arial" w:eastAsia="Times New Roman" w:hAnsi="Arial" w:cs="Arial"/>
                <w:sz w:val="20"/>
                <w:szCs w:val="20"/>
                <w:lang w:eastAsia="fr-FR"/>
              </w:rPr>
              <w:t>9,30</w:t>
            </w:r>
          </w:p>
        </w:tc>
        <w:tc>
          <w:tcPr>
            <w:tcW w:w="1762"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642014">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10,0</w:t>
            </w:r>
          </w:p>
        </w:tc>
      </w:tr>
      <w:tr w:rsidR="007340D6" w:rsidRPr="007340D6" w:rsidTr="007340D6">
        <w:trPr>
          <w:trHeight w:val="153"/>
        </w:trPr>
        <w:tc>
          <w:tcPr>
            <w:tcW w:w="5328"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Chine-Taïwan</w:t>
            </w:r>
          </w:p>
        </w:tc>
        <w:tc>
          <w:tcPr>
            <w:tcW w:w="1941" w:type="dxa"/>
            <w:tcBorders>
              <w:top w:val="nil"/>
              <w:left w:val="nil"/>
              <w:bottom w:val="single" w:sz="4" w:space="0" w:color="000000"/>
              <w:right w:val="single" w:sz="4" w:space="0" w:color="000000"/>
            </w:tcBorders>
            <w:shd w:val="clear" w:color="000000" w:fill="FFFFFF"/>
            <w:noWrap/>
            <w:hideMark/>
          </w:tcPr>
          <w:p w:rsidR="007340D6" w:rsidRPr="007340D6" w:rsidRDefault="007340D6" w:rsidP="007340D6">
            <w:pPr>
              <w:spacing w:after="0" w:line="240" w:lineRule="auto"/>
              <w:jc w:val="right"/>
              <w:rPr>
                <w:rFonts w:ascii="Arial" w:eastAsia="Times New Roman" w:hAnsi="Arial" w:cs="Arial"/>
                <w:sz w:val="20"/>
                <w:szCs w:val="20"/>
                <w:lang w:eastAsia="fr-FR"/>
              </w:rPr>
            </w:pPr>
            <w:r w:rsidRPr="007340D6">
              <w:rPr>
                <w:rFonts w:ascii="Arial" w:eastAsia="Times New Roman" w:hAnsi="Arial" w:cs="Arial"/>
                <w:sz w:val="20"/>
                <w:szCs w:val="20"/>
                <w:lang w:eastAsia="fr-FR"/>
              </w:rPr>
              <w:t>3,86</w:t>
            </w:r>
          </w:p>
        </w:tc>
        <w:tc>
          <w:tcPr>
            <w:tcW w:w="1762"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642014">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4,</w:t>
            </w:r>
            <w:r w:rsidR="00642014">
              <w:rPr>
                <w:rFonts w:ascii="Arial" w:eastAsia="Times New Roman" w:hAnsi="Arial" w:cs="Arial"/>
                <w:sz w:val="20"/>
                <w:szCs w:val="20"/>
                <w:lang w:eastAsia="fr-FR"/>
              </w:rPr>
              <w:t>2</w:t>
            </w:r>
          </w:p>
        </w:tc>
      </w:tr>
      <w:tr w:rsidR="007340D6" w:rsidRPr="007340D6" w:rsidTr="007340D6">
        <w:trPr>
          <w:trHeight w:val="153"/>
        </w:trPr>
        <w:tc>
          <w:tcPr>
            <w:tcW w:w="5328" w:type="dxa"/>
            <w:tcBorders>
              <w:top w:val="nil"/>
              <w:left w:val="single" w:sz="4" w:space="0" w:color="000000"/>
              <w:bottom w:val="single" w:sz="4" w:space="0" w:color="000000"/>
              <w:right w:val="single" w:sz="4" w:space="0" w:color="000000"/>
            </w:tcBorders>
            <w:shd w:val="clear" w:color="000000" w:fill="FFFFFF"/>
            <w:noWrap/>
            <w:vAlign w:val="bottom"/>
            <w:hideMark/>
          </w:tcPr>
          <w:p w:rsidR="007340D6" w:rsidRPr="007340D6" w:rsidRDefault="007340D6" w:rsidP="007340D6">
            <w:pPr>
              <w:spacing w:after="0" w:line="240" w:lineRule="auto"/>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BOAD</w:t>
            </w:r>
          </w:p>
        </w:tc>
        <w:tc>
          <w:tcPr>
            <w:tcW w:w="1941" w:type="dxa"/>
            <w:tcBorders>
              <w:top w:val="nil"/>
              <w:left w:val="nil"/>
              <w:bottom w:val="single" w:sz="4" w:space="0" w:color="000000"/>
              <w:right w:val="single" w:sz="4" w:space="0" w:color="000000"/>
            </w:tcBorders>
            <w:shd w:val="clear" w:color="000000" w:fill="FFFFFF"/>
            <w:noWrap/>
            <w:hideMark/>
          </w:tcPr>
          <w:p w:rsidR="007340D6" w:rsidRPr="007340D6" w:rsidRDefault="007340D6" w:rsidP="007340D6">
            <w:pPr>
              <w:spacing w:after="0" w:line="240" w:lineRule="auto"/>
              <w:jc w:val="right"/>
              <w:rPr>
                <w:rFonts w:ascii="Arial" w:eastAsia="Times New Roman" w:hAnsi="Arial" w:cs="Arial"/>
                <w:sz w:val="20"/>
                <w:szCs w:val="20"/>
                <w:lang w:eastAsia="fr-FR"/>
              </w:rPr>
            </w:pPr>
            <w:r w:rsidRPr="007340D6">
              <w:rPr>
                <w:rFonts w:ascii="Arial" w:eastAsia="Times New Roman" w:hAnsi="Arial" w:cs="Arial"/>
                <w:sz w:val="20"/>
                <w:szCs w:val="20"/>
                <w:lang w:eastAsia="fr-FR"/>
              </w:rPr>
              <w:t>3,77</w:t>
            </w:r>
          </w:p>
        </w:tc>
        <w:tc>
          <w:tcPr>
            <w:tcW w:w="1762"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F678BA">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4,</w:t>
            </w:r>
            <w:r w:rsidR="00F678BA">
              <w:rPr>
                <w:rFonts w:ascii="Arial" w:eastAsia="Times New Roman" w:hAnsi="Arial" w:cs="Arial"/>
                <w:sz w:val="20"/>
                <w:szCs w:val="20"/>
                <w:lang w:eastAsia="fr-FR"/>
              </w:rPr>
              <w:t>1</w:t>
            </w:r>
          </w:p>
        </w:tc>
      </w:tr>
      <w:tr w:rsidR="007340D6" w:rsidRPr="007340D6" w:rsidTr="007340D6">
        <w:trPr>
          <w:trHeight w:val="153"/>
        </w:trPr>
        <w:tc>
          <w:tcPr>
            <w:tcW w:w="5328" w:type="dxa"/>
            <w:tcBorders>
              <w:top w:val="nil"/>
              <w:left w:val="single" w:sz="4" w:space="0" w:color="auto"/>
              <w:bottom w:val="single" w:sz="4" w:space="0" w:color="auto"/>
              <w:right w:val="single" w:sz="4" w:space="0" w:color="auto"/>
            </w:tcBorders>
            <w:shd w:val="clear" w:color="000000" w:fill="FFFFFF"/>
            <w:noWrap/>
            <w:vAlign w:val="bottom"/>
            <w:hideMark/>
          </w:tcPr>
          <w:p w:rsidR="007340D6" w:rsidRPr="007340D6" w:rsidRDefault="007340D6" w:rsidP="007340D6">
            <w:pPr>
              <w:spacing w:after="0" w:line="240" w:lineRule="auto"/>
              <w:rPr>
                <w:rFonts w:ascii="Arial" w:eastAsia="Times New Roman" w:hAnsi="Arial" w:cs="Arial"/>
                <w:sz w:val="20"/>
                <w:szCs w:val="20"/>
                <w:lang w:eastAsia="fr-FR"/>
              </w:rPr>
            </w:pPr>
            <w:r w:rsidRPr="007340D6">
              <w:rPr>
                <w:rFonts w:ascii="Arial" w:eastAsia="Times New Roman" w:hAnsi="Arial" w:cs="Arial"/>
                <w:sz w:val="20"/>
                <w:szCs w:val="20"/>
                <w:lang w:eastAsia="fr-FR"/>
              </w:rPr>
              <w:t>Autres</w:t>
            </w:r>
          </w:p>
        </w:tc>
        <w:tc>
          <w:tcPr>
            <w:tcW w:w="1941" w:type="dxa"/>
            <w:tcBorders>
              <w:top w:val="nil"/>
              <w:left w:val="nil"/>
              <w:bottom w:val="single" w:sz="4" w:space="0" w:color="auto"/>
              <w:right w:val="single" w:sz="4" w:space="0" w:color="auto"/>
            </w:tcBorders>
            <w:shd w:val="clear" w:color="000000" w:fill="FFFFFF"/>
            <w:hideMark/>
          </w:tcPr>
          <w:p w:rsidR="007340D6" w:rsidRPr="007340D6" w:rsidRDefault="007340D6" w:rsidP="007340D6">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3,69</w:t>
            </w:r>
          </w:p>
        </w:tc>
        <w:tc>
          <w:tcPr>
            <w:tcW w:w="1762" w:type="dxa"/>
            <w:tcBorders>
              <w:top w:val="nil"/>
              <w:left w:val="nil"/>
              <w:bottom w:val="single" w:sz="4" w:space="0" w:color="auto"/>
              <w:right w:val="single" w:sz="4" w:space="0" w:color="auto"/>
            </w:tcBorders>
            <w:shd w:val="clear" w:color="auto" w:fill="auto"/>
            <w:noWrap/>
            <w:vAlign w:val="center"/>
            <w:hideMark/>
          </w:tcPr>
          <w:p w:rsidR="007340D6" w:rsidRPr="007340D6" w:rsidRDefault="00F678BA" w:rsidP="007340D6">
            <w:pPr>
              <w:spacing w:after="0" w:line="240" w:lineRule="auto"/>
              <w:jc w:val="center"/>
              <w:rPr>
                <w:rFonts w:ascii="Arial" w:eastAsia="Times New Roman" w:hAnsi="Arial" w:cs="Arial"/>
                <w:sz w:val="20"/>
                <w:szCs w:val="20"/>
                <w:lang w:eastAsia="fr-FR"/>
              </w:rPr>
            </w:pPr>
            <w:r>
              <w:rPr>
                <w:rFonts w:ascii="Arial" w:eastAsia="Times New Roman" w:hAnsi="Arial" w:cs="Arial"/>
                <w:sz w:val="20"/>
                <w:szCs w:val="20"/>
                <w:lang w:eastAsia="fr-FR"/>
              </w:rPr>
              <w:t>4</w:t>
            </w:r>
          </w:p>
        </w:tc>
      </w:tr>
      <w:tr w:rsidR="007340D6" w:rsidRPr="007340D6" w:rsidTr="007340D6">
        <w:trPr>
          <w:trHeight w:val="307"/>
        </w:trPr>
        <w:tc>
          <w:tcPr>
            <w:tcW w:w="5328"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Répartition par conditions</w:t>
            </w:r>
          </w:p>
        </w:tc>
        <w:tc>
          <w:tcPr>
            <w:tcW w:w="1941" w:type="dxa"/>
            <w:tcBorders>
              <w:top w:val="nil"/>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Montant en millions $US</w:t>
            </w:r>
          </w:p>
        </w:tc>
        <w:tc>
          <w:tcPr>
            <w:tcW w:w="1762" w:type="dxa"/>
            <w:tcBorders>
              <w:top w:val="nil"/>
              <w:left w:val="nil"/>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jc w:val="center"/>
              <w:rPr>
                <w:rFonts w:ascii="Arial" w:eastAsia="Times New Roman" w:hAnsi="Arial" w:cs="Arial"/>
                <w:b/>
                <w:bCs/>
                <w:sz w:val="20"/>
                <w:szCs w:val="20"/>
                <w:lang w:eastAsia="fr-FR"/>
              </w:rPr>
            </w:pPr>
            <w:r w:rsidRPr="007340D6">
              <w:rPr>
                <w:rFonts w:ascii="Arial" w:eastAsia="Times New Roman" w:hAnsi="Arial" w:cs="Arial"/>
                <w:b/>
                <w:bCs/>
                <w:sz w:val="20"/>
                <w:szCs w:val="20"/>
                <w:lang w:eastAsia="fr-FR"/>
              </w:rPr>
              <w:t>% de l'APD du secteur</w:t>
            </w:r>
          </w:p>
        </w:tc>
      </w:tr>
      <w:tr w:rsidR="007340D6" w:rsidRPr="007340D6" w:rsidTr="007340D6">
        <w:trPr>
          <w:trHeight w:val="153"/>
        </w:trPr>
        <w:tc>
          <w:tcPr>
            <w:tcW w:w="5328"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rPr>
                <w:rFonts w:ascii="Arial" w:eastAsia="Times New Roman" w:hAnsi="Arial" w:cs="Arial"/>
                <w:sz w:val="20"/>
                <w:szCs w:val="20"/>
                <w:lang w:eastAsia="fr-FR"/>
              </w:rPr>
            </w:pPr>
            <w:r w:rsidRPr="007340D6">
              <w:rPr>
                <w:rFonts w:ascii="Arial" w:eastAsia="Times New Roman" w:hAnsi="Arial" w:cs="Arial"/>
                <w:sz w:val="20"/>
                <w:szCs w:val="20"/>
                <w:lang w:eastAsia="fr-FR"/>
              </w:rPr>
              <w:t>Prêts</w:t>
            </w:r>
          </w:p>
        </w:tc>
        <w:tc>
          <w:tcPr>
            <w:tcW w:w="1941" w:type="dxa"/>
            <w:tcBorders>
              <w:top w:val="nil"/>
              <w:left w:val="nil"/>
              <w:bottom w:val="single" w:sz="4" w:space="0" w:color="auto"/>
              <w:right w:val="single" w:sz="4" w:space="0" w:color="auto"/>
            </w:tcBorders>
            <w:shd w:val="clear" w:color="000000" w:fill="FFFFFF"/>
            <w:hideMark/>
          </w:tcPr>
          <w:p w:rsidR="007340D6" w:rsidRPr="007340D6" w:rsidRDefault="007340D6" w:rsidP="007340D6">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45,24</w:t>
            </w:r>
          </w:p>
        </w:tc>
        <w:tc>
          <w:tcPr>
            <w:tcW w:w="1762" w:type="dxa"/>
            <w:tcBorders>
              <w:top w:val="nil"/>
              <w:left w:val="nil"/>
              <w:bottom w:val="single" w:sz="4" w:space="0" w:color="auto"/>
              <w:right w:val="single" w:sz="4" w:space="0" w:color="auto"/>
            </w:tcBorders>
            <w:shd w:val="clear" w:color="auto" w:fill="auto"/>
            <w:noWrap/>
            <w:vAlign w:val="center"/>
            <w:hideMark/>
          </w:tcPr>
          <w:p w:rsidR="007340D6" w:rsidRPr="007340D6" w:rsidRDefault="00F678BA" w:rsidP="007340D6">
            <w:pPr>
              <w:spacing w:after="0" w:line="240" w:lineRule="auto"/>
              <w:jc w:val="center"/>
              <w:rPr>
                <w:rFonts w:ascii="Arial" w:eastAsia="Times New Roman" w:hAnsi="Arial" w:cs="Arial"/>
                <w:sz w:val="20"/>
                <w:szCs w:val="20"/>
                <w:lang w:eastAsia="fr-FR"/>
              </w:rPr>
            </w:pPr>
            <w:r>
              <w:rPr>
                <w:rFonts w:ascii="Arial" w:eastAsia="Times New Roman" w:hAnsi="Arial" w:cs="Arial"/>
                <w:sz w:val="20"/>
                <w:szCs w:val="20"/>
                <w:lang w:eastAsia="fr-FR"/>
              </w:rPr>
              <w:t>48,7</w:t>
            </w:r>
          </w:p>
        </w:tc>
      </w:tr>
      <w:tr w:rsidR="007340D6" w:rsidRPr="007340D6" w:rsidTr="007340D6">
        <w:trPr>
          <w:trHeight w:val="153"/>
        </w:trPr>
        <w:tc>
          <w:tcPr>
            <w:tcW w:w="5328" w:type="dxa"/>
            <w:tcBorders>
              <w:top w:val="nil"/>
              <w:left w:val="single" w:sz="4" w:space="0" w:color="auto"/>
              <w:bottom w:val="single" w:sz="4" w:space="0" w:color="auto"/>
              <w:right w:val="single" w:sz="4" w:space="0" w:color="auto"/>
            </w:tcBorders>
            <w:shd w:val="clear" w:color="auto" w:fill="auto"/>
            <w:vAlign w:val="center"/>
            <w:hideMark/>
          </w:tcPr>
          <w:p w:rsidR="007340D6" w:rsidRPr="007340D6" w:rsidRDefault="007340D6" w:rsidP="007340D6">
            <w:pPr>
              <w:spacing w:after="0" w:line="240" w:lineRule="auto"/>
              <w:rPr>
                <w:rFonts w:ascii="Arial" w:eastAsia="Times New Roman" w:hAnsi="Arial" w:cs="Arial"/>
                <w:sz w:val="20"/>
                <w:szCs w:val="20"/>
                <w:lang w:eastAsia="fr-FR"/>
              </w:rPr>
            </w:pPr>
            <w:r w:rsidRPr="007340D6">
              <w:rPr>
                <w:rFonts w:ascii="Arial" w:eastAsia="Times New Roman" w:hAnsi="Arial" w:cs="Arial"/>
                <w:sz w:val="20"/>
                <w:szCs w:val="20"/>
                <w:lang w:eastAsia="fr-FR"/>
              </w:rPr>
              <w:t>Dons</w:t>
            </w:r>
          </w:p>
        </w:tc>
        <w:tc>
          <w:tcPr>
            <w:tcW w:w="1941" w:type="dxa"/>
            <w:tcBorders>
              <w:top w:val="nil"/>
              <w:left w:val="nil"/>
              <w:bottom w:val="single" w:sz="4" w:space="0" w:color="auto"/>
              <w:right w:val="single" w:sz="4" w:space="0" w:color="auto"/>
            </w:tcBorders>
            <w:shd w:val="clear" w:color="000000" w:fill="FFFFFF"/>
            <w:hideMark/>
          </w:tcPr>
          <w:p w:rsidR="007340D6" w:rsidRPr="007340D6" w:rsidRDefault="007340D6" w:rsidP="007340D6">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47,60</w:t>
            </w:r>
          </w:p>
        </w:tc>
        <w:tc>
          <w:tcPr>
            <w:tcW w:w="1762" w:type="dxa"/>
            <w:tcBorders>
              <w:top w:val="nil"/>
              <w:left w:val="nil"/>
              <w:bottom w:val="single" w:sz="4" w:space="0" w:color="auto"/>
              <w:right w:val="single" w:sz="4" w:space="0" w:color="auto"/>
            </w:tcBorders>
            <w:shd w:val="clear" w:color="auto" w:fill="auto"/>
            <w:noWrap/>
            <w:vAlign w:val="center"/>
            <w:hideMark/>
          </w:tcPr>
          <w:p w:rsidR="007340D6" w:rsidRPr="007340D6" w:rsidRDefault="007340D6" w:rsidP="00F678BA">
            <w:pPr>
              <w:spacing w:after="0" w:line="240" w:lineRule="auto"/>
              <w:jc w:val="center"/>
              <w:rPr>
                <w:rFonts w:ascii="Arial" w:eastAsia="Times New Roman" w:hAnsi="Arial" w:cs="Arial"/>
                <w:sz w:val="20"/>
                <w:szCs w:val="20"/>
                <w:lang w:eastAsia="fr-FR"/>
              </w:rPr>
            </w:pPr>
            <w:r w:rsidRPr="007340D6">
              <w:rPr>
                <w:rFonts w:ascii="Arial" w:eastAsia="Times New Roman" w:hAnsi="Arial" w:cs="Arial"/>
                <w:sz w:val="20"/>
                <w:szCs w:val="20"/>
                <w:lang w:eastAsia="fr-FR"/>
              </w:rPr>
              <w:t>51,</w:t>
            </w:r>
            <w:r w:rsidR="00F678BA">
              <w:rPr>
                <w:rFonts w:ascii="Arial" w:eastAsia="Times New Roman" w:hAnsi="Arial" w:cs="Arial"/>
                <w:sz w:val="20"/>
                <w:szCs w:val="20"/>
                <w:lang w:eastAsia="fr-FR"/>
              </w:rPr>
              <w:t>3</w:t>
            </w:r>
          </w:p>
        </w:tc>
      </w:tr>
    </w:tbl>
    <w:p w:rsidR="007340D6" w:rsidRPr="007340D6" w:rsidRDefault="007340D6" w:rsidP="007340D6">
      <w:pPr>
        <w:rPr>
          <w:b/>
        </w:rPr>
      </w:pPr>
      <w:r w:rsidRPr="007340D6">
        <w:rPr>
          <w:b/>
          <w:u w:val="single"/>
        </w:rPr>
        <w:t>Source :</w:t>
      </w:r>
      <w:r w:rsidRPr="007340D6">
        <w:rPr>
          <w:b/>
        </w:rPr>
        <w:t xml:space="preserve"> PGA/DGCOOP, Juillet 2017</w:t>
      </w:r>
    </w:p>
    <w:p w:rsidR="000E4CEA" w:rsidRPr="007340D6" w:rsidRDefault="000E4CEA" w:rsidP="000E4CEA">
      <w:pPr>
        <w:rPr>
          <w:rFonts w:ascii="Arial" w:hAnsi="Arial" w:cs="Arial"/>
        </w:rPr>
      </w:pPr>
      <w:r w:rsidRPr="007340D6">
        <w:rPr>
          <w:rFonts w:ascii="Arial" w:hAnsi="Arial" w:cs="Arial"/>
        </w:rPr>
        <w:t xml:space="preserve">L’APD consacrée à ce secteur </w:t>
      </w:r>
      <w:r>
        <w:rPr>
          <w:rFonts w:ascii="Arial" w:hAnsi="Arial" w:cs="Arial"/>
        </w:rPr>
        <w:t xml:space="preserve">a servi à l’exécution </w:t>
      </w:r>
      <w:r w:rsidRPr="007340D6">
        <w:rPr>
          <w:rFonts w:ascii="Arial" w:hAnsi="Arial" w:cs="Arial"/>
        </w:rPr>
        <w:t xml:space="preserve">de projets et programmes dont les principaux sont les suivants : </w:t>
      </w:r>
    </w:p>
    <w:p w:rsidR="000E4CEA" w:rsidRPr="007340D6" w:rsidRDefault="000E4CEA" w:rsidP="000E4CEA">
      <w:pPr>
        <w:pStyle w:val="Paragraphedeliste"/>
        <w:numPr>
          <w:ilvl w:val="0"/>
          <w:numId w:val="4"/>
        </w:numPr>
        <w:rPr>
          <w:rFonts w:ascii="Arial" w:hAnsi="Arial" w:cs="Arial"/>
        </w:rPr>
      </w:pPr>
      <w:r w:rsidRPr="007340D6">
        <w:rPr>
          <w:rFonts w:ascii="Arial" w:hAnsi="Arial" w:cs="Arial"/>
        </w:rPr>
        <w:t>le Projet de mise en sécurité du barrage de ZIGA (Nouveau) de la France de 19,06 millions dollars US ;</w:t>
      </w:r>
    </w:p>
    <w:p w:rsidR="000E4CEA" w:rsidRPr="007340D6" w:rsidRDefault="000E4CEA" w:rsidP="000E4CEA">
      <w:pPr>
        <w:pStyle w:val="Paragraphedeliste"/>
        <w:numPr>
          <w:ilvl w:val="0"/>
          <w:numId w:val="4"/>
        </w:numPr>
        <w:rPr>
          <w:rFonts w:ascii="Arial" w:hAnsi="Arial" w:cs="Arial"/>
        </w:rPr>
      </w:pPr>
      <w:r w:rsidRPr="007340D6">
        <w:rPr>
          <w:rFonts w:ascii="Arial" w:hAnsi="Arial" w:cs="Arial"/>
        </w:rPr>
        <w:t xml:space="preserve">le projet d’Appui à la SONABEL </w:t>
      </w:r>
      <w:r>
        <w:rPr>
          <w:rFonts w:ascii="Arial" w:hAnsi="Arial" w:cs="Arial"/>
        </w:rPr>
        <w:t xml:space="preserve"> « </w:t>
      </w:r>
      <w:r w:rsidRPr="007340D6">
        <w:rPr>
          <w:rFonts w:ascii="Arial" w:hAnsi="Arial" w:cs="Arial"/>
        </w:rPr>
        <w:t>amélioration de l'offre et de la demande</w:t>
      </w:r>
      <w:r>
        <w:rPr>
          <w:rFonts w:ascii="Arial" w:hAnsi="Arial" w:cs="Arial"/>
        </w:rPr>
        <w:t> »</w:t>
      </w:r>
      <w:r w:rsidRPr="007340D6">
        <w:rPr>
          <w:rFonts w:ascii="Arial" w:hAnsi="Arial" w:cs="Arial"/>
        </w:rPr>
        <w:t xml:space="preserve"> de 19,06 millions dollars US ;</w:t>
      </w:r>
    </w:p>
    <w:p w:rsidR="000E4CEA" w:rsidRPr="007340D6" w:rsidRDefault="000E4CEA" w:rsidP="000E4CEA">
      <w:pPr>
        <w:pStyle w:val="Paragraphedeliste"/>
        <w:numPr>
          <w:ilvl w:val="0"/>
          <w:numId w:val="4"/>
        </w:numPr>
        <w:rPr>
          <w:rFonts w:ascii="Arial" w:hAnsi="Arial" w:cs="Arial"/>
        </w:rPr>
      </w:pPr>
      <w:r w:rsidRPr="007340D6">
        <w:rPr>
          <w:rFonts w:ascii="Arial" w:hAnsi="Arial" w:cs="Arial"/>
        </w:rPr>
        <w:t>le Projet de raccordement au réseau électrique principal des centres secondaires du Burkina</w:t>
      </w:r>
      <w:r>
        <w:rPr>
          <w:rFonts w:ascii="Arial" w:hAnsi="Arial" w:cs="Arial"/>
        </w:rPr>
        <w:t>,</w:t>
      </w:r>
      <w:r w:rsidRPr="007340D6">
        <w:rPr>
          <w:rFonts w:ascii="Arial" w:hAnsi="Arial" w:cs="Arial"/>
        </w:rPr>
        <w:t xml:space="preserve"> de la France de 16,40 millions dollars US ;</w:t>
      </w:r>
    </w:p>
    <w:p w:rsidR="000E4CEA" w:rsidRPr="007340D6" w:rsidRDefault="000E4CEA" w:rsidP="000E4CEA">
      <w:pPr>
        <w:pStyle w:val="Paragraphedeliste"/>
        <w:numPr>
          <w:ilvl w:val="0"/>
          <w:numId w:val="5"/>
        </w:numPr>
        <w:rPr>
          <w:rFonts w:ascii="Arial" w:hAnsi="Arial" w:cs="Arial"/>
        </w:rPr>
      </w:pPr>
      <w:r w:rsidRPr="007340D6">
        <w:rPr>
          <w:rFonts w:ascii="Arial" w:hAnsi="Arial" w:cs="Arial"/>
        </w:rPr>
        <w:t>le Projet de Production solaire Photovoltaïque de Zagtouli de l’Union Européenne de 7,42 millions dollars US ;</w:t>
      </w:r>
    </w:p>
    <w:p w:rsidR="007340D6" w:rsidRDefault="000E4CEA" w:rsidP="000E4CEA">
      <w:pPr>
        <w:pStyle w:val="Paragraphedeliste"/>
        <w:numPr>
          <w:ilvl w:val="0"/>
          <w:numId w:val="5"/>
        </w:numPr>
        <w:rPr>
          <w:rFonts w:ascii="Arial" w:hAnsi="Arial" w:cs="Arial"/>
        </w:rPr>
      </w:pPr>
      <w:r w:rsidRPr="007340D6">
        <w:rPr>
          <w:rFonts w:ascii="Arial" w:hAnsi="Arial" w:cs="Arial"/>
        </w:rPr>
        <w:t>le Projet d'appui au développement du secteur minier de la Banque Mondial de 6,30 millions dollars US.</w:t>
      </w:r>
    </w:p>
    <w:p w:rsidR="007340D6" w:rsidRPr="00F938B3" w:rsidRDefault="00F938B3" w:rsidP="00F938B3">
      <w:pPr>
        <w:pStyle w:val="Lgende"/>
        <w:rPr>
          <w:color w:val="auto"/>
          <w:u w:val="none"/>
        </w:rPr>
      </w:pPr>
      <w:bookmarkStart w:id="619" w:name="_Toc492895751"/>
      <w:r w:rsidRPr="00F938B3">
        <w:rPr>
          <w:color w:val="auto"/>
        </w:rPr>
        <w:t xml:space="preserve">Graphique </w:t>
      </w:r>
      <w:r w:rsidRPr="00F938B3">
        <w:rPr>
          <w:color w:val="auto"/>
        </w:rPr>
        <w:fldChar w:fldCharType="begin"/>
      </w:r>
      <w:r w:rsidRPr="00F938B3">
        <w:rPr>
          <w:color w:val="auto"/>
        </w:rPr>
        <w:instrText xml:space="preserve"> SEQ Graphique \* ARABIC </w:instrText>
      </w:r>
      <w:r w:rsidRPr="00F938B3">
        <w:rPr>
          <w:color w:val="auto"/>
        </w:rPr>
        <w:fldChar w:fldCharType="separate"/>
      </w:r>
      <w:r w:rsidR="009A1402">
        <w:rPr>
          <w:noProof/>
          <w:color w:val="auto"/>
        </w:rPr>
        <w:t>18</w:t>
      </w:r>
      <w:r w:rsidRPr="00F938B3">
        <w:rPr>
          <w:color w:val="auto"/>
        </w:rPr>
        <w:fldChar w:fldCharType="end"/>
      </w:r>
      <w:r w:rsidRPr="00F938B3">
        <w:rPr>
          <w:color w:val="auto"/>
        </w:rPr>
        <w:t> :</w:t>
      </w:r>
      <w:r w:rsidR="007340D6" w:rsidRPr="00F938B3">
        <w:rPr>
          <w:color w:val="auto"/>
        </w:rPr>
        <w:t xml:space="preserve"> </w:t>
      </w:r>
      <w:r w:rsidR="007340D6" w:rsidRPr="00F938B3">
        <w:rPr>
          <w:color w:val="auto"/>
          <w:u w:val="none"/>
        </w:rPr>
        <w:t>Principaux bailleurs du secteur « Transformation industrielle et artisanale » en 2016 en millions dollar US</w:t>
      </w:r>
      <w:bookmarkEnd w:id="619"/>
    </w:p>
    <w:p w:rsidR="00BA488E" w:rsidRDefault="007340D6" w:rsidP="00BA488E">
      <w:pPr>
        <w:spacing w:after="0"/>
        <w:rPr>
          <w:rFonts w:ascii="Arial" w:hAnsi="Arial" w:cs="Arial"/>
          <w:i/>
          <w:u w:val="single"/>
        </w:rPr>
      </w:pPr>
      <w:r w:rsidRPr="007340D6">
        <w:rPr>
          <w:noProof/>
          <w:lang w:eastAsia="fr-FR"/>
        </w:rPr>
        <w:drawing>
          <wp:inline distT="0" distB="0" distL="0" distR="0" wp14:anchorId="0C633E85" wp14:editId="566220D3">
            <wp:extent cx="5448300" cy="1885950"/>
            <wp:effectExtent l="0" t="0" r="0" b="0"/>
            <wp:docPr id="18" name="Graphique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7340D6" w:rsidRPr="007340D6" w:rsidRDefault="007340D6" w:rsidP="007340D6">
      <w:pPr>
        <w:rPr>
          <w:rFonts w:ascii="Arial" w:hAnsi="Arial" w:cs="Arial"/>
          <w:i/>
        </w:rPr>
      </w:pPr>
      <w:r w:rsidRPr="00F938B3">
        <w:rPr>
          <w:rFonts w:ascii="Arial" w:hAnsi="Arial" w:cs="Arial"/>
          <w:b/>
          <w:i/>
          <w:u w:val="single"/>
        </w:rPr>
        <w:t>Source :</w:t>
      </w:r>
      <w:r w:rsidRPr="007340D6">
        <w:rPr>
          <w:rFonts w:ascii="Arial" w:hAnsi="Arial" w:cs="Arial"/>
          <w:i/>
        </w:rPr>
        <w:t xml:space="preserve"> PGA/DGCOOP, Juillet 2017</w:t>
      </w:r>
    </w:p>
    <w:p w:rsidR="00B70DBB" w:rsidRDefault="00B70DBB">
      <w:pPr>
        <w:spacing w:after="0" w:line="240" w:lineRule="auto"/>
        <w:rPr>
          <w:rFonts w:ascii="Arial" w:hAnsi="Arial" w:cs="Arial"/>
          <w:b/>
          <w:sz w:val="24"/>
          <w:szCs w:val="24"/>
        </w:rPr>
      </w:pPr>
      <w:r>
        <w:rPr>
          <w:rFonts w:ascii="Arial" w:hAnsi="Arial" w:cs="Arial"/>
          <w:b/>
          <w:sz w:val="24"/>
          <w:szCs w:val="24"/>
        </w:rPr>
        <w:br w:type="page"/>
      </w:r>
    </w:p>
    <w:p w:rsidR="00863484" w:rsidRDefault="00863484">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013E00" w:rsidRDefault="00013E00">
      <w:pPr>
        <w:spacing w:after="0" w:line="240" w:lineRule="auto"/>
        <w:rPr>
          <w:rFonts w:ascii="Arial" w:hAnsi="Arial" w:cs="Arial"/>
          <w:b/>
          <w:sz w:val="24"/>
          <w:szCs w:val="24"/>
        </w:rPr>
      </w:pPr>
    </w:p>
    <w:p w:rsidR="00013E00" w:rsidRDefault="00013E00">
      <w:pPr>
        <w:spacing w:after="0" w:line="240" w:lineRule="auto"/>
        <w:rPr>
          <w:rFonts w:ascii="Arial" w:hAnsi="Arial" w:cs="Arial"/>
          <w:b/>
          <w:sz w:val="24"/>
          <w:szCs w:val="24"/>
        </w:rPr>
      </w:pPr>
    </w:p>
    <w:p w:rsidR="00013E00" w:rsidRDefault="00013E00">
      <w:pPr>
        <w:spacing w:after="0" w:line="240" w:lineRule="auto"/>
        <w:rPr>
          <w:rFonts w:ascii="Arial" w:hAnsi="Arial" w:cs="Arial"/>
          <w:b/>
          <w:sz w:val="24"/>
          <w:szCs w:val="24"/>
        </w:rPr>
      </w:pPr>
    </w:p>
    <w:p w:rsidR="00013E00" w:rsidRDefault="00013E00">
      <w:pPr>
        <w:spacing w:after="0" w:line="240" w:lineRule="auto"/>
        <w:rPr>
          <w:rFonts w:ascii="Arial" w:hAnsi="Arial" w:cs="Arial"/>
          <w:b/>
          <w:sz w:val="24"/>
          <w:szCs w:val="24"/>
        </w:rPr>
      </w:pPr>
    </w:p>
    <w:p w:rsidR="00013E00" w:rsidRDefault="00013E00">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863484" w:rsidRDefault="00013E00">
      <w:pPr>
        <w:spacing w:after="0" w:line="240" w:lineRule="auto"/>
        <w:rPr>
          <w:rFonts w:ascii="Arial" w:hAnsi="Arial" w:cs="Arial"/>
          <w:b/>
          <w:sz w:val="24"/>
          <w:szCs w:val="24"/>
        </w:rPr>
      </w:pPr>
      <w:r>
        <w:rPr>
          <w:rFonts w:ascii="Arial" w:hAnsi="Arial" w:cs="Arial"/>
          <w:b/>
          <w:noProof/>
          <w:lang w:eastAsia="fr-FR"/>
        </w:rPr>
        <mc:AlternateContent>
          <mc:Choice Requires="wps">
            <w:drawing>
              <wp:anchor distT="0" distB="0" distL="114300" distR="114300" simplePos="0" relativeHeight="251659264" behindDoc="1" locked="0" layoutInCell="1" allowOverlap="1" wp14:anchorId="0D921473" wp14:editId="3827326E">
                <wp:simplePos x="0" y="0"/>
                <wp:positionH relativeFrom="column">
                  <wp:posOffset>-148590</wp:posOffset>
                </wp:positionH>
                <wp:positionV relativeFrom="paragraph">
                  <wp:posOffset>109855</wp:posOffset>
                </wp:positionV>
                <wp:extent cx="6457950" cy="847725"/>
                <wp:effectExtent l="0" t="0" r="19050" b="28575"/>
                <wp:wrapNone/>
                <wp:docPr id="22" name="Rectangle à coins arrondis 22"/>
                <wp:cNvGraphicFramePr/>
                <a:graphic xmlns:a="http://schemas.openxmlformats.org/drawingml/2006/main">
                  <a:graphicData uri="http://schemas.microsoft.com/office/word/2010/wordprocessingShape">
                    <wps:wsp>
                      <wps:cNvSpPr/>
                      <wps:spPr>
                        <a:xfrm>
                          <a:off x="0" y="0"/>
                          <a:ext cx="6457950" cy="847725"/>
                        </a:xfrm>
                        <a:prstGeom prst="round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BA455D" w:rsidRDefault="00BA455D" w:rsidP="00A60D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921473" id="Rectangle à coins arrondis 22" o:spid="_x0000_s1028" style="position:absolute;margin-left:-11.7pt;margin-top:8.65pt;width:508.5pt;height:6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" fillcolor="#d8d8d8 [2732]" strokecolor="#243f60 [1604]" strokeweight="2pt">
                <v:textbox>
                  <w:txbxContent>
                    <w:p w:rsidR="00BA455D" w:rsidRDefault="00BA455D" w:rsidP="00A60D96">
                      <w:pPr>
                        <w:jc w:val="center"/>
                      </w:pPr>
                    </w:p>
                  </w:txbxContent>
                </v:textbox>
              </v:roundrect>
            </w:pict>
          </mc:Fallback>
        </mc:AlternateContent>
      </w:r>
    </w:p>
    <w:p w:rsidR="00013E00" w:rsidRPr="00E8560A" w:rsidRDefault="00013E00" w:rsidP="00013E00">
      <w:pPr>
        <w:pStyle w:val="Titre"/>
        <w:rPr>
          <w:rFonts w:asciiTheme="majorHAnsi" w:hAnsiTheme="majorHAnsi"/>
        </w:rPr>
      </w:pPr>
      <w:bookmarkStart w:id="620" w:name="_Toc492972227"/>
      <w:r w:rsidRPr="00E8560A">
        <w:rPr>
          <w:rFonts w:asciiTheme="majorHAnsi" w:hAnsiTheme="majorHAnsi"/>
        </w:rPr>
        <w:t xml:space="preserve">TROISIEME PARTIE : THEME : </w:t>
      </w:r>
      <w:r w:rsidRPr="00E8560A">
        <w:rPr>
          <w:rFonts w:asciiTheme="majorHAnsi" w:hAnsiTheme="majorHAnsi"/>
          <w:i/>
        </w:rPr>
        <w:t>« </w:t>
      </w:r>
      <w:r w:rsidRPr="00E8560A">
        <w:rPr>
          <w:rFonts w:asciiTheme="majorHAnsi" w:hAnsiTheme="majorHAnsi"/>
        </w:rPr>
        <w:t>LE FINANCEMENT DU PLAN NATIONAL DE DEVELOPPEMENT ECONOMIQUE ET SOCIAL 2016-2020: DEFIS ET PERSPECTIVES </w:t>
      </w:r>
      <w:r w:rsidRPr="00E8560A">
        <w:rPr>
          <w:rFonts w:asciiTheme="majorHAnsi" w:hAnsiTheme="majorHAnsi"/>
          <w:i/>
        </w:rPr>
        <w:t>»</w:t>
      </w:r>
      <w:bookmarkEnd w:id="620"/>
    </w:p>
    <w:p w:rsidR="00863484" w:rsidRDefault="00863484">
      <w:pPr>
        <w:spacing w:after="0" w:line="240" w:lineRule="auto"/>
        <w:rPr>
          <w:rFonts w:ascii="Arial" w:hAnsi="Arial" w:cs="Arial"/>
          <w:b/>
          <w:sz w:val="24"/>
          <w:szCs w:val="24"/>
        </w:rPr>
      </w:pPr>
    </w:p>
    <w:p w:rsidR="00863484" w:rsidRDefault="00863484">
      <w:pPr>
        <w:spacing w:after="0" w:line="240" w:lineRule="auto"/>
        <w:rPr>
          <w:rFonts w:ascii="Arial" w:hAnsi="Arial" w:cs="Arial"/>
          <w:b/>
          <w:sz w:val="24"/>
          <w:szCs w:val="24"/>
        </w:rPr>
      </w:pPr>
    </w:p>
    <w:p w:rsidR="00B21821" w:rsidRDefault="00B21821">
      <w:pPr>
        <w:spacing w:after="0" w:line="240" w:lineRule="auto"/>
        <w:rPr>
          <w:rFonts w:ascii="Arial" w:hAnsi="Arial" w:cs="Arial"/>
          <w:b/>
          <w:sz w:val="24"/>
          <w:szCs w:val="24"/>
        </w:rPr>
      </w:pPr>
    </w:p>
    <w:p w:rsidR="00B21821" w:rsidRDefault="00B21821">
      <w:pPr>
        <w:spacing w:after="0" w:line="240" w:lineRule="auto"/>
        <w:rPr>
          <w:rFonts w:ascii="Arial" w:hAnsi="Arial" w:cs="Arial"/>
          <w:b/>
          <w:sz w:val="24"/>
          <w:szCs w:val="24"/>
        </w:rPr>
      </w:pPr>
    </w:p>
    <w:p w:rsidR="00EC1B72" w:rsidRDefault="00EC1B72" w:rsidP="00EC1B72">
      <w:pPr>
        <w:jc w:val="center"/>
        <w:rPr>
          <w:rFonts w:ascii="Arial" w:hAnsi="Arial" w:cs="Arial"/>
          <w:b/>
        </w:rPr>
      </w:pPr>
    </w:p>
    <w:p w:rsidR="00EC1B72" w:rsidRPr="002B4C0A" w:rsidRDefault="00EC1B72" w:rsidP="00EC1B72">
      <w:pPr>
        <w:jc w:val="center"/>
        <w:rPr>
          <w:rFonts w:ascii="Arial" w:hAnsi="Arial" w:cs="Arial"/>
          <w:b/>
        </w:rPr>
      </w:pPr>
    </w:p>
    <w:p w:rsidR="00EC1B72" w:rsidRPr="009016A3" w:rsidRDefault="00EC1B72" w:rsidP="009016A3">
      <w:pPr>
        <w:pStyle w:val="Titre1"/>
        <w:jc w:val="center"/>
        <w:rPr>
          <w:lang w:eastAsia="fr-FR"/>
        </w:rPr>
      </w:pPr>
      <w:r w:rsidRPr="009D782F">
        <w:rPr>
          <w:rFonts w:ascii="Arial" w:hAnsi="Arial"/>
          <w:b w:val="0"/>
        </w:rPr>
        <w:br w:type="page"/>
      </w:r>
      <w:bookmarkStart w:id="621" w:name="_Toc492972228"/>
      <w:r w:rsidRPr="009016A3">
        <w:rPr>
          <w:lang w:eastAsia="fr-FR"/>
        </w:rPr>
        <w:lastRenderedPageBreak/>
        <w:t>INTRODUCTION</w:t>
      </w:r>
      <w:bookmarkEnd w:id="621"/>
    </w:p>
    <w:p w:rsidR="00EC1B72" w:rsidRPr="000B51C1" w:rsidRDefault="00EC1B72" w:rsidP="00EC1B72">
      <w:pPr>
        <w:spacing w:before="100" w:beforeAutospacing="1" w:after="100" w:afterAutospacing="1"/>
        <w:ind w:right="340"/>
        <w:jc w:val="both"/>
        <w:rPr>
          <w:rFonts w:ascii="Arial" w:hAnsi="Arial" w:cs="Arial"/>
        </w:rPr>
      </w:pPr>
      <w:r w:rsidRPr="000B51C1">
        <w:rPr>
          <w:rFonts w:ascii="Arial" w:hAnsi="Arial" w:cs="Arial"/>
        </w:rPr>
        <w:t xml:space="preserve">Dans un contexte marqué par le renforcement de la démocratie et l’apparition de nouvelles perspectives en matière de politique économique, le Gouvernement du Burkina Faso s’est doté en 2016, d’un nouveau référentiel de développement dénommé « Plan National de Développement Economique et Social (PNDES) » couvrant la période 2016- 2020. </w:t>
      </w:r>
    </w:p>
    <w:p w:rsidR="00EC1B72" w:rsidRPr="000B51C1" w:rsidRDefault="00EC1B72" w:rsidP="00EC1B72">
      <w:pPr>
        <w:spacing w:before="100" w:beforeAutospacing="1" w:after="100" w:afterAutospacing="1"/>
        <w:ind w:right="340"/>
        <w:jc w:val="both"/>
        <w:rPr>
          <w:rFonts w:ascii="Arial" w:hAnsi="Arial" w:cs="Arial"/>
        </w:rPr>
      </w:pPr>
      <w:r w:rsidRPr="000B51C1">
        <w:rPr>
          <w:rFonts w:ascii="Arial" w:hAnsi="Arial" w:cs="Arial"/>
        </w:rPr>
        <w:t>Le coût global de mise en œuvre dudit plan est estimé à 15 395,4 milliards de FCFA, soit un coût annuel moyen de 3 079,1 milliards de FCFA. La part consacrée aux dépenses d’investissements (y compris les transferts en capital) est de 54,6%, correspondant à une enveloppe globale de 8 408,2 milliards de FCFA sur la période, soit 1 681,6 milliards de FCFA par an.</w:t>
      </w:r>
    </w:p>
    <w:p w:rsidR="00EC1B72" w:rsidRPr="000B51C1" w:rsidRDefault="00EC1B72" w:rsidP="00EC1B72">
      <w:pPr>
        <w:spacing w:before="100" w:beforeAutospacing="1" w:after="100" w:afterAutospacing="1"/>
        <w:ind w:right="340"/>
        <w:jc w:val="both"/>
        <w:rPr>
          <w:rFonts w:ascii="Arial" w:hAnsi="Arial" w:cs="Arial"/>
        </w:rPr>
      </w:pPr>
      <w:r w:rsidRPr="000B51C1">
        <w:rPr>
          <w:rFonts w:ascii="Arial" w:hAnsi="Arial" w:cs="Arial"/>
        </w:rPr>
        <w:t>L’Etat du Burkina Faso s’est engagé à assurer 63,8% du coût global du plan, soit 9 825,2 milliards de FCFA. Le besoin de financement à couvrir s’élève à 5 570,2 milliards de FCFA, soit 36,2% du coût total du plan.</w:t>
      </w:r>
    </w:p>
    <w:p w:rsidR="00EC1B72" w:rsidRPr="000B51C1" w:rsidRDefault="00EC1B72" w:rsidP="00EC1B72">
      <w:pPr>
        <w:spacing w:before="100" w:beforeAutospacing="1" w:after="100" w:afterAutospacing="1"/>
        <w:ind w:right="340"/>
        <w:jc w:val="both"/>
        <w:rPr>
          <w:rFonts w:ascii="Arial" w:hAnsi="Arial" w:cs="Arial"/>
        </w:rPr>
      </w:pPr>
      <w:r>
        <w:rPr>
          <w:rFonts w:ascii="Arial" w:hAnsi="Arial" w:cs="Arial"/>
        </w:rPr>
        <w:t xml:space="preserve">Pour réaliser ce </w:t>
      </w:r>
      <w:r w:rsidRPr="000B51C1">
        <w:rPr>
          <w:rFonts w:ascii="Arial" w:hAnsi="Arial" w:cs="Arial"/>
        </w:rPr>
        <w:t xml:space="preserve">programme, outre les canaux traditionnels de financement, une stratégie de mobilisation des ressources tant internes qu’externes axée sur des méthodes innovantes a été élaborée. </w:t>
      </w:r>
    </w:p>
    <w:p w:rsidR="00EC1B72" w:rsidRPr="00BA488E" w:rsidRDefault="00EC1B72" w:rsidP="00BA488E">
      <w:pPr>
        <w:autoSpaceDE w:val="0"/>
        <w:autoSpaceDN w:val="0"/>
        <w:adjustRightInd w:val="0"/>
        <w:spacing w:after="160"/>
        <w:jc w:val="both"/>
        <w:rPr>
          <w:rFonts w:ascii="Arial" w:hAnsi="Arial" w:cs="Arial"/>
        </w:rPr>
      </w:pPr>
      <w:r w:rsidRPr="000B51C1">
        <w:rPr>
          <w:rFonts w:ascii="Arial" w:hAnsi="Arial" w:cs="Arial"/>
        </w:rPr>
        <w:t>Après une année de mise en œuvre, il convient de s’interroger sur l’efficacité de la stratégie de mobilisation des ressources , relever les défis et les perspectives et proposer des recommandations pour une meilleure mise en œuvre du Plan.</w:t>
      </w:r>
    </w:p>
    <w:p w:rsidR="00EC1B72" w:rsidRPr="000B51C1" w:rsidRDefault="00EC1B72" w:rsidP="00EC1B72">
      <w:pPr>
        <w:autoSpaceDE w:val="0"/>
        <w:autoSpaceDN w:val="0"/>
        <w:adjustRightInd w:val="0"/>
        <w:spacing w:after="160"/>
        <w:jc w:val="both"/>
        <w:rPr>
          <w:rFonts w:ascii="Arial" w:hAnsi="Arial" w:cs="Arial"/>
        </w:rPr>
      </w:pPr>
      <w:r w:rsidRPr="000B51C1">
        <w:rPr>
          <w:rFonts w:ascii="Arial" w:hAnsi="Arial" w:cs="Arial"/>
        </w:rPr>
        <w:t>Le présent rapport s’articule autour de trois chapitres :</w:t>
      </w:r>
    </w:p>
    <w:p w:rsidR="00EC1B72" w:rsidRPr="000B51C1" w:rsidRDefault="00EC1B72" w:rsidP="00B92B11">
      <w:pPr>
        <w:pStyle w:val="Paragraphedeliste"/>
        <w:numPr>
          <w:ilvl w:val="0"/>
          <w:numId w:val="96"/>
        </w:numPr>
        <w:autoSpaceDE w:val="0"/>
        <w:autoSpaceDN w:val="0"/>
        <w:adjustRightInd w:val="0"/>
        <w:spacing w:after="160"/>
        <w:jc w:val="both"/>
        <w:rPr>
          <w:rFonts w:ascii="Arial" w:hAnsi="Arial" w:cs="Arial"/>
        </w:rPr>
      </w:pPr>
      <w:r w:rsidRPr="000B51C1">
        <w:rPr>
          <w:rFonts w:ascii="Arial" w:hAnsi="Arial" w:cs="Arial"/>
        </w:rPr>
        <w:t>les grandes ambitions stratégiques du PNDES ;</w:t>
      </w:r>
    </w:p>
    <w:p w:rsidR="00EC1B72" w:rsidRPr="000B51C1" w:rsidRDefault="00EC1B72" w:rsidP="00B92B11">
      <w:pPr>
        <w:pStyle w:val="Paragraphedeliste"/>
        <w:numPr>
          <w:ilvl w:val="0"/>
          <w:numId w:val="96"/>
        </w:numPr>
        <w:autoSpaceDE w:val="0"/>
        <w:autoSpaceDN w:val="0"/>
        <w:adjustRightInd w:val="0"/>
        <w:spacing w:after="160"/>
        <w:jc w:val="both"/>
        <w:rPr>
          <w:rFonts w:ascii="Arial" w:hAnsi="Arial" w:cs="Arial"/>
        </w:rPr>
      </w:pPr>
      <w:r w:rsidRPr="000B51C1">
        <w:rPr>
          <w:rFonts w:ascii="Arial" w:hAnsi="Arial" w:cs="Arial"/>
        </w:rPr>
        <w:t>les défis de la mobilisation des ressources pour la mise en œuvre du PNDES ;</w:t>
      </w:r>
    </w:p>
    <w:p w:rsidR="00EC1B72" w:rsidRPr="000B51C1" w:rsidRDefault="00EC1B72" w:rsidP="00B92B11">
      <w:pPr>
        <w:pStyle w:val="Paragraphedeliste"/>
        <w:numPr>
          <w:ilvl w:val="0"/>
          <w:numId w:val="96"/>
        </w:numPr>
        <w:autoSpaceDE w:val="0"/>
        <w:autoSpaceDN w:val="0"/>
        <w:adjustRightInd w:val="0"/>
        <w:spacing w:after="160"/>
        <w:jc w:val="both"/>
        <w:rPr>
          <w:rFonts w:ascii="Arial" w:hAnsi="Arial" w:cs="Arial"/>
        </w:rPr>
      </w:pPr>
      <w:r w:rsidRPr="000B51C1">
        <w:rPr>
          <w:rFonts w:ascii="Arial" w:hAnsi="Arial" w:cs="Arial"/>
        </w:rPr>
        <w:t>les perspectives et recommandations pour un financement efficace du PNDES.</w:t>
      </w:r>
    </w:p>
    <w:p w:rsidR="00EC1B72" w:rsidRPr="002B4C0A" w:rsidRDefault="00EC1B72" w:rsidP="00EC1B72">
      <w:pPr>
        <w:tabs>
          <w:tab w:val="left" w:pos="2070"/>
        </w:tabs>
        <w:rPr>
          <w:rFonts w:ascii="Arial" w:hAnsi="Arial" w:cs="Arial"/>
          <w:b/>
        </w:rPr>
      </w:pPr>
    </w:p>
    <w:p w:rsidR="00EC1B72" w:rsidRPr="009016A3" w:rsidRDefault="00EC1B72" w:rsidP="009016A3">
      <w:pPr>
        <w:pStyle w:val="Titre1"/>
        <w:jc w:val="center"/>
        <w:rPr>
          <w:lang w:eastAsia="fr-FR"/>
        </w:rPr>
      </w:pPr>
      <w:r w:rsidRPr="002B4C0A">
        <w:rPr>
          <w:rFonts w:ascii="Arial" w:hAnsi="Arial"/>
          <w:b w:val="0"/>
        </w:rPr>
        <w:br w:type="page"/>
      </w:r>
      <w:bookmarkStart w:id="622" w:name="_Toc492972229"/>
      <w:r w:rsidRPr="009016A3">
        <w:rPr>
          <w:lang w:eastAsia="fr-FR"/>
        </w:rPr>
        <w:lastRenderedPageBreak/>
        <w:t>Chapitre 1 : Grandes ambitions stratégiques du PNDES</w:t>
      </w:r>
      <w:bookmarkEnd w:id="622"/>
    </w:p>
    <w:p w:rsidR="00EC1B72" w:rsidRPr="009016A3" w:rsidRDefault="00EC1B72" w:rsidP="00EC1B72">
      <w:pPr>
        <w:tabs>
          <w:tab w:val="left" w:pos="2070"/>
        </w:tabs>
        <w:jc w:val="both"/>
        <w:rPr>
          <w:rFonts w:ascii="Arial" w:hAnsi="Arial" w:cs="Arial"/>
        </w:rPr>
      </w:pPr>
      <w:r w:rsidRPr="000D2FFD">
        <w:rPr>
          <w:rFonts w:ascii="Arial" w:hAnsi="Arial" w:cs="Arial"/>
        </w:rPr>
        <w:t>La stratégie du PNDE</w:t>
      </w:r>
      <w:r>
        <w:rPr>
          <w:rFonts w:ascii="Arial" w:hAnsi="Arial" w:cs="Arial"/>
        </w:rPr>
        <w:t>S repose sur d</w:t>
      </w:r>
      <w:r w:rsidRPr="000D2FFD">
        <w:rPr>
          <w:rFonts w:ascii="Arial" w:hAnsi="Arial" w:cs="Arial"/>
        </w:rPr>
        <w:t>es fondements et une vision, des principes directeurs de mise en œuvre, des objectifs stratégiques, des effets attendus et un dispositif de mise e</w:t>
      </w:r>
      <w:r w:rsidR="009016A3">
        <w:rPr>
          <w:rFonts w:ascii="Arial" w:hAnsi="Arial" w:cs="Arial"/>
        </w:rPr>
        <w:t>n œuvre et de suivi-évaluation.</w:t>
      </w:r>
    </w:p>
    <w:p w:rsidR="00EC1B72" w:rsidRPr="0012545B" w:rsidRDefault="00EC1B72" w:rsidP="008D7758">
      <w:pPr>
        <w:pStyle w:val="Titre2"/>
        <w:numPr>
          <w:ilvl w:val="1"/>
          <w:numId w:val="113"/>
        </w:numPr>
        <w:ind w:left="1134"/>
        <w:rPr>
          <w:rFonts w:eastAsia="Times New Roman"/>
        </w:rPr>
      </w:pPr>
      <w:bookmarkStart w:id="623" w:name="_Toc492972230"/>
      <w:r w:rsidRPr="0012545B">
        <w:rPr>
          <w:rFonts w:eastAsia="Times New Roman"/>
        </w:rPr>
        <w:t>Objectifs stratégiques et impacts attendus</w:t>
      </w:r>
      <w:bookmarkEnd w:id="623"/>
      <w:r w:rsidRPr="0012545B">
        <w:rPr>
          <w:rFonts w:eastAsia="Times New Roman"/>
        </w:rPr>
        <w:t xml:space="preserve"> </w:t>
      </w:r>
    </w:p>
    <w:p w:rsidR="00EC1B72" w:rsidRPr="0012545B" w:rsidRDefault="00EC1B72" w:rsidP="00EC1B72">
      <w:pPr>
        <w:jc w:val="both"/>
        <w:rPr>
          <w:rFonts w:ascii="Arial" w:hAnsi="Arial" w:cs="Arial"/>
        </w:rPr>
      </w:pPr>
      <w:r w:rsidRPr="0012545B">
        <w:rPr>
          <w:rFonts w:ascii="Arial" w:hAnsi="Arial" w:cs="Arial"/>
        </w:rPr>
        <w:t xml:space="preserve">La vision du PNDES à l’horizon 2020 se formule comme suit ; « le Burkina Faso, une nation démocratique, unie et solidaire transformant la structure de son économie pour réaliser une croissance forte et inclusive au moyen de modes de consommation et de production durables ». </w:t>
      </w:r>
    </w:p>
    <w:p w:rsidR="00EC1B72" w:rsidRPr="0012545B" w:rsidRDefault="00EC1B72" w:rsidP="00EC1B72">
      <w:pPr>
        <w:jc w:val="both"/>
        <w:rPr>
          <w:rFonts w:ascii="Arial" w:hAnsi="Arial" w:cs="Arial"/>
        </w:rPr>
      </w:pPr>
      <w:r w:rsidRPr="0012545B">
        <w:rPr>
          <w:rFonts w:ascii="Arial" w:hAnsi="Arial" w:cs="Arial"/>
        </w:rPr>
        <w:t>Pour l’atteinte de cette vision, des objectifs stratégiques ont été définis afin d’impacter significativement le développement socio-économique du pays. Aussi, des principes directeurs doivent guider sa mise en œuvre : le leadership national, l’équité, la subsidiarité et le partenariat, la gestion axée sur les résultats et la proactivité.</w:t>
      </w:r>
    </w:p>
    <w:p w:rsidR="00EC1B72" w:rsidRPr="00BA488E" w:rsidRDefault="00EC1B72" w:rsidP="008D7758">
      <w:pPr>
        <w:pStyle w:val="Titre3"/>
        <w:numPr>
          <w:ilvl w:val="0"/>
          <w:numId w:val="144"/>
        </w:numPr>
        <w:ind w:left="1134"/>
      </w:pPr>
      <w:bookmarkStart w:id="624" w:name="_Toc492972231"/>
      <w:r w:rsidRPr="0012545B">
        <w:t>Objectifs stratégiques du PNDES</w:t>
      </w:r>
      <w:bookmarkEnd w:id="624"/>
    </w:p>
    <w:p w:rsidR="00EC1B72" w:rsidRPr="0012545B" w:rsidRDefault="00EC1B72" w:rsidP="00EC1B72">
      <w:pPr>
        <w:jc w:val="both"/>
        <w:rPr>
          <w:rFonts w:ascii="Arial" w:hAnsi="Arial" w:cs="Arial"/>
        </w:rPr>
      </w:pPr>
      <w:r w:rsidRPr="0012545B">
        <w:rPr>
          <w:rFonts w:ascii="Arial" w:hAnsi="Arial" w:cs="Arial"/>
        </w:rPr>
        <w:t xml:space="preserve">Le PNDES ambitionne de « transformer structurellement l’économie burkinabè pour une croissance forte, durable, résiliente, inclusive, créatrice d’emplois décents pour tous et induisant l’amélioration du bien-être social ». </w:t>
      </w:r>
    </w:p>
    <w:p w:rsidR="00EC1B72" w:rsidRPr="0012545B" w:rsidRDefault="00EC1B72" w:rsidP="00EC1B72">
      <w:pPr>
        <w:jc w:val="both"/>
        <w:rPr>
          <w:rFonts w:ascii="Arial" w:hAnsi="Arial" w:cs="Arial"/>
        </w:rPr>
      </w:pPr>
      <w:r w:rsidRPr="0012545B">
        <w:rPr>
          <w:rFonts w:ascii="Arial" w:hAnsi="Arial" w:cs="Arial"/>
        </w:rPr>
        <w:t xml:space="preserve">Au regard des résultats de l’analyse diagnostique de la situation économique et sociale, les axes et les objectifs stratégiques suivants ont été définis : </w:t>
      </w:r>
    </w:p>
    <w:p w:rsidR="00EC1B72" w:rsidRPr="0012545B" w:rsidRDefault="00EC1B72" w:rsidP="00EC1B72">
      <w:pPr>
        <w:jc w:val="both"/>
        <w:rPr>
          <w:rFonts w:ascii="Arial" w:hAnsi="Arial" w:cs="Arial"/>
          <w:b/>
          <w:i/>
        </w:rPr>
      </w:pPr>
      <w:r w:rsidRPr="0012545B">
        <w:rPr>
          <w:rFonts w:ascii="Arial" w:hAnsi="Arial" w:cs="Arial"/>
          <w:b/>
          <w:i/>
        </w:rPr>
        <w:t>Axe 1 : Réformer les institutions et moderniser l’administration</w:t>
      </w:r>
    </w:p>
    <w:p w:rsidR="00EC1B72" w:rsidRPr="0012545B" w:rsidRDefault="00EC1B72" w:rsidP="00EC1B72">
      <w:pPr>
        <w:ind w:firstLine="426"/>
        <w:jc w:val="both"/>
        <w:rPr>
          <w:rFonts w:ascii="Arial" w:hAnsi="Arial" w:cs="Arial"/>
        </w:rPr>
      </w:pPr>
      <w:r w:rsidRPr="0012545B">
        <w:rPr>
          <w:rFonts w:ascii="Arial" w:hAnsi="Arial" w:cs="Arial"/>
        </w:rPr>
        <w:t>En terme d’objectifs stratégiques, il s’agit de :</w:t>
      </w:r>
    </w:p>
    <w:p w:rsidR="00EC1B72" w:rsidRPr="0012545B" w:rsidRDefault="00EC1B72" w:rsidP="00B92B11">
      <w:pPr>
        <w:pStyle w:val="Pa2"/>
        <w:numPr>
          <w:ilvl w:val="0"/>
          <w:numId w:val="97"/>
        </w:numPr>
        <w:rPr>
          <w:rFonts w:ascii="Arial" w:hAnsi="Arial" w:cs="Arial"/>
          <w:bCs/>
          <w:sz w:val="22"/>
          <w:szCs w:val="22"/>
        </w:rPr>
      </w:pPr>
      <w:r w:rsidRPr="0012545B">
        <w:rPr>
          <w:rFonts w:ascii="Arial" w:hAnsi="Arial" w:cs="Arial"/>
          <w:sz w:val="22"/>
          <w:szCs w:val="22"/>
        </w:rPr>
        <w:t>Promouvoir la bonne gouvernance politique et administrative ;</w:t>
      </w:r>
    </w:p>
    <w:p w:rsidR="00EC1B72" w:rsidRPr="0012545B" w:rsidRDefault="00EC1B72" w:rsidP="00B92B11">
      <w:pPr>
        <w:pStyle w:val="Pa2"/>
        <w:numPr>
          <w:ilvl w:val="0"/>
          <w:numId w:val="97"/>
        </w:numPr>
        <w:rPr>
          <w:rFonts w:ascii="Arial" w:hAnsi="Arial" w:cs="Arial"/>
          <w:bCs/>
          <w:sz w:val="22"/>
          <w:szCs w:val="22"/>
        </w:rPr>
      </w:pPr>
      <w:r w:rsidRPr="0012545B">
        <w:rPr>
          <w:rFonts w:ascii="Arial" w:hAnsi="Arial" w:cs="Arial"/>
          <w:sz w:val="22"/>
          <w:szCs w:val="22"/>
        </w:rPr>
        <w:t>Promouvoir la bonne gouvernance économique ;</w:t>
      </w:r>
    </w:p>
    <w:p w:rsidR="00EC1B72" w:rsidRPr="00BA488E" w:rsidRDefault="00EC1B72" w:rsidP="00B92B11">
      <w:pPr>
        <w:pStyle w:val="Pa2"/>
        <w:numPr>
          <w:ilvl w:val="0"/>
          <w:numId w:val="97"/>
        </w:numPr>
        <w:spacing w:after="240"/>
        <w:ind w:left="714" w:hanging="357"/>
        <w:rPr>
          <w:rFonts w:ascii="Arial" w:hAnsi="Arial" w:cs="Arial"/>
          <w:bCs/>
          <w:sz w:val="22"/>
          <w:szCs w:val="22"/>
        </w:rPr>
      </w:pPr>
      <w:r w:rsidRPr="0012545B">
        <w:rPr>
          <w:rFonts w:ascii="Arial" w:hAnsi="Arial" w:cs="Arial"/>
          <w:sz w:val="22"/>
          <w:szCs w:val="22"/>
        </w:rPr>
        <w:t>Renforcer la décentralisation et promouvoir la bonne gouvernance locale.</w:t>
      </w:r>
    </w:p>
    <w:p w:rsidR="00EC1B72" w:rsidRPr="0012545B" w:rsidRDefault="00EC1B72" w:rsidP="00EC1B72">
      <w:pPr>
        <w:jc w:val="both"/>
        <w:rPr>
          <w:rFonts w:ascii="Arial" w:hAnsi="Arial" w:cs="Arial"/>
          <w:b/>
          <w:i/>
        </w:rPr>
      </w:pPr>
      <w:r w:rsidRPr="0012545B">
        <w:rPr>
          <w:rFonts w:ascii="Arial" w:hAnsi="Arial" w:cs="Arial"/>
          <w:b/>
          <w:i/>
        </w:rPr>
        <w:t>Axe 2 : Développer le capital humain</w:t>
      </w:r>
    </w:p>
    <w:p w:rsidR="00EC1B72" w:rsidRPr="0012545B" w:rsidRDefault="00EC1B72" w:rsidP="00EC1B72">
      <w:pPr>
        <w:ind w:firstLine="426"/>
        <w:jc w:val="both"/>
        <w:rPr>
          <w:rFonts w:ascii="Arial" w:hAnsi="Arial" w:cs="Arial"/>
        </w:rPr>
      </w:pPr>
      <w:r w:rsidRPr="0012545B">
        <w:rPr>
          <w:rFonts w:ascii="Arial" w:hAnsi="Arial" w:cs="Arial"/>
        </w:rPr>
        <w:t>Les objectifs stratégiques sont :</w:t>
      </w:r>
    </w:p>
    <w:p w:rsidR="00EC1B72" w:rsidRPr="0012545B" w:rsidRDefault="00EC1B72" w:rsidP="00B92B11">
      <w:pPr>
        <w:pStyle w:val="Pa2"/>
        <w:numPr>
          <w:ilvl w:val="0"/>
          <w:numId w:val="97"/>
        </w:numPr>
        <w:rPr>
          <w:rFonts w:ascii="Arial" w:hAnsi="Arial" w:cs="Arial"/>
          <w:sz w:val="22"/>
          <w:szCs w:val="22"/>
        </w:rPr>
      </w:pPr>
      <w:r w:rsidRPr="0012545B">
        <w:rPr>
          <w:rFonts w:ascii="Arial" w:hAnsi="Arial" w:cs="Arial"/>
          <w:bCs/>
          <w:sz w:val="22"/>
          <w:szCs w:val="22"/>
        </w:rPr>
        <w:t>Promouvoir la santé des populations et accélérer la transition démographique ;</w:t>
      </w:r>
    </w:p>
    <w:p w:rsidR="00EC1B72" w:rsidRPr="0012545B" w:rsidRDefault="00EC1B72" w:rsidP="00B92B11">
      <w:pPr>
        <w:pStyle w:val="Pa2"/>
        <w:numPr>
          <w:ilvl w:val="0"/>
          <w:numId w:val="97"/>
        </w:numPr>
        <w:rPr>
          <w:rFonts w:ascii="Arial" w:hAnsi="Arial" w:cs="Arial"/>
          <w:sz w:val="22"/>
          <w:szCs w:val="22"/>
        </w:rPr>
      </w:pPr>
      <w:r w:rsidRPr="0012545B">
        <w:rPr>
          <w:rFonts w:ascii="Arial" w:hAnsi="Arial" w:cs="Arial"/>
          <w:bCs/>
          <w:sz w:val="22"/>
          <w:szCs w:val="22"/>
        </w:rPr>
        <w:t xml:space="preserve">Accroître l’offre et améliorer la qualité de l’éducation, de l’enseignement supérieur et de la formation en adéquation avec les besoins de l’économie ; </w:t>
      </w:r>
    </w:p>
    <w:p w:rsidR="00EC1B72" w:rsidRPr="0012545B" w:rsidRDefault="00EC1B72" w:rsidP="00B92B11">
      <w:pPr>
        <w:pStyle w:val="Pa2"/>
        <w:numPr>
          <w:ilvl w:val="0"/>
          <w:numId w:val="97"/>
        </w:numPr>
        <w:rPr>
          <w:rFonts w:ascii="Arial" w:hAnsi="Arial" w:cs="Arial"/>
          <w:sz w:val="22"/>
          <w:szCs w:val="22"/>
        </w:rPr>
      </w:pPr>
      <w:r w:rsidRPr="0012545B">
        <w:rPr>
          <w:rFonts w:ascii="Arial" w:hAnsi="Arial" w:cs="Arial"/>
          <w:bCs/>
          <w:sz w:val="22"/>
          <w:szCs w:val="22"/>
        </w:rPr>
        <w:t>Promouvoir la recherche et l’innovation au service de la transformation structurelle de l’économie ;</w:t>
      </w:r>
    </w:p>
    <w:p w:rsidR="00EC1B72" w:rsidRPr="00BA488E" w:rsidRDefault="00EC1B72" w:rsidP="00B92B11">
      <w:pPr>
        <w:pStyle w:val="Pa2"/>
        <w:numPr>
          <w:ilvl w:val="0"/>
          <w:numId w:val="97"/>
        </w:numPr>
        <w:spacing w:after="240"/>
        <w:ind w:left="714" w:hanging="357"/>
        <w:rPr>
          <w:rFonts w:ascii="Arial" w:hAnsi="Arial" w:cs="Arial"/>
          <w:sz w:val="22"/>
          <w:szCs w:val="22"/>
        </w:rPr>
      </w:pPr>
      <w:r w:rsidRPr="00BA488E">
        <w:rPr>
          <w:rFonts w:ascii="Arial" w:hAnsi="Arial" w:cs="Arial"/>
          <w:sz w:val="22"/>
          <w:szCs w:val="22"/>
        </w:rPr>
        <w:t>Promouvoir l’emploi décent et la protection sociale pour tous, y compris pour les jeunes et les femmes.</w:t>
      </w:r>
    </w:p>
    <w:p w:rsidR="00EC1B72" w:rsidRPr="0012545B" w:rsidRDefault="00EC1B72" w:rsidP="00EC1B72">
      <w:pPr>
        <w:jc w:val="both"/>
        <w:rPr>
          <w:rFonts w:ascii="Arial" w:hAnsi="Arial" w:cs="Arial"/>
          <w:b/>
          <w:i/>
        </w:rPr>
      </w:pPr>
      <w:r w:rsidRPr="0012545B">
        <w:rPr>
          <w:rFonts w:ascii="Arial" w:hAnsi="Arial" w:cs="Arial"/>
          <w:b/>
          <w:i/>
        </w:rPr>
        <w:t>Axe 3 : Dynamiser les secteurs porteurs pour l’économie et les emplois</w:t>
      </w:r>
    </w:p>
    <w:p w:rsidR="00EC1B72" w:rsidRPr="0012545B" w:rsidRDefault="00EC1B72" w:rsidP="00EC1B72">
      <w:pPr>
        <w:ind w:firstLine="426"/>
        <w:jc w:val="both"/>
        <w:rPr>
          <w:rFonts w:ascii="Arial" w:hAnsi="Arial" w:cs="Arial"/>
        </w:rPr>
      </w:pPr>
      <w:r w:rsidRPr="0012545B">
        <w:rPr>
          <w:rFonts w:ascii="Arial" w:hAnsi="Arial" w:cs="Arial"/>
        </w:rPr>
        <w:t>Les objectifs stratégiques sont :</w:t>
      </w:r>
    </w:p>
    <w:p w:rsidR="00EC1B72" w:rsidRPr="0012545B" w:rsidRDefault="00EC1B72" w:rsidP="00B92B11">
      <w:pPr>
        <w:pStyle w:val="Pa2"/>
        <w:numPr>
          <w:ilvl w:val="0"/>
          <w:numId w:val="97"/>
        </w:numPr>
        <w:rPr>
          <w:rFonts w:ascii="Arial" w:hAnsi="Arial" w:cs="Arial"/>
          <w:bCs/>
          <w:sz w:val="22"/>
          <w:szCs w:val="22"/>
        </w:rPr>
      </w:pPr>
      <w:r w:rsidRPr="0012545B">
        <w:rPr>
          <w:rFonts w:ascii="Arial" w:hAnsi="Arial" w:cs="Arial"/>
          <w:bCs/>
          <w:sz w:val="22"/>
          <w:szCs w:val="22"/>
        </w:rPr>
        <w:t xml:space="preserve">Développer durablement un secteur agro-sylvo-pastoral, faunique et halieutique productif et résilient, davantage orienté vers le marché et basé sur les principes de développement durable ; </w:t>
      </w:r>
    </w:p>
    <w:p w:rsidR="00EC1B72" w:rsidRPr="0012545B" w:rsidRDefault="00EC1B72" w:rsidP="00B92B11">
      <w:pPr>
        <w:pStyle w:val="Pa2"/>
        <w:numPr>
          <w:ilvl w:val="0"/>
          <w:numId w:val="97"/>
        </w:numPr>
        <w:rPr>
          <w:rFonts w:ascii="Arial" w:hAnsi="Arial" w:cs="Arial"/>
          <w:bCs/>
          <w:sz w:val="22"/>
          <w:szCs w:val="22"/>
        </w:rPr>
      </w:pPr>
      <w:r w:rsidRPr="0012545B">
        <w:rPr>
          <w:rFonts w:ascii="Arial" w:hAnsi="Arial" w:cs="Arial"/>
          <w:bCs/>
          <w:sz w:val="22"/>
          <w:szCs w:val="22"/>
        </w:rPr>
        <w:lastRenderedPageBreak/>
        <w:t>Développer un secteur industriel et artisanal compétitif, à forte valeur ajoutée et créateur d’emplois décents ;</w:t>
      </w:r>
    </w:p>
    <w:p w:rsidR="00EC1B72" w:rsidRPr="0012545B" w:rsidRDefault="00EC1B72" w:rsidP="00B92B11">
      <w:pPr>
        <w:pStyle w:val="Pa2"/>
        <w:numPr>
          <w:ilvl w:val="0"/>
          <w:numId w:val="97"/>
        </w:numPr>
        <w:rPr>
          <w:rFonts w:ascii="Arial" w:hAnsi="Arial" w:cs="Arial"/>
          <w:bCs/>
          <w:sz w:val="22"/>
          <w:szCs w:val="22"/>
        </w:rPr>
      </w:pPr>
      <w:r w:rsidRPr="0012545B">
        <w:rPr>
          <w:rFonts w:ascii="Arial" w:hAnsi="Arial" w:cs="Arial"/>
          <w:bCs/>
          <w:sz w:val="22"/>
          <w:szCs w:val="22"/>
        </w:rPr>
        <w:t>Promouvoir le commerce et l’expansion des industries de services à forte valeur ajoutée et créatrices d’emplois décents ;</w:t>
      </w:r>
    </w:p>
    <w:p w:rsidR="00EC1B72" w:rsidRPr="0012545B" w:rsidRDefault="00EC1B72" w:rsidP="00B92B11">
      <w:pPr>
        <w:pStyle w:val="Pa2"/>
        <w:numPr>
          <w:ilvl w:val="0"/>
          <w:numId w:val="97"/>
        </w:numPr>
        <w:rPr>
          <w:rFonts w:ascii="Arial" w:hAnsi="Arial" w:cs="Arial"/>
          <w:bCs/>
          <w:sz w:val="22"/>
          <w:szCs w:val="22"/>
        </w:rPr>
      </w:pPr>
      <w:r w:rsidRPr="0012545B">
        <w:rPr>
          <w:rFonts w:ascii="Arial" w:hAnsi="Arial" w:cs="Arial"/>
          <w:bCs/>
          <w:sz w:val="22"/>
          <w:szCs w:val="22"/>
        </w:rPr>
        <w:t>Développer des infrastructures de qualité et résilientes, pour favoriser la transformation structurelle de l’économie ;</w:t>
      </w:r>
    </w:p>
    <w:p w:rsidR="00EC1B72" w:rsidRPr="0012545B" w:rsidRDefault="00EC1B72" w:rsidP="00B92B11">
      <w:pPr>
        <w:pStyle w:val="Pa2"/>
        <w:numPr>
          <w:ilvl w:val="0"/>
          <w:numId w:val="97"/>
        </w:numPr>
        <w:rPr>
          <w:rFonts w:ascii="Arial" w:hAnsi="Arial" w:cs="Arial"/>
          <w:bCs/>
          <w:sz w:val="22"/>
          <w:szCs w:val="22"/>
        </w:rPr>
      </w:pPr>
      <w:r w:rsidRPr="0012545B">
        <w:rPr>
          <w:rFonts w:ascii="Arial" w:hAnsi="Arial" w:cs="Arial"/>
          <w:bCs/>
          <w:sz w:val="22"/>
          <w:szCs w:val="22"/>
        </w:rPr>
        <w:t>Inverser la tendance de la dégradation de l’environnement et assurer durablement la gestion des ressources naturelles et environnementales.</w:t>
      </w:r>
    </w:p>
    <w:p w:rsidR="00EC1B72" w:rsidRPr="00BA488E" w:rsidRDefault="00EC1B72" w:rsidP="008D7758">
      <w:pPr>
        <w:pStyle w:val="Titre3"/>
        <w:numPr>
          <w:ilvl w:val="0"/>
          <w:numId w:val="144"/>
        </w:numPr>
        <w:ind w:left="1134"/>
      </w:pPr>
      <w:bookmarkStart w:id="625" w:name="_Toc492972232"/>
      <w:r w:rsidRPr="00BA488E">
        <w:t>Lien entre les objectifs stratégiques du PNDES et les ODD</w:t>
      </w:r>
      <w:bookmarkEnd w:id="625"/>
    </w:p>
    <w:p w:rsidR="00EC1B72" w:rsidRPr="00FB4A90" w:rsidRDefault="00EC1B72" w:rsidP="00EC1B72">
      <w:pPr>
        <w:pStyle w:val="Default"/>
        <w:spacing w:before="240"/>
        <w:jc w:val="both"/>
        <w:rPr>
          <w:rFonts w:eastAsia="Times New Roman"/>
          <w:color w:val="auto"/>
          <w:sz w:val="22"/>
          <w:szCs w:val="22"/>
        </w:rPr>
      </w:pPr>
      <w:r w:rsidRPr="00FB4A90">
        <w:rPr>
          <w:rFonts w:eastAsia="Times New Roman"/>
          <w:color w:val="auto"/>
          <w:sz w:val="22"/>
          <w:szCs w:val="22"/>
        </w:rPr>
        <w:t>Les ODD constituent les nouveaux objectifs de développement adoptés par l’Assemblée générale des Nations unies en septembre 2015 dans l’optique d’améliorer la qualité de vie des populations tout en protégeant la planète pour les générations futures. Il s’agit d’objectifs définis de manière consensuelle par les différents pays du monde au regard des défis majeurs qui se posent à l’humanité.</w:t>
      </w:r>
    </w:p>
    <w:p w:rsidR="00EC1B72" w:rsidRPr="00FB4A90" w:rsidRDefault="00EC1B72" w:rsidP="00EC1B72">
      <w:pPr>
        <w:pStyle w:val="Default"/>
        <w:jc w:val="both"/>
        <w:rPr>
          <w:rFonts w:eastAsia="Times New Roman"/>
          <w:iCs/>
          <w:color w:val="auto"/>
          <w:sz w:val="22"/>
          <w:szCs w:val="22"/>
        </w:rPr>
      </w:pPr>
    </w:p>
    <w:p w:rsidR="00EC1B72" w:rsidRPr="00FB4A90" w:rsidRDefault="00EC1B72" w:rsidP="00EC1B72">
      <w:pPr>
        <w:pStyle w:val="Default"/>
        <w:jc w:val="both"/>
        <w:rPr>
          <w:rFonts w:eastAsia="Times New Roman"/>
          <w:color w:val="auto"/>
          <w:sz w:val="22"/>
          <w:szCs w:val="22"/>
        </w:rPr>
      </w:pPr>
      <w:r w:rsidRPr="00FB4A90">
        <w:rPr>
          <w:rFonts w:eastAsia="Times New Roman"/>
          <w:iCs/>
          <w:color w:val="auto"/>
          <w:sz w:val="22"/>
          <w:szCs w:val="22"/>
        </w:rPr>
        <w:t xml:space="preserve">Pour internaliser ces engagements, un atelier national de priorisation des cibles </w:t>
      </w:r>
      <w:r w:rsidRPr="00FB4A90">
        <w:rPr>
          <w:rFonts w:eastAsia="Times New Roman"/>
          <w:bCs/>
          <w:color w:val="auto"/>
          <w:sz w:val="22"/>
          <w:szCs w:val="22"/>
        </w:rPr>
        <w:t>ODD</w:t>
      </w:r>
      <w:r w:rsidRPr="00FB4A90">
        <w:rPr>
          <w:rFonts w:eastAsia="Times New Roman"/>
          <w:color w:val="auto"/>
          <w:sz w:val="22"/>
          <w:szCs w:val="22"/>
        </w:rPr>
        <w:t xml:space="preserve"> a été organisé à </w:t>
      </w:r>
      <w:r w:rsidRPr="00FB4A90">
        <w:rPr>
          <w:rFonts w:eastAsia="Times New Roman"/>
          <w:iCs/>
          <w:color w:val="auto"/>
          <w:sz w:val="22"/>
          <w:szCs w:val="22"/>
        </w:rPr>
        <w:t>Ouagadougou en avril 2016</w:t>
      </w:r>
      <w:r w:rsidRPr="00FB4A90">
        <w:rPr>
          <w:rFonts w:eastAsia="Times New Roman"/>
          <w:color w:val="auto"/>
          <w:sz w:val="22"/>
          <w:szCs w:val="22"/>
        </w:rPr>
        <w:t xml:space="preserve"> dans le cadre du processus d’élaboration du </w:t>
      </w:r>
      <w:r w:rsidRPr="00FB4A90">
        <w:rPr>
          <w:rFonts w:eastAsia="Times New Roman"/>
          <w:bCs/>
          <w:color w:val="auto"/>
          <w:sz w:val="22"/>
          <w:szCs w:val="22"/>
        </w:rPr>
        <w:t>PNDES</w:t>
      </w:r>
      <w:r w:rsidRPr="00FB4A90">
        <w:rPr>
          <w:rFonts w:eastAsia="Times New Roman"/>
          <w:color w:val="auto"/>
          <w:sz w:val="22"/>
          <w:szCs w:val="22"/>
        </w:rPr>
        <w:t>. En cohérence avec les objectifs stratégiques du PNDES, 86 cibles ont été considérées comme prioritaires sur les 169 cibles que comptent les 17 ODD. L’élimination de l’extrême pauvreté est au cœur des priorités ressorties de l’exercice de priorisation des cibles, mais aussi l’élimination de toutes les formes de violence, surtout envers les femmes, ainsi que la promotion des modes de consommation et de production durables.</w:t>
      </w:r>
    </w:p>
    <w:p w:rsidR="00EC1B72" w:rsidRPr="00FB4A90" w:rsidRDefault="00EC1B72" w:rsidP="00EC1B72">
      <w:pPr>
        <w:pStyle w:val="Default"/>
        <w:tabs>
          <w:tab w:val="left" w:pos="993"/>
        </w:tabs>
        <w:jc w:val="both"/>
        <w:rPr>
          <w:rFonts w:eastAsia="Times New Roman"/>
          <w:b/>
          <w:color w:val="auto"/>
          <w:sz w:val="22"/>
          <w:szCs w:val="22"/>
        </w:rPr>
      </w:pPr>
    </w:p>
    <w:p w:rsidR="00EC1B72" w:rsidRPr="00FB4A90" w:rsidRDefault="001B77E5" w:rsidP="00EC1B72">
      <w:pPr>
        <w:pStyle w:val="Default"/>
        <w:tabs>
          <w:tab w:val="left" w:pos="993"/>
        </w:tabs>
        <w:jc w:val="both"/>
        <w:rPr>
          <w:rFonts w:eastAsia="Times New Roman"/>
          <w:b/>
          <w:color w:val="auto"/>
          <w:sz w:val="22"/>
          <w:szCs w:val="22"/>
        </w:rPr>
      </w:pPr>
      <w:r>
        <w:rPr>
          <w:rFonts w:eastAsia="Times New Roman"/>
          <w:b/>
          <w:color w:val="auto"/>
          <w:sz w:val="22"/>
          <w:szCs w:val="22"/>
        </w:rPr>
        <w:t xml:space="preserve">1.1.2.1 </w:t>
      </w:r>
      <w:r w:rsidR="00EC1B72" w:rsidRPr="00FB4A90">
        <w:rPr>
          <w:rFonts w:eastAsia="Times New Roman"/>
          <w:b/>
          <w:color w:val="auto"/>
          <w:sz w:val="22"/>
          <w:szCs w:val="22"/>
        </w:rPr>
        <w:t>Principaux domaines de transformation structurelle de l’économie</w:t>
      </w:r>
    </w:p>
    <w:p w:rsidR="00EC1B72" w:rsidRPr="00FB4A90" w:rsidRDefault="00EC1B72" w:rsidP="00EC1B72">
      <w:pPr>
        <w:pStyle w:val="Default"/>
        <w:ind w:left="720"/>
        <w:jc w:val="both"/>
        <w:rPr>
          <w:rFonts w:eastAsia="Times New Roman"/>
          <w:b/>
          <w:color w:val="auto"/>
          <w:sz w:val="22"/>
          <w:szCs w:val="22"/>
        </w:rPr>
      </w:pPr>
    </w:p>
    <w:p w:rsidR="00EC1B72" w:rsidRPr="00FB4A90" w:rsidRDefault="00EC1B72" w:rsidP="00EC1B72">
      <w:pPr>
        <w:pStyle w:val="Pa3"/>
        <w:spacing w:line="240" w:lineRule="auto"/>
        <w:jc w:val="both"/>
        <w:rPr>
          <w:rFonts w:ascii="Arial" w:eastAsia="Times New Roman" w:hAnsi="Arial" w:cs="Arial"/>
          <w:sz w:val="22"/>
          <w:szCs w:val="22"/>
        </w:rPr>
      </w:pPr>
      <w:r w:rsidRPr="00FB4A90">
        <w:rPr>
          <w:rFonts w:ascii="Arial" w:eastAsia="Times New Roman" w:hAnsi="Arial" w:cs="Arial"/>
          <w:sz w:val="22"/>
          <w:szCs w:val="22"/>
        </w:rPr>
        <w:t>L’opérationnalisation de la vision du PNDES passe par une transformation structurelle de l’économie burkinabè, notamment dans le domaine des finances publiques, dans les secteurs de l’énergie, du coton, de l’agriculture et du suivi macroéconomique.</w:t>
      </w:r>
    </w:p>
    <w:p w:rsidR="00EC1B72" w:rsidRPr="00F938B3" w:rsidRDefault="00EC1B72" w:rsidP="00EC1B72">
      <w:pPr>
        <w:pStyle w:val="Default"/>
        <w:numPr>
          <w:ilvl w:val="0"/>
          <w:numId w:val="95"/>
        </w:numPr>
        <w:spacing w:before="240"/>
        <w:jc w:val="both"/>
        <w:rPr>
          <w:rFonts w:eastAsia="Times New Roman"/>
          <w:b/>
          <w:i/>
          <w:color w:val="auto"/>
          <w:sz w:val="22"/>
          <w:szCs w:val="22"/>
        </w:rPr>
      </w:pPr>
      <w:r w:rsidRPr="00FB4A90">
        <w:rPr>
          <w:rFonts w:eastAsia="Times New Roman"/>
          <w:b/>
          <w:i/>
          <w:color w:val="auto"/>
          <w:sz w:val="22"/>
          <w:szCs w:val="22"/>
        </w:rPr>
        <w:t>En matière de finances publiques</w:t>
      </w:r>
    </w:p>
    <w:p w:rsidR="00EC1B72" w:rsidRPr="00F938B3" w:rsidRDefault="00EC1B72" w:rsidP="00EC1B72">
      <w:pPr>
        <w:autoSpaceDE w:val="0"/>
        <w:autoSpaceDN w:val="0"/>
        <w:adjustRightInd w:val="0"/>
        <w:jc w:val="both"/>
        <w:rPr>
          <w:rFonts w:ascii="Arial" w:hAnsi="Arial" w:cs="Arial"/>
        </w:rPr>
      </w:pPr>
      <w:r w:rsidRPr="008F7689">
        <w:rPr>
          <w:rFonts w:ascii="Arial" w:hAnsi="Arial" w:cs="Arial"/>
        </w:rPr>
        <w:t xml:space="preserve">Le principal défi qui se présente est d’assurer la qualité de la planification et de l’exécution du programme d’investissements adossé au PNDES. A cet effet, un certain nombre de réformes ont été engagées notamment l’adoption d’un nouveau code </w:t>
      </w:r>
      <w:r>
        <w:rPr>
          <w:rFonts w:ascii="Arial" w:hAnsi="Arial" w:cs="Arial"/>
        </w:rPr>
        <w:t xml:space="preserve">sur la commande publique </w:t>
      </w:r>
      <w:r w:rsidRPr="008F7689">
        <w:rPr>
          <w:rFonts w:ascii="Arial" w:hAnsi="Arial" w:cs="Arial"/>
        </w:rPr>
        <w:t>dont la mise en œuvre vise le respect de la norme communautaire relative au recours aux procédures exceptionnelles dans la gestion de la commande publique. En outre, la maîtrise de la masse salariale et l’accroissement de la mobilisation des ressources devraient permettre de respecter certains critères de convergen</w:t>
      </w:r>
      <w:r w:rsidR="00F938B3">
        <w:rPr>
          <w:rFonts w:ascii="Arial" w:hAnsi="Arial" w:cs="Arial"/>
        </w:rPr>
        <w:t>ce de l’UEMOA à l’horizon 2020.</w:t>
      </w:r>
    </w:p>
    <w:p w:rsidR="00EC1B72" w:rsidRPr="00F938B3" w:rsidRDefault="00EC1B72" w:rsidP="00EC1B72">
      <w:pPr>
        <w:pStyle w:val="Paragraphedeliste"/>
        <w:numPr>
          <w:ilvl w:val="0"/>
          <w:numId w:val="95"/>
        </w:numPr>
        <w:autoSpaceDE w:val="0"/>
        <w:autoSpaceDN w:val="0"/>
        <w:adjustRightInd w:val="0"/>
        <w:spacing w:after="0" w:line="240" w:lineRule="auto"/>
        <w:jc w:val="both"/>
        <w:rPr>
          <w:rFonts w:ascii="Arial" w:hAnsi="Arial" w:cs="Arial"/>
          <w:b/>
          <w:i/>
        </w:rPr>
      </w:pPr>
      <w:r w:rsidRPr="0012545B">
        <w:rPr>
          <w:rFonts w:ascii="Arial" w:hAnsi="Arial" w:cs="Arial"/>
          <w:b/>
          <w:i/>
        </w:rPr>
        <w:t>Dans le secteur de l’énergie</w:t>
      </w:r>
    </w:p>
    <w:p w:rsidR="00EC1B72" w:rsidRPr="0012545B" w:rsidRDefault="00EC1B72" w:rsidP="00EC1B72">
      <w:pPr>
        <w:autoSpaceDE w:val="0"/>
        <w:autoSpaceDN w:val="0"/>
        <w:adjustRightInd w:val="0"/>
        <w:jc w:val="both"/>
        <w:rPr>
          <w:rFonts w:ascii="Arial" w:hAnsi="Arial" w:cs="Arial"/>
        </w:rPr>
      </w:pPr>
      <w:r w:rsidRPr="0012545B">
        <w:rPr>
          <w:rFonts w:ascii="Arial" w:hAnsi="Arial" w:cs="Arial"/>
        </w:rPr>
        <w:t xml:space="preserve">Dans ce secteur, il s’agira d’améliorer l’offre d’énergie et de contrôler les passifs conditionnels. En effet, l’un des objectifs du PNDES est de relever le défi de l’amélioration rapide de la couverture énergétique afin de faciliter la croissance durant les prochaines années. Des réformes seront mises en œuvre d’une part pour continuer à assainir les relations entre l’État, la SONABHY et la SONABEL et assurer la viabilité financière du secteur énergie et d’autre part la promotion des énergies renouvelables. </w:t>
      </w:r>
    </w:p>
    <w:p w:rsidR="00EC1B72" w:rsidRPr="0012545B" w:rsidRDefault="00EC1B72" w:rsidP="00B92B11">
      <w:pPr>
        <w:pStyle w:val="Paragraphedeliste"/>
        <w:numPr>
          <w:ilvl w:val="0"/>
          <w:numId w:val="95"/>
        </w:numPr>
        <w:autoSpaceDE w:val="0"/>
        <w:autoSpaceDN w:val="0"/>
        <w:adjustRightInd w:val="0"/>
        <w:spacing w:before="240" w:after="240" w:line="240" w:lineRule="auto"/>
        <w:ind w:left="714" w:hanging="357"/>
        <w:jc w:val="both"/>
        <w:rPr>
          <w:rFonts w:ascii="Arial" w:hAnsi="Arial" w:cs="Arial"/>
          <w:b/>
          <w:i/>
        </w:rPr>
      </w:pPr>
      <w:r w:rsidRPr="0012545B">
        <w:rPr>
          <w:rFonts w:ascii="Arial" w:hAnsi="Arial" w:cs="Arial"/>
          <w:b/>
          <w:i/>
        </w:rPr>
        <w:t>En ce qui concerne le secteur du coton et la diversification de l’agriculture</w:t>
      </w:r>
    </w:p>
    <w:p w:rsidR="00EC1B72" w:rsidRPr="0012545B" w:rsidRDefault="00EC1B72" w:rsidP="00EC1B72">
      <w:pPr>
        <w:jc w:val="both"/>
        <w:rPr>
          <w:rFonts w:ascii="Arial" w:hAnsi="Arial" w:cs="Arial"/>
        </w:rPr>
      </w:pPr>
      <w:r w:rsidRPr="0012545B">
        <w:rPr>
          <w:rFonts w:ascii="Arial" w:hAnsi="Arial" w:cs="Arial"/>
        </w:rPr>
        <w:t xml:space="preserve">Le coton est la seule filière agroindustrielle du Burkina Faso. Il joue un rôle très important sur le plan social et économique au Burkina Faso. </w:t>
      </w:r>
    </w:p>
    <w:p w:rsidR="00EC1B72" w:rsidRPr="0012545B" w:rsidRDefault="00EC1B72" w:rsidP="00EC1B72">
      <w:pPr>
        <w:jc w:val="both"/>
        <w:rPr>
          <w:rFonts w:ascii="Arial" w:hAnsi="Arial" w:cs="Arial"/>
        </w:rPr>
      </w:pPr>
      <w:r w:rsidRPr="0012545B">
        <w:rPr>
          <w:rFonts w:ascii="Arial" w:hAnsi="Arial" w:cs="Arial"/>
        </w:rPr>
        <w:lastRenderedPageBreak/>
        <w:t>Sur le plan social, la filière coton est un important pourvoyeur d'emplois en milieu rural avec 2 millions d'actifs et 700 000 ouvriers agricoles impliqués dans la production. Les sociétés cotonnières emploient un grand nombre de personne qui leur permet de disposer d’un revenu. On estime à 550 000 le nombre d’exploitants cotonniers. Le coton leur a apporté un supplément de revenu. Parfois même ils utilisent leur savoir-faire pour intensifier les cultures vivrières.</w:t>
      </w:r>
    </w:p>
    <w:p w:rsidR="00EC1B72" w:rsidRPr="0012545B" w:rsidRDefault="00EC1B72" w:rsidP="00EC1B72">
      <w:pPr>
        <w:jc w:val="both"/>
        <w:rPr>
          <w:rFonts w:ascii="Arial" w:hAnsi="Arial" w:cs="Arial"/>
        </w:rPr>
      </w:pPr>
      <w:r w:rsidRPr="0012545B">
        <w:rPr>
          <w:rFonts w:ascii="Arial" w:hAnsi="Arial" w:cs="Arial"/>
        </w:rPr>
        <w:t>Sur le plan économique, la filière facilite la commercialisation et a permis le développement d’un embryon de filière industrielle (égrenage, huilerie, savonnerie). Le coton constitue une culture stratégique puisqu’elle est la principale culture d’exportation du Burkina Faso. le coton fibre est presque en totalité exporté. La valeur ajoutée du coton est réalisée ailleurs en particulier en Asie du Sud-est et en Europe (Allemagne et Pays-Bas).</w:t>
      </w:r>
    </w:p>
    <w:p w:rsidR="00EC1B72" w:rsidRPr="0012545B" w:rsidDel="00ED6F74" w:rsidRDefault="00EC1B72" w:rsidP="00EC1B72">
      <w:pPr>
        <w:jc w:val="both"/>
        <w:rPr>
          <w:rFonts w:ascii="Arial" w:hAnsi="Arial" w:cs="Arial"/>
        </w:rPr>
      </w:pPr>
      <w:r w:rsidRPr="0012545B">
        <w:rPr>
          <w:rFonts w:ascii="Arial" w:hAnsi="Arial" w:cs="Arial"/>
        </w:rPr>
        <w:t>Par ailleurs, le gouvernement souhaite restaurer la viabilité du fonds de lissage pour le coton Pour ce faire, une concertation approfondie entre les parties prenantes (Etat, PTF, banques, sociétés cotonnières, UNPCB) est souhaitable pour arrêter la meilleure formule qui optimiserait le financement du fonds de lissage. Cependant, il est important de noter que les acteurs intervenant dans le secteur coton doivent travailler à la pérennisation à long terme de la filière. Ils doivent œuvrer à être indépendants dans leur fonctionnement sans devoir compter sur l’appui financier de l’Etat. En effet, sur les onze dernières années, l’Etat a consenti de multiples efforts financiers pour soutenir ce secteur. Sur la période 2005-2015, les subventions de l’Etat accordée aux sociétés cotonnières se sont élevées à  soixante milliards sept cent soixante-dix millions (60 770 000 000) de FCFA. Cette subvention a servi au</w:t>
      </w:r>
      <w:r>
        <w:rPr>
          <w:rFonts w:ascii="Arial" w:hAnsi="Arial" w:cs="Arial"/>
        </w:rPr>
        <w:t xml:space="preserve"> financement des intrants pour </w:t>
      </w:r>
      <w:r w:rsidRPr="0012545B">
        <w:rPr>
          <w:rFonts w:ascii="Arial" w:hAnsi="Arial" w:cs="Arial"/>
        </w:rPr>
        <w:t xml:space="preserve">dix-sept milliards de FCFA en 2012 et aux sociétés proprement dite pour quarante-trois milliards sept cent soixante-dix millions (43 770 000 000) FCFA. </w:t>
      </w:r>
    </w:p>
    <w:p w:rsidR="00EC1B72" w:rsidRPr="0012545B" w:rsidRDefault="00EC1B72" w:rsidP="00EC1B72">
      <w:pPr>
        <w:rPr>
          <w:rFonts w:ascii="Arial" w:hAnsi="Arial" w:cs="Arial"/>
        </w:rPr>
      </w:pPr>
      <w:r w:rsidRPr="0012545B">
        <w:rPr>
          <w:rFonts w:ascii="Arial" w:hAnsi="Arial" w:cs="Arial"/>
        </w:rPr>
        <w:t>Pour profiter des retombées du secteur coton au Burkina Faso, Il s’agira de renforcer la liaison entre le secteur coton et les autres secteurs et moderniser le secteur coton au Burkina Faso para création :</w:t>
      </w:r>
    </w:p>
    <w:p w:rsidR="00EC1B72" w:rsidRPr="0012545B" w:rsidRDefault="00EC1B72" w:rsidP="00B92B11">
      <w:pPr>
        <w:pStyle w:val="Paragraphedeliste"/>
        <w:numPr>
          <w:ilvl w:val="0"/>
          <w:numId w:val="101"/>
        </w:numPr>
        <w:spacing w:after="0"/>
        <w:jc w:val="both"/>
        <w:rPr>
          <w:rFonts w:ascii="Arial" w:hAnsi="Arial" w:cs="Arial"/>
        </w:rPr>
      </w:pPr>
      <w:r w:rsidRPr="0012545B">
        <w:rPr>
          <w:rFonts w:ascii="Arial" w:hAnsi="Arial" w:cs="Arial"/>
        </w:rPr>
        <w:t>d’une industrie de transformation au niveau local :</w:t>
      </w:r>
      <w:r>
        <w:rPr>
          <w:rFonts w:ascii="Arial" w:hAnsi="Arial" w:cs="Arial"/>
        </w:rPr>
        <w:t xml:space="preserve"> </w:t>
      </w:r>
      <w:r w:rsidRPr="0012545B">
        <w:rPr>
          <w:rFonts w:ascii="Arial" w:hAnsi="Arial" w:cs="Arial"/>
        </w:rPr>
        <w:t xml:space="preserve">Elle permettrait la création sur place d’industries chargées de transformer les fibres en divers produits (vêtements, textiles en tissus) destinés à être exportés. Cette mesure aura pour effets une augmentation de la richesse créée dans le pays et participera aussi à la création d’emploi. </w:t>
      </w:r>
    </w:p>
    <w:p w:rsidR="00EC1B72" w:rsidRPr="000E6F30" w:rsidRDefault="00EC1B72" w:rsidP="00B92B11">
      <w:pPr>
        <w:pStyle w:val="Paragraphedeliste"/>
        <w:numPr>
          <w:ilvl w:val="0"/>
          <w:numId w:val="101"/>
        </w:numPr>
        <w:spacing w:after="0"/>
        <w:jc w:val="both"/>
        <w:rPr>
          <w:rFonts w:ascii="Arial" w:hAnsi="Arial" w:cs="Arial"/>
        </w:rPr>
      </w:pPr>
      <w:r w:rsidRPr="0012545B">
        <w:rPr>
          <w:rFonts w:ascii="Arial" w:hAnsi="Arial" w:cs="Arial"/>
        </w:rPr>
        <w:t>d’une industrie locale de fabrication des intrants : L’implantation au niveau du Burkina Faso d’entreprises de fabrication d’intrant aurait pour effet d’entraîner une baisse du coût des intrants. Elle permettrait également la création d’emplois au niveau local.</w:t>
      </w:r>
    </w:p>
    <w:p w:rsidR="00EC1B72" w:rsidRPr="00FB4A90" w:rsidRDefault="00EC1B72" w:rsidP="00B92B11">
      <w:pPr>
        <w:pStyle w:val="Paragraphedeliste"/>
        <w:numPr>
          <w:ilvl w:val="0"/>
          <w:numId w:val="95"/>
        </w:numPr>
        <w:autoSpaceDE w:val="0"/>
        <w:autoSpaceDN w:val="0"/>
        <w:adjustRightInd w:val="0"/>
        <w:spacing w:after="0" w:line="240" w:lineRule="auto"/>
        <w:rPr>
          <w:rFonts w:ascii="Arial" w:hAnsi="Arial" w:cs="Arial"/>
          <w:b/>
          <w:i/>
        </w:rPr>
      </w:pPr>
      <w:r w:rsidRPr="00FB4A90">
        <w:rPr>
          <w:rFonts w:ascii="Arial" w:hAnsi="Arial" w:cs="Arial"/>
          <w:b/>
          <w:i/>
        </w:rPr>
        <w:t>Amélioration du suivi macroéconomique</w:t>
      </w:r>
    </w:p>
    <w:p w:rsidR="00EC1B72" w:rsidRPr="00FB4A90" w:rsidRDefault="00EC1B72" w:rsidP="00EC1B72">
      <w:pPr>
        <w:autoSpaceDE w:val="0"/>
        <w:autoSpaceDN w:val="0"/>
        <w:adjustRightInd w:val="0"/>
        <w:jc w:val="both"/>
        <w:rPr>
          <w:rFonts w:ascii="Arial" w:hAnsi="Arial" w:cs="Arial"/>
        </w:rPr>
      </w:pPr>
      <w:r w:rsidRPr="00FB4A90">
        <w:rPr>
          <w:rFonts w:ascii="Arial" w:hAnsi="Arial" w:cs="Arial"/>
        </w:rPr>
        <w:t>Dans le cadre de l’amélioration du suivi macroéconomique, il est prévu la mise à jour de l'année de base des comptes nationaux. Ainsi, la nouvelle année de base des comptes nationaux sera l’année 2015 et les travaux de compilation seront réalisés en 2017, aussi bien selon le Système de Comptabilité Nationale 1993 que celui de 2008. En outre, l’enquête sur l’emploi et le secteur informel a été réalisé. Il a été également engagé l’étude sur l’orpaillage.</w:t>
      </w:r>
    </w:p>
    <w:p w:rsidR="00EC1B72" w:rsidRPr="00FB4A90" w:rsidRDefault="001B77E5" w:rsidP="00EC1B72">
      <w:pPr>
        <w:pStyle w:val="Default"/>
        <w:spacing w:before="240"/>
        <w:jc w:val="both"/>
        <w:rPr>
          <w:rFonts w:eastAsia="Times New Roman"/>
          <w:b/>
          <w:color w:val="auto"/>
          <w:sz w:val="22"/>
          <w:szCs w:val="22"/>
        </w:rPr>
      </w:pPr>
      <w:r>
        <w:rPr>
          <w:rFonts w:eastAsia="Times New Roman"/>
          <w:b/>
          <w:color w:val="auto"/>
          <w:sz w:val="22"/>
          <w:szCs w:val="22"/>
        </w:rPr>
        <w:t xml:space="preserve">1.1.2.2 </w:t>
      </w:r>
      <w:r w:rsidR="00EC1B72" w:rsidRPr="00FB4A90">
        <w:rPr>
          <w:rFonts w:eastAsia="Times New Roman"/>
          <w:b/>
          <w:color w:val="auto"/>
          <w:sz w:val="22"/>
          <w:szCs w:val="22"/>
        </w:rPr>
        <w:t xml:space="preserve">Impacts attendus </w:t>
      </w:r>
      <w:r w:rsidR="00EC1B72">
        <w:rPr>
          <w:rFonts w:eastAsia="Times New Roman"/>
          <w:b/>
          <w:color w:val="auto"/>
          <w:sz w:val="22"/>
          <w:szCs w:val="22"/>
        </w:rPr>
        <w:t xml:space="preserve">de la mise en œuvre du PNDES </w:t>
      </w:r>
    </w:p>
    <w:p w:rsidR="00EC1B72" w:rsidRPr="005C72CD" w:rsidRDefault="00EC1B72" w:rsidP="00EC1B72">
      <w:pPr>
        <w:jc w:val="both"/>
        <w:rPr>
          <w:rFonts w:ascii="Arial" w:hAnsi="Arial" w:cs="Arial"/>
        </w:rPr>
      </w:pPr>
    </w:p>
    <w:p w:rsidR="00EC1B72" w:rsidRPr="005C72CD" w:rsidRDefault="00EC1B72" w:rsidP="00EC1B72">
      <w:pPr>
        <w:jc w:val="both"/>
        <w:rPr>
          <w:rFonts w:ascii="Arial" w:hAnsi="Arial" w:cs="Arial"/>
          <w:bCs/>
        </w:rPr>
      </w:pPr>
      <w:r w:rsidRPr="005C72CD">
        <w:rPr>
          <w:rFonts w:ascii="Arial" w:hAnsi="Arial" w:cs="Arial"/>
          <w:bCs/>
        </w:rPr>
        <w:t xml:space="preserve">Partant de l'objectif global, les impacts attendus du PNDES sont : </w:t>
      </w:r>
    </w:p>
    <w:p w:rsidR="00EC1B72" w:rsidRPr="005C72CD" w:rsidRDefault="00EC1B72" w:rsidP="00B92B11">
      <w:pPr>
        <w:pStyle w:val="Paragraphedeliste"/>
        <w:numPr>
          <w:ilvl w:val="0"/>
          <w:numId w:val="98"/>
        </w:numPr>
        <w:spacing w:after="0" w:line="240" w:lineRule="auto"/>
        <w:jc w:val="both"/>
        <w:rPr>
          <w:rFonts w:ascii="Arial" w:hAnsi="Arial" w:cs="Arial"/>
          <w:bCs/>
        </w:rPr>
      </w:pPr>
      <w:r w:rsidRPr="005C72CD">
        <w:rPr>
          <w:rFonts w:ascii="Arial" w:hAnsi="Arial" w:cs="Arial"/>
          <w:bCs/>
        </w:rPr>
        <w:t xml:space="preserve">l'amélioration de l'efficacité des gouvernances politique, administrative, économique, locale et environnementale, </w:t>
      </w:r>
    </w:p>
    <w:p w:rsidR="00EC1B72" w:rsidRPr="005C72CD" w:rsidRDefault="00EC1B72" w:rsidP="00B92B11">
      <w:pPr>
        <w:pStyle w:val="Paragraphedeliste"/>
        <w:numPr>
          <w:ilvl w:val="0"/>
          <w:numId w:val="98"/>
        </w:numPr>
        <w:spacing w:after="0" w:line="240" w:lineRule="auto"/>
        <w:jc w:val="both"/>
        <w:rPr>
          <w:rFonts w:ascii="Arial" w:hAnsi="Arial" w:cs="Arial"/>
          <w:bCs/>
        </w:rPr>
      </w:pPr>
      <w:r w:rsidRPr="005C72CD">
        <w:rPr>
          <w:rFonts w:ascii="Arial" w:hAnsi="Arial" w:cs="Arial"/>
          <w:bCs/>
        </w:rPr>
        <w:lastRenderedPageBreak/>
        <w:t xml:space="preserve">l'émergence d'une économie moderne basée sur un secteur primaire évolutif, plus compétitif et des industries de transformation et de services de plus en plus dynamiques, permettant de réaliser un taux de croissance économique annuel moyen de 7,7% et créatrice d'au moins 50 000 emplois décents par an, </w:t>
      </w:r>
    </w:p>
    <w:p w:rsidR="00EC1B72" w:rsidRPr="005C72CD" w:rsidRDefault="00EC1B72" w:rsidP="00B92B11">
      <w:pPr>
        <w:pStyle w:val="Paragraphedeliste"/>
        <w:numPr>
          <w:ilvl w:val="0"/>
          <w:numId w:val="98"/>
        </w:numPr>
        <w:spacing w:after="0" w:line="240" w:lineRule="auto"/>
        <w:jc w:val="both"/>
        <w:rPr>
          <w:rFonts w:ascii="Arial" w:hAnsi="Arial" w:cs="Arial"/>
          <w:bCs/>
        </w:rPr>
      </w:pPr>
      <w:r w:rsidRPr="005C72CD">
        <w:rPr>
          <w:rFonts w:ascii="Arial" w:hAnsi="Arial" w:cs="Arial"/>
          <w:bCs/>
        </w:rPr>
        <w:t xml:space="preserve">la baisse de l'incidence de la pauvreté pour qu'elle soit inférieure à 35% en 2020, </w:t>
      </w:r>
    </w:p>
    <w:p w:rsidR="00EC1B72" w:rsidRPr="005C72CD" w:rsidRDefault="00EC1B72" w:rsidP="00B92B11">
      <w:pPr>
        <w:pStyle w:val="Paragraphedeliste"/>
        <w:numPr>
          <w:ilvl w:val="0"/>
          <w:numId w:val="98"/>
        </w:numPr>
        <w:spacing w:after="0" w:line="240" w:lineRule="auto"/>
        <w:jc w:val="both"/>
        <w:rPr>
          <w:rFonts w:ascii="Arial" w:hAnsi="Arial" w:cs="Arial"/>
          <w:bCs/>
        </w:rPr>
      </w:pPr>
      <w:r w:rsidRPr="005C72CD">
        <w:rPr>
          <w:rFonts w:ascii="Arial" w:hAnsi="Arial" w:cs="Arial"/>
          <w:bCs/>
        </w:rPr>
        <w:t xml:space="preserve">la maîtrise de la croissance démographique annuelle afin qu'elle soit ramenée à 2,7% en 2020, </w:t>
      </w:r>
    </w:p>
    <w:p w:rsidR="00EC1B72" w:rsidRPr="005C72CD" w:rsidRDefault="00EC1B72" w:rsidP="00B92B11">
      <w:pPr>
        <w:pStyle w:val="Paragraphedeliste"/>
        <w:numPr>
          <w:ilvl w:val="0"/>
          <w:numId w:val="98"/>
        </w:numPr>
        <w:spacing w:after="0" w:line="240" w:lineRule="auto"/>
        <w:jc w:val="both"/>
        <w:rPr>
          <w:rFonts w:ascii="Arial" w:hAnsi="Arial" w:cs="Arial"/>
          <w:bCs/>
        </w:rPr>
      </w:pPr>
      <w:r w:rsidRPr="005C72CD">
        <w:rPr>
          <w:rFonts w:ascii="Arial" w:hAnsi="Arial" w:cs="Arial"/>
          <w:bCs/>
        </w:rPr>
        <w:t>l'accélération du niveau de développement du capital humain et ;</w:t>
      </w:r>
    </w:p>
    <w:p w:rsidR="00EC1B72" w:rsidRPr="005C72CD" w:rsidRDefault="00EC1B72" w:rsidP="00B92B11">
      <w:pPr>
        <w:pStyle w:val="Paragraphedeliste"/>
        <w:numPr>
          <w:ilvl w:val="0"/>
          <w:numId w:val="98"/>
        </w:numPr>
        <w:spacing w:after="0" w:line="240" w:lineRule="auto"/>
        <w:jc w:val="both"/>
        <w:rPr>
          <w:rFonts w:ascii="Arial" w:hAnsi="Arial" w:cs="Arial"/>
          <w:bCs/>
        </w:rPr>
      </w:pPr>
      <w:r w:rsidRPr="005C72CD">
        <w:rPr>
          <w:rFonts w:ascii="Arial" w:hAnsi="Arial" w:cs="Arial"/>
          <w:bCs/>
        </w:rPr>
        <w:t>le changement des modes de production et de consommation s'inscrivant dans une perspective de développement durable.</w:t>
      </w:r>
    </w:p>
    <w:p w:rsidR="00EC1B72" w:rsidRPr="002B4C0A" w:rsidRDefault="00EC1B72" w:rsidP="00EC1B72">
      <w:pPr>
        <w:jc w:val="both"/>
        <w:rPr>
          <w:rFonts w:ascii="Arial" w:hAnsi="Arial" w:cs="Arial"/>
          <w:bCs/>
          <w:color w:val="0000CC"/>
        </w:rPr>
      </w:pPr>
    </w:p>
    <w:p w:rsidR="00EC1B72" w:rsidRPr="00BE6A24" w:rsidRDefault="00EC1B72" w:rsidP="00EC1B72">
      <w:pPr>
        <w:jc w:val="both"/>
        <w:rPr>
          <w:rFonts w:ascii="Arial" w:hAnsi="Arial" w:cs="Arial"/>
          <w:bCs/>
        </w:rPr>
      </w:pPr>
      <w:r w:rsidRPr="00BE6A24">
        <w:rPr>
          <w:rFonts w:ascii="Arial" w:hAnsi="Arial" w:cs="Arial"/>
          <w:bCs/>
        </w:rPr>
        <w:t>Au plan social, les impacts escomptés sur l'ensemble des secteurs de l'économie permettront une réduction des inégalités sociales et des disparités régionales, avec un accent particulier sur les régions les plus touchées par la pauvreté. Ils induiront également l'amélioration des conditions de vie des ménages et de la participation de l'ensemble de la société au processus national de développement.</w:t>
      </w:r>
    </w:p>
    <w:p w:rsidR="00EC1B72" w:rsidRDefault="001B77E5" w:rsidP="00EC1B72">
      <w:pPr>
        <w:jc w:val="both"/>
        <w:rPr>
          <w:rFonts w:ascii="Arial" w:hAnsi="Arial" w:cs="Arial"/>
          <w:b/>
        </w:rPr>
      </w:pPr>
      <w:r>
        <w:rPr>
          <w:rFonts w:ascii="Arial" w:hAnsi="Arial" w:cs="Arial"/>
          <w:b/>
        </w:rPr>
        <w:t xml:space="preserve">1.1.2.3 </w:t>
      </w:r>
      <w:r w:rsidR="00EC1B72">
        <w:rPr>
          <w:rFonts w:ascii="Arial" w:hAnsi="Arial" w:cs="Arial"/>
          <w:b/>
        </w:rPr>
        <w:t>D</w:t>
      </w:r>
      <w:r w:rsidR="00EC1B72" w:rsidRPr="00FB4A90">
        <w:rPr>
          <w:rFonts w:ascii="Arial" w:hAnsi="Arial" w:cs="Arial"/>
          <w:b/>
        </w:rPr>
        <w:t>éfis transversaux</w:t>
      </w:r>
      <w:r w:rsidR="00EC1B72">
        <w:rPr>
          <w:rFonts w:ascii="Arial" w:hAnsi="Arial" w:cs="Arial"/>
          <w:b/>
        </w:rPr>
        <w:t xml:space="preserve"> à relever</w:t>
      </w:r>
    </w:p>
    <w:p w:rsidR="00EC1B72" w:rsidRPr="00BE6A24" w:rsidRDefault="00EC1B72" w:rsidP="00EC1B72">
      <w:pPr>
        <w:jc w:val="both"/>
        <w:rPr>
          <w:rFonts w:ascii="Arial" w:hAnsi="Arial" w:cs="Arial"/>
        </w:rPr>
      </w:pPr>
      <w:r>
        <w:rPr>
          <w:rFonts w:ascii="Arial" w:hAnsi="Arial" w:cs="Arial"/>
        </w:rPr>
        <w:t>L</w:t>
      </w:r>
      <w:r w:rsidRPr="00BE6A24">
        <w:rPr>
          <w:rFonts w:ascii="Arial" w:hAnsi="Arial" w:cs="Arial"/>
        </w:rPr>
        <w:t xml:space="preserve">es performances à réaliser </w:t>
      </w:r>
      <w:r>
        <w:rPr>
          <w:rFonts w:ascii="Arial" w:hAnsi="Arial" w:cs="Arial"/>
        </w:rPr>
        <w:t xml:space="preserve">dans la mise en œuvre du PNDES </w:t>
      </w:r>
      <w:r w:rsidRPr="00BE6A24">
        <w:rPr>
          <w:rFonts w:ascii="Arial" w:hAnsi="Arial" w:cs="Arial"/>
        </w:rPr>
        <w:t>sont :</w:t>
      </w:r>
    </w:p>
    <w:p w:rsidR="00EC1B72" w:rsidRPr="00BE6A24" w:rsidRDefault="00EC1B72" w:rsidP="00B92B11">
      <w:pPr>
        <w:pStyle w:val="Paragraphedeliste"/>
        <w:numPr>
          <w:ilvl w:val="0"/>
          <w:numId w:val="100"/>
        </w:numPr>
        <w:spacing w:after="0" w:line="240" w:lineRule="auto"/>
        <w:jc w:val="both"/>
        <w:rPr>
          <w:rFonts w:ascii="Arial" w:hAnsi="Arial" w:cs="Arial"/>
        </w:rPr>
      </w:pPr>
      <w:r w:rsidRPr="00BE6A24">
        <w:rPr>
          <w:rFonts w:ascii="Arial" w:hAnsi="Arial" w:cs="Arial"/>
        </w:rPr>
        <w:t>Assurer une croissance annuelle forte de l’ordre de 8% ;</w:t>
      </w:r>
    </w:p>
    <w:p w:rsidR="00EC1B72" w:rsidRPr="00BE6A24" w:rsidRDefault="00EC1B72" w:rsidP="00B92B11">
      <w:pPr>
        <w:pStyle w:val="Paragraphedeliste"/>
        <w:numPr>
          <w:ilvl w:val="0"/>
          <w:numId w:val="100"/>
        </w:numPr>
        <w:spacing w:after="0" w:line="240" w:lineRule="auto"/>
        <w:jc w:val="both"/>
        <w:rPr>
          <w:rFonts w:ascii="Arial" w:hAnsi="Arial" w:cs="Arial"/>
        </w:rPr>
      </w:pPr>
      <w:r w:rsidRPr="00BE6A24">
        <w:rPr>
          <w:rFonts w:ascii="Arial" w:hAnsi="Arial" w:cs="Arial"/>
        </w:rPr>
        <w:t>Réduire l’incidence de la pauvreté de 40% à 35% d’ici à 2020 ;</w:t>
      </w:r>
    </w:p>
    <w:p w:rsidR="00EC1B72" w:rsidRPr="00BE6A24" w:rsidRDefault="00EC1B72" w:rsidP="00B92B11">
      <w:pPr>
        <w:pStyle w:val="Paragraphedeliste"/>
        <w:numPr>
          <w:ilvl w:val="0"/>
          <w:numId w:val="100"/>
        </w:numPr>
        <w:spacing w:after="0" w:line="240" w:lineRule="auto"/>
        <w:jc w:val="both"/>
        <w:rPr>
          <w:rFonts w:ascii="Arial" w:hAnsi="Arial" w:cs="Arial"/>
        </w:rPr>
      </w:pPr>
      <w:r w:rsidRPr="00BE6A24">
        <w:rPr>
          <w:rFonts w:ascii="Arial" w:hAnsi="Arial" w:cs="Arial"/>
        </w:rPr>
        <w:t>Fonder les priorités de développement sur les réponses à donner aux nombreuses aspirations des Burkinabè ;</w:t>
      </w:r>
    </w:p>
    <w:p w:rsidR="00EC1B72" w:rsidRPr="00BE6A24" w:rsidRDefault="00EC1B72" w:rsidP="00B92B11">
      <w:pPr>
        <w:pStyle w:val="Paragraphedeliste"/>
        <w:numPr>
          <w:ilvl w:val="0"/>
          <w:numId w:val="100"/>
        </w:numPr>
        <w:spacing w:after="0" w:line="240" w:lineRule="auto"/>
        <w:jc w:val="both"/>
        <w:rPr>
          <w:rFonts w:ascii="Arial" w:hAnsi="Arial" w:cs="Arial"/>
        </w:rPr>
      </w:pPr>
      <w:r w:rsidRPr="00BE6A24">
        <w:rPr>
          <w:rFonts w:ascii="Arial" w:hAnsi="Arial" w:cs="Arial"/>
        </w:rPr>
        <w:t>Relever le défi du changement climatique par la mise en œuvre de politiques d’adaptation appropriées, notamment l’adoption résolue des énergies renouvelables ;</w:t>
      </w:r>
    </w:p>
    <w:p w:rsidR="00EC1B72" w:rsidRPr="00BE6A24" w:rsidRDefault="00EC1B72" w:rsidP="00B92B11">
      <w:pPr>
        <w:pStyle w:val="Paragraphedeliste"/>
        <w:numPr>
          <w:ilvl w:val="0"/>
          <w:numId w:val="100"/>
        </w:numPr>
        <w:spacing w:after="0" w:line="240" w:lineRule="auto"/>
        <w:jc w:val="both"/>
        <w:rPr>
          <w:rFonts w:ascii="Arial" w:hAnsi="Arial" w:cs="Arial"/>
        </w:rPr>
      </w:pPr>
      <w:r w:rsidRPr="00BE6A24">
        <w:rPr>
          <w:rFonts w:ascii="Arial" w:hAnsi="Arial" w:cs="Arial"/>
        </w:rPr>
        <w:t>Promouvoir un environnement politique à même de garantir la stabilité des institutions républicaines ;</w:t>
      </w:r>
    </w:p>
    <w:p w:rsidR="00EC1B72" w:rsidRPr="00BE6A24" w:rsidRDefault="00EC1B72" w:rsidP="00B92B11">
      <w:pPr>
        <w:pStyle w:val="Paragraphedeliste"/>
        <w:numPr>
          <w:ilvl w:val="0"/>
          <w:numId w:val="100"/>
        </w:numPr>
        <w:spacing w:after="0" w:line="240" w:lineRule="auto"/>
        <w:jc w:val="both"/>
        <w:rPr>
          <w:rFonts w:ascii="Arial" w:hAnsi="Arial" w:cs="Arial"/>
        </w:rPr>
      </w:pPr>
      <w:r w:rsidRPr="00BE6A24">
        <w:rPr>
          <w:rFonts w:ascii="Arial" w:hAnsi="Arial" w:cs="Arial"/>
        </w:rPr>
        <w:t>Assurer la bonne gouvernance ;</w:t>
      </w:r>
    </w:p>
    <w:p w:rsidR="00EC1B72" w:rsidRPr="00BE6A24" w:rsidRDefault="00EC1B72" w:rsidP="00B92B11">
      <w:pPr>
        <w:pStyle w:val="Paragraphedeliste"/>
        <w:numPr>
          <w:ilvl w:val="0"/>
          <w:numId w:val="100"/>
        </w:numPr>
        <w:spacing w:after="0" w:line="240" w:lineRule="auto"/>
        <w:jc w:val="both"/>
        <w:rPr>
          <w:rFonts w:ascii="Arial" w:hAnsi="Arial" w:cs="Arial"/>
        </w:rPr>
      </w:pPr>
      <w:r w:rsidRPr="00BE6A24">
        <w:rPr>
          <w:rFonts w:ascii="Arial" w:hAnsi="Arial" w:cs="Arial"/>
        </w:rPr>
        <w:t>Réformer les procédures des marchés publics ;</w:t>
      </w:r>
    </w:p>
    <w:p w:rsidR="00EC1B72" w:rsidRPr="00BE6A24" w:rsidRDefault="00EC1B72" w:rsidP="00B92B11">
      <w:pPr>
        <w:pStyle w:val="Paragraphedeliste"/>
        <w:numPr>
          <w:ilvl w:val="0"/>
          <w:numId w:val="100"/>
        </w:numPr>
        <w:spacing w:after="0" w:line="240" w:lineRule="auto"/>
        <w:jc w:val="both"/>
        <w:rPr>
          <w:rFonts w:ascii="Arial" w:hAnsi="Arial" w:cs="Arial"/>
        </w:rPr>
      </w:pPr>
      <w:r w:rsidRPr="00BE6A24">
        <w:rPr>
          <w:rFonts w:ascii="Arial" w:hAnsi="Arial" w:cs="Arial"/>
        </w:rPr>
        <w:t>Renforcer les partenariats Public/Privé et les pôles de développement ;</w:t>
      </w:r>
    </w:p>
    <w:p w:rsidR="00EC1B72" w:rsidRPr="00BE6A24" w:rsidRDefault="00EC1B72" w:rsidP="00B92B11">
      <w:pPr>
        <w:pStyle w:val="Paragraphedeliste"/>
        <w:numPr>
          <w:ilvl w:val="0"/>
          <w:numId w:val="100"/>
        </w:numPr>
        <w:spacing w:after="0" w:line="240" w:lineRule="auto"/>
        <w:jc w:val="both"/>
        <w:rPr>
          <w:rFonts w:ascii="Arial" w:hAnsi="Arial" w:cs="Arial"/>
        </w:rPr>
      </w:pPr>
      <w:r w:rsidRPr="00BE6A24">
        <w:rPr>
          <w:rFonts w:ascii="Arial" w:hAnsi="Arial" w:cs="Arial"/>
        </w:rPr>
        <w:t>Renforcer le dispositif sécuritaire indispensable à tout processus de développement.</w:t>
      </w:r>
    </w:p>
    <w:p w:rsidR="00EC1B72" w:rsidRPr="002B4C0A" w:rsidRDefault="00EC1B72" w:rsidP="00EC1B72">
      <w:pPr>
        <w:jc w:val="both"/>
        <w:rPr>
          <w:rFonts w:ascii="Arial" w:hAnsi="Arial" w:cs="Arial"/>
          <w:color w:val="0000CC"/>
        </w:rPr>
      </w:pPr>
    </w:p>
    <w:p w:rsidR="00EC1B72" w:rsidRPr="00BE6A24" w:rsidRDefault="00EC1B72" w:rsidP="00EC1B72">
      <w:pPr>
        <w:pStyle w:val="Pa3"/>
        <w:spacing w:line="240" w:lineRule="auto"/>
        <w:jc w:val="both"/>
        <w:rPr>
          <w:rFonts w:ascii="Arial" w:hAnsi="Arial" w:cs="Arial"/>
          <w:sz w:val="22"/>
          <w:szCs w:val="22"/>
          <w:lang w:eastAsia="en-US"/>
        </w:rPr>
      </w:pPr>
      <w:r w:rsidRPr="00BE6A24">
        <w:rPr>
          <w:rFonts w:ascii="Arial" w:hAnsi="Arial" w:cs="Arial"/>
          <w:sz w:val="22"/>
          <w:szCs w:val="22"/>
          <w:lang w:eastAsia="en-US"/>
        </w:rPr>
        <w:t>Deux leviers seront utilisés à cet effet. Le premier est la création d’un environnement favorable au développement industriel par le renforcement des secteurs d’appui à la production. Le deuxième est la relance d’un développement industriel, compétitif et durable, par la réalisation d’investissements structurants.</w:t>
      </w:r>
    </w:p>
    <w:p w:rsidR="00EC1B72" w:rsidRPr="000C524A" w:rsidRDefault="00EC1B72" w:rsidP="00EC1B72">
      <w:pPr>
        <w:jc w:val="both"/>
        <w:rPr>
          <w:rFonts w:ascii="Arial" w:hAnsi="Arial" w:cs="Arial"/>
        </w:rPr>
      </w:pPr>
    </w:p>
    <w:p w:rsidR="00EC1B72" w:rsidRPr="000C524A" w:rsidRDefault="00EC1B72" w:rsidP="00EC1B72">
      <w:pPr>
        <w:jc w:val="both"/>
        <w:rPr>
          <w:rFonts w:ascii="Arial" w:hAnsi="Arial" w:cs="Arial"/>
        </w:rPr>
      </w:pPr>
      <w:r w:rsidRPr="000C524A">
        <w:rPr>
          <w:rFonts w:ascii="Arial" w:hAnsi="Arial" w:cs="Arial"/>
        </w:rPr>
        <w:t xml:space="preserve">La forte adhésion des acteurs du développement nationaux et des partenaires techniques et financiers constitue un gage pour l’atteinte de ces objectifs. </w:t>
      </w:r>
    </w:p>
    <w:p w:rsidR="00EC1B72" w:rsidRPr="000C524A" w:rsidRDefault="00EC1B72" w:rsidP="00EC1B72">
      <w:pPr>
        <w:jc w:val="both"/>
        <w:rPr>
          <w:rFonts w:ascii="Arial" w:hAnsi="Arial" w:cs="Arial"/>
        </w:rPr>
      </w:pPr>
      <w:r w:rsidRPr="000C524A">
        <w:rPr>
          <w:rFonts w:ascii="Arial" w:hAnsi="Arial" w:cs="Arial"/>
        </w:rPr>
        <w:t>A cette adhésion, s’ajoutent les réformes stratégies et les investissements structurants à réaliser. Les réformes stratégiques sont celles, axées sur l’amélioration significative des taux d’investissements et l’orientation du système économique vers les activités innovantes opérant dans un environnement concurrentiel. Quant aux investissements structurants, ils visent la transformation structurelle de l’économie en s’appuyant sur des domaines prioritaires.</w:t>
      </w:r>
    </w:p>
    <w:p w:rsidR="00EC1B72" w:rsidRPr="000C524A" w:rsidRDefault="00EC1B72" w:rsidP="00EC1B72">
      <w:pPr>
        <w:jc w:val="both"/>
        <w:rPr>
          <w:rFonts w:ascii="Arial" w:hAnsi="Arial" w:cs="Arial"/>
        </w:rPr>
      </w:pPr>
      <w:r w:rsidRPr="000C524A">
        <w:rPr>
          <w:rFonts w:ascii="Arial" w:hAnsi="Arial" w:cs="Arial"/>
        </w:rPr>
        <w:t>D’ores et déjà, le Gouvernement a engagé un certain nombre de réformes structurelles, visant l’assainissement des finances publiques et l’amélioration de l’environnement des affaires pour attirer les investissements privés.</w:t>
      </w:r>
    </w:p>
    <w:p w:rsidR="00C554E8" w:rsidRPr="000C524A" w:rsidRDefault="00EC1B72" w:rsidP="00EC1B72">
      <w:pPr>
        <w:jc w:val="both"/>
        <w:rPr>
          <w:rFonts w:ascii="Arial" w:hAnsi="Arial" w:cs="Arial"/>
        </w:rPr>
      </w:pPr>
      <w:r w:rsidRPr="000C524A">
        <w:rPr>
          <w:rFonts w:ascii="Arial" w:hAnsi="Arial" w:cs="Arial"/>
        </w:rPr>
        <w:lastRenderedPageBreak/>
        <w:t>Une importance particulière est accordée à la mobilisation des ressources nécessaires au financement de l’économie. Dans ce cadre, il a été procédé entres autres à la rationalisation de la dépense publique dont la réduction du train de vie de l’Etat, l’élargissement de l’assiette fiscale pour accroître les recettes intérieures, la lutte contre la corruption par le renforcement institutionnel de l’Autorité supérieure de Contrôle d’Etat et de lutte contre la Corruption (ASCE-LC).</w:t>
      </w:r>
    </w:p>
    <w:p w:rsidR="00A6746A" w:rsidRPr="00BA488E" w:rsidRDefault="00EC1B72" w:rsidP="008D7758">
      <w:pPr>
        <w:pStyle w:val="Titre2"/>
        <w:numPr>
          <w:ilvl w:val="1"/>
          <w:numId w:val="113"/>
        </w:numPr>
        <w:ind w:left="1134"/>
        <w:rPr>
          <w:rFonts w:eastAsia="Times New Roman"/>
        </w:rPr>
      </w:pPr>
      <w:bookmarkStart w:id="626" w:name="_Toc492972233"/>
      <w:r w:rsidRPr="00A6746A">
        <w:rPr>
          <w:rFonts w:eastAsia="Times New Roman"/>
        </w:rPr>
        <w:t>Opérationnalisation du PNDES</w:t>
      </w:r>
      <w:bookmarkEnd w:id="626"/>
    </w:p>
    <w:p w:rsidR="00EC1B72" w:rsidRPr="00BA488E" w:rsidRDefault="00EC1B72" w:rsidP="008D7758">
      <w:pPr>
        <w:pStyle w:val="Titre3"/>
        <w:numPr>
          <w:ilvl w:val="0"/>
          <w:numId w:val="145"/>
        </w:numPr>
        <w:ind w:left="993"/>
      </w:pPr>
      <w:bookmarkStart w:id="627" w:name="_Toc492972234"/>
      <w:r w:rsidRPr="00BA488E">
        <w:t>Instruments de mise en œuvre</w:t>
      </w:r>
      <w:bookmarkEnd w:id="627"/>
      <w:r w:rsidRPr="00BA488E">
        <w:t xml:space="preserve"> </w:t>
      </w:r>
    </w:p>
    <w:p w:rsidR="00EC1B72" w:rsidRPr="002B4C0A" w:rsidRDefault="00EC1B72" w:rsidP="00EC1B72">
      <w:pPr>
        <w:pStyle w:val="Default"/>
        <w:ind w:left="720"/>
        <w:jc w:val="both"/>
        <w:rPr>
          <w:rFonts w:eastAsia="Times New Roman"/>
          <w:b/>
          <w:color w:val="auto"/>
          <w:sz w:val="22"/>
          <w:szCs w:val="22"/>
        </w:rPr>
      </w:pPr>
    </w:p>
    <w:p w:rsidR="00EC1B72" w:rsidRPr="005E4330" w:rsidRDefault="00EC1B72" w:rsidP="00EC1B72">
      <w:pPr>
        <w:jc w:val="both"/>
        <w:rPr>
          <w:rFonts w:ascii="Arial" w:hAnsi="Arial" w:cs="Arial"/>
        </w:rPr>
      </w:pPr>
      <w:r w:rsidRPr="005E4330">
        <w:rPr>
          <w:rFonts w:ascii="Arial" w:hAnsi="Arial" w:cs="Arial"/>
        </w:rPr>
        <w:t xml:space="preserve">Les instruments de mise en œuvre du PNDES sont : les politiques sectorielles, les plans locaux de développement (PLD), les pôles de croissance et de compétitivité, la matrice de réformes stratégiques et d'investissements structurants et la stratégie de communication </w:t>
      </w:r>
    </w:p>
    <w:p w:rsidR="00EC1B72" w:rsidRPr="005E4330" w:rsidRDefault="00EC1B72" w:rsidP="00B92B11">
      <w:pPr>
        <w:pStyle w:val="Paragraphedeliste"/>
        <w:numPr>
          <w:ilvl w:val="0"/>
          <w:numId w:val="99"/>
        </w:numPr>
        <w:spacing w:after="0" w:line="240" w:lineRule="auto"/>
        <w:jc w:val="both"/>
        <w:rPr>
          <w:rFonts w:ascii="Arial" w:hAnsi="Arial" w:cs="Arial"/>
        </w:rPr>
      </w:pPr>
      <w:r w:rsidRPr="005E4330">
        <w:rPr>
          <w:rFonts w:ascii="Arial" w:hAnsi="Arial" w:cs="Arial"/>
          <w:b/>
        </w:rPr>
        <w:t xml:space="preserve">les politiques sectorielles. </w:t>
      </w:r>
      <w:r w:rsidRPr="005E4330">
        <w:rPr>
          <w:rFonts w:ascii="Arial" w:hAnsi="Arial" w:cs="Arial"/>
        </w:rPr>
        <w:t>Chaque secteur de planification fera l'objet d'une politique sectorielle unique. Des stratégies, programmes et projets découleront de chaque politique sectorielle, en phase avec les orientations d'implantation du budget-programme de l'État. Les interventions annuelles des ministères et institutions donneront lieu à des plans d'action triennaux glissants et à des Plans de travail annuels (PTA) qui constitueront la matière première de l'élaboration des budgets des ministères et institutions. Les thématiques transversales seront également prises en charge par les stratégies, programmes ou projets sectoriels, afin qu'elles ne fassent plus l'objet de politiques (transversales, thématiques ou horizontales) à part entière.</w:t>
      </w:r>
    </w:p>
    <w:p w:rsidR="00EC1B72" w:rsidRPr="002B4C0A" w:rsidRDefault="00EC1B72" w:rsidP="00EC1B72">
      <w:pPr>
        <w:pStyle w:val="Paragraphedeliste"/>
        <w:jc w:val="both"/>
        <w:rPr>
          <w:rFonts w:ascii="Arial" w:hAnsi="Arial" w:cs="Arial"/>
          <w:color w:val="0000CC"/>
        </w:rPr>
      </w:pPr>
    </w:p>
    <w:p w:rsidR="00EC1B72" w:rsidRPr="005E4330" w:rsidRDefault="00EC1B72" w:rsidP="00B92B11">
      <w:pPr>
        <w:pStyle w:val="Paragraphedeliste"/>
        <w:numPr>
          <w:ilvl w:val="0"/>
          <w:numId w:val="99"/>
        </w:numPr>
        <w:spacing w:after="0" w:line="240" w:lineRule="auto"/>
        <w:jc w:val="both"/>
        <w:rPr>
          <w:rFonts w:ascii="Arial" w:hAnsi="Arial" w:cs="Arial"/>
        </w:rPr>
      </w:pPr>
      <w:r w:rsidRPr="005E4330">
        <w:rPr>
          <w:rFonts w:ascii="Arial" w:hAnsi="Arial" w:cs="Arial"/>
          <w:b/>
        </w:rPr>
        <w:t xml:space="preserve">les plans locaux de développement : </w:t>
      </w:r>
      <w:r w:rsidRPr="005E4330">
        <w:rPr>
          <w:rFonts w:ascii="Arial" w:hAnsi="Arial" w:cs="Arial"/>
        </w:rPr>
        <w:t xml:space="preserve">Au niveau local, le PNDES sera opérationnalisé par le biais des plans régionaux de développement (PRD) et </w:t>
      </w:r>
      <w:r>
        <w:rPr>
          <w:rFonts w:ascii="Arial" w:hAnsi="Arial" w:cs="Arial"/>
        </w:rPr>
        <w:t xml:space="preserve">des </w:t>
      </w:r>
      <w:r w:rsidRPr="005E4330">
        <w:rPr>
          <w:rFonts w:ascii="Arial" w:hAnsi="Arial" w:cs="Arial"/>
        </w:rPr>
        <w:t>plans communaux de développement (PCD) dont l'élaboration et la mise en œuvre seront axées sur les priorités locales de développement, en lien avec les domaines de compétence des collectivités territoriales et en cohérence avec les orientations du PNDES</w:t>
      </w:r>
      <w:r>
        <w:rPr>
          <w:rFonts w:ascii="Arial" w:hAnsi="Arial" w:cs="Arial"/>
        </w:rPr>
        <w:t>.</w:t>
      </w:r>
    </w:p>
    <w:p w:rsidR="00EC1B72" w:rsidRPr="002B4C0A" w:rsidRDefault="00EC1B72" w:rsidP="00EC1B72">
      <w:pPr>
        <w:jc w:val="both"/>
        <w:rPr>
          <w:rFonts w:ascii="Arial" w:hAnsi="Arial" w:cs="Arial"/>
          <w:color w:val="0000CC"/>
        </w:rPr>
      </w:pPr>
    </w:p>
    <w:p w:rsidR="00EC1B72" w:rsidRPr="00577A75" w:rsidRDefault="00EC1B72" w:rsidP="00B92B11">
      <w:pPr>
        <w:pStyle w:val="Paragraphedeliste"/>
        <w:numPr>
          <w:ilvl w:val="0"/>
          <w:numId w:val="99"/>
        </w:numPr>
        <w:spacing w:after="0" w:line="240" w:lineRule="auto"/>
        <w:jc w:val="both"/>
        <w:rPr>
          <w:rFonts w:ascii="Arial" w:hAnsi="Arial" w:cs="Arial"/>
        </w:rPr>
      </w:pPr>
      <w:r w:rsidRPr="00577A75">
        <w:rPr>
          <w:rFonts w:ascii="Arial" w:hAnsi="Arial" w:cs="Arial"/>
          <w:b/>
        </w:rPr>
        <w:t xml:space="preserve">les pôles de croissance et de compétitivité. </w:t>
      </w:r>
      <w:r w:rsidRPr="00577A75">
        <w:rPr>
          <w:rFonts w:ascii="Arial" w:hAnsi="Arial" w:cs="Arial"/>
        </w:rPr>
        <w:t>Les pôles de croissance et de compétitivité constituent des instruments transversaux participant à la valorisation des potentialités des secteurs socioéconomiques et régionales. Ils contribueront à : (i) pérenniser et à amplifier les acquis et les positions commerciales de la production nationale, (ii) créer de la valeur ajoutée et des emplois par l'accroissement de la compétitivité des entreprises et la valorisation des potentialités, (iii) structurer et mettre en réseau les écosystèmes économiques territoriaux, grâce à un maillage stratégique du territoire.</w:t>
      </w:r>
    </w:p>
    <w:p w:rsidR="00EC1B72" w:rsidRPr="002B4C0A" w:rsidRDefault="00EC1B72" w:rsidP="00EC1B72">
      <w:pPr>
        <w:pStyle w:val="Paragraphedeliste"/>
        <w:jc w:val="both"/>
        <w:rPr>
          <w:rFonts w:ascii="Arial" w:hAnsi="Arial" w:cs="Arial"/>
          <w:color w:val="0000CC"/>
        </w:rPr>
      </w:pPr>
    </w:p>
    <w:p w:rsidR="00EC1B72" w:rsidRPr="00577A75" w:rsidRDefault="00EC1B72" w:rsidP="00B92B11">
      <w:pPr>
        <w:pStyle w:val="Paragraphedeliste"/>
        <w:numPr>
          <w:ilvl w:val="0"/>
          <w:numId w:val="99"/>
        </w:numPr>
        <w:spacing w:after="0" w:line="240" w:lineRule="auto"/>
        <w:jc w:val="both"/>
        <w:rPr>
          <w:rFonts w:ascii="Arial" w:hAnsi="Arial" w:cs="Arial"/>
        </w:rPr>
      </w:pPr>
      <w:r w:rsidRPr="00577A75">
        <w:rPr>
          <w:rFonts w:ascii="Arial" w:hAnsi="Arial" w:cs="Arial"/>
          <w:b/>
        </w:rPr>
        <w:t xml:space="preserve">la matrice de réformes stratégiques et d'investissements structurants. </w:t>
      </w:r>
      <w:r w:rsidRPr="00577A75">
        <w:rPr>
          <w:rFonts w:ascii="Arial" w:hAnsi="Arial" w:cs="Arial"/>
        </w:rPr>
        <w:t>Une matrice de réformes stratégiques et d'investissements structurants a été élaborée à partir des réformes et investissements dont la réalisation pleine et entière, dans les temps prévus, est susceptible d'influencer fortement l'atteinte des objectifs stratégiques du PNDES. Les critères de détermination des réformes stratégiques et investissements structurants seront définis en tenant compte des orientations du programme présidentiel, de la Déclaration de politique générale du Premier ministre, des réformes et investissements sectoriels portés par les référentiels sectoriels, du Programme d'investissements publics (PIP) et des projets entrant dans le cadre du PPP.</w:t>
      </w:r>
    </w:p>
    <w:p w:rsidR="00EC1B72" w:rsidRPr="002B4C0A" w:rsidRDefault="00EC1B72" w:rsidP="00EC1B72">
      <w:pPr>
        <w:pStyle w:val="Paragraphedeliste"/>
        <w:ind w:left="360"/>
        <w:jc w:val="both"/>
        <w:rPr>
          <w:rFonts w:ascii="Arial" w:hAnsi="Arial" w:cs="Arial"/>
          <w:color w:val="0000CC"/>
        </w:rPr>
      </w:pPr>
    </w:p>
    <w:p w:rsidR="000E6F30" w:rsidRPr="00BA488E" w:rsidRDefault="00EC1B72" w:rsidP="00B92B11">
      <w:pPr>
        <w:pStyle w:val="Paragraphedeliste"/>
        <w:numPr>
          <w:ilvl w:val="0"/>
          <w:numId w:val="99"/>
        </w:numPr>
        <w:spacing w:after="0" w:line="240" w:lineRule="auto"/>
        <w:jc w:val="both"/>
        <w:rPr>
          <w:rFonts w:ascii="Arial" w:hAnsi="Arial" w:cs="Arial"/>
        </w:rPr>
      </w:pPr>
      <w:r w:rsidRPr="00577A75">
        <w:rPr>
          <w:rFonts w:ascii="Arial" w:hAnsi="Arial" w:cs="Arial"/>
          <w:b/>
        </w:rPr>
        <w:t xml:space="preserve">la stratégie de communication. </w:t>
      </w:r>
      <w:r w:rsidRPr="00577A75">
        <w:rPr>
          <w:rFonts w:ascii="Arial" w:hAnsi="Arial" w:cs="Arial"/>
        </w:rPr>
        <w:t>Elle vise à renforcer la visibilité du PNDES et son appropriation par tous les acteurs du développement national et international. Elle accorde une place primordiale à la communication de masse notamment, par l'utilisation des langues nationales et des TIC.</w:t>
      </w:r>
    </w:p>
    <w:p w:rsidR="00EC1B72" w:rsidRPr="00BA488E" w:rsidRDefault="00EC1B72" w:rsidP="008D7758">
      <w:pPr>
        <w:pStyle w:val="Titre3"/>
        <w:numPr>
          <w:ilvl w:val="0"/>
          <w:numId w:val="145"/>
        </w:numPr>
        <w:ind w:left="993"/>
      </w:pPr>
      <w:bookmarkStart w:id="628" w:name="_Toc492972235"/>
      <w:r w:rsidRPr="00BA488E">
        <w:lastRenderedPageBreak/>
        <w:t>Acteurs de la mise en œuvre</w:t>
      </w:r>
      <w:bookmarkEnd w:id="628"/>
    </w:p>
    <w:p w:rsidR="00EC1B72" w:rsidRPr="00577A75" w:rsidRDefault="00EC1B72" w:rsidP="00EC1B72">
      <w:pPr>
        <w:jc w:val="both"/>
        <w:rPr>
          <w:rFonts w:ascii="Arial" w:hAnsi="Arial" w:cs="Arial"/>
        </w:rPr>
      </w:pPr>
      <w:r w:rsidRPr="00577A75">
        <w:rPr>
          <w:rFonts w:ascii="Arial" w:hAnsi="Arial" w:cs="Arial"/>
        </w:rPr>
        <w:t>Les acteurs de mise en œuvre du PNDES sont : L’État, les collectivités territoriales, le secteur privé, la Société civile, les Partenaires techniques et financiers et les Burkinabè de l'extérieur.</w:t>
      </w:r>
    </w:p>
    <w:p w:rsidR="00EC1B72" w:rsidRPr="00BA488E" w:rsidRDefault="00EC1B72" w:rsidP="00B92B11">
      <w:pPr>
        <w:pStyle w:val="Paragraphedeliste"/>
        <w:numPr>
          <w:ilvl w:val="0"/>
          <w:numId w:val="99"/>
        </w:numPr>
        <w:spacing w:after="120" w:line="240" w:lineRule="auto"/>
        <w:ind w:left="357" w:hanging="357"/>
        <w:contextualSpacing w:val="0"/>
        <w:jc w:val="both"/>
        <w:rPr>
          <w:rFonts w:ascii="Arial" w:hAnsi="Arial" w:cs="Arial"/>
        </w:rPr>
      </w:pPr>
      <w:r w:rsidRPr="00577A75">
        <w:rPr>
          <w:rFonts w:ascii="Arial" w:hAnsi="Arial" w:cs="Arial"/>
          <w:b/>
        </w:rPr>
        <w:t xml:space="preserve">L’État </w:t>
      </w:r>
      <w:r w:rsidRPr="00577A75">
        <w:rPr>
          <w:rFonts w:ascii="Arial" w:hAnsi="Arial" w:cs="Arial"/>
        </w:rPr>
        <w:t>assumera ses fonctions régaliennes, lesquelles portent essentiellement, sur la création des conditions favorables aux activités des acteurs publics et privés notamment l'élaboration ou l'actualisation des politiques sectorielles, la réalisation de la cohérence des instruments de planification sectorielle et spatiale, l'organisation de la concertation des différents acteurs, la création d'un environnement favorable et la mobilisation des ressources (financières, matérielles et humaines).</w:t>
      </w:r>
    </w:p>
    <w:p w:rsidR="00EC1B72" w:rsidRPr="000F3381" w:rsidRDefault="00EC1B72" w:rsidP="00B92B11">
      <w:pPr>
        <w:pStyle w:val="Paragraphedeliste"/>
        <w:numPr>
          <w:ilvl w:val="0"/>
          <w:numId w:val="99"/>
        </w:numPr>
        <w:spacing w:after="120" w:line="240" w:lineRule="auto"/>
        <w:ind w:left="357" w:hanging="357"/>
        <w:contextualSpacing w:val="0"/>
        <w:jc w:val="both"/>
        <w:rPr>
          <w:rFonts w:ascii="Arial" w:hAnsi="Arial" w:cs="Arial"/>
        </w:rPr>
      </w:pPr>
      <w:r w:rsidRPr="000F3381">
        <w:rPr>
          <w:rFonts w:ascii="Arial" w:hAnsi="Arial" w:cs="Arial"/>
          <w:b/>
        </w:rPr>
        <w:t>Les Collectivités territoriales</w:t>
      </w:r>
      <w:r w:rsidRPr="000F3381">
        <w:rPr>
          <w:rFonts w:ascii="Arial" w:hAnsi="Arial" w:cs="Arial"/>
        </w:rPr>
        <w:t xml:space="preserve"> participeront à l'élaboration et à la mise en œuvre des PLD, l'animation des cadres de concertation locaux avec les différents acteurs, la participation au processus de suivi et d'évaluation ainsi que la promotion de la culture de la responsabilité citoyenne dans la gestion des affaires locales.</w:t>
      </w:r>
    </w:p>
    <w:p w:rsidR="00EC1B72" w:rsidRPr="000F3381" w:rsidRDefault="00EC1B72" w:rsidP="00B92B11">
      <w:pPr>
        <w:pStyle w:val="Paragraphedeliste"/>
        <w:numPr>
          <w:ilvl w:val="0"/>
          <w:numId w:val="99"/>
        </w:numPr>
        <w:spacing w:after="120" w:line="240" w:lineRule="auto"/>
        <w:ind w:left="357" w:hanging="357"/>
        <w:contextualSpacing w:val="0"/>
        <w:jc w:val="both"/>
        <w:rPr>
          <w:rFonts w:ascii="Arial" w:hAnsi="Arial" w:cs="Arial"/>
        </w:rPr>
      </w:pPr>
      <w:r w:rsidRPr="000F3381">
        <w:rPr>
          <w:rFonts w:ascii="Arial" w:hAnsi="Arial" w:cs="Arial"/>
          <w:b/>
        </w:rPr>
        <w:t>Le Secteur privé</w:t>
      </w:r>
      <w:r w:rsidRPr="000F3381">
        <w:rPr>
          <w:rFonts w:ascii="Arial" w:hAnsi="Arial" w:cs="Arial"/>
        </w:rPr>
        <w:t xml:space="preserve"> jouera un rôle prépondérant dans la production, la transformation, la commercialisation des produits nationaux et la création d'emplois. Il participera aux cadres de concertation, au suivi et à l'évaluation de la mise en œuvre du PNDES. Par le biais du PPP, il cofinancera avec l’Etat la réalisation de certains investissements structurants.</w:t>
      </w:r>
    </w:p>
    <w:p w:rsidR="00EC1B72" w:rsidRPr="000F3381" w:rsidRDefault="00EC1B72" w:rsidP="00B92B11">
      <w:pPr>
        <w:pStyle w:val="Paragraphedeliste"/>
        <w:numPr>
          <w:ilvl w:val="0"/>
          <w:numId w:val="99"/>
        </w:numPr>
        <w:spacing w:after="120" w:line="240" w:lineRule="auto"/>
        <w:ind w:left="357" w:hanging="357"/>
        <w:contextualSpacing w:val="0"/>
        <w:jc w:val="both"/>
        <w:rPr>
          <w:rFonts w:ascii="Arial" w:hAnsi="Arial" w:cs="Arial"/>
        </w:rPr>
      </w:pPr>
      <w:r w:rsidRPr="000F3381">
        <w:rPr>
          <w:rFonts w:ascii="Arial" w:hAnsi="Arial" w:cs="Arial"/>
          <w:b/>
        </w:rPr>
        <w:t>La Société civile</w:t>
      </w:r>
      <w:r w:rsidRPr="000F3381">
        <w:rPr>
          <w:rFonts w:ascii="Arial" w:hAnsi="Arial" w:cs="Arial"/>
        </w:rPr>
        <w:t xml:space="preserve"> participera à l'élaboration et à la mise en œuvre des référentiels sectoriels et locaux de planification, au financement et à l'exécution des projets et programmes, à la formation et à l'appui-conseil des différents acteurs, aux cadres de concertation, au suivi et à l'évaluation de la mise en œuvre du PNDES.</w:t>
      </w:r>
    </w:p>
    <w:p w:rsidR="00EC1B72" w:rsidRPr="000F3381" w:rsidRDefault="00EC1B72" w:rsidP="00B92B11">
      <w:pPr>
        <w:pStyle w:val="Paragraphedeliste"/>
        <w:numPr>
          <w:ilvl w:val="0"/>
          <w:numId w:val="99"/>
        </w:numPr>
        <w:spacing w:after="120" w:line="240" w:lineRule="auto"/>
        <w:ind w:left="357" w:hanging="357"/>
        <w:contextualSpacing w:val="0"/>
        <w:jc w:val="both"/>
        <w:rPr>
          <w:rFonts w:ascii="Arial" w:hAnsi="Arial" w:cs="Arial"/>
        </w:rPr>
      </w:pPr>
      <w:r w:rsidRPr="000F3381">
        <w:rPr>
          <w:rFonts w:ascii="Arial" w:hAnsi="Arial" w:cs="Arial"/>
          <w:b/>
        </w:rPr>
        <w:t>Les Partenaires techniques et financiers</w:t>
      </w:r>
      <w:r w:rsidRPr="000F3381">
        <w:rPr>
          <w:rFonts w:ascii="Arial" w:hAnsi="Arial" w:cs="Arial"/>
        </w:rPr>
        <w:t xml:space="preserve"> participeront aux cadres de concertation, appuieront l'élaboration et à la mise en œuvre des référentiels sectoriels et locaux de planification, ainsi que le renforcement des capacités institutionnelles et opérationnelles. Outre leur participation au suivi et à l'évaluation de la mise en œuvre du PNDES, les PTF auront un rôle important dans la mobilisation des ressources nécessaires à sa mise en œuvre.</w:t>
      </w:r>
    </w:p>
    <w:p w:rsidR="00EC1B72" w:rsidRPr="000F3381" w:rsidRDefault="00EC1B72" w:rsidP="00B92B11">
      <w:pPr>
        <w:pStyle w:val="Paragraphedeliste"/>
        <w:numPr>
          <w:ilvl w:val="0"/>
          <w:numId w:val="99"/>
        </w:numPr>
        <w:spacing w:after="120" w:line="240" w:lineRule="auto"/>
        <w:ind w:left="357" w:hanging="357"/>
        <w:contextualSpacing w:val="0"/>
        <w:jc w:val="both"/>
        <w:rPr>
          <w:rFonts w:ascii="Arial" w:hAnsi="Arial" w:cs="Arial"/>
        </w:rPr>
      </w:pPr>
      <w:r w:rsidRPr="000F3381">
        <w:rPr>
          <w:rFonts w:ascii="Arial" w:hAnsi="Arial" w:cs="Arial"/>
          <w:b/>
        </w:rPr>
        <w:t>Les Burkinabè de l'extérieur</w:t>
      </w:r>
      <w:r w:rsidRPr="000F3381">
        <w:rPr>
          <w:rFonts w:ascii="Arial" w:hAnsi="Arial" w:cs="Arial"/>
        </w:rPr>
        <w:t xml:space="preserve"> seront appelés à mettre à profit leur savoir-faire capitalisé dans leur pays de résidence. Ils auront une contribution importante à apporter à la mobilisation des ressources et des compétences, par la proposition de solutions innovantes aux préoccupations des populations. Ils seront également sollicités pour participer à la réalisation des investissements structurants, au renforcement de l'entreprenariat et de l'innovation, surtout dans le domaine des TIC.</w:t>
      </w:r>
    </w:p>
    <w:p w:rsidR="00EC1B72" w:rsidRPr="000F3381" w:rsidRDefault="00EC1B72" w:rsidP="008D7758">
      <w:pPr>
        <w:pStyle w:val="Titre3"/>
        <w:numPr>
          <w:ilvl w:val="0"/>
          <w:numId w:val="145"/>
        </w:numPr>
        <w:ind w:left="993"/>
      </w:pPr>
      <w:bookmarkStart w:id="629" w:name="_Toc492972236"/>
      <w:r w:rsidRPr="000F3381">
        <w:t>Cadre organisationnel de suivi</w:t>
      </w:r>
      <w:bookmarkEnd w:id="629"/>
    </w:p>
    <w:p w:rsidR="00EC1B72" w:rsidRPr="00734366" w:rsidRDefault="00EC1B72" w:rsidP="00EC1B72">
      <w:pPr>
        <w:rPr>
          <w:rFonts w:ascii="Arial" w:hAnsi="Arial" w:cs="Arial"/>
        </w:rPr>
      </w:pPr>
      <w:r w:rsidRPr="00734366">
        <w:rPr>
          <w:rFonts w:ascii="Arial" w:hAnsi="Arial" w:cs="Arial"/>
        </w:rPr>
        <w:t>Le cadre organisationnel comprend des organes, des instances, des outils et des indicateurs de suivi.</w:t>
      </w:r>
    </w:p>
    <w:p w:rsidR="00C107B9" w:rsidRDefault="00EC1B72" w:rsidP="00EC1B72">
      <w:pPr>
        <w:rPr>
          <w:rFonts w:ascii="Arial" w:hAnsi="Arial" w:cs="Arial"/>
        </w:rPr>
      </w:pPr>
      <w:r w:rsidRPr="00734366">
        <w:rPr>
          <w:rFonts w:ascii="Arial" w:hAnsi="Arial" w:cs="Arial"/>
          <w:b/>
        </w:rPr>
        <w:t xml:space="preserve">Les organes </w:t>
      </w:r>
      <w:r w:rsidRPr="00734366">
        <w:rPr>
          <w:rFonts w:ascii="Arial" w:hAnsi="Arial" w:cs="Arial"/>
        </w:rPr>
        <w:t>sont : le Comité national de pilotage du PNDES (CNP/PNDES), le Secrétariat permanent du PNDES (SP/PNDES), les Cadres sectoriels de dialogue (CSD) et les Cadres régionaux de dialogue (CRD).</w:t>
      </w:r>
    </w:p>
    <w:p w:rsidR="00EC1B72" w:rsidRPr="00734366" w:rsidRDefault="00EC1B72" w:rsidP="00EC1B72">
      <w:pPr>
        <w:rPr>
          <w:rFonts w:ascii="Arial" w:hAnsi="Arial" w:cs="Arial"/>
          <w:i/>
        </w:rPr>
      </w:pPr>
      <w:r w:rsidRPr="00734366">
        <w:rPr>
          <w:rFonts w:ascii="Arial" w:hAnsi="Arial" w:cs="Arial"/>
        </w:rPr>
        <w:t xml:space="preserve"> </w:t>
      </w:r>
      <w:r w:rsidRPr="00734366">
        <w:rPr>
          <w:rFonts w:ascii="Arial" w:hAnsi="Arial" w:cs="Arial"/>
          <w:b/>
        </w:rPr>
        <w:t xml:space="preserve">Les instances </w:t>
      </w:r>
      <w:r w:rsidRPr="00734366">
        <w:rPr>
          <w:rFonts w:ascii="Arial" w:hAnsi="Arial" w:cs="Arial"/>
        </w:rPr>
        <w:t>sont les revues sectorielles, les revues régionales et la revue annuelle</w:t>
      </w:r>
      <w:r w:rsidRPr="00734366">
        <w:rPr>
          <w:rFonts w:ascii="Arial" w:hAnsi="Arial" w:cs="Arial"/>
          <w:i/>
        </w:rPr>
        <w:t>.</w:t>
      </w:r>
    </w:p>
    <w:p w:rsidR="00EC1B72" w:rsidRPr="00734366" w:rsidRDefault="00EC1B72" w:rsidP="00EC1B72">
      <w:pPr>
        <w:jc w:val="both"/>
        <w:rPr>
          <w:rFonts w:ascii="Arial" w:hAnsi="Arial" w:cs="Arial"/>
        </w:rPr>
      </w:pPr>
      <w:r w:rsidRPr="00734366">
        <w:rPr>
          <w:rFonts w:ascii="Arial" w:hAnsi="Arial" w:cs="Arial"/>
          <w:b/>
        </w:rPr>
        <w:t>Les outils de suivi</w:t>
      </w:r>
      <w:r w:rsidRPr="00734366">
        <w:rPr>
          <w:rFonts w:ascii="Arial" w:hAnsi="Arial" w:cs="Arial"/>
        </w:rPr>
        <w:t xml:space="preserve"> suivants seront développés sous la responsabilité du SP/PNDES : </w:t>
      </w:r>
    </w:p>
    <w:p w:rsidR="00EC1B72" w:rsidRPr="00734366" w:rsidRDefault="00EC1B72" w:rsidP="00B92B11">
      <w:pPr>
        <w:pStyle w:val="Paragraphedeliste"/>
        <w:numPr>
          <w:ilvl w:val="0"/>
          <w:numId w:val="99"/>
        </w:numPr>
        <w:spacing w:after="0" w:line="240" w:lineRule="auto"/>
        <w:jc w:val="both"/>
        <w:rPr>
          <w:rFonts w:ascii="Arial" w:hAnsi="Arial" w:cs="Arial"/>
        </w:rPr>
      </w:pPr>
      <w:r w:rsidRPr="00734366">
        <w:rPr>
          <w:rFonts w:ascii="Arial" w:hAnsi="Arial" w:cs="Arial"/>
        </w:rPr>
        <w:t xml:space="preserve">un cadre de mesure de la performance globale, </w:t>
      </w:r>
    </w:p>
    <w:p w:rsidR="00EC1B72" w:rsidRPr="00734366" w:rsidRDefault="00EC1B72" w:rsidP="00B92B11">
      <w:pPr>
        <w:pStyle w:val="Paragraphedeliste"/>
        <w:numPr>
          <w:ilvl w:val="0"/>
          <w:numId w:val="99"/>
        </w:numPr>
        <w:spacing w:after="0" w:line="240" w:lineRule="auto"/>
        <w:jc w:val="both"/>
        <w:rPr>
          <w:rFonts w:ascii="Arial" w:hAnsi="Arial" w:cs="Arial"/>
        </w:rPr>
      </w:pPr>
      <w:r w:rsidRPr="00734366">
        <w:rPr>
          <w:rFonts w:ascii="Arial" w:hAnsi="Arial" w:cs="Arial"/>
        </w:rPr>
        <w:t xml:space="preserve">des cadres logiques sectoriels et régionaux, </w:t>
      </w:r>
    </w:p>
    <w:p w:rsidR="00EC1B72" w:rsidRPr="00734366" w:rsidRDefault="00EC1B72" w:rsidP="00B92B11">
      <w:pPr>
        <w:pStyle w:val="Paragraphedeliste"/>
        <w:numPr>
          <w:ilvl w:val="0"/>
          <w:numId w:val="99"/>
        </w:numPr>
        <w:spacing w:after="0" w:line="240" w:lineRule="auto"/>
        <w:jc w:val="both"/>
        <w:rPr>
          <w:rFonts w:ascii="Arial" w:hAnsi="Arial" w:cs="Arial"/>
        </w:rPr>
      </w:pPr>
      <w:r w:rsidRPr="00734366">
        <w:rPr>
          <w:rFonts w:ascii="Arial" w:hAnsi="Arial" w:cs="Arial"/>
        </w:rPr>
        <w:t xml:space="preserve">des plans de travail annuels (PTA) ministériels, </w:t>
      </w:r>
    </w:p>
    <w:p w:rsidR="00EC1B72" w:rsidRPr="00734366" w:rsidRDefault="00EC1B72" w:rsidP="00B92B11">
      <w:pPr>
        <w:pStyle w:val="Paragraphedeliste"/>
        <w:numPr>
          <w:ilvl w:val="0"/>
          <w:numId w:val="99"/>
        </w:numPr>
        <w:spacing w:after="0" w:line="240" w:lineRule="auto"/>
        <w:jc w:val="both"/>
        <w:rPr>
          <w:rFonts w:ascii="Arial" w:hAnsi="Arial" w:cs="Arial"/>
        </w:rPr>
      </w:pPr>
      <w:r w:rsidRPr="00734366">
        <w:rPr>
          <w:rFonts w:ascii="Arial" w:hAnsi="Arial" w:cs="Arial"/>
        </w:rPr>
        <w:t xml:space="preserve">un cadre de suivi des réformes stratégiques et des investissements structurants, </w:t>
      </w:r>
    </w:p>
    <w:p w:rsidR="00EC1B72" w:rsidRPr="00734366" w:rsidRDefault="00EC1B72" w:rsidP="00B92B11">
      <w:pPr>
        <w:pStyle w:val="Paragraphedeliste"/>
        <w:numPr>
          <w:ilvl w:val="0"/>
          <w:numId w:val="99"/>
        </w:numPr>
        <w:spacing w:after="0" w:line="240" w:lineRule="auto"/>
        <w:jc w:val="both"/>
        <w:rPr>
          <w:rFonts w:ascii="Arial" w:hAnsi="Arial" w:cs="Arial"/>
        </w:rPr>
      </w:pPr>
      <w:r w:rsidRPr="00734366">
        <w:rPr>
          <w:rFonts w:ascii="Arial" w:hAnsi="Arial" w:cs="Arial"/>
        </w:rPr>
        <w:t xml:space="preserve">un outil web permettant la visualisation instantanée de l’évolution des indicateurs, </w:t>
      </w:r>
    </w:p>
    <w:p w:rsidR="00EC1B72" w:rsidRPr="00734366" w:rsidRDefault="00EC1B72" w:rsidP="00B92B11">
      <w:pPr>
        <w:pStyle w:val="Paragraphedeliste"/>
        <w:numPr>
          <w:ilvl w:val="0"/>
          <w:numId w:val="99"/>
        </w:numPr>
        <w:spacing w:after="120" w:line="240" w:lineRule="auto"/>
        <w:ind w:left="357" w:hanging="357"/>
        <w:contextualSpacing w:val="0"/>
        <w:jc w:val="both"/>
        <w:rPr>
          <w:rFonts w:ascii="Arial" w:hAnsi="Arial" w:cs="Arial"/>
        </w:rPr>
      </w:pPr>
      <w:r w:rsidRPr="00734366">
        <w:rPr>
          <w:rFonts w:ascii="Arial" w:hAnsi="Arial" w:cs="Arial"/>
        </w:rPr>
        <w:lastRenderedPageBreak/>
        <w:t xml:space="preserve">des rapports trimestriels, semestriels et annuels, globaux, sectoriels et régionaux. </w:t>
      </w:r>
    </w:p>
    <w:p w:rsidR="00EC1B72" w:rsidRPr="00734366" w:rsidRDefault="00EC1B72" w:rsidP="00EC1B72">
      <w:pPr>
        <w:jc w:val="both"/>
        <w:rPr>
          <w:rFonts w:ascii="Arial" w:hAnsi="Arial" w:cs="Arial"/>
        </w:rPr>
      </w:pPr>
      <w:r w:rsidRPr="00734366">
        <w:rPr>
          <w:rFonts w:ascii="Arial" w:hAnsi="Arial" w:cs="Arial"/>
          <w:b/>
        </w:rPr>
        <w:t>Les types d’indicateurs</w:t>
      </w:r>
      <w:r w:rsidRPr="00734366">
        <w:rPr>
          <w:rFonts w:ascii="Arial" w:hAnsi="Arial" w:cs="Arial"/>
        </w:rPr>
        <w:t xml:space="preserve"> retenus pour le suivi et l’évaluation du PNDES sont des indicateurs de produits, d’effets et d’impacts.</w:t>
      </w:r>
    </w:p>
    <w:p w:rsidR="00EC1B72" w:rsidRPr="002B4C0A" w:rsidRDefault="00EC1B72" w:rsidP="00EC1B72">
      <w:pPr>
        <w:rPr>
          <w:rFonts w:ascii="Arial" w:hAnsi="Arial" w:cs="Arial"/>
          <w:b/>
        </w:rPr>
      </w:pPr>
    </w:p>
    <w:p w:rsidR="00EC1B72" w:rsidRDefault="00EC1B72" w:rsidP="00EC1B72">
      <w:pPr>
        <w:spacing w:after="160" w:line="259" w:lineRule="auto"/>
        <w:rPr>
          <w:rFonts w:ascii="Arial" w:hAnsi="Arial" w:cs="Arial"/>
          <w:b/>
          <w:color w:val="FF0000"/>
        </w:rPr>
      </w:pPr>
      <w:r>
        <w:rPr>
          <w:rFonts w:ascii="Arial" w:hAnsi="Arial" w:cs="Arial"/>
          <w:b/>
          <w:color w:val="FF0000"/>
        </w:rPr>
        <w:br w:type="page"/>
      </w:r>
    </w:p>
    <w:p w:rsidR="00EC1B72" w:rsidRPr="009016A3" w:rsidRDefault="00EC1B72" w:rsidP="009016A3">
      <w:pPr>
        <w:pStyle w:val="Titre1"/>
        <w:jc w:val="center"/>
        <w:rPr>
          <w:lang w:eastAsia="fr-FR"/>
        </w:rPr>
      </w:pPr>
      <w:bookmarkStart w:id="630" w:name="_Toc492972237"/>
      <w:r w:rsidRPr="009016A3">
        <w:rPr>
          <w:lang w:eastAsia="fr-FR"/>
        </w:rPr>
        <w:lastRenderedPageBreak/>
        <w:t>Chapitre 2 : Défis de la mobilisation des ressources pour la mise en œuvre du PNDES</w:t>
      </w:r>
      <w:bookmarkEnd w:id="630"/>
    </w:p>
    <w:p w:rsidR="00EC1B72" w:rsidRPr="00702046" w:rsidRDefault="00EC1B72" w:rsidP="00EC1B72">
      <w:pPr>
        <w:spacing w:before="120" w:after="120"/>
        <w:jc w:val="both"/>
        <w:rPr>
          <w:rFonts w:ascii="Arial" w:hAnsi="Arial" w:cs="Arial"/>
        </w:rPr>
      </w:pPr>
      <w:r w:rsidRPr="00702046">
        <w:rPr>
          <w:rFonts w:ascii="Arial" w:hAnsi="Arial" w:cs="Arial"/>
        </w:rPr>
        <w:t xml:space="preserve">Pour le financement du PNDES, la stratégie retenue repose sur une approche multi partenariale qui associe les acteurs tant publics que privés. Il sera financé à hauteur de 9 825,2 milliards de FCFA (63,8%) par les ressources propres du budget de l’État. Le besoin de financement à rechercher est de 5 570,2 milliards de FCFA, soit 36,2% du coût total du plan. Ce besoin sera couvert par la mobilisation de l'épargne nationale et sous régionale, y compris celle des Burkinabè de l'extérieur, les émissions de titres publics (emprunts obligataires), les contributions des partenaires techniques et financiers et par le mécanisme du Partenariat public-privé (PPP). </w:t>
      </w:r>
    </w:p>
    <w:p w:rsidR="00EC1B72" w:rsidRPr="002B4C0A" w:rsidRDefault="00EC1B72" w:rsidP="008D7758">
      <w:pPr>
        <w:pStyle w:val="Titre2"/>
        <w:numPr>
          <w:ilvl w:val="0"/>
          <w:numId w:val="114"/>
        </w:numPr>
        <w:tabs>
          <w:tab w:val="left" w:pos="1134"/>
        </w:tabs>
      </w:pPr>
      <w:bookmarkStart w:id="631" w:name="_Toc492972238"/>
      <w:r w:rsidRPr="002B4C0A">
        <w:t>Mobilisation des ressources internes</w:t>
      </w:r>
      <w:bookmarkEnd w:id="631"/>
    </w:p>
    <w:p w:rsidR="00EC1B72" w:rsidRPr="00702046" w:rsidRDefault="00EC1B72" w:rsidP="00EC1B72">
      <w:pPr>
        <w:spacing w:before="120" w:after="120"/>
        <w:jc w:val="both"/>
        <w:rPr>
          <w:rFonts w:ascii="Arial" w:hAnsi="Arial" w:cs="Arial"/>
        </w:rPr>
      </w:pPr>
      <w:r w:rsidRPr="00702046">
        <w:rPr>
          <w:rFonts w:ascii="Arial" w:hAnsi="Arial" w:cs="Arial"/>
        </w:rPr>
        <w:t xml:space="preserve">Le schéma de mobilisation des ressources internes repose sur les régies de recettes en ce qui concerne les ressources propres et le recours aux obligations à travers l’épargne régionale. Les ressources propres comprennent les recettes fiscales, les recettes non fiscales et les recettes en capital. </w:t>
      </w:r>
    </w:p>
    <w:p w:rsidR="00EC1B72" w:rsidRPr="002B4C0A" w:rsidRDefault="00EC1B72" w:rsidP="00C47A9B">
      <w:pPr>
        <w:pStyle w:val="Titre3"/>
        <w:tabs>
          <w:tab w:val="left" w:pos="1134"/>
        </w:tabs>
        <w:ind w:left="1134" w:hanging="567"/>
      </w:pPr>
      <w:bookmarkStart w:id="632" w:name="_Toc492972239"/>
      <w:r w:rsidRPr="002B4C0A">
        <w:t>2.1.1.</w:t>
      </w:r>
      <w:r w:rsidRPr="002B4C0A">
        <w:tab/>
        <w:t>Situation des ressources propres</w:t>
      </w:r>
      <w:bookmarkEnd w:id="632"/>
      <w:r w:rsidRPr="002B4C0A">
        <w:t xml:space="preserve"> </w:t>
      </w:r>
    </w:p>
    <w:p w:rsidR="00EC1B72" w:rsidRPr="00524458" w:rsidRDefault="00EC1B72" w:rsidP="00EC1B72">
      <w:pPr>
        <w:spacing w:before="120" w:after="120"/>
        <w:jc w:val="both"/>
        <w:rPr>
          <w:rFonts w:ascii="Arial" w:hAnsi="Arial" w:cs="Arial"/>
        </w:rPr>
      </w:pPr>
      <w:r w:rsidRPr="00524458">
        <w:rPr>
          <w:rFonts w:ascii="Arial" w:hAnsi="Arial" w:cs="Arial"/>
        </w:rPr>
        <w:t>Le niveau des ressources propres mobilisées a connu un accroissement en 2016, passant de 1047,99 milliards de FCFA à 1 230,51 milliards de FCFA, sur une prévision annuelle de 1 283,90 milliards de FCFA, soit un taux de réalisation de 95,84%. Ce montant se compose essentiellement de 87,39% de recettes fiscales (soit 1 075,39 milliards de FCFA) et 12,60% de recettes non fiscales (soit 155,09 milliards de FCFA), les recettes en capital ne représentant que 0,01% (soit 30,00 millions de FCFA).</w:t>
      </w:r>
    </w:p>
    <w:p w:rsidR="00EC1B72" w:rsidRPr="003B6733" w:rsidRDefault="00EC1B72" w:rsidP="00EC1B72">
      <w:pPr>
        <w:spacing w:before="120" w:after="120"/>
        <w:jc w:val="both"/>
        <w:rPr>
          <w:rFonts w:ascii="Arial" w:hAnsi="Arial" w:cs="Arial"/>
        </w:rPr>
      </w:pPr>
      <w:r w:rsidRPr="003B6733">
        <w:rPr>
          <w:rFonts w:ascii="Arial" w:hAnsi="Arial" w:cs="Arial"/>
        </w:rPr>
        <w:t>A partir de l’année 2016, plusieurs mesures ont été prises pour l’amélioration du niveau de mobilisation des recettes propres. Il s’agit entre autres :</w:t>
      </w:r>
    </w:p>
    <w:p w:rsidR="00EC1B72" w:rsidRPr="003B6733" w:rsidRDefault="00EC1B72" w:rsidP="00B92B11">
      <w:pPr>
        <w:pStyle w:val="Paragraphedeliste"/>
        <w:numPr>
          <w:ilvl w:val="0"/>
          <w:numId w:val="86"/>
        </w:numPr>
        <w:spacing w:after="0"/>
        <w:jc w:val="both"/>
        <w:rPr>
          <w:rFonts w:ascii="Arial" w:hAnsi="Arial" w:cs="Arial"/>
        </w:rPr>
      </w:pPr>
      <w:r w:rsidRPr="003B6733">
        <w:rPr>
          <w:rFonts w:ascii="Arial" w:hAnsi="Arial" w:cs="Arial"/>
        </w:rPr>
        <w:t>de la mise en service le 16 février 2016 du Système de Liaison Virtuelle pour les opérations d’Importation et d’Exportation (SYLVIE) ;</w:t>
      </w:r>
    </w:p>
    <w:p w:rsidR="00EC1B72" w:rsidRPr="003B6733" w:rsidRDefault="00EC1B72" w:rsidP="00B92B11">
      <w:pPr>
        <w:pStyle w:val="Paragraphedeliste"/>
        <w:numPr>
          <w:ilvl w:val="0"/>
          <w:numId w:val="78"/>
        </w:numPr>
        <w:spacing w:after="0"/>
        <w:ind w:left="714" w:hanging="357"/>
        <w:contextualSpacing w:val="0"/>
        <w:jc w:val="both"/>
        <w:rPr>
          <w:rFonts w:ascii="Arial" w:hAnsi="Arial" w:cs="Arial"/>
        </w:rPr>
      </w:pPr>
      <w:r w:rsidRPr="003B6733">
        <w:rPr>
          <w:rFonts w:ascii="Arial" w:hAnsi="Arial" w:cs="Arial"/>
        </w:rPr>
        <w:t>du suivi électronique des marchandises en transit sur les principaux corridors ;</w:t>
      </w:r>
    </w:p>
    <w:p w:rsidR="00EC1B72" w:rsidRPr="003B6733" w:rsidRDefault="00EC1B72" w:rsidP="00B92B11">
      <w:pPr>
        <w:pStyle w:val="Paragraphedeliste"/>
        <w:numPr>
          <w:ilvl w:val="0"/>
          <w:numId w:val="78"/>
        </w:numPr>
        <w:spacing w:after="0"/>
        <w:ind w:left="714" w:hanging="357"/>
        <w:contextualSpacing w:val="0"/>
        <w:jc w:val="both"/>
        <w:rPr>
          <w:rFonts w:ascii="Arial" w:hAnsi="Arial" w:cs="Arial"/>
        </w:rPr>
      </w:pPr>
      <w:r w:rsidRPr="003B6733">
        <w:rPr>
          <w:rFonts w:ascii="Arial" w:hAnsi="Arial" w:cs="Arial"/>
        </w:rPr>
        <w:t>du suivi des clauses fiscales et douanières des marchés publics financés sur ressources propres;</w:t>
      </w:r>
    </w:p>
    <w:p w:rsidR="00EC1B72" w:rsidRPr="003B6733" w:rsidRDefault="00EC1B72" w:rsidP="00B92B11">
      <w:pPr>
        <w:pStyle w:val="Paragraphedeliste"/>
        <w:numPr>
          <w:ilvl w:val="0"/>
          <w:numId w:val="78"/>
        </w:numPr>
        <w:spacing w:after="0"/>
        <w:ind w:left="714" w:hanging="357"/>
        <w:contextualSpacing w:val="0"/>
        <w:jc w:val="both"/>
        <w:rPr>
          <w:rFonts w:ascii="Arial" w:hAnsi="Arial" w:cs="Arial"/>
        </w:rPr>
      </w:pPr>
      <w:r w:rsidRPr="003B6733">
        <w:rPr>
          <w:rFonts w:ascii="Arial" w:hAnsi="Arial" w:cs="Arial"/>
        </w:rPr>
        <w:t>du suivi rapproché des contribuables ;</w:t>
      </w:r>
    </w:p>
    <w:p w:rsidR="00EC1B72" w:rsidRPr="003B6733" w:rsidRDefault="00EC1B72" w:rsidP="00B92B11">
      <w:pPr>
        <w:pStyle w:val="Paragraphedeliste"/>
        <w:numPr>
          <w:ilvl w:val="0"/>
          <w:numId w:val="78"/>
        </w:numPr>
        <w:spacing w:after="0"/>
        <w:ind w:left="714" w:hanging="357"/>
        <w:contextualSpacing w:val="0"/>
        <w:jc w:val="both"/>
        <w:rPr>
          <w:rFonts w:ascii="Arial" w:hAnsi="Arial" w:cs="Arial"/>
        </w:rPr>
      </w:pPr>
      <w:r w:rsidRPr="003B6733">
        <w:rPr>
          <w:rFonts w:ascii="Arial" w:hAnsi="Arial" w:cs="Arial"/>
        </w:rPr>
        <w:t>de l’ouverture d’une 2</w:t>
      </w:r>
      <w:r w:rsidRPr="003B6733">
        <w:rPr>
          <w:rFonts w:ascii="Arial" w:hAnsi="Arial" w:cs="Arial"/>
          <w:vertAlign w:val="superscript"/>
        </w:rPr>
        <w:t>ème</w:t>
      </w:r>
      <w:r w:rsidRPr="003B6733">
        <w:rPr>
          <w:rFonts w:ascii="Arial" w:hAnsi="Arial" w:cs="Arial"/>
        </w:rPr>
        <w:t xml:space="preserve"> Direction des moyennes entreprises à Ouagadougou pour une meilleure prise en charge de ce segment d’entreprises ;</w:t>
      </w:r>
    </w:p>
    <w:p w:rsidR="00EC1B72" w:rsidRPr="003B6733" w:rsidRDefault="00EC1B72" w:rsidP="00B92B11">
      <w:pPr>
        <w:pStyle w:val="Paragraphedeliste"/>
        <w:numPr>
          <w:ilvl w:val="0"/>
          <w:numId w:val="78"/>
        </w:numPr>
        <w:spacing w:after="0"/>
        <w:ind w:left="714" w:hanging="357"/>
        <w:contextualSpacing w:val="0"/>
        <w:jc w:val="both"/>
        <w:rPr>
          <w:rFonts w:ascii="Arial" w:hAnsi="Arial" w:cs="Arial"/>
        </w:rPr>
      </w:pPr>
      <w:r w:rsidRPr="003B6733">
        <w:rPr>
          <w:rFonts w:ascii="Arial" w:hAnsi="Arial" w:cs="Arial"/>
        </w:rPr>
        <w:t>du renforcement de la lutte contre la fraude et le faux avec l'opérationnalisation de la Direction des enquêtes et de la recherche fiscales,</w:t>
      </w:r>
    </w:p>
    <w:p w:rsidR="00EC1B72" w:rsidRPr="003B6733" w:rsidRDefault="00EC1B72" w:rsidP="00B92B11">
      <w:pPr>
        <w:pStyle w:val="Paragraphedeliste"/>
        <w:numPr>
          <w:ilvl w:val="0"/>
          <w:numId w:val="78"/>
        </w:numPr>
        <w:spacing w:after="0"/>
        <w:ind w:left="714" w:hanging="357"/>
        <w:contextualSpacing w:val="0"/>
        <w:jc w:val="both"/>
        <w:rPr>
          <w:rFonts w:ascii="Arial" w:hAnsi="Arial" w:cs="Arial"/>
        </w:rPr>
      </w:pPr>
      <w:r w:rsidRPr="003B6733">
        <w:rPr>
          <w:rFonts w:ascii="Arial" w:hAnsi="Arial" w:cs="Arial"/>
        </w:rPr>
        <w:t xml:space="preserve">de l’élargissement de l’assiette fiscale à travers l’institution de la taxe sur les propriétés bâties et non bâties ; </w:t>
      </w:r>
    </w:p>
    <w:p w:rsidR="00EC1B72" w:rsidRPr="003B6733" w:rsidRDefault="00EC1B72" w:rsidP="00B92B11">
      <w:pPr>
        <w:pStyle w:val="Paragraphedeliste"/>
        <w:numPr>
          <w:ilvl w:val="0"/>
          <w:numId w:val="78"/>
        </w:numPr>
        <w:spacing w:after="0"/>
        <w:ind w:left="714" w:hanging="357"/>
        <w:contextualSpacing w:val="0"/>
        <w:jc w:val="both"/>
        <w:rPr>
          <w:rFonts w:ascii="Arial" w:hAnsi="Arial" w:cs="Arial"/>
        </w:rPr>
      </w:pPr>
      <w:r w:rsidRPr="003B6733">
        <w:rPr>
          <w:rFonts w:ascii="Arial" w:hAnsi="Arial" w:cs="Arial"/>
        </w:rPr>
        <w:t>de l’augmentation des taux des droits exigibles sur certains produits de luxe et la bière ;</w:t>
      </w:r>
    </w:p>
    <w:p w:rsidR="00EC1B72" w:rsidRPr="003B6733" w:rsidRDefault="00EC1B72" w:rsidP="00B92B11">
      <w:pPr>
        <w:pStyle w:val="Paragraphedeliste"/>
        <w:numPr>
          <w:ilvl w:val="0"/>
          <w:numId w:val="78"/>
        </w:numPr>
        <w:spacing w:after="0"/>
        <w:ind w:left="714" w:hanging="357"/>
        <w:contextualSpacing w:val="0"/>
        <w:jc w:val="both"/>
        <w:rPr>
          <w:rFonts w:ascii="Arial" w:hAnsi="Arial" w:cs="Arial"/>
        </w:rPr>
      </w:pPr>
      <w:r w:rsidRPr="003B6733">
        <w:rPr>
          <w:rFonts w:ascii="Arial" w:hAnsi="Arial" w:cs="Arial"/>
        </w:rPr>
        <w:t>de l’institution d’un droit de mutation forfaitaire à payer en matière de mutation d’immeuble au profit de personnes physiques.</w:t>
      </w:r>
    </w:p>
    <w:p w:rsidR="00EC1B72" w:rsidRDefault="00EC1B72" w:rsidP="00EC1B72">
      <w:pPr>
        <w:jc w:val="both"/>
        <w:rPr>
          <w:rFonts w:ascii="Arial" w:hAnsi="Arial" w:cs="Arial"/>
        </w:rPr>
      </w:pPr>
      <w:r w:rsidRPr="003B6733">
        <w:rPr>
          <w:rFonts w:ascii="Arial" w:hAnsi="Arial" w:cs="Arial"/>
        </w:rPr>
        <w:t>Toutes ces mesures ont contribué à l’augmentation des recettes propres de 16,0% en 2016 comparativement à celles de 2015.</w:t>
      </w:r>
    </w:p>
    <w:p w:rsidR="00EC1B72" w:rsidRPr="00C47A9B" w:rsidRDefault="00EC1B72" w:rsidP="00C47A9B">
      <w:pPr>
        <w:pStyle w:val="Titre3"/>
        <w:tabs>
          <w:tab w:val="left" w:pos="1134"/>
        </w:tabs>
        <w:ind w:left="1134" w:hanging="567"/>
      </w:pPr>
      <w:bookmarkStart w:id="633" w:name="_Toc492972240"/>
      <w:r w:rsidRPr="00C47A9B">
        <w:lastRenderedPageBreak/>
        <w:t>2.1.2. Tendances des ressources propres sur la période 2017-2020</w:t>
      </w:r>
      <w:bookmarkEnd w:id="633"/>
    </w:p>
    <w:p w:rsidR="00EC1B72" w:rsidRPr="003B6733" w:rsidRDefault="00EC1B72" w:rsidP="00EC1B72">
      <w:pPr>
        <w:pStyle w:val="Default"/>
        <w:spacing w:before="120" w:after="120" w:line="276" w:lineRule="auto"/>
        <w:jc w:val="both"/>
        <w:rPr>
          <w:color w:val="auto"/>
          <w:sz w:val="22"/>
          <w:szCs w:val="22"/>
        </w:rPr>
      </w:pPr>
      <w:r w:rsidRPr="003B6733">
        <w:rPr>
          <w:color w:val="auto"/>
          <w:sz w:val="22"/>
          <w:szCs w:val="22"/>
        </w:rPr>
        <w:t xml:space="preserve">Selon les prévisions de la loi de finances initiale 2017 et du Document de programmation budgétaire et économique pluriannuelle (DPBEP) 2018-2020, il est attendu, en termes de mobilisation de ressources propres, 1 438,27 milliards de FCFA en 2017 ; 1 660, 90 milliards de FCFA en 2018 ; 2 002,80 milliards de FCFA en 2019 et 2 041,45 milliards de FCFA en 2020. </w:t>
      </w:r>
    </w:p>
    <w:p w:rsidR="00EC1B72" w:rsidRPr="003B6733" w:rsidRDefault="00EC1B72" w:rsidP="00EC1B72">
      <w:pPr>
        <w:pStyle w:val="Default"/>
        <w:spacing w:before="120" w:after="120" w:line="276" w:lineRule="auto"/>
        <w:jc w:val="both"/>
        <w:rPr>
          <w:color w:val="auto"/>
          <w:sz w:val="22"/>
          <w:szCs w:val="22"/>
        </w:rPr>
      </w:pPr>
      <w:r w:rsidRPr="003B6733">
        <w:rPr>
          <w:color w:val="auto"/>
          <w:sz w:val="22"/>
          <w:szCs w:val="22"/>
        </w:rPr>
        <w:t>Pour l’année 2017, les 1 438,27 milliards de FCFA à mobiliser se composent de 1 315,50 milliards de FCFA de recettes fiscales, 119,02 milliards de FCFA de recettes non fiscales et 3,75 milliards de FCFA de recettes en capital.</w:t>
      </w:r>
    </w:p>
    <w:p w:rsidR="00EC1B72" w:rsidRPr="00F6316D" w:rsidRDefault="00EC1B72" w:rsidP="00F241A1">
      <w:pPr>
        <w:pStyle w:val="Retraitcorpsdetexte"/>
        <w:spacing w:before="120" w:line="276" w:lineRule="auto"/>
        <w:ind w:left="0"/>
        <w:rPr>
          <w:rFonts w:ascii="Arial" w:hAnsi="Arial" w:cs="Arial"/>
          <w:sz w:val="22"/>
          <w:szCs w:val="22"/>
          <w:lang w:eastAsia="en-US"/>
        </w:rPr>
      </w:pPr>
      <w:r w:rsidRPr="00F6316D">
        <w:rPr>
          <w:rFonts w:ascii="Arial" w:hAnsi="Arial" w:cs="Arial"/>
          <w:sz w:val="22"/>
          <w:szCs w:val="22"/>
          <w:lang w:eastAsia="en-US"/>
        </w:rPr>
        <w:t>Pour y parvenir, un certain nombre de mesures sur la modernisation et l’amélioration des services de recouvrement des recettes a été proposé. Il s’agit entre autres :</w:t>
      </w:r>
    </w:p>
    <w:p w:rsidR="00EC1B72" w:rsidRPr="00F6316D" w:rsidRDefault="00EC1B72" w:rsidP="00B92B11">
      <w:pPr>
        <w:pStyle w:val="Retraitcorpsdetexte"/>
        <w:numPr>
          <w:ilvl w:val="0"/>
          <w:numId w:val="81"/>
        </w:numPr>
        <w:spacing w:before="120" w:line="276" w:lineRule="auto"/>
        <w:jc w:val="both"/>
        <w:rPr>
          <w:rFonts w:ascii="Arial" w:hAnsi="Arial" w:cs="Arial"/>
          <w:sz w:val="22"/>
          <w:szCs w:val="22"/>
        </w:rPr>
      </w:pPr>
      <w:r w:rsidRPr="00F6316D">
        <w:rPr>
          <w:rFonts w:ascii="Arial" w:hAnsi="Arial" w:cs="Arial"/>
          <w:b/>
          <w:sz w:val="22"/>
          <w:szCs w:val="22"/>
        </w:rPr>
        <w:t>au titre de la Direction Générale des Douanes</w:t>
      </w:r>
      <w:r w:rsidRPr="00F6316D">
        <w:rPr>
          <w:rFonts w:ascii="Arial" w:hAnsi="Arial" w:cs="Arial"/>
          <w:sz w:val="22"/>
          <w:szCs w:val="22"/>
        </w:rPr>
        <w:t>:</w:t>
      </w:r>
    </w:p>
    <w:p w:rsidR="00EC1B72" w:rsidRPr="00F6316D" w:rsidRDefault="00EC1B72" w:rsidP="00B92B11">
      <w:pPr>
        <w:numPr>
          <w:ilvl w:val="0"/>
          <w:numId w:val="79"/>
        </w:numPr>
        <w:spacing w:after="120"/>
        <w:ind w:left="924" w:hanging="357"/>
        <w:contextualSpacing/>
        <w:jc w:val="both"/>
        <w:rPr>
          <w:rFonts w:ascii="Arial" w:hAnsi="Arial" w:cs="Arial"/>
        </w:rPr>
      </w:pPr>
      <w:r w:rsidRPr="00F6316D">
        <w:rPr>
          <w:rFonts w:ascii="Arial" w:hAnsi="Arial" w:cs="Arial"/>
        </w:rPr>
        <w:t xml:space="preserve"> la modernisation et la simplification des procédures douanières à travers la connexion des commissionnaires en douane agréés (CDA) au système douanier automatisé ;</w:t>
      </w:r>
    </w:p>
    <w:p w:rsidR="00EC1B72" w:rsidRPr="00F6316D" w:rsidRDefault="00EC1B72" w:rsidP="00B92B11">
      <w:pPr>
        <w:numPr>
          <w:ilvl w:val="0"/>
          <w:numId w:val="79"/>
        </w:numPr>
        <w:spacing w:after="120"/>
        <w:jc w:val="both"/>
        <w:rPr>
          <w:rFonts w:ascii="Arial" w:hAnsi="Arial" w:cs="Arial"/>
        </w:rPr>
      </w:pPr>
      <w:r w:rsidRPr="00F6316D">
        <w:rPr>
          <w:rFonts w:ascii="Arial" w:hAnsi="Arial" w:cs="Arial"/>
        </w:rPr>
        <w:t>le renforcement du dispositif de contrôle des opérations dans le secteur minier par l'élaboration d'un protocole type d'installation de postes de douane sur les sites miniers.</w:t>
      </w:r>
    </w:p>
    <w:p w:rsidR="00EC1B72" w:rsidRPr="00F6316D" w:rsidRDefault="00EC1B72" w:rsidP="00B92B11">
      <w:pPr>
        <w:pStyle w:val="Paragraphedeliste"/>
        <w:numPr>
          <w:ilvl w:val="0"/>
          <w:numId w:val="81"/>
        </w:numPr>
        <w:spacing w:after="120"/>
        <w:jc w:val="both"/>
        <w:rPr>
          <w:rFonts w:ascii="Arial" w:hAnsi="Arial" w:cs="Arial"/>
        </w:rPr>
      </w:pPr>
      <w:r w:rsidRPr="00F6316D">
        <w:rPr>
          <w:rFonts w:ascii="Arial" w:hAnsi="Arial" w:cs="Arial"/>
          <w:b/>
        </w:rPr>
        <w:t>Au titre de la Direction Générale des Impôts</w:t>
      </w:r>
    </w:p>
    <w:p w:rsidR="00EC1B72" w:rsidRPr="00F6316D" w:rsidRDefault="00EC1B72" w:rsidP="00B92B11">
      <w:pPr>
        <w:numPr>
          <w:ilvl w:val="0"/>
          <w:numId w:val="79"/>
        </w:numPr>
        <w:spacing w:after="120"/>
        <w:ind w:left="924" w:hanging="357"/>
        <w:contextualSpacing/>
        <w:jc w:val="both"/>
        <w:rPr>
          <w:rFonts w:ascii="Arial" w:hAnsi="Arial" w:cs="Arial"/>
        </w:rPr>
      </w:pPr>
      <w:r w:rsidRPr="00F6316D">
        <w:rPr>
          <w:rFonts w:ascii="Arial" w:hAnsi="Arial" w:cs="Arial"/>
        </w:rPr>
        <w:t>la mise en place d’un dispositif de lutte contre la minoration des prix de vente des produits miniers ou des matières premières ;</w:t>
      </w:r>
    </w:p>
    <w:p w:rsidR="00EC1B72" w:rsidRPr="00F6316D" w:rsidRDefault="00EC1B72" w:rsidP="00B92B11">
      <w:pPr>
        <w:numPr>
          <w:ilvl w:val="0"/>
          <w:numId w:val="79"/>
        </w:numPr>
        <w:spacing w:after="120"/>
        <w:ind w:left="924" w:hanging="357"/>
        <w:contextualSpacing/>
        <w:jc w:val="both"/>
        <w:rPr>
          <w:rFonts w:ascii="Arial" w:hAnsi="Arial" w:cs="Arial"/>
        </w:rPr>
      </w:pPr>
      <w:r w:rsidRPr="00F6316D">
        <w:rPr>
          <w:rFonts w:ascii="Arial" w:hAnsi="Arial" w:cs="Arial"/>
        </w:rPr>
        <w:t>la limitation de la déduction des frais de siège à travers la suppression et la reformulation de l’expression « sans y avoir son siège social» ;</w:t>
      </w:r>
    </w:p>
    <w:p w:rsidR="00EC1B72" w:rsidRPr="00F6316D" w:rsidRDefault="00EC1B72" w:rsidP="00B92B11">
      <w:pPr>
        <w:numPr>
          <w:ilvl w:val="0"/>
          <w:numId w:val="79"/>
        </w:numPr>
        <w:spacing w:after="120"/>
        <w:ind w:left="924" w:hanging="357"/>
        <w:contextualSpacing/>
        <w:jc w:val="both"/>
        <w:rPr>
          <w:rFonts w:ascii="Arial" w:hAnsi="Arial" w:cs="Arial"/>
        </w:rPr>
      </w:pPr>
      <w:r w:rsidRPr="00F6316D">
        <w:rPr>
          <w:rFonts w:ascii="Arial" w:hAnsi="Arial" w:cs="Arial"/>
        </w:rPr>
        <w:t>la fixation de pièces complémentaires à joindre aux demandes de remboursement des crédits ;</w:t>
      </w:r>
    </w:p>
    <w:p w:rsidR="00EC1B72" w:rsidRPr="00F6316D" w:rsidRDefault="00EC1B72" w:rsidP="00B92B11">
      <w:pPr>
        <w:numPr>
          <w:ilvl w:val="0"/>
          <w:numId w:val="79"/>
        </w:numPr>
        <w:spacing w:after="120"/>
        <w:ind w:left="924" w:hanging="357"/>
        <w:contextualSpacing/>
        <w:jc w:val="both"/>
        <w:rPr>
          <w:rFonts w:ascii="Arial" w:hAnsi="Arial" w:cs="Arial"/>
        </w:rPr>
      </w:pPr>
      <w:r w:rsidRPr="00F6316D">
        <w:rPr>
          <w:rFonts w:ascii="Arial" w:hAnsi="Arial" w:cs="Arial"/>
        </w:rPr>
        <w:t>la modification du régime de l’avis à tiers détenteur ;</w:t>
      </w:r>
    </w:p>
    <w:p w:rsidR="00EC1B72" w:rsidRPr="00F6316D" w:rsidRDefault="00EC1B72" w:rsidP="00B92B11">
      <w:pPr>
        <w:numPr>
          <w:ilvl w:val="0"/>
          <w:numId w:val="79"/>
        </w:numPr>
        <w:spacing w:after="120"/>
        <w:ind w:left="924" w:hanging="357"/>
        <w:contextualSpacing/>
        <w:jc w:val="both"/>
        <w:rPr>
          <w:rFonts w:ascii="Arial" w:hAnsi="Arial" w:cs="Arial"/>
        </w:rPr>
      </w:pPr>
      <w:r w:rsidRPr="00F6316D">
        <w:rPr>
          <w:rFonts w:ascii="Arial" w:hAnsi="Arial" w:cs="Arial"/>
        </w:rPr>
        <w:t>le renforcement de la lutte contre la fraude et l’évasion fiscales à travers la mise en œuvre de l’échange de renseignements à des fins fiscales ;</w:t>
      </w:r>
    </w:p>
    <w:p w:rsidR="00EC1B72" w:rsidRPr="00F6316D" w:rsidRDefault="00EC1B72" w:rsidP="00B92B11">
      <w:pPr>
        <w:numPr>
          <w:ilvl w:val="0"/>
          <w:numId w:val="80"/>
        </w:numPr>
        <w:spacing w:before="120" w:after="120"/>
        <w:jc w:val="both"/>
        <w:rPr>
          <w:rFonts w:ascii="Arial" w:hAnsi="Arial" w:cs="Arial"/>
        </w:rPr>
      </w:pPr>
      <w:r w:rsidRPr="00F6316D">
        <w:rPr>
          <w:rFonts w:ascii="Arial" w:hAnsi="Arial" w:cs="Arial"/>
        </w:rPr>
        <w:t>l’opérationnalisation effective de la facture normalisée pour lutter contre la fraude en matière de facturation de la TVA</w:t>
      </w:r>
      <w:bookmarkStart w:id="634" w:name="_Toc461800624"/>
      <w:r w:rsidRPr="00F6316D">
        <w:rPr>
          <w:rFonts w:ascii="Arial" w:hAnsi="Arial" w:cs="Arial"/>
        </w:rPr>
        <w:t>.</w:t>
      </w:r>
    </w:p>
    <w:p w:rsidR="00EC1B72" w:rsidRPr="00D602E7" w:rsidRDefault="00EC1B72" w:rsidP="00B92B11">
      <w:pPr>
        <w:pStyle w:val="Paragraphedeliste"/>
        <w:numPr>
          <w:ilvl w:val="0"/>
          <w:numId w:val="81"/>
        </w:numPr>
        <w:spacing w:after="120"/>
        <w:jc w:val="both"/>
        <w:rPr>
          <w:rFonts w:ascii="Arial" w:hAnsi="Arial" w:cs="Arial"/>
          <w:b/>
        </w:rPr>
      </w:pPr>
      <w:r w:rsidRPr="00D602E7">
        <w:rPr>
          <w:rFonts w:ascii="Arial" w:hAnsi="Arial" w:cs="Arial"/>
          <w:b/>
        </w:rPr>
        <w:t>Au titre de la Direction Générale du Trésor</w:t>
      </w:r>
      <w:r w:rsidR="00C107B9">
        <w:rPr>
          <w:rFonts w:ascii="Arial" w:hAnsi="Arial" w:cs="Arial"/>
          <w:b/>
        </w:rPr>
        <w:t xml:space="preserve"> et de la Comptabilité Publique</w:t>
      </w:r>
    </w:p>
    <w:p w:rsidR="00D602E7" w:rsidRPr="00D602E7" w:rsidRDefault="00D602E7" w:rsidP="00B92B11">
      <w:pPr>
        <w:numPr>
          <w:ilvl w:val="0"/>
          <w:numId w:val="79"/>
        </w:numPr>
        <w:spacing w:after="120"/>
        <w:ind w:left="924" w:hanging="357"/>
        <w:contextualSpacing/>
        <w:jc w:val="both"/>
        <w:rPr>
          <w:rFonts w:ascii="Arial" w:hAnsi="Arial" w:cs="Arial"/>
        </w:rPr>
      </w:pPr>
      <w:r w:rsidRPr="00D602E7">
        <w:rPr>
          <w:rFonts w:ascii="Arial" w:hAnsi="Arial" w:cs="Arial"/>
        </w:rPr>
        <w:t>le renforcement du suivi des reversements des recettes par les régies de recettes ;</w:t>
      </w:r>
    </w:p>
    <w:p w:rsidR="00D602E7" w:rsidRPr="00D602E7" w:rsidRDefault="00D602E7" w:rsidP="00B92B11">
      <w:pPr>
        <w:numPr>
          <w:ilvl w:val="0"/>
          <w:numId w:val="79"/>
        </w:numPr>
        <w:spacing w:after="120"/>
        <w:ind w:left="924" w:hanging="357"/>
        <w:contextualSpacing/>
        <w:jc w:val="both"/>
        <w:rPr>
          <w:rFonts w:ascii="Arial" w:hAnsi="Arial" w:cs="Arial"/>
        </w:rPr>
      </w:pPr>
      <w:r w:rsidRPr="00D602E7">
        <w:rPr>
          <w:rFonts w:ascii="Arial" w:hAnsi="Arial" w:cs="Arial"/>
        </w:rPr>
        <w:t>la poursuite des activités de modernisation de la gestion des recettes de service ;</w:t>
      </w:r>
    </w:p>
    <w:p w:rsidR="00D602E7" w:rsidRPr="00D602E7" w:rsidRDefault="00D602E7" w:rsidP="00B92B11">
      <w:pPr>
        <w:numPr>
          <w:ilvl w:val="0"/>
          <w:numId w:val="79"/>
        </w:numPr>
        <w:spacing w:after="120"/>
        <w:ind w:left="924" w:hanging="357"/>
        <w:contextualSpacing/>
        <w:jc w:val="both"/>
        <w:rPr>
          <w:rFonts w:ascii="Arial" w:hAnsi="Arial" w:cs="Arial"/>
        </w:rPr>
      </w:pPr>
      <w:r w:rsidRPr="00D602E7">
        <w:rPr>
          <w:rFonts w:ascii="Arial" w:hAnsi="Arial" w:cs="Arial"/>
        </w:rPr>
        <w:t>la mise en œuvre de missions foraines d’immatriculation des véhicules sur toute l’étendue du territoire national ;</w:t>
      </w:r>
    </w:p>
    <w:p w:rsidR="00D602E7" w:rsidRPr="00D602E7" w:rsidRDefault="00D602E7" w:rsidP="00B92B11">
      <w:pPr>
        <w:numPr>
          <w:ilvl w:val="0"/>
          <w:numId w:val="79"/>
        </w:numPr>
        <w:spacing w:after="120"/>
        <w:ind w:left="924" w:hanging="357"/>
        <w:contextualSpacing/>
        <w:jc w:val="both"/>
        <w:rPr>
          <w:rFonts w:ascii="Arial" w:hAnsi="Arial" w:cs="Arial"/>
        </w:rPr>
      </w:pPr>
      <w:r w:rsidRPr="00D602E7">
        <w:rPr>
          <w:rFonts w:ascii="Arial" w:hAnsi="Arial" w:cs="Arial"/>
        </w:rPr>
        <w:t>le reversement du reliquat des dividendes ;</w:t>
      </w:r>
    </w:p>
    <w:p w:rsidR="00D602E7" w:rsidRPr="00D602E7" w:rsidRDefault="00D602E7" w:rsidP="00B92B11">
      <w:pPr>
        <w:numPr>
          <w:ilvl w:val="0"/>
          <w:numId w:val="79"/>
        </w:numPr>
        <w:spacing w:after="120"/>
        <w:ind w:left="924" w:hanging="357"/>
        <w:contextualSpacing/>
        <w:jc w:val="both"/>
        <w:rPr>
          <w:rFonts w:ascii="Arial" w:hAnsi="Arial" w:cs="Arial"/>
        </w:rPr>
      </w:pPr>
      <w:r w:rsidRPr="00D602E7">
        <w:rPr>
          <w:rFonts w:ascii="Arial" w:hAnsi="Arial" w:cs="Arial"/>
        </w:rPr>
        <w:t>la sensibilisation du public sur les recettes de service ;</w:t>
      </w:r>
    </w:p>
    <w:p w:rsidR="00D602E7" w:rsidRPr="00D602E7" w:rsidRDefault="00D602E7" w:rsidP="00B92B11">
      <w:pPr>
        <w:numPr>
          <w:ilvl w:val="0"/>
          <w:numId w:val="79"/>
        </w:numPr>
        <w:spacing w:after="120"/>
        <w:ind w:left="924" w:hanging="357"/>
        <w:contextualSpacing/>
        <w:jc w:val="both"/>
        <w:rPr>
          <w:rFonts w:ascii="Arial" w:hAnsi="Arial" w:cs="Arial"/>
        </w:rPr>
      </w:pPr>
      <w:r w:rsidRPr="00D602E7">
        <w:rPr>
          <w:rFonts w:ascii="Arial" w:hAnsi="Arial" w:cs="Arial"/>
        </w:rPr>
        <w:t>la poursuite du processus de rationalisation des postes de régies de recettes ; </w:t>
      </w:r>
    </w:p>
    <w:p w:rsidR="00D602E7" w:rsidRPr="00D602E7" w:rsidRDefault="00D602E7" w:rsidP="00B92B11">
      <w:pPr>
        <w:numPr>
          <w:ilvl w:val="0"/>
          <w:numId w:val="79"/>
        </w:numPr>
        <w:spacing w:after="120"/>
        <w:ind w:left="924" w:hanging="357"/>
        <w:contextualSpacing/>
        <w:jc w:val="both"/>
        <w:rPr>
          <w:rFonts w:ascii="Arial" w:hAnsi="Arial" w:cs="Arial"/>
        </w:rPr>
      </w:pPr>
      <w:r w:rsidRPr="00D602E7">
        <w:rPr>
          <w:rFonts w:ascii="Arial" w:hAnsi="Arial" w:cs="Arial"/>
        </w:rPr>
        <w:t>la poursuite des missions de prospection de nouvelles recettes au niveau des départements ministériels ;</w:t>
      </w:r>
    </w:p>
    <w:p w:rsidR="00EC1B72" w:rsidRPr="00C47A9B" w:rsidRDefault="00D602E7" w:rsidP="00B92B11">
      <w:pPr>
        <w:numPr>
          <w:ilvl w:val="0"/>
          <w:numId w:val="79"/>
        </w:numPr>
        <w:spacing w:after="120"/>
        <w:jc w:val="both"/>
        <w:rPr>
          <w:rFonts w:ascii="Arial" w:hAnsi="Arial" w:cs="Arial"/>
        </w:rPr>
      </w:pPr>
      <w:r w:rsidRPr="00D602E7">
        <w:rPr>
          <w:rFonts w:ascii="Arial" w:hAnsi="Arial" w:cs="Arial"/>
        </w:rPr>
        <w:t>le recouvrement des arriérés des prêts rétrocédés.</w:t>
      </w:r>
    </w:p>
    <w:p w:rsidR="00EC1B72" w:rsidRPr="00C47A9B" w:rsidRDefault="00EC1B72" w:rsidP="00C47A9B">
      <w:pPr>
        <w:pStyle w:val="Titre3"/>
        <w:tabs>
          <w:tab w:val="left" w:pos="1134"/>
        </w:tabs>
        <w:ind w:left="1134" w:hanging="567"/>
      </w:pPr>
      <w:bookmarkStart w:id="635" w:name="_Toc492972241"/>
      <w:bookmarkEnd w:id="634"/>
      <w:r w:rsidRPr="00C47A9B">
        <w:t>2.1.3. Mobilisation d'emprunts obligataires par l’épargne régionale</w:t>
      </w:r>
      <w:bookmarkEnd w:id="635"/>
    </w:p>
    <w:p w:rsidR="00EC1B72" w:rsidRPr="007F6975" w:rsidRDefault="00EC1B72" w:rsidP="00EC1B72">
      <w:pPr>
        <w:spacing w:before="120" w:after="120"/>
        <w:jc w:val="both"/>
        <w:rPr>
          <w:rFonts w:ascii="Arial" w:hAnsi="Arial" w:cs="Arial"/>
        </w:rPr>
      </w:pPr>
      <w:r w:rsidRPr="007F6975">
        <w:rPr>
          <w:rFonts w:ascii="Arial" w:hAnsi="Arial" w:cs="Arial"/>
        </w:rPr>
        <w:t xml:space="preserve">Depuis l’année 2002, le financement intérieur est assuré également par l’émission de titres publics sur le marché financier régional de la dette. Il mobilise des ressources intérieures, soit par syndication, soit par adjudication et à partir de 2013 avec l’assistance de l’Agence UMOA-Titres. </w:t>
      </w:r>
    </w:p>
    <w:p w:rsidR="00EC1B72" w:rsidRPr="002B4C0A" w:rsidRDefault="00EC1B72" w:rsidP="00EC1B72">
      <w:pPr>
        <w:spacing w:before="120" w:after="120"/>
        <w:jc w:val="both"/>
        <w:rPr>
          <w:rFonts w:ascii="Arial" w:hAnsi="Arial" w:cs="Arial"/>
          <w:color w:val="0070C0"/>
        </w:rPr>
      </w:pPr>
      <w:r w:rsidRPr="007F6975">
        <w:rPr>
          <w:rFonts w:ascii="Arial" w:hAnsi="Arial" w:cs="Arial"/>
        </w:rPr>
        <w:lastRenderedPageBreak/>
        <w:t>Au cours de l'année 2016, le Trésor Public a effectué des opérations d’appel de fonds sur ce marché financier. Ces opérations se sont traduites par trois émissions d'obligations d'un montant global de 165,00 milliards de FCFA. Parallèlement, des remboursements d'obligations à hauteur de 88,99 milliards de FCFA ont été effectués au cours de l'année</w:t>
      </w:r>
      <w:r w:rsidRPr="007F6975">
        <w:rPr>
          <w:rFonts w:ascii="Arial" w:hAnsi="Arial" w:cs="Arial"/>
          <w:shd w:val="clear" w:color="auto" w:fill="FFFFFF"/>
        </w:rPr>
        <w:t xml:space="preserve">, soit un flux net de 76,01 </w:t>
      </w:r>
      <w:r w:rsidRPr="007F6975">
        <w:rPr>
          <w:rFonts w:ascii="Arial" w:hAnsi="Arial" w:cs="Arial"/>
        </w:rPr>
        <w:t>milliards de FCFA. Le</w:t>
      </w:r>
      <w:r w:rsidRPr="002B4C0A">
        <w:rPr>
          <w:rFonts w:ascii="Arial" w:hAnsi="Arial" w:cs="Arial"/>
          <w:color w:val="0070C0"/>
        </w:rPr>
        <w:t xml:space="preserve"> </w:t>
      </w:r>
      <w:r w:rsidRPr="007F6975">
        <w:rPr>
          <w:rFonts w:ascii="Arial" w:hAnsi="Arial" w:cs="Arial"/>
        </w:rPr>
        <w:t>taux d'intérêt moyen des émissions de 2016 est de</w:t>
      </w:r>
      <w:r w:rsidRPr="00ED3168">
        <w:rPr>
          <w:rFonts w:ascii="Arial" w:hAnsi="Arial" w:cs="Arial"/>
        </w:rPr>
        <w:t xml:space="preserve"> 6 % </w:t>
      </w:r>
      <w:r w:rsidRPr="007F6975">
        <w:rPr>
          <w:rFonts w:ascii="Arial" w:hAnsi="Arial" w:cs="Arial"/>
        </w:rPr>
        <w:t>et leur maturité moyenne est de</w:t>
      </w:r>
      <w:r w:rsidRPr="00ED3168">
        <w:rPr>
          <w:rFonts w:ascii="Arial" w:hAnsi="Arial" w:cs="Arial"/>
        </w:rPr>
        <w:t xml:space="preserve"> 5 ans</w:t>
      </w:r>
      <w:r w:rsidRPr="002B4C0A">
        <w:rPr>
          <w:rFonts w:ascii="Arial" w:hAnsi="Arial" w:cs="Arial"/>
          <w:color w:val="0070C0"/>
        </w:rPr>
        <w:t>.</w:t>
      </w:r>
    </w:p>
    <w:p w:rsidR="00EC1B72" w:rsidRPr="007F6975" w:rsidRDefault="00EC1B72" w:rsidP="00EC1B72">
      <w:pPr>
        <w:spacing w:before="120" w:after="120"/>
        <w:jc w:val="both"/>
        <w:rPr>
          <w:rFonts w:ascii="Arial" w:hAnsi="Arial" w:cs="Arial"/>
          <w:b/>
        </w:rPr>
      </w:pPr>
      <w:r w:rsidRPr="007F6975">
        <w:rPr>
          <w:rFonts w:ascii="Arial" w:hAnsi="Arial" w:cs="Arial"/>
        </w:rPr>
        <w:t xml:space="preserve">Au regard des besoins de financements dans le cadre de la mise en œuvre du PNDES, le montant des émissions connaitrait une hausse comparativement à 2016. </w:t>
      </w:r>
      <w:r w:rsidRPr="007F6975">
        <w:rPr>
          <w:rFonts w:ascii="Arial" w:hAnsi="Arial" w:cs="Arial"/>
          <w:shd w:val="clear" w:color="auto" w:fill="FFFFFF"/>
        </w:rPr>
        <w:t xml:space="preserve">En effet, dans la </w:t>
      </w:r>
      <w:r w:rsidRPr="007F6975">
        <w:rPr>
          <w:rFonts w:ascii="Arial" w:hAnsi="Arial" w:cs="Arial"/>
        </w:rPr>
        <w:t xml:space="preserve">Stratégie de gestion de la dette à moyen terme (SDMT) 2017-2020, </w:t>
      </w:r>
      <w:r w:rsidRPr="007F6975">
        <w:rPr>
          <w:rFonts w:ascii="Arial" w:hAnsi="Arial" w:cs="Arial"/>
          <w:shd w:val="clear" w:color="auto" w:fill="FFFFFF"/>
        </w:rPr>
        <w:t>il est envisagé par an, une mobilisation d'obligations du Trésor de 300 milliards de FCFA.</w:t>
      </w:r>
    </w:p>
    <w:p w:rsidR="00EC1B72" w:rsidRPr="00981CCC" w:rsidRDefault="00EC1B72" w:rsidP="00C47A9B">
      <w:pPr>
        <w:pStyle w:val="Titre3"/>
        <w:tabs>
          <w:tab w:val="left" w:pos="1134"/>
        </w:tabs>
        <w:ind w:left="1134" w:hanging="567"/>
      </w:pPr>
      <w:bookmarkStart w:id="636" w:name="_Toc492972242"/>
      <w:r w:rsidRPr="00C47A9B">
        <w:t>2.</w:t>
      </w:r>
      <w:r w:rsidR="00827105" w:rsidRPr="00C47A9B">
        <w:t>1.4</w:t>
      </w:r>
      <w:r w:rsidR="00827105" w:rsidRPr="00C107B9">
        <w:rPr>
          <w:color w:val="00B0F0"/>
        </w:rPr>
        <w:t xml:space="preserve">. </w:t>
      </w:r>
      <w:r w:rsidR="00827105" w:rsidRPr="00981CCC">
        <w:t>Défis majeurs</w:t>
      </w:r>
      <w:bookmarkEnd w:id="636"/>
      <w:r w:rsidR="00827105" w:rsidRPr="00981CCC">
        <w:t xml:space="preserve"> </w:t>
      </w:r>
    </w:p>
    <w:p w:rsidR="00827105" w:rsidRPr="00981CCC" w:rsidRDefault="00827105" w:rsidP="00827105">
      <w:pPr>
        <w:tabs>
          <w:tab w:val="left" w:pos="540"/>
        </w:tabs>
        <w:jc w:val="both"/>
        <w:rPr>
          <w:rFonts w:ascii="Arial" w:hAnsi="Arial" w:cs="Arial"/>
        </w:rPr>
      </w:pPr>
      <w:r w:rsidRPr="00981CCC">
        <w:rPr>
          <w:rFonts w:ascii="Arial" w:hAnsi="Arial" w:cs="Arial"/>
        </w:rPr>
        <w:t>En matière de recettes intérieures propres, l’objectif de mobilisation optimale du potentiel est une constante depuis plusieurs années. Les principaux défis à relever à cet effet sont entre autres la détermination et l’engagement des acteurs des différentes régies, le civisme fiscal, la lutte contre la corruption.</w:t>
      </w:r>
    </w:p>
    <w:p w:rsidR="00EC1B72" w:rsidRPr="00C107B9" w:rsidRDefault="00827105" w:rsidP="00EC1B72">
      <w:pPr>
        <w:tabs>
          <w:tab w:val="left" w:pos="540"/>
        </w:tabs>
        <w:jc w:val="both"/>
        <w:rPr>
          <w:rFonts w:ascii="Arial" w:hAnsi="Arial" w:cs="Arial"/>
          <w:color w:val="00B0F0"/>
        </w:rPr>
      </w:pPr>
      <w:r w:rsidRPr="00981CCC">
        <w:rPr>
          <w:rFonts w:ascii="Arial" w:hAnsi="Arial" w:cs="Arial"/>
        </w:rPr>
        <w:t>En ce qui concerne la mobilisation de ressources par l’émission de titres publics, au regard de l’importance des besoins de financements ci-dessus évoqués, un recours au marché financier international s’avèrerait nécessaire. Une telle opération d’emprunt requiert des exigences à prendre en compte afin d’en garantir le succès et la crédibilité du pays pour les prochaines opérations</w:t>
      </w:r>
      <w:r w:rsidRPr="00C107B9">
        <w:rPr>
          <w:rFonts w:ascii="Arial" w:hAnsi="Arial" w:cs="Arial"/>
          <w:color w:val="00B0F0"/>
        </w:rPr>
        <w:t xml:space="preserve">. </w:t>
      </w:r>
    </w:p>
    <w:p w:rsidR="00EC1B72" w:rsidRPr="00A6746A" w:rsidRDefault="00EC1B72" w:rsidP="008D7758">
      <w:pPr>
        <w:pStyle w:val="Titre2"/>
        <w:numPr>
          <w:ilvl w:val="0"/>
          <w:numId w:val="114"/>
        </w:numPr>
        <w:tabs>
          <w:tab w:val="left" w:pos="1134"/>
        </w:tabs>
      </w:pPr>
      <w:bookmarkStart w:id="637" w:name="_Toc492972243"/>
      <w:r w:rsidRPr="00A6746A">
        <w:t>Mobilisation des ressources extérieures</w:t>
      </w:r>
      <w:bookmarkEnd w:id="637"/>
      <w:r w:rsidRPr="00A6746A">
        <w:t xml:space="preserve"> </w:t>
      </w:r>
    </w:p>
    <w:p w:rsidR="00EC1B72" w:rsidRPr="009E3CAA" w:rsidRDefault="00EC1B72" w:rsidP="00EC1B72">
      <w:pPr>
        <w:spacing w:before="120" w:after="120"/>
        <w:jc w:val="both"/>
        <w:rPr>
          <w:rFonts w:ascii="Arial" w:hAnsi="Arial" w:cs="Arial"/>
        </w:rPr>
      </w:pPr>
      <w:r w:rsidRPr="009E3CAA">
        <w:rPr>
          <w:rFonts w:ascii="Arial" w:hAnsi="Arial" w:cs="Arial"/>
        </w:rPr>
        <w:t>Pour la mobilisation des ressources externes, plusieurs actions ont été prévues dont la tenue d’une conférence des partenaires du Burkina à Paris et des tables rondes sectorielles au niveau national, des consultations bilatérales et multilatérales, la dynamisation des mécanismes PPP.</w:t>
      </w:r>
    </w:p>
    <w:p w:rsidR="00EC1B72" w:rsidRPr="00454C3F" w:rsidRDefault="00EC1B72" w:rsidP="008D7758">
      <w:pPr>
        <w:pStyle w:val="Titre3"/>
        <w:numPr>
          <w:ilvl w:val="0"/>
          <w:numId w:val="115"/>
        </w:numPr>
        <w:ind w:left="1276" w:hanging="567"/>
      </w:pPr>
      <w:bookmarkStart w:id="638" w:name="_Toc492972244"/>
      <w:r w:rsidRPr="00454C3F">
        <w:t>Les résultats de la Conférence des partenaires du Burkina Faso</w:t>
      </w:r>
      <w:bookmarkEnd w:id="638"/>
      <w:r w:rsidRPr="00454C3F">
        <w:t xml:space="preserve"> </w:t>
      </w:r>
    </w:p>
    <w:p w:rsidR="00EC1B72" w:rsidRPr="00454C3F" w:rsidRDefault="00EC1B72" w:rsidP="00EC1B72">
      <w:pPr>
        <w:tabs>
          <w:tab w:val="left" w:pos="540"/>
        </w:tabs>
        <w:spacing w:after="160" w:line="259" w:lineRule="auto"/>
        <w:jc w:val="both"/>
        <w:rPr>
          <w:rFonts w:ascii="Arial" w:hAnsi="Arial" w:cs="Arial"/>
        </w:rPr>
      </w:pPr>
      <w:r w:rsidRPr="00454C3F">
        <w:rPr>
          <w:rFonts w:ascii="Arial" w:hAnsi="Arial" w:cs="Arial"/>
        </w:rPr>
        <w:t>A l’issue de la conférence tenue les 07 et 08 décembre 2016, à Paris, en France, les intentions de financement se sont élevées à plus de 18 318 milliards de FCFA pour tous les partenaires confondus nettement supérieures aux attentes. Ce montant global, est constitué majoritairement des annonces des partenaires privés qui représentent 54,40% contre 45,60% pour ceux relevant du public (multilatéraux et bilatéraux) comme mentionné dans le tableau suivant :</w:t>
      </w:r>
    </w:p>
    <w:p w:rsidR="00EC1B72" w:rsidRPr="00F938B3" w:rsidRDefault="00F938B3" w:rsidP="00F938B3">
      <w:pPr>
        <w:pStyle w:val="Lgende"/>
        <w:rPr>
          <w:color w:val="auto"/>
          <w:u w:val="none"/>
        </w:rPr>
      </w:pPr>
      <w:bookmarkStart w:id="639" w:name="_Toc492895495"/>
      <w:r w:rsidRPr="00F938B3">
        <w:rPr>
          <w:color w:val="auto"/>
        </w:rPr>
        <w:t xml:space="preserve">Tableau </w:t>
      </w:r>
      <w:r w:rsidRPr="00F938B3">
        <w:rPr>
          <w:color w:val="auto"/>
        </w:rPr>
        <w:fldChar w:fldCharType="begin"/>
      </w:r>
      <w:r w:rsidRPr="00F938B3">
        <w:rPr>
          <w:color w:val="auto"/>
        </w:rPr>
        <w:instrText xml:space="preserve"> SEQ Tableau \* ARABIC </w:instrText>
      </w:r>
      <w:r w:rsidRPr="00F938B3">
        <w:rPr>
          <w:color w:val="auto"/>
        </w:rPr>
        <w:fldChar w:fldCharType="separate"/>
      </w:r>
      <w:r w:rsidR="009A1402">
        <w:rPr>
          <w:noProof/>
          <w:color w:val="auto"/>
        </w:rPr>
        <w:t>27</w:t>
      </w:r>
      <w:r w:rsidRPr="00F938B3">
        <w:rPr>
          <w:color w:val="auto"/>
        </w:rPr>
        <w:fldChar w:fldCharType="end"/>
      </w:r>
      <w:r w:rsidR="00EC1B72" w:rsidRPr="00F938B3">
        <w:rPr>
          <w:color w:val="auto"/>
        </w:rPr>
        <w:t xml:space="preserve"> : </w:t>
      </w:r>
      <w:r w:rsidR="00EC1B72" w:rsidRPr="00F938B3">
        <w:rPr>
          <w:color w:val="auto"/>
          <w:u w:val="none"/>
        </w:rPr>
        <w:t>Répartition des annonces de financ</w:t>
      </w:r>
      <w:r w:rsidRPr="00F938B3">
        <w:rPr>
          <w:color w:val="auto"/>
          <w:u w:val="none"/>
        </w:rPr>
        <w:t xml:space="preserve">ement du PNDES à la Conférence </w:t>
      </w:r>
      <w:r w:rsidR="00EC1B72" w:rsidRPr="00F938B3">
        <w:rPr>
          <w:color w:val="auto"/>
          <w:u w:val="none"/>
        </w:rPr>
        <w:t>de Paris par type de partenaires</w:t>
      </w:r>
      <w:bookmarkEnd w:id="639"/>
    </w:p>
    <w:tbl>
      <w:tblPr>
        <w:tblW w:w="9393" w:type="dxa"/>
        <w:tblInd w:w="-5" w:type="dxa"/>
        <w:tblCellMar>
          <w:left w:w="70" w:type="dxa"/>
          <w:right w:w="70" w:type="dxa"/>
        </w:tblCellMar>
        <w:tblLook w:val="04A0" w:firstRow="1" w:lastRow="0" w:firstColumn="1" w:lastColumn="0" w:noHBand="0" w:noVBand="1"/>
      </w:tblPr>
      <w:tblGrid>
        <w:gridCol w:w="4242"/>
        <w:gridCol w:w="2992"/>
        <w:gridCol w:w="2159"/>
      </w:tblGrid>
      <w:tr w:rsidR="00EC1B72" w:rsidRPr="000F3381" w:rsidTr="00636D88">
        <w:trPr>
          <w:trHeight w:val="267"/>
        </w:trPr>
        <w:tc>
          <w:tcPr>
            <w:tcW w:w="42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1B72" w:rsidRPr="000F3381" w:rsidRDefault="00EC1B72" w:rsidP="00C47A9B">
            <w:pPr>
              <w:spacing w:after="0" w:line="240" w:lineRule="auto"/>
              <w:jc w:val="center"/>
              <w:rPr>
                <w:rFonts w:asciiTheme="minorHAnsi" w:hAnsiTheme="minorHAnsi" w:cstheme="minorHAnsi"/>
                <w:b/>
                <w:bCs/>
                <w:color w:val="000000"/>
              </w:rPr>
            </w:pPr>
            <w:r w:rsidRPr="000F3381">
              <w:rPr>
                <w:rFonts w:asciiTheme="minorHAnsi" w:hAnsiTheme="minorHAnsi" w:cstheme="minorHAnsi"/>
                <w:b/>
                <w:bCs/>
                <w:color w:val="000000"/>
              </w:rPr>
              <w:t>Partenaires</w:t>
            </w:r>
          </w:p>
        </w:tc>
        <w:tc>
          <w:tcPr>
            <w:tcW w:w="2992" w:type="dxa"/>
            <w:tcBorders>
              <w:top w:val="single" w:sz="4" w:space="0" w:color="auto"/>
              <w:left w:val="nil"/>
              <w:bottom w:val="single" w:sz="4" w:space="0" w:color="auto"/>
              <w:right w:val="single" w:sz="4" w:space="0" w:color="auto"/>
            </w:tcBorders>
            <w:shd w:val="clear" w:color="auto" w:fill="auto"/>
            <w:noWrap/>
            <w:vAlign w:val="center"/>
            <w:hideMark/>
          </w:tcPr>
          <w:p w:rsidR="00EC1B72" w:rsidRPr="000F3381" w:rsidRDefault="00EC1B72" w:rsidP="00C47A9B">
            <w:pPr>
              <w:spacing w:after="0" w:line="240" w:lineRule="auto"/>
              <w:jc w:val="center"/>
              <w:rPr>
                <w:rFonts w:asciiTheme="minorHAnsi" w:hAnsiTheme="minorHAnsi" w:cstheme="minorHAnsi"/>
                <w:b/>
                <w:bCs/>
                <w:color w:val="000000"/>
              </w:rPr>
            </w:pPr>
            <w:r w:rsidRPr="000F3381">
              <w:rPr>
                <w:rFonts w:asciiTheme="minorHAnsi" w:hAnsiTheme="minorHAnsi" w:cstheme="minorHAnsi"/>
                <w:b/>
                <w:bCs/>
                <w:color w:val="000000"/>
              </w:rPr>
              <w:t>Montants en milliards de FCFA</w:t>
            </w:r>
          </w:p>
        </w:tc>
        <w:tc>
          <w:tcPr>
            <w:tcW w:w="2159" w:type="dxa"/>
            <w:tcBorders>
              <w:top w:val="single" w:sz="4" w:space="0" w:color="auto"/>
              <w:left w:val="nil"/>
              <w:bottom w:val="single" w:sz="4" w:space="0" w:color="auto"/>
              <w:right w:val="single" w:sz="4" w:space="0" w:color="auto"/>
            </w:tcBorders>
            <w:shd w:val="clear" w:color="auto" w:fill="auto"/>
            <w:noWrap/>
            <w:vAlign w:val="center"/>
            <w:hideMark/>
          </w:tcPr>
          <w:p w:rsidR="00EC1B72" w:rsidRPr="000F3381" w:rsidRDefault="00EC1B72" w:rsidP="00C47A9B">
            <w:pPr>
              <w:spacing w:after="0" w:line="240" w:lineRule="auto"/>
              <w:jc w:val="center"/>
              <w:rPr>
                <w:rFonts w:asciiTheme="minorHAnsi" w:hAnsiTheme="minorHAnsi" w:cstheme="minorHAnsi"/>
                <w:b/>
                <w:bCs/>
                <w:color w:val="000000"/>
              </w:rPr>
            </w:pPr>
            <w:r w:rsidRPr="000F3381">
              <w:rPr>
                <w:rFonts w:asciiTheme="minorHAnsi" w:hAnsiTheme="minorHAnsi" w:cstheme="minorHAnsi"/>
                <w:b/>
                <w:bCs/>
                <w:color w:val="000000"/>
              </w:rPr>
              <w:t>Taux</w:t>
            </w:r>
          </w:p>
        </w:tc>
      </w:tr>
      <w:tr w:rsidR="00EC1B72" w:rsidRPr="000F3381" w:rsidTr="00636D88">
        <w:trPr>
          <w:trHeight w:val="267"/>
        </w:trPr>
        <w:tc>
          <w:tcPr>
            <w:tcW w:w="4242" w:type="dxa"/>
            <w:tcBorders>
              <w:top w:val="nil"/>
              <w:left w:val="single" w:sz="4" w:space="0" w:color="auto"/>
              <w:bottom w:val="single" w:sz="4" w:space="0" w:color="auto"/>
              <w:right w:val="single" w:sz="4" w:space="0" w:color="auto"/>
            </w:tcBorders>
            <w:shd w:val="clear" w:color="000000" w:fill="BFBFBF"/>
            <w:noWrap/>
            <w:vAlign w:val="bottom"/>
            <w:hideMark/>
          </w:tcPr>
          <w:p w:rsidR="00EC1B72" w:rsidRPr="000F3381" w:rsidRDefault="00EC1B72" w:rsidP="00C47A9B">
            <w:pPr>
              <w:spacing w:after="0" w:line="240" w:lineRule="auto"/>
              <w:rPr>
                <w:rFonts w:asciiTheme="minorHAnsi" w:hAnsiTheme="minorHAnsi" w:cstheme="minorHAnsi"/>
                <w:b/>
                <w:bCs/>
                <w:i/>
                <w:iCs/>
                <w:color w:val="000000"/>
              </w:rPr>
            </w:pPr>
            <w:r w:rsidRPr="000F3381">
              <w:rPr>
                <w:rFonts w:asciiTheme="minorHAnsi" w:hAnsiTheme="minorHAnsi" w:cstheme="minorHAnsi"/>
                <w:b/>
                <w:bCs/>
                <w:i/>
                <w:iCs/>
                <w:color w:val="000000"/>
              </w:rPr>
              <w:t>Publics</w:t>
            </w:r>
          </w:p>
        </w:tc>
        <w:tc>
          <w:tcPr>
            <w:tcW w:w="2992" w:type="dxa"/>
            <w:tcBorders>
              <w:top w:val="nil"/>
              <w:left w:val="nil"/>
              <w:bottom w:val="single" w:sz="4" w:space="0" w:color="auto"/>
              <w:right w:val="single" w:sz="4" w:space="0" w:color="auto"/>
            </w:tcBorders>
            <w:shd w:val="clear" w:color="000000" w:fill="BFBFBF"/>
            <w:noWrap/>
            <w:vAlign w:val="bottom"/>
            <w:hideMark/>
          </w:tcPr>
          <w:p w:rsidR="00EC1B72" w:rsidRPr="000F3381" w:rsidRDefault="00EC1B72" w:rsidP="00C47A9B">
            <w:pPr>
              <w:spacing w:after="0" w:line="240" w:lineRule="auto"/>
              <w:jc w:val="right"/>
              <w:rPr>
                <w:rFonts w:asciiTheme="minorHAnsi" w:hAnsiTheme="minorHAnsi" w:cstheme="minorHAnsi"/>
                <w:b/>
                <w:bCs/>
                <w:i/>
                <w:iCs/>
                <w:color w:val="000000"/>
              </w:rPr>
            </w:pPr>
            <w:r w:rsidRPr="000F3381">
              <w:rPr>
                <w:rFonts w:asciiTheme="minorHAnsi" w:hAnsiTheme="minorHAnsi" w:cstheme="minorHAnsi"/>
                <w:b/>
                <w:bCs/>
                <w:i/>
                <w:iCs/>
                <w:color w:val="000000"/>
              </w:rPr>
              <w:t>8 353,059</w:t>
            </w:r>
          </w:p>
        </w:tc>
        <w:tc>
          <w:tcPr>
            <w:tcW w:w="2159" w:type="dxa"/>
            <w:tcBorders>
              <w:top w:val="nil"/>
              <w:left w:val="nil"/>
              <w:bottom w:val="single" w:sz="4" w:space="0" w:color="auto"/>
              <w:right w:val="single" w:sz="4" w:space="0" w:color="auto"/>
            </w:tcBorders>
            <w:shd w:val="clear" w:color="000000" w:fill="BFBFBF"/>
            <w:noWrap/>
            <w:vAlign w:val="bottom"/>
            <w:hideMark/>
          </w:tcPr>
          <w:p w:rsidR="00EC1B72" w:rsidRPr="000F3381" w:rsidRDefault="00EC1B72" w:rsidP="00C47A9B">
            <w:pPr>
              <w:spacing w:after="0" w:line="240" w:lineRule="auto"/>
              <w:jc w:val="right"/>
              <w:rPr>
                <w:rFonts w:asciiTheme="minorHAnsi" w:hAnsiTheme="minorHAnsi" w:cstheme="minorHAnsi"/>
                <w:b/>
                <w:bCs/>
                <w:i/>
                <w:iCs/>
                <w:color w:val="000000"/>
              </w:rPr>
            </w:pPr>
            <w:r w:rsidRPr="000F3381">
              <w:rPr>
                <w:rFonts w:asciiTheme="minorHAnsi" w:hAnsiTheme="minorHAnsi" w:cstheme="minorHAnsi"/>
                <w:b/>
                <w:bCs/>
                <w:i/>
                <w:iCs/>
                <w:color w:val="000000"/>
              </w:rPr>
              <w:t>45,60%</w:t>
            </w:r>
          </w:p>
        </w:tc>
      </w:tr>
      <w:tr w:rsidR="00EC1B72" w:rsidRPr="000F3381" w:rsidTr="00636D88">
        <w:trPr>
          <w:trHeight w:val="267"/>
        </w:trPr>
        <w:tc>
          <w:tcPr>
            <w:tcW w:w="4242" w:type="dxa"/>
            <w:tcBorders>
              <w:top w:val="nil"/>
              <w:left w:val="single" w:sz="4" w:space="0" w:color="auto"/>
              <w:bottom w:val="single" w:sz="4" w:space="0" w:color="auto"/>
              <w:right w:val="single" w:sz="4" w:space="0" w:color="auto"/>
            </w:tcBorders>
            <w:shd w:val="clear" w:color="auto" w:fill="auto"/>
            <w:noWrap/>
            <w:vAlign w:val="bottom"/>
            <w:hideMark/>
          </w:tcPr>
          <w:p w:rsidR="00EC1B72" w:rsidRPr="000F3381" w:rsidRDefault="00EC1B72" w:rsidP="00C47A9B">
            <w:pPr>
              <w:spacing w:after="0" w:line="240" w:lineRule="auto"/>
              <w:rPr>
                <w:rFonts w:asciiTheme="minorHAnsi" w:hAnsiTheme="minorHAnsi" w:cstheme="minorHAnsi"/>
                <w:color w:val="000000"/>
              </w:rPr>
            </w:pPr>
            <w:r w:rsidRPr="000F3381">
              <w:rPr>
                <w:rFonts w:asciiTheme="minorHAnsi" w:hAnsiTheme="minorHAnsi" w:cstheme="minorHAnsi"/>
                <w:color w:val="000000"/>
              </w:rPr>
              <w:t xml:space="preserve">     - Multilatéraux</w:t>
            </w:r>
          </w:p>
        </w:tc>
        <w:tc>
          <w:tcPr>
            <w:tcW w:w="2992" w:type="dxa"/>
            <w:tcBorders>
              <w:top w:val="nil"/>
              <w:left w:val="nil"/>
              <w:bottom w:val="single" w:sz="4" w:space="0" w:color="auto"/>
              <w:right w:val="single" w:sz="4" w:space="0" w:color="auto"/>
            </w:tcBorders>
            <w:shd w:val="clear" w:color="auto" w:fill="auto"/>
            <w:noWrap/>
            <w:vAlign w:val="bottom"/>
            <w:hideMark/>
          </w:tcPr>
          <w:p w:rsidR="00EC1B72" w:rsidRPr="000F3381" w:rsidRDefault="00EC1B72" w:rsidP="00C47A9B">
            <w:pPr>
              <w:spacing w:after="0" w:line="240" w:lineRule="auto"/>
              <w:jc w:val="right"/>
              <w:rPr>
                <w:rFonts w:asciiTheme="minorHAnsi" w:hAnsiTheme="minorHAnsi" w:cstheme="minorHAnsi"/>
                <w:color w:val="000000"/>
              </w:rPr>
            </w:pPr>
            <w:r w:rsidRPr="000F3381">
              <w:rPr>
                <w:rFonts w:asciiTheme="minorHAnsi" w:hAnsiTheme="minorHAnsi" w:cstheme="minorHAnsi"/>
                <w:color w:val="000000"/>
              </w:rPr>
              <w:t>7 294,400</w:t>
            </w:r>
          </w:p>
        </w:tc>
        <w:tc>
          <w:tcPr>
            <w:tcW w:w="2159" w:type="dxa"/>
            <w:tcBorders>
              <w:top w:val="nil"/>
              <w:left w:val="nil"/>
              <w:bottom w:val="single" w:sz="4" w:space="0" w:color="auto"/>
              <w:right w:val="single" w:sz="4" w:space="0" w:color="auto"/>
            </w:tcBorders>
            <w:shd w:val="clear" w:color="auto" w:fill="auto"/>
            <w:noWrap/>
            <w:vAlign w:val="bottom"/>
            <w:hideMark/>
          </w:tcPr>
          <w:p w:rsidR="00EC1B72" w:rsidRPr="000F3381" w:rsidRDefault="00EC1B72" w:rsidP="00C47A9B">
            <w:pPr>
              <w:spacing w:after="0" w:line="240" w:lineRule="auto"/>
              <w:jc w:val="right"/>
              <w:rPr>
                <w:rFonts w:asciiTheme="minorHAnsi" w:hAnsiTheme="minorHAnsi" w:cstheme="minorHAnsi"/>
                <w:color w:val="000000"/>
              </w:rPr>
            </w:pPr>
            <w:r w:rsidRPr="000F3381">
              <w:rPr>
                <w:rFonts w:asciiTheme="minorHAnsi" w:hAnsiTheme="minorHAnsi" w:cstheme="minorHAnsi"/>
                <w:color w:val="000000"/>
              </w:rPr>
              <w:t>87,33%</w:t>
            </w:r>
          </w:p>
        </w:tc>
      </w:tr>
      <w:tr w:rsidR="00EC1B72" w:rsidRPr="000F3381" w:rsidTr="00636D88">
        <w:trPr>
          <w:trHeight w:val="267"/>
        </w:trPr>
        <w:tc>
          <w:tcPr>
            <w:tcW w:w="4242" w:type="dxa"/>
            <w:tcBorders>
              <w:top w:val="nil"/>
              <w:left w:val="single" w:sz="4" w:space="0" w:color="auto"/>
              <w:bottom w:val="single" w:sz="4" w:space="0" w:color="auto"/>
              <w:right w:val="single" w:sz="4" w:space="0" w:color="auto"/>
            </w:tcBorders>
            <w:shd w:val="clear" w:color="auto" w:fill="auto"/>
            <w:noWrap/>
            <w:vAlign w:val="bottom"/>
            <w:hideMark/>
          </w:tcPr>
          <w:p w:rsidR="00EC1B72" w:rsidRPr="000F3381" w:rsidRDefault="00EC1B72" w:rsidP="00C47A9B">
            <w:pPr>
              <w:spacing w:after="0" w:line="240" w:lineRule="auto"/>
              <w:rPr>
                <w:rFonts w:asciiTheme="minorHAnsi" w:hAnsiTheme="minorHAnsi" w:cstheme="minorHAnsi"/>
                <w:color w:val="000000"/>
              </w:rPr>
            </w:pPr>
            <w:r w:rsidRPr="000F3381">
              <w:rPr>
                <w:rFonts w:asciiTheme="minorHAnsi" w:hAnsiTheme="minorHAnsi" w:cstheme="minorHAnsi"/>
                <w:color w:val="000000"/>
              </w:rPr>
              <w:t xml:space="preserve">     - Bilatéraux</w:t>
            </w:r>
          </w:p>
        </w:tc>
        <w:tc>
          <w:tcPr>
            <w:tcW w:w="2992" w:type="dxa"/>
            <w:tcBorders>
              <w:top w:val="nil"/>
              <w:left w:val="nil"/>
              <w:bottom w:val="single" w:sz="4" w:space="0" w:color="auto"/>
              <w:right w:val="single" w:sz="4" w:space="0" w:color="auto"/>
            </w:tcBorders>
            <w:shd w:val="clear" w:color="auto" w:fill="auto"/>
            <w:noWrap/>
            <w:vAlign w:val="bottom"/>
            <w:hideMark/>
          </w:tcPr>
          <w:p w:rsidR="00EC1B72" w:rsidRPr="000F3381" w:rsidRDefault="00EC1B72" w:rsidP="00C47A9B">
            <w:pPr>
              <w:spacing w:after="0" w:line="240" w:lineRule="auto"/>
              <w:jc w:val="right"/>
              <w:rPr>
                <w:rFonts w:asciiTheme="minorHAnsi" w:hAnsiTheme="minorHAnsi" w:cstheme="minorHAnsi"/>
                <w:color w:val="000000"/>
              </w:rPr>
            </w:pPr>
            <w:r w:rsidRPr="000F3381">
              <w:rPr>
                <w:rFonts w:asciiTheme="minorHAnsi" w:hAnsiTheme="minorHAnsi" w:cstheme="minorHAnsi"/>
                <w:color w:val="000000"/>
              </w:rPr>
              <w:t>1 058,659</w:t>
            </w:r>
          </w:p>
        </w:tc>
        <w:tc>
          <w:tcPr>
            <w:tcW w:w="2159" w:type="dxa"/>
            <w:tcBorders>
              <w:top w:val="nil"/>
              <w:left w:val="nil"/>
              <w:bottom w:val="single" w:sz="4" w:space="0" w:color="auto"/>
              <w:right w:val="single" w:sz="4" w:space="0" w:color="auto"/>
            </w:tcBorders>
            <w:shd w:val="clear" w:color="auto" w:fill="auto"/>
            <w:noWrap/>
            <w:vAlign w:val="bottom"/>
            <w:hideMark/>
          </w:tcPr>
          <w:p w:rsidR="00EC1B72" w:rsidRPr="000F3381" w:rsidRDefault="00EC1B72" w:rsidP="00C47A9B">
            <w:pPr>
              <w:spacing w:after="0" w:line="240" w:lineRule="auto"/>
              <w:jc w:val="right"/>
              <w:rPr>
                <w:rFonts w:asciiTheme="minorHAnsi" w:hAnsiTheme="minorHAnsi" w:cstheme="minorHAnsi"/>
                <w:color w:val="000000"/>
              </w:rPr>
            </w:pPr>
            <w:r w:rsidRPr="000F3381">
              <w:rPr>
                <w:rFonts w:asciiTheme="minorHAnsi" w:hAnsiTheme="minorHAnsi" w:cstheme="minorHAnsi"/>
                <w:color w:val="000000"/>
              </w:rPr>
              <w:t>12,67%</w:t>
            </w:r>
          </w:p>
        </w:tc>
      </w:tr>
      <w:tr w:rsidR="00EC1B72" w:rsidRPr="000F3381" w:rsidTr="00636D88">
        <w:trPr>
          <w:trHeight w:val="267"/>
        </w:trPr>
        <w:tc>
          <w:tcPr>
            <w:tcW w:w="4242" w:type="dxa"/>
            <w:tcBorders>
              <w:top w:val="nil"/>
              <w:left w:val="single" w:sz="4" w:space="0" w:color="auto"/>
              <w:bottom w:val="single" w:sz="4" w:space="0" w:color="auto"/>
              <w:right w:val="single" w:sz="4" w:space="0" w:color="auto"/>
            </w:tcBorders>
            <w:shd w:val="clear" w:color="000000" w:fill="BFBFBF"/>
            <w:noWrap/>
            <w:vAlign w:val="bottom"/>
            <w:hideMark/>
          </w:tcPr>
          <w:p w:rsidR="00EC1B72" w:rsidRPr="000F3381" w:rsidRDefault="00EC1B72" w:rsidP="00C47A9B">
            <w:pPr>
              <w:spacing w:after="0" w:line="240" w:lineRule="auto"/>
              <w:rPr>
                <w:rFonts w:asciiTheme="minorHAnsi" w:hAnsiTheme="minorHAnsi" w:cstheme="minorHAnsi"/>
                <w:b/>
                <w:bCs/>
                <w:i/>
                <w:iCs/>
                <w:color w:val="000000"/>
              </w:rPr>
            </w:pPr>
            <w:r w:rsidRPr="000F3381">
              <w:rPr>
                <w:rFonts w:asciiTheme="minorHAnsi" w:hAnsiTheme="minorHAnsi" w:cstheme="minorHAnsi"/>
                <w:b/>
                <w:bCs/>
                <w:i/>
                <w:iCs/>
                <w:color w:val="000000"/>
              </w:rPr>
              <w:t>Privés</w:t>
            </w:r>
          </w:p>
        </w:tc>
        <w:tc>
          <w:tcPr>
            <w:tcW w:w="2992" w:type="dxa"/>
            <w:tcBorders>
              <w:top w:val="nil"/>
              <w:left w:val="nil"/>
              <w:bottom w:val="single" w:sz="4" w:space="0" w:color="auto"/>
              <w:right w:val="single" w:sz="4" w:space="0" w:color="auto"/>
            </w:tcBorders>
            <w:shd w:val="clear" w:color="000000" w:fill="BFBFBF"/>
            <w:noWrap/>
            <w:vAlign w:val="bottom"/>
            <w:hideMark/>
          </w:tcPr>
          <w:p w:rsidR="00EC1B72" w:rsidRPr="000F3381" w:rsidRDefault="00EC1B72" w:rsidP="00C47A9B">
            <w:pPr>
              <w:spacing w:after="0" w:line="240" w:lineRule="auto"/>
              <w:jc w:val="right"/>
              <w:rPr>
                <w:rFonts w:asciiTheme="minorHAnsi" w:hAnsiTheme="minorHAnsi" w:cstheme="minorHAnsi"/>
                <w:b/>
                <w:bCs/>
                <w:i/>
                <w:iCs/>
                <w:color w:val="000000"/>
              </w:rPr>
            </w:pPr>
            <w:r w:rsidRPr="000F3381">
              <w:rPr>
                <w:rFonts w:asciiTheme="minorHAnsi" w:hAnsiTheme="minorHAnsi" w:cstheme="minorHAnsi"/>
                <w:b/>
                <w:bCs/>
                <w:i/>
                <w:iCs/>
                <w:color w:val="000000"/>
              </w:rPr>
              <w:t>9 965,625</w:t>
            </w:r>
          </w:p>
        </w:tc>
        <w:tc>
          <w:tcPr>
            <w:tcW w:w="2159" w:type="dxa"/>
            <w:tcBorders>
              <w:top w:val="nil"/>
              <w:left w:val="nil"/>
              <w:bottom w:val="single" w:sz="4" w:space="0" w:color="auto"/>
              <w:right w:val="single" w:sz="4" w:space="0" w:color="auto"/>
            </w:tcBorders>
            <w:shd w:val="clear" w:color="000000" w:fill="BFBFBF"/>
            <w:noWrap/>
            <w:vAlign w:val="bottom"/>
            <w:hideMark/>
          </w:tcPr>
          <w:p w:rsidR="00EC1B72" w:rsidRPr="000F3381" w:rsidRDefault="00EC1B72" w:rsidP="00C47A9B">
            <w:pPr>
              <w:spacing w:after="0" w:line="240" w:lineRule="auto"/>
              <w:jc w:val="right"/>
              <w:rPr>
                <w:rFonts w:asciiTheme="minorHAnsi" w:hAnsiTheme="minorHAnsi" w:cstheme="minorHAnsi"/>
                <w:b/>
                <w:bCs/>
                <w:i/>
                <w:iCs/>
                <w:color w:val="000000"/>
              </w:rPr>
            </w:pPr>
            <w:r w:rsidRPr="000F3381">
              <w:rPr>
                <w:rFonts w:asciiTheme="minorHAnsi" w:hAnsiTheme="minorHAnsi" w:cstheme="minorHAnsi"/>
                <w:b/>
                <w:bCs/>
                <w:i/>
                <w:iCs/>
                <w:color w:val="000000"/>
              </w:rPr>
              <w:t>54,40%</w:t>
            </w:r>
          </w:p>
        </w:tc>
      </w:tr>
      <w:tr w:rsidR="00EC1B72" w:rsidRPr="000F3381" w:rsidTr="00636D88">
        <w:trPr>
          <w:trHeight w:val="267"/>
        </w:trPr>
        <w:tc>
          <w:tcPr>
            <w:tcW w:w="4242" w:type="dxa"/>
            <w:tcBorders>
              <w:top w:val="nil"/>
              <w:left w:val="single" w:sz="4" w:space="0" w:color="auto"/>
              <w:bottom w:val="single" w:sz="4" w:space="0" w:color="auto"/>
              <w:right w:val="single" w:sz="4" w:space="0" w:color="auto"/>
            </w:tcBorders>
            <w:shd w:val="clear" w:color="auto" w:fill="auto"/>
            <w:noWrap/>
            <w:vAlign w:val="bottom"/>
            <w:hideMark/>
          </w:tcPr>
          <w:p w:rsidR="00EC1B72" w:rsidRPr="000F3381" w:rsidRDefault="00EC1B72" w:rsidP="00C47A9B">
            <w:pPr>
              <w:spacing w:after="0" w:line="240" w:lineRule="auto"/>
              <w:rPr>
                <w:rFonts w:asciiTheme="minorHAnsi" w:hAnsiTheme="minorHAnsi" w:cstheme="minorHAnsi"/>
                <w:color w:val="000000"/>
              </w:rPr>
            </w:pPr>
            <w:r w:rsidRPr="000F3381">
              <w:rPr>
                <w:rFonts w:asciiTheme="minorHAnsi" w:hAnsiTheme="minorHAnsi" w:cstheme="minorHAnsi"/>
                <w:color w:val="000000"/>
              </w:rPr>
              <w:t> </w:t>
            </w:r>
          </w:p>
        </w:tc>
        <w:tc>
          <w:tcPr>
            <w:tcW w:w="2992" w:type="dxa"/>
            <w:tcBorders>
              <w:top w:val="nil"/>
              <w:left w:val="nil"/>
              <w:bottom w:val="single" w:sz="4" w:space="0" w:color="auto"/>
              <w:right w:val="single" w:sz="4" w:space="0" w:color="auto"/>
            </w:tcBorders>
            <w:shd w:val="clear" w:color="auto" w:fill="auto"/>
            <w:noWrap/>
            <w:vAlign w:val="bottom"/>
            <w:hideMark/>
          </w:tcPr>
          <w:p w:rsidR="00EC1B72" w:rsidRPr="000F3381" w:rsidRDefault="00EC1B72" w:rsidP="00C47A9B">
            <w:pPr>
              <w:spacing w:after="0" w:line="240" w:lineRule="auto"/>
              <w:rPr>
                <w:rFonts w:asciiTheme="minorHAnsi" w:hAnsiTheme="minorHAnsi" w:cstheme="minorHAnsi"/>
                <w:color w:val="000000"/>
              </w:rPr>
            </w:pPr>
            <w:r w:rsidRPr="000F3381">
              <w:rPr>
                <w:rFonts w:asciiTheme="minorHAnsi" w:hAnsiTheme="minorHAnsi" w:cstheme="minorHAnsi"/>
                <w:color w:val="000000"/>
              </w:rPr>
              <w:t> </w:t>
            </w:r>
          </w:p>
        </w:tc>
        <w:tc>
          <w:tcPr>
            <w:tcW w:w="2159" w:type="dxa"/>
            <w:tcBorders>
              <w:top w:val="nil"/>
              <w:left w:val="nil"/>
              <w:bottom w:val="single" w:sz="4" w:space="0" w:color="auto"/>
              <w:right w:val="single" w:sz="4" w:space="0" w:color="auto"/>
            </w:tcBorders>
            <w:shd w:val="clear" w:color="auto" w:fill="auto"/>
            <w:noWrap/>
            <w:vAlign w:val="bottom"/>
            <w:hideMark/>
          </w:tcPr>
          <w:p w:rsidR="00EC1B72" w:rsidRPr="000F3381" w:rsidRDefault="00EC1B72" w:rsidP="00C47A9B">
            <w:pPr>
              <w:spacing w:after="0" w:line="240" w:lineRule="auto"/>
              <w:rPr>
                <w:rFonts w:asciiTheme="minorHAnsi" w:hAnsiTheme="minorHAnsi" w:cstheme="minorHAnsi"/>
                <w:color w:val="000000"/>
              </w:rPr>
            </w:pPr>
            <w:r w:rsidRPr="000F3381">
              <w:rPr>
                <w:rFonts w:asciiTheme="minorHAnsi" w:hAnsiTheme="minorHAnsi" w:cstheme="minorHAnsi"/>
                <w:color w:val="000000"/>
              </w:rPr>
              <w:t> </w:t>
            </w:r>
          </w:p>
        </w:tc>
      </w:tr>
      <w:tr w:rsidR="00EC1B72" w:rsidRPr="000F3381" w:rsidTr="00636D88">
        <w:trPr>
          <w:trHeight w:val="267"/>
        </w:trPr>
        <w:tc>
          <w:tcPr>
            <w:tcW w:w="4242" w:type="dxa"/>
            <w:tcBorders>
              <w:top w:val="nil"/>
              <w:left w:val="single" w:sz="4" w:space="0" w:color="auto"/>
              <w:bottom w:val="single" w:sz="4" w:space="0" w:color="auto"/>
              <w:right w:val="single" w:sz="4" w:space="0" w:color="auto"/>
            </w:tcBorders>
            <w:shd w:val="clear" w:color="000000" w:fill="A6A6A6"/>
            <w:noWrap/>
            <w:vAlign w:val="bottom"/>
            <w:hideMark/>
          </w:tcPr>
          <w:p w:rsidR="00EC1B72" w:rsidRPr="000F3381" w:rsidRDefault="00EC1B72" w:rsidP="00C47A9B">
            <w:pPr>
              <w:spacing w:after="0" w:line="240" w:lineRule="auto"/>
              <w:rPr>
                <w:rFonts w:asciiTheme="minorHAnsi" w:hAnsiTheme="minorHAnsi" w:cstheme="minorHAnsi"/>
                <w:b/>
                <w:bCs/>
                <w:color w:val="000000"/>
              </w:rPr>
            </w:pPr>
            <w:r w:rsidRPr="000F3381">
              <w:rPr>
                <w:rFonts w:asciiTheme="minorHAnsi" w:hAnsiTheme="minorHAnsi" w:cstheme="minorHAnsi"/>
                <w:b/>
                <w:bCs/>
                <w:color w:val="000000"/>
              </w:rPr>
              <w:t>Total</w:t>
            </w:r>
          </w:p>
        </w:tc>
        <w:tc>
          <w:tcPr>
            <w:tcW w:w="2992" w:type="dxa"/>
            <w:tcBorders>
              <w:top w:val="nil"/>
              <w:left w:val="nil"/>
              <w:bottom w:val="single" w:sz="4" w:space="0" w:color="auto"/>
              <w:right w:val="single" w:sz="4" w:space="0" w:color="auto"/>
            </w:tcBorders>
            <w:shd w:val="clear" w:color="000000" w:fill="A6A6A6"/>
            <w:noWrap/>
            <w:vAlign w:val="bottom"/>
            <w:hideMark/>
          </w:tcPr>
          <w:p w:rsidR="00EC1B72" w:rsidRPr="000F3381" w:rsidRDefault="00EC1B72" w:rsidP="00C47A9B">
            <w:pPr>
              <w:spacing w:after="0" w:line="240" w:lineRule="auto"/>
              <w:jc w:val="right"/>
              <w:rPr>
                <w:rFonts w:asciiTheme="minorHAnsi" w:hAnsiTheme="minorHAnsi" w:cstheme="minorHAnsi"/>
                <w:b/>
                <w:bCs/>
                <w:color w:val="000000"/>
              </w:rPr>
            </w:pPr>
            <w:r w:rsidRPr="000F3381">
              <w:rPr>
                <w:rFonts w:asciiTheme="minorHAnsi" w:hAnsiTheme="minorHAnsi" w:cstheme="minorHAnsi"/>
                <w:b/>
                <w:bCs/>
                <w:color w:val="000000"/>
              </w:rPr>
              <w:t>18 318,684</w:t>
            </w:r>
          </w:p>
        </w:tc>
        <w:tc>
          <w:tcPr>
            <w:tcW w:w="2159" w:type="dxa"/>
            <w:tcBorders>
              <w:top w:val="nil"/>
              <w:left w:val="nil"/>
              <w:bottom w:val="single" w:sz="4" w:space="0" w:color="auto"/>
              <w:right w:val="single" w:sz="4" w:space="0" w:color="auto"/>
            </w:tcBorders>
            <w:shd w:val="clear" w:color="000000" w:fill="A6A6A6"/>
            <w:noWrap/>
            <w:vAlign w:val="bottom"/>
            <w:hideMark/>
          </w:tcPr>
          <w:p w:rsidR="00EC1B72" w:rsidRPr="000F3381" w:rsidRDefault="00EC1B72" w:rsidP="00C47A9B">
            <w:pPr>
              <w:spacing w:after="0" w:line="240" w:lineRule="auto"/>
              <w:jc w:val="right"/>
              <w:rPr>
                <w:rFonts w:asciiTheme="minorHAnsi" w:hAnsiTheme="minorHAnsi" w:cstheme="minorHAnsi"/>
                <w:b/>
                <w:bCs/>
                <w:color w:val="000000"/>
              </w:rPr>
            </w:pPr>
            <w:r w:rsidRPr="000F3381">
              <w:rPr>
                <w:rFonts w:asciiTheme="minorHAnsi" w:hAnsiTheme="minorHAnsi" w:cstheme="minorHAnsi"/>
                <w:b/>
                <w:bCs/>
                <w:color w:val="000000"/>
              </w:rPr>
              <w:t>100,00%</w:t>
            </w:r>
          </w:p>
        </w:tc>
      </w:tr>
    </w:tbl>
    <w:p w:rsidR="00EC1B72" w:rsidRDefault="00EC1B72" w:rsidP="000F3381">
      <w:pPr>
        <w:tabs>
          <w:tab w:val="left" w:pos="540"/>
        </w:tabs>
        <w:jc w:val="both"/>
        <w:rPr>
          <w:rFonts w:ascii="Arial" w:hAnsi="Arial" w:cs="Arial"/>
          <w:b/>
          <w:i/>
        </w:rPr>
      </w:pPr>
      <w:r w:rsidRPr="00C107B9">
        <w:rPr>
          <w:rFonts w:ascii="Arial" w:hAnsi="Arial" w:cs="Arial"/>
          <w:b/>
          <w:i/>
          <w:u w:val="single"/>
        </w:rPr>
        <w:t>Source :</w:t>
      </w:r>
      <w:r w:rsidRPr="002B4C0A">
        <w:rPr>
          <w:rFonts w:ascii="Arial" w:hAnsi="Arial" w:cs="Arial"/>
          <w:b/>
          <w:i/>
        </w:rPr>
        <w:t xml:space="preserve"> </w:t>
      </w:r>
      <w:r w:rsidRPr="00F938B3">
        <w:rPr>
          <w:rFonts w:ascii="Arial" w:hAnsi="Arial" w:cs="Arial"/>
          <w:i/>
        </w:rPr>
        <w:t>Rapport général de la Conférence de Paris, Mars 2017</w:t>
      </w:r>
    </w:p>
    <w:p w:rsidR="000F3381" w:rsidRDefault="000F3381" w:rsidP="000F3381">
      <w:pPr>
        <w:tabs>
          <w:tab w:val="left" w:pos="540"/>
        </w:tabs>
        <w:jc w:val="both"/>
        <w:rPr>
          <w:rFonts w:ascii="Arial" w:hAnsi="Arial" w:cs="Arial"/>
          <w:b/>
          <w:i/>
        </w:rPr>
      </w:pPr>
    </w:p>
    <w:p w:rsidR="006D4E7D" w:rsidRPr="000F3381" w:rsidRDefault="006D4E7D" w:rsidP="000F3381">
      <w:pPr>
        <w:tabs>
          <w:tab w:val="left" w:pos="540"/>
        </w:tabs>
        <w:jc w:val="both"/>
        <w:rPr>
          <w:rFonts w:ascii="Arial" w:hAnsi="Arial" w:cs="Arial"/>
          <w:b/>
          <w:i/>
        </w:rPr>
      </w:pPr>
    </w:p>
    <w:p w:rsidR="00EC1B72" w:rsidRPr="00454C3F" w:rsidRDefault="00EC1B72" w:rsidP="00B92B11">
      <w:pPr>
        <w:pStyle w:val="Paragraphedeliste"/>
        <w:numPr>
          <w:ilvl w:val="0"/>
          <w:numId w:val="80"/>
        </w:numPr>
        <w:tabs>
          <w:tab w:val="left" w:pos="540"/>
        </w:tabs>
        <w:spacing w:after="160" w:line="259" w:lineRule="auto"/>
        <w:jc w:val="both"/>
        <w:rPr>
          <w:rFonts w:ascii="Arial" w:hAnsi="Arial" w:cs="Arial"/>
          <w:b/>
        </w:rPr>
      </w:pPr>
      <w:r w:rsidRPr="00454C3F">
        <w:rPr>
          <w:rFonts w:ascii="Arial" w:hAnsi="Arial" w:cs="Arial"/>
          <w:b/>
        </w:rPr>
        <w:lastRenderedPageBreak/>
        <w:t>Annonces du secteur public</w:t>
      </w:r>
    </w:p>
    <w:p w:rsidR="00EC1B72" w:rsidRPr="00454C3F" w:rsidRDefault="00EC1B72" w:rsidP="00EC1B72">
      <w:pPr>
        <w:tabs>
          <w:tab w:val="left" w:pos="540"/>
        </w:tabs>
        <w:spacing w:after="160" w:line="259" w:lineRule="auto"/>
        <w:jc w:val="both"/>
        <w:rPr>
          <w:rFonts w:ascii="Arial" w:hAnsi="Arial" w:cs="Arial"/>
        </w:rPr>
      </w:pPr>
      <w:r w:rsidRPr="00454C3F">
        <w:rPr>
          <w:rFonts w:ascii="Arial" w:hAnsi="Arial" w:cs="Arial"/>
        </w:rPr>
        <w:t>Dans le montant de 8 353,06 milliards de FCFA annoncé par les partenaires publics, la part revenant aux partenaires multilatéraux représente 87,3% tandis que celle des bilatéraux se situe à 12,7%.</w:t>
      </w:r>
    </w:p>
    <w:p w:rsidR="00EC1B72" w:rsidRPr="00454C3F" w:rsidRDefault="00EC1B72" w:rsidP="00EC1B72">
      <w:pPr>
        <w:tabs>
          <w:tab w:val="left" w:pos="540"/>
        </w:tabs>
        <w:spacing w:after="160" w:line="259" w:lineRule="auto"/>
        <w:jc w:val="both"/>
        <w:rPr>
          <w:rFonts w:ascii="Arial" w:hAnsi="Arial" w:cs="Arial"/>
        </w:rPr>
      </w:pPr>
      <w:r w:rsidRPr="00454C3F">
        <w:rPr>
          <w:rFonts w:ascii="Arial" w:hAnsi="Arial" w:cs="Arial"/>
        </w:rPr>
        <w:t>Les principaux partenaires multilatéraux qui ont fait des annonces sont la Banque Mondiale, la Banque Islamique de Développement (BID) et l’AFREXIMBANK. Ces trois partenaires cumulent plus de 52% des annonces des multilatéraux comme le montre le graphique suivant :</w:t>
      </w:r>
    </w:p>
    <w:p w:rsidR="00EC1B72" w:rsidRDefault="00F938B3" w:rsidP="00F938B3">
      <w:pPr>
        <w:pStyle w:val="Lgende"/>
        <w:rPr>
          <w:color w:val="auto"/>
          <w:u w:val="none"/>
        </w:rPr>
      </w:pPr>
      <w:bookmarkStart w:id="640" w:name="_Toc492895752"/>
      <w:r w:rsidRPr="00F938B3">
        <w:rPr>
          <w:color w:val="auto"/>
        </w:rPr>
        <w:t xml:space="preserve">Graphique </w:t>
      </w:r>
      <w:r w:rsidRPr="00F938B3">
        <w:rPr>
          <w:color w:val="auto"/>
        </w:rPr>
        <w:fldChar w:fldCharType="begin"/>
      </w:r>
      <w:r w:rsidRPr="00F938B3">
        <w:rPr>
          <w:color w:val="auto"/>
        </w:rPr>
        <w:instrText xml:space="preserve"> SEQ Graphique \* ARABIC </w:instrText>
      </w:r>
      <w:r w:rsidRPr="00F938B3">
        <w:rPr>
          <w:color w:val="auto"/>
        </w:rPr>
        <w:fldChar w:fldCharType="separate"/>
      </w:r>
      <w:r w:rsidR="009A1402">
        <w:rPr>
          <w:noProof/>
          <w:color w:val="auto"/>
        </w:rPr>
        <w:t>19</w:t>
      </w:r>
      <w:r w:rsidRPr="00F938B3">
        <w:rPr>
          <w:color w:val="auto"/>
        </w:rPr>
        <w:fldChar w:fldCharType="end"/>
      </w:r>
      <w:r w:rsidR="006D4E7D" w:rsidRPr="00F938B3">
        <w:rPr>
          <w:color w:val="auto"/>
        </w:rPr>
        <w:t xml:space="preserve"> : </w:t>
      </w:r>
      <w:r w:rsidR="00EC1B72" w:rsidRPr="00F938B3">
        <w:rPr>
          <w:color w:val="auto"/>
          <w:u w:val="none"/>
        </w:rPr>
        <w:t>Principaux partenaires multilatéraux ayant fait des annonces à la Conférence de Paris</w:t>
      </w:r>
      <w:bookmarkEnd w:id="640"/>
    </w:p>
    <w:p w:rsidR="004A7A16" w:rsidRPr="004A7A16" w:rsidRDefault="004A7A16" w:rsidP="004A7A16">
      <w:pPr>
        <w:rPr>
          <w:lang w:eastAsia="ar-SA"/>
        </w:rPr>
      </w:pPr>
    </w:p>
    <w:p w:rsidR="00EC1B72" w:rsidRPr="002B4C0A" w:rsidRDefault="004A7A16" w:rsidP="0074127E">
      <w:pPr>
        <w:tabs>
          <w:tab w:val="left" w:pos="540"/>
        </w:tabs>
        <w:spacing w:after="0"/>
        <w:jc w:val="both"/>
        <w:rPr>
          <w:rFonts w:ascii="Arial" w:hAnsi="Arial" w:cs="Arial"/>
        </w:rPr>
      </w:pPr>
      <w:r w:rsidRPr="002B4C0A">
        <w:rPr>
          <w:rFonts w:ascii="Arial" w:eastAsiaTheme="minorHAnsi" w:hAnsi="Arial" w:cs="Arial"/>
          <w:noProof/>
          <w:lang w:eastAsia="fr-FR"/>
        </w:rPr>
        <w:drawing>
          <wp:inline distT="0" distB="0" distL="0" distR="0" wp14:anchorId="52C677B5" wp14:editId="22EB3B1D">
            <wp:extent cx="5581935" cy="1924334"/>
            <wp:effectExtent l="0" t="0" r="19050" b="19050"/>
            <wp:docPr id="19" name="Graphique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EC1B72" w:rsidRPr="0074127E" w:rsidRDefault="00EC1B72" w:rsidP="00EC1B72">
      <w:pPr>
        <w:tabs>
          <w:tab w:val="left" w:pos="540"/>
        </w:tabs>
        <w:jc w:val="both"/>
        <w:rPr>
          <w:rFonts w:ascii="Arial" w:hAnsi="Arial" w:cs="Arial"/>
          <w:i/>
          <w:sz w:val="20"/>
          <w:szCs w:val="20"/>
        </w:rPr>
      </w:pPr>
      <w:r w:rsidRPr="0074127E">
        <w:rPr>
          <w:rFonts w:ascii="Arial" w:hAnsi="Arial" w:cs="Arial"/>
          <w:b/>
          <w:i/>
          <w:sz w:val="20"/>
          <w:szCs w:val="20"/>
          <w:u w:val="single"/>
        </w:rPr>
        <w:t>Source </w:t>
      </w:r>
      <w:r w:rsidRPr="0074127E">
        <w:rPr>
          <w:rFonts w:ascii="Arial" w:hAnsi="Arial" w:cs="Arial"/>
          <w:b/>
          <w:i/>
          <w:sz w:val="20"/>
          <w:szCs w:val="20"/>
        </w:rPr>
        <w:t xml:space="preserve">: </w:t>
      </w:r>
      <w:r w:rsidRPr="0074127E">
        <w:rPr>
          <w:rFonts w:ascii="Arial" w:hAnsi="Arial" w:cs="Arial"/>
          <w:i/>
          <w:sz w:val="20"/>
          <w:szCs w:val="20"/>
        </w:rPr>
        <w:t>Rapport général de la Conférence de Paris, Mars 2017</w:t>
      </w:r>
    </w:p>
    <w:p w:rsidR="00EC1B72" w:rsidRPr="00454C3F" w:rsidRDefault="00EC1B72" w:rsidP="00EC1B72">
      <w:pPr>
        <w:tabs>
          <w:tab w:val="left" w:pos="540"/>
        </w:tabs>
        <w:spacing w:after="160" w:line="259" w:lineRule="auto"/>
        <w:jc w:val="both"/>
        <w:rPr>
          <w:rFonts w:ascii="Arial" w:hAnsi="Arial" w:cs="Arial"/>
        </w:rPr>
      </w:pPr>
      <w:r w:rsidRPr="00454C3F">
        <w:rPr>
          <w:rFonts w:ascii="Arial" w:hAnsi="Arial" w:cs="Arial"/>
        </w:rPr>
        <w:t>Quant aux annonces des partenaires bilatéraux, on note que les partenaires qui ont fait les annonces les plus importantes sont les Etats-Unis et la France qui totalisent près de 57% du financement promis par les bilatéraux.</w:t>
      </w:r>
    </w:p>
    <w:p w:rsidR="00EC1B72" w:rsidRDefault="0074127E" w:rsidP="0074127E">
      <w:pPr>
        <w:pStyle w:val="Lgende"/>
        <w:rPr>
          <w:color w:val="auto"/>
          <w:u w:val="none"/>
        </w:rPr>
      </w:pPr>
      <w:bookmarkStart w:id="641" w:name="_Toc492895753"/>
      <w:r w:rsidRPr="0074127E">
        <w:rPr>
          <w:color w:val="auto"/>
        </w:rPr>
        <w:t xml:space="preserve">Graphique </w:t>
      </w:r>
      <w:r w:rsidRPr="0074127E">
        <w:rPr>
          <w:color w:val="auto"/>
        </w:rPr>
        <w:fldChar w:fldCharType="begin"/>
      </w:r>
      <w:r w:rsidRPr="0074127E">
        <w:rPr>
          <w:color w:val="auto"/>
        </w:rPr>
        <w:instrText xml:space="preserve"> SEQ Graphique \* ARABIC </w:instrText>
      </w:r>
      <w:r w:rsidRPr="0074127E">
        <w:rPr>
          <w:color w:val="auto"/>
        </w:rPr>
        <w:fldChar w:fldCharType="separate"/>
      </w:r>
      <w:r w:rsidR="009A1402">
        <w:rPr>
          <w:noProof/>
          <w:color w:val="auto"/>
        </w:rPr>
        <w:t>20</w:t>
      </w:r>
      <w:r w:rsidRPr="0074127E">
        <w:rPr>
          <w:color w:val="auto"/>
        </w:rPr>
        <w:fldChar w:fldCharType="end"/>
      </w:r>
      <w:r w:rsidR="00EC1B72" w:rsidRPr="0074127E">
        <w:rPr>
          <w:color w:val="auto"/>
        </w:rPr>
        <w:t xml:space="preserve"> : </w:t>
      </w:r>
      <w:r w:rsidR="00EC1B72" w:rsidRPr="0074127E">
        <w:rPr>
          <w:color w:val="auto"/>
          <w:u w:val="none"/>
        </w:rPr>
        <w:t>Principaux partenaires bilatéraux ayant fait des annonces à la Conférence de Paris</w:t>
      </w:r>
      <w:bookmarkEnd w:id="641"/>
    </w:p>
    <w:p w:rsidR="00275194" w:rsidRPr="00275194" w:rsidRDefault="00275194" w:rsidP="00275194">
      <w:pPr>
        <w:rPr>
          <w:lang w:eastAsia="ar-SA"/>
        </w:rPr>
      </w:pPr>
    </w:p>
    <w:p w:rsidR="00EC1B72" w:rsidRPr="002B4C0A" w:rsidRDefault="00275194" w:rsidP="0074127E">
      <w:pPr>
        <w:tabs>
          <w:tab w:val="left" w:pos="540"/>
        </w:tabs>
        <w:spacing w:after="0"/>
        <w:jc w:val="both"/>
        <w:rPr>
          <w:rFonts w:ascii="Arial" w:hAnsi="Arial" w:cs="Arial"/>
        </w:rPr>
      </w:pPr>
      <w:r w:rsidRPr="002B4C0A">
        <w:rPr>
          <w:rFonts w:ascii="Arial" w:eastAsiaTheme="minorHAnsi" w:hAnsi="Arial" w:cs="Arial"/>
          <w:noProof/>
          <w:lang w:eastAsia="fr-FR"/>
        </w:rPr>
        <w:drawing>
          <wp:inline distT="0" distB="0" distL="0" distR="0" wp14:anchorId="354791A4" wp14:editId="15AB0CB5">
            <wp:extent cx="5595257" cy="2275114"/>
            <wp:effectExtent l="0" t="0" r="24765" b="11430"/>
            <wp:docPr id="25" name="Graphique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EC1B72" w:rsidRDefault="00EC1B72" w:rsidP="00EC1B72">
      <w:pPr>
        <w:tabs>
          <w:tab w:val="left" w:pos="540"/>
        </w:tabs>
        <w:jc w:val="both"/>
        <w:rPr>
          <w:rFonts w:ascii="Arial" w:hAnsi="Arial" w:cs="Arial"/>
          <w:i/>
          <w:sz w:val="20"/>
          <w:szCs w:val="20"/>
        </w:rPr>
      </w:pPr>
      <w:r w:rsidRPr="0074127E">
        <w:rPr>
          <w:rFonts w:ascii="Arial" w:hAnsi="Arial" w:cs="Arial"/>
          <w:b/>
          <w:i/>
          <w:sz w:val="20"/>
          <w:szCs w:val="20"/>
          <w:u w:val="single"/>
        </w:rPr>
        <w:t xml:space="preserve">Source : </w:t>
      </w:r>
      <w:r w:rsidRPr="0074127E">
        <w:rPr>
          <w:rFonts w:ascii="Arial" w:hAnsi="Arial" w:cs="Arial"/>
          <w:i/>
          <w:sz w:val="20"/>
          <w:szCs w:val="20"/>
        </w:rPr>
        <w:t>Rapport général de la Conférence de Paris, Mars 2017</w:t>
      </w:r>
    </w:p>
    <w:p w:rsidR="009A5FE6" w:rsidRPr="0074127E" w:rsidRDefault="009A5FE6" w:rsidP="00EC1B72">
      <w:pPr>
        <w:tabs>
          <w:tab w:val="left" w:pos="540"/>
        </w:tabs>
        <w:jc w:val="both"/>
        <w:rPr>
          <w:rFonts w:ascii="Arial" w:hAnsi="Arial" w:cs="Arial"/>
          <w:b/>
          <w:i/>
          <w:sz w:val="20"/>
          <w:szCs w:val="20"/>
        </w:rPr>
      </w:pPr>
    </w:p>
    <w:p w:rsidR="00EC1B72" w:rsidRPr="00CC0CA9" w:rsidRDefault="00EC1B72" w:rsidP="00B92B11">
      <w:pPr>
        <w:pStyle w:val="Paragraphedeliste"/>
        <w:numPr>
          <w:ilvl w:val="0"/>
          <w:numId w:val="80"/>
        </w:numPr>
        <w:tabs>
          <w:tab w:val="left" w:pos="540"/>
        </w:tabs>
        <w:spacing w:after="160" w:line="259" w:lineRule="auto"/>
        <w:jc w:val="both"/>
        <w:rPr>
          <w:rFonts w:ascii="Arial" w:hAnsi="Arial" w:cs="Arial"/>
          <w:b/>
        </w:rPr>
      </w:pPr>
      <w:r w:rsidRPr="00CC0CA9">
        <w:rPr>
          <w:rFonts w:ascii="Arial" w:hAnsi="Arial" w:cs="Arial"/>
          <w:b/>
        </w:rPr>
        <w:t xml:space="preserve">Annonces du secteur privé </w:t>
      </w:r>
    </w:p>
    <w:p w:rsidR="00EC1B72" w:rsidRPr="00CC0CA9" w:rsidRDefault="00EC1B72" w:rsidP="00EC1B72">
      <w:pPr>
        <w:tabs>
          <w:tab w:val="left" w:pos="540"/>
        </w:tabs>
        <w:jc w:val="both"/>
        <w:rPr>
          <w:rFonts w:ascii="Arial" w:hAnsi="Arial" w:cs="Arial"/>
        </w:rPr>
      </w:pPr>
      <w:r w:rsidRPr="00CC0CA9">
        <w:rPr>
          <w:rFonts w:ascii="Arial" w:hAnsi="Arial" w:cs="Arial"/>
        </w:rPr>
        <w:lastRenderedPageBreak/>
        <w:t xml:space="preserve">Les annonces des partenaires privés se sont élevées à </w:t>
      </w:r>
      <w:r w:rsidRPr="00CC0CA9">
        <w:rPr>
          <w:rFonts w:ascii="Arial" w:hAnsi="Arial" w:cs="Arial"/>
          <w:bCs/>
        </w:rPr>
        <w:t xml:space="preserve">9965,625 milliards de FCFA. Ces annonces portent sur des intentions d’interventions dans les secteurs de </w:t>
      </w:r>
      <w:r w:rsidRPr="00CC0CA9">
        <w:rPr>
          <w:rFonts w:ascii="Arial" w:hAnsi="Arial" w:cs="Arial"/>
        </w:rPr>
        <w:t>l’énergie, l’habitat et l’urbanisme, les transports, l’agriculture, la santé, le capital humain, etc.</w:t>
      </w:r>
    </w:p>
    <w:p w:rsidR="00EC1B72" w:rsidRDefault="00EC1B72" w:rsidP="00EC1B72">
      <w:pPr>
        <w:tabs>
          <w:tab w:val="left" w:pos="540"/>
        </w:tabs>
        <w:jc w:val="both"/>
        <w:rPr>
          <w:rFonts w:ascii="Arial" w:hAnsi="Arial" w:cs="Arial"/>
        </w:rPr>
      </w:pPr>
      <w:r w:rsidRPr="00CC0CA9">
        <w:rPr>
          <w:rFonts w:ascii="Arial" w:hAnsi="Arial" w:cs="Arial"/>
        </w:rPr>
        <w:t>Les principaux partenaires qui ont fait des annonces à la conférence sont Groupe ALL, Investisseurs Turcs, l’Association Professionnelles des Banques et Etablissement Financiers (APBEF), AGI AFRIQUE et BONDA qui totalisent plus 54% des intentions exprimées. Parmi les partenaires privés qui ont fait des annonces figurent également des investisseurs burkin</w:t>
      </w:r>
      <w:r>
        <w:rPr>
          <w:rFonts w:ascii="Arial" w:hAnsi="Arial" w:cs="Arial"/>
        </w:rPr>
        <w:t>a</w:t>
      </w:r>
      <w:r w:rsidRPr="00CC0CA9">
        <w:rPr>
          <w:rFonts w:ascii="Arial" w:hAnsi="Arial" w:cs="Arial"/>
        </w:rPr>
        <w:t xml:space="preserve">bè dont les principaux sont : APBEF, </w:t>
      </w:r>
      <w:r>
        <w:rPr>
          <w:rFonts w:ascii="Arial" w:hAnsi="Arial" w:cs="Arial"/>
        </w:rPr>
        <w:t>CGE, Chambre de Mines du Burkina</w:t>
      </w:r>
      <w:r w:rsidRPr="00CC0CA9">
        <w:rPr>
          <w:rFonts w:ascii="Arial" w:hAnsi="Arial" w:cs="Arial"/>
        </w:rPr>
        <w:t xml:space="preserve"> (CMB), Coris Ban</w:t>
      </w:r>
      <w:r>
        <w:rPr>
          <w:rFonts w:ascii="Arial" w:hAnsi="Arial" w:cs="Arial"/>
        </w:rPr>
        <w:t>k international, Airtel, Sofnet</w:t>
      </w:r>
      <w:r w:rsidRPr="00CC0CA9">
        <w:rPr>
          <w:rFonts w:ascii="Arial" w:hAnsi="Arial" w:cs="Arial"/>
        </w:rPr>
        <w:t>.</w:t>
      </w:r>
    </w:p>
    <w:p w:rsidR="00EC1B72" w:rsidRPr="000F3381" w:rsidRDefault="00EC1B72" w:rsidP="00EC1B72">
      <w:pPr>
        <w:tabs>
          <w:tab w:val="left" w:pos="540"/>
        </w:tabs>
        <w:jc w:val="both"/>
        <w:rPr>
          <w:rFonts w:ascii="Arial" w:hAnsi="Arial" w:cs="Arial"/>
        </w:rPr>
      </w:pPr>
      <w:r w:rsidRPr="00874B63">
        <w:rPr>
          <w:rFonts w:ascii="Arial" w:hAnsi="Arial" w:cs="Arial"/>
        </w:rPr>
        <w:t>A la différence des annonces du secteur public, celles du privé seront mobilisés à travers des avis à manifestation d’intérêt que le Gouvernement lance au titre du Partenariat public-privé (PPP).</w:t>
      </w:r>
    </w:p>
    <w:p w:rsidR="00D60199" w:rsidRPr="0074127E" w:rsidRDefault="0074127E" w:rsidP="0074127E">
      <w:pPr>
        <w:pStyle w:val="Lgende"/>
        <w:rPr>
          <w:color w:val="auto"/>
        </w:rPr>
      </w:pPr>
      <w:bookmarkStart w:id="642" w:name="_Toc492895754"/>
      <w:r w:rsidRPr="0074127E">
        <w:rPr>
          <w:color w:val="auto"/>
        </w:rPr>
        <w:t xml:space="preserve">Graphique </w:t>
      </w:r>
      <w:r w:rsidRPr="0074127E">
        <w:rPr>
          <w:color w:val="auto"/>
        </w:rPr>
        <w:fldChar w:fldCharType="begin"/>
      </w:r>
      <w:r w:rsidRPr="0074127E">
        <w:rPr>
          <w:color w:val="auto"/>
        </w:rPr>
        <w:instrText xml:space="preserve"> SEQ Graphique \* ARABIC </w:instrText>
      </w:r>
      <w:r w:rsidRPr="0074127E">
        <w:rPr>
          <w:color w:val="auto"/>
        </w:rPr>
        <w:fldChar w:fldCharType="separate"/>
      </w:r>
      <w:r w:rsidR="009A1402">
        <w:rPr>
          <w:noProof/>
          <w:color w:val="auto"/>
        </w:rPr>
        <w:t>21</w:t>
      </w:r>
      <w:r w:rsidRPr="0074127E">
        <w:rPr>
          <w:color w:val="auto"/>
        </w:rPr>
        <w:fldChar w:fldCharType="end"/>
      </w:r>
      <w:r w:rsidR="00EC1B72" w:rsidRPr="0074127E">
        <w:rPr>
          <w:color w:val="auto"/>
        </w:rPr>
        <w:t xml:space="preserve"> : </w:t>
      </w:r>
      <w:r w:rsidR="00EC1B72" w:rsidRPr="0074127E">
        <w:rPr>
          <w:color w:val="auto"/>
          <w:u w:val="none"/>
        </w:rPr>
        <w:t>Répartition des partenaires privés</w:t>
      </w:r>
      <w:bookmarkEnd w:id="642"/>
      <w:r w:rsidR="00EC1B72" w:rsidRPr="0074127E">
        <w:rPr>
          <w:color w:val="auto"/>
        </w:rPr>
        <w:t xml:space="preserve"> </w:t>
      </w:r>
    </w:p>
    <w:p w:rsidR="00EC1B72" w:rsidRPr="002B4C0A" w:rsidRDefault="00E04796" w:rsidP="000F3381">
      <w:pPr>
        <w:pStyle w:val="Paragraphedeliste"/>
        <w:tabs>
          <w:tab w:val="left" w:pos="0"/>
        </w:tabs>
        <w:spacing w:after="0"/>
        <w:ind w:left="0"/>
        <w:jc w:val="both"/>
        <w:rPr>
          <w:rFonts w:ascii="Arial" w:hAnsi="Arial" w:cs="Arial"/>
          <w:color w:val="FF0000"/>
        </w:rPr>
      </w:pPr>
      <w:r w:rsidRPr="002B4C0A">
        <w:rPr>
          <w:rFonts w:ascii="Arial" w:hAnsi="Arial" w:cs="Arial"/>
          <w:noProof/>
          <w:lang w:eastAsia="fr-FR"/>
        </w:rPr>
        <w:drawing>
          <wp:inline distT="0" distB="0" distL="0" distR="0" wp14:anchorId="5E134435" wp14:editId="242C97E5">
            <wp:extent cx="5534168" cy="2122227"/>
            <wp:effectExtent l="0" t="0" r="9525" b="11430"/>
            <wp:docPr id="6" name="Graphique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C55273" w:rsidRPr="0074127E" w:rsidRDefault="00C55273" w:rsidP="00C55273">
      <w:pPr>
        <w:tabs>
          <w:tab w:val="left" w:pos="540"/>
        </w:tabs>
        <w:jc w:val="both"/>
        <w:rPr>
          <w:rFonts w:ascii="Arial" w:hAnsi="Arial" w:cs="Arial"/>
          <w:i/>
          <w:sz w:val="20"/>
          <w:szCs w:val="20"/>
        </w:rPr>
      </w:pPr>
      <w:r w:rsidRPr="0074127E">
        <w:rPr>
          <w:rFonts w:ascii="Arial" w:hAnsi="Arial" w:cs="Arial"/>
          <w:b/>
          <w:i/>
          <w:sz w:val="20"/>
          <w:szCs w:val="20"/>
          <w:u w:val="single"/>
        </w:rPr>
        <w:t xml:space="preserve">Source : </w:t>
      </w:r>
      <w:r w:rsidRPr="0074127E">
        <w:rPr>
          <w:rFonts w:ascii="Arial" w:hAnsi="Arial" w:cs="Arial"/>
          <w:i/>
          <w:sz w:val="20"/>
          <w:szCs w:val="20"/>
        </w:rPr>
        <w:t>Rapport général de la Conférence de Paris, Mars 2017</w:t>
      </w:r>
    </w:p>
    <w:p w:rsidR="00EC1B72" w:rsidRPr="0033650B" w:rsidRDefault="00EC1B72" w:rsidP="008D7758">
      <w:pPr>
        <w:pStyle w:val="Titre3"/>
        <w:numPr>
          <w:ilvl w:val="0"/>
          <w:numId w:val="115"/>
        </w:numPr>
        <w:ind w:left="1276" w:hanging="567"/>
      </w:pPr>
      <w:bookmarkStart w:id="643" w:name="_Toc492972245"/>
      <w:r w:rsidRPr="0033650B">
        <w:t>Concrétisation des annonces des partenaires</w:t>
      </w:r>
      <w:bookmarkEnd w:id="643"/>
    </w:p>
    <w:p w:rsidR="00EC1B72" w:rsidRPr="0087085F" w:rsidRDefault="00EC1B72" w:rsidP="00EC1B72">
      <w:pPr>
        <w:tabs>
          <w:tab w:val="left" w:pos="540"/>
        </w:tabs>
        <w:jc w:val="both"/>
        <w:rPr>
          <w:rFonts w:ascii="Arial" w:hAnsi="Arial" w:cs="Arial"/>
        </w:rPr>
      </w:pPr>
      <w:r w:rsidRPr="0087085F">
        <w:rPr>
          <w:rFonts w:ascii="Arial" w:hAnsi="Arial" w:cs="Arial"/>
        </w:rPr>
        <w:t>La concrétisation des annonces se fera à travers les consultations bilatérales, les tables sectorielles/thématiques, la signature des conventions et le PPP.</w:t>
      </w:r>
    </w:p>
    <w:p w:rsidR="00EC1B72" w:rsidRPr="0087085F" w:rsidRDefault="00EC1B72" w:rsidP="00EC1B72">
      <w:pPr>
        <w:pStyle w:val="Paragraphedeliste"/>
        <w:tabs>
          <w:tab w:val="left" w:pos="540"/>
          <w:tab w:val="left" w:pos="1141"/>
        </w:tabs>
        <w:jc w:val="both"/>
        <w:rPr>
          <w:rFonts w:ascii="Arial" w:hAnsi="Arial" w:cs="Arial"/>
        </w:rPr>
      </w:pPr>
      <w:r w:rsidRPr="0087085F">
        <w:rPr>
          <w:rFonts w:ascii="Arial" w:hAnsi="Arial" w:cs="Arial"/>
        </w:rPr>
        <w:tab/>
      </w:r>
    </w:p>
    <w:p w:rsidR="00EC1B72" w:rsidRPr="0087085F" w:rsidRDefault="00EC1B72" w:rsidP="00B92B11">
      <w:pPr>
        <w:pStyle w:val="Paragraphedeliste"/>
        <w:numPr>
          <w:ilvl w:val="3"/>
          <w:numId w:val="77"/>
        </w:numPr>
        <w:tabs>
          <w:tab w:val="left" w:pos="540"/>
        </w:tabs>
        <w:spacing w:after="0" w:line="240" w:lineRule="auto"/>
        <w:jc w:val="both"/>
        <w:rPr>
          <w:rFonts w:ascii="Arial" w:hAnsi="Arial" w:cs="Arial"/>
          <w:b/>
        </w:rPr>
      </w:pPr>
      <w:r w:rsidRPr="0087085F">
        <w:rPr>
          <w:rFonts w:ascii="Arial" w:hAnsi="Arial" w:cs="Arial"/>
          <w:b/>
        </w:rPr>
        <w:t xml:space="preserve">Consultations bilatérales avec les PTF </w:t>
      </w:r>
    </w:p>
    <w:p w:rsidR="00EC1B72" w:rsidRPr="0087085F" w:rsidRDefault="00EC1B72" w:rsidP="00EC1B72">
      <w:pPr>
        <w:tabs>
          <w:tab w:val="left" w:pos="540"/>
        </w:tabs>
        <w:jc w:val="both"/>
        <w:rPr>
          <w:rFonts w:ascii="Arial" w:hAnsi="Arial" w:cs="Arial"/>
        </w:rPr>
      </w:pPr>
    </w:p>
    <w:p w:rsidR="00EC1B72" w:rsidRDefault="00EC1B72" w:rsidP="00B92B11">
      <w:pPr>
        <w:pStyle w:val="Paragraphedeliste"/>
        <w:numPr>
          <w:ilvl w:val="0"/>
          <w:numId w:val="85"/>
        </w:numPr>
        <w:tabs>
          <w:tab w:val="left" w:pos="540"/>
        </w:tabs>
        <w:spacing w:before="120" w:after="120" w:line="240" w:lineRule="auto"/>
        <w:jc w:val="both"/>
        <w:rPr>
          <w:rFonts w:ascii="Arial" w:hAnsi="Arial" w:cs="Arial"/>
          <w:b/>
        </w:rPr>
      </w:pPr>
      <w:r w:rsidRPr="0087085F">
        <w:rPr>
          <w:rFonts w:ascii="Arial" w:hAnsi="Arial" w:cs="Arial"/>
          <w:b/>
        </w:rPr>
        <w:t xml:space="preserve">Les stratégies/programmes en cours de mise en œuvre </w:t>
      </w:r>
    </w:p>
    <w:p w:rsidR="00EC1B72" w:rsidRPr="0087085F" w:rsidRDefault="00EC1B72" w:rsidP="00EC1B72">
      <w:pPr>
        <w:pStyle w:val="Paragraphedeliste"/>
        <w:tabs>
          <w:tab w:val="left" w:pos="540"/>
        </w:tabs>
        <w:spacing w:before="120" w:after="120"/>
        <w:jc w:val="both"/>
        <w:rPr>
          <w:rFonts w:ascii="Arial" w:hAnsi="Arial" w:cs="Arial"/>
          <w:b/>
        </w:rPr>
      </w:pPr>
    </w:p>
    <w:p w:rsidR="00EC1B72" w:rsidRPr="0087085F" w:rsidRDefault="00EC1B72" w:rsidP="00B92B11">
      <w:pPr>
        <w:pStyle w:val="Paragraphedeliste"/>
        <w:numPr>
          <w:ilvl w:val="0"/>
          <w:numId w:val="82"/>
        </w:numPr>
        <w:spacing w:before="240" w:after="240" w:line="240" w:lineRule="auto"/>
        <w:jc w:val="both"/>
        <w:rPr>
          <w:rFonts w:ascii="Arial" w:hAnsi="Arial" w:cs="Arial"/>
          <w:b/>
        </w:rPr>
      </w:pPr>
      <w:r w:rsidRPr="0087085F">
        <w:rPr>
          <w:rFonts w:ascii="Arial" w:hAnsi="Arial" w:cs="Arial"/>
          <w:b/>
        </w:rPr>
        <w:t>La Coopération luxembourgeoise</w:t>
      </w:r>
    </w:p>
    <w:p w:rsidR="00EC1B72" w:rsidRPr="0012545B" w:rsidRDefault="00EC1B72" w:rsidP="00EC1B72">
      <w:pPr>
        <w:spacing w:before="240" w:after="240"/>
        <w:jc w:val="both"/>
        <w:rPr>
          <w:rFonts w:ascii="Arial" w:hAnsi="Arial" w:cs="Arial"/>
        </w:rPr>
      </w:pPr>
      <w:r w:rsidRPr="0012545B">
        <w:rPr>
          <w:rFonts w:ascii="Arial" w:hAnsi="Arial" w:cs="Arial"/>
        </w:rPr>
        <w:t>Dans le cadre du 3</w:t>
      </w:r>
      <w:r w:rsidRPr="0012545B">
        <w:rPr>
          <w:rFonts w:ascii="Arial" w:hAnsi="Arial" w:cs="Arial"/>
          <w:vertAlign w:val="superscript"/>
        </w:rPr>
        <w:t>ème</w:t>
      </w:r>
      <w:r w:rsidRPr="0012545B">
        <w:rPr>
          <w:rFonts w:ascii="Arial" w:hAnsi="Arial" w:cs="Arial"/>
        </w:rPr>
        <w:t xml:space="preserve"> Programme indicatif de coopération (PIC III) pour la période 2017-2021, la Coopération luxembourgeoise met à la disposition du Burkina Faso une enveloppe globale de 60 millions d’euros soit environ 39,30 milliards de FCFA. Ce financement va utiliser les canaux bilatéraux (47,23 millions d’euros) et multilatéraux (9 millions d’euros) ainsi que le canal « autres appuis » concernant le mandat d’exécution donné à l’ONG SOS Faim pour la mise en œuvre du projet Agri+ (3,53 millions d’euros).</w:t>
      </w:r>
    </w:p>
    <w:p w:rsidR="00EC1B72" w:rsidRPr="000F3381" w:rsidRDefault="00EC1B72" w:rsidP="00B92B11">
      <w:pPr>
        <w:pStyle w:val="Paragraphedeliste"/>
        <w:numPr>
          <w:ilvl w:val="0"/>
          <w:numId w:val="82"/>
        </w:numPr>
        <w:spacing w:before="240" w:after="240" w:line="240" w:lineRule="auto"/>
        <w:jc w:val="both"/>
        <w:rPr>
          <w:rFonts w:ascii="Arial" w:hAnsi="Arial" w:cs="Arial"/>
          <w:b/>
        </w:rPr>
      </w:pPr>
      <w:r w:rsidRPr="000F3381">
        <w:rPr>
          <w:rFonts w:ascii="Arial" w:hAnsi="Arial" w:cs="Arial"/>
          <w:b/>
        </w:rPr>
        <w:t>Le Danemark</w:t>
      </w:r>
    </w:p>
    <w:p w:rsidR="00EC1B72" w:rsidRPr="00ED3168" w:rsidRDefault="00EC1B72" w:rsidP="00EC1B72">
      <w:pPr>
        <w:spacing w:before="240" w:after="240"/>
        <w:jc w:val="both"/>
        <w:rPr>
          <w:rFonts w:ascii="Arial" w:hAnsi="Arial" w:cs="Arial"/>
        </w:rPr>
      </w:pPr>
      <w:r w:rsidRPr="00ED3168">
        <w:rPr>
          <w:rFonts w:ascii="Arial" w:hAnsi="Arial" w:cs="Arial"/>
        </w:rPr>
        <w:lastRenderedPageBreak/>
        <w:t>Le programme pays 2016-2020 a été signé en avril 2016 d’un montant global de 66,6 milliards de FCFA. Les secteurs concernés par ce programme sont notamment : l’eau et l’assainissement, l’agriculture, les droits humains et les finances publiques (appuis budgétaire).</w:t>
      </w:r>
    </w:p>
    <w:p w:rsidR="00EC1B72" w:rsidRPr="000F3381" w:rsidRDefault="00EC1B72" w:rsidP="00B92B11">
      <w:pPr>
        <w:pStyle w:val="Paragraphedeliste"/>
        <w:numPr>
          <w:ilvl w:val="0"/>
          <w:numId w:val="82"/>
        </w:numPr>
        <w:spacing w:before="240" w:after="240" w:line="240" w:lineRule="auto"/>
        <w:jc w:val="both"/>
        <w:rPr>
          <w:rFonts w:ascii="Arial" w:hAnsi="Arial" w:cs="Arial"/>
          <w:b/>
        </w:rPr>
      </w:pPr>
      <w:r w:rsidRPr="000F3381">
        <w:rPr>
          <w:rFonts w:ascii="Arial" w:hAnsi="Arial" w:cs="Arial"/>
          <w:b/>
        </w:rPr>
        <w:t>La Belgique</w:t>
      </w:r>
    </w:p>
    <w:p w:rsidR="00EC1B72" w:rsidRPr="00ED3168" w:rsidRDefault="00EC1B72" w:rsidP="00EC1B72">
      <w:pPr>
        <w:spacing w:before="240" w:after="240"/>
        <w:jc w:val="both"/>
        <w:rPr>
          <w:rFonts w:ascii="Arial" w:hAnsi="Arial" w:cs="Arial"/>
        </w:rPr>
      </w:pPr>
      <w:r w:rsidRPr="00ED3168">
        <w:rPr>
          <w:rFonts w:ascii="Arial" w:hAnsi="Arial" w:cs="Arial"/>
        </w:rPr>
        <w:t>Le programme de démarrage 2016-2018 a été signé en février 2016 avec un coût global de 15 millions d’euro. Les secteurs concernés sont l’eau potable et les droits humains.</w:t>
      </w:r>
    </w:p>
    <w:p w:rsidR="00EC1B72" w:rsidRPr="000F3381" w:rsidRDefault="00EC1B72" w:rsidP="00B92B11">
      <w:pPr>
        <w:pStyle w:val="Paragraphedeliste"/>
        <w:numPr>
          <w:ilvl w:val="0"/>
          <w:numId w:val="82"/>
        </w:numPr>
        <w:spacing w:before="240" w:after="240" w:line="240" w:lineRule="auto"/>
        <w:jc w:val="both"/>
        <w:rPr>
          <w:rFonts w:ascii="Arial" w:hAnsi="Arial" w:cs="Arial"/>
          <w:b/>
        </w:rPr>
      </w:pPr>
      <w:r w:rsidRPr="000F3381">
        <w:rPr>
          <w:rFonts w:ascii="Arial" w:hAnsi="Arial" w:cs="Arial"/>
          <w:b/>
        </w:rPr>
        <w:t>La Suisse</w:t>
      </w:r>
    </w:p>
    <w:p w:rsidR="00EC1B72" w:rsidRPr="00ED3168" w:rsidRDefault="00EC1B72" w:rsidP="00EC1B72">
      <w:pPr>
        <w:spacing w:before="240" w:after="240"/>
        <w:jc w:val="both"/>
        <w:rPr>
          <w:rFonts w:ascii="Arial" w:hAnsi="Arial" w:cs="Arial"/>
        </w:rPr>
      </w:pPr>
      <w:r w:rsidRPr="00ED3168">
        <w:rPr>
          <w:rFonts w:ascii="Arial" w:hAnsi="Arial" w:cs="Arial"/>
        </w:rPr>
        <w:t>Le coût de la stratégie pays 2017-2020  s’élève à 80 millions de francs suisse. Les domaines d’interventions sont : la gouvernance locale, les finances publiques (appuis budgétaire), l’éducation de base et la formation professionnelle, le genre et la culture.</w:t>
      </w:r>
    </w:p>
    <w:p w:rsidR="00EC1B72" w:rsidRPr="000F3381" w:rsidRDefault="00EC1B72" w:rsidP="00B92B11">
      <w:pPr>
        <w:pStyle w:val="Paragraphedeliste"/>
        <w:numPr>
          <w:ilvl w:val="0"/>
          <w:numId w:val="82"/>
        </w:numPr>
        <w:spacing w:before="240" w:after="240" w:line="240" w:lineRule="auto"/>
        <w:jc w:val="both"/>
        <w:rPr>
          <w:rFonts w:ascii="Arial" w:hAnsi="Arial" w:cs="Arial"/>
          <w:b/>
        </w:rPr>
      </w:pPr>
      <w:r w:rsidRPr="000F3381">
        <w:rPr>
          <w:rFonts w:ascii="Arial" w:hAnsi="Arial" w:cs="Arial"/>
          <w:b/>
        </w:rPr>
        <w:t xml:space="preserve">La Chine Taiwan  </w:t>
      </w:r>
    </w:p>
    <w:p w:rsidR="00EC1B72" w:rsidRPr="00ED3168" w:rsidRDefault="00EC1B72" w:rsidP="00EC1B72">
      <w:pPr>
        <w:spacing w:before="240" w:after="240"/>
        <w:jc w:val="both"/>
        <w:rPr>
          <w:rFonts w:ascii="Arial" w:hAnsi="Arial" w:cs="Arial"/>
        </w:rPr>
      </w:pPr>
      <w:r w:rsidRPr="00ED3168">
        <w:rPr>
          <w:rFonts w:ascii="Arial" w:hAnsi="Arial" w:cs="Arial"/>
        </w:rPr>
        <w:t>Elle a mis à la disposition de notre pays pour la période 2017-2019, une enveloppe globale de 43,70 millions d’euro. Elle intervient dans les domaines de l’agriculture, de la sante, de la formation professionnelle et de l’éducation ;</w:t>
      </w:r>
    </w:p>
    <w:p w:rsidR="00EC1B72" w:rsidRPr="00096584" w:rsidRDefault="00096584" w:rsidP="00B92B11">
      <w:pPr>
        <w:pStyle w:val="Paragraphedeliste"/>
        <w:numPr>
          <w:ilvl w:val="0"/>
          <w:numId w:val="82"/>
        </w:numPr>
        <w:spacing w:before="240" w:after="240" w:line="240" w:lineRule="auto"/>
        <w:jc w:val="both"/>
        <w:rPr>
          <w:rFonts w:ascii="Arial" w:hAnsi="Arial" w:cs="Arial"/>
          <w:b/>
        </w:rPr>
      </w:pPr>
      <w:r w:rsidRPr="00096584">
        <w:rPr>
          <w:rFonts w:ascii="Arial" w:hAnsi="Arial" w:cs="Arial"/>
          <w:b/>
        </w:rPr>
        <w:t>Le J</w:t>
      </w:r>
      <w:r w:rsidR="00EC1B72" w:rsidRPr="00096584">
        <w:rPr>
          <w:rFonts w:ascii="Arial" w:hAnsi="Arial" w:cs="Arial"/>
          <w:b/>
        </w:rPr>
        <w:t>apon </w:t>
      </w:r>
    </w:p>
    <w:p w:rsidR="00403DFF" w:rsidRDefault="000E6F30" w:rsidP="000E6F30">
      <w:pPr>
        <w:widowControl w:val="0"/>
        <w:autoSpaceDE w:val="0"/>
        <w:autoSpaceDN w:val="0"/>
        <w:adjustRightInd w:val="0"/>
        <w:spacing w:after="0" w:line="240" w:lineRule="auto"/>
        <w:jc w:val="both"/>
        <w:rPr>
          <w:rFonts w:ascii="Arial" w:hAnsi="Arial" w:cs="Arial"/>
        </w:rPr>
      </w:pPr>
      <w:r w:rsidRPr="00096584">
        <w:rPr>
          <w:rFonts w:ascii="Arial" w:hAnsi="Arial" w:cs="Arial"/>
        </w:rPr>
        <w:t>Le Japon a</w:t>
      </w:r>
      <w:r w:rsidR="003F1F11" w:rsidRPr="00096584">
        <w:rPr>
          <w:rFonts w:ascii="Arial" w:hAnsi="Arial" w:cs="Arial"/>
        </w:rPr>
        <w:t xml:space="preserve"> mis à la disposition de notre pays au cours </w:t>
      </w:r>
      <w:r w:rsidR="00096584">
        <w:rPr>
          <w:rFonts w:ascii="Arial" w:hAnsi="Arial" w:cs="Arial"/>
        </w:rPr>
        <w:t xml:space="preserve">de l’année 2016, un montant de 4,35 </w:t>
      </w:r>
      <w:r w:rsidR="00096584" w:rsidRPr="00096584">
        <w:rPr>
          <w:rFonts w:ascii="Arial" w:hAnsi="Arial" w:cs="Arial"/>
        </w:rPr>
        <w:t xml:space="preserve">milliards de FCFA </w:t>
      </w:r>
      <w:r w:rsidR="00096584">
        <w:rPr>
          <w:rFonts w:ascii="Arial" w:hAnsi="Arial" w:cs="Arial"/>
        </w:rPr>
        <w:t xml:space="preserve">et </w:t>
      </w:r>
      <w:r w:rsidR="00096584" w:rsidRPr="00096584">
        <w:rPr>
          <w:rFonts w:ascii="Arial" w:hAnsi="Arial" w:cs="Arial"/>
        </w:rPr>
        <w:t xml:space="preserve">une enveloppe financière de 11,16 milliards de FCFA </w:t>
      </w:r>
      <w:r w:rsidR="00096584">
        <w:rPr>
          <w:rFonts w:ascii="Arial" w:hAnsi="Arial" w:cs="Arial"/>
        </w:rPr>
        <w:t>au cours du</w:t>
      </w:r>
      <w:r w:rsidR="003F1F11" w:rsidRPr="00096584">
        <w:rPr>
          <w:rFonts w:ascii="Arial" w:hAnsi="Arial" w:cs="Arial"/>
        </w:rPr>
        <w:t xml:space="preserve"> premier semestre</w:t>
      </w:r>
      <w:r w:rsidR="00096584">
        <w:rPr>
          <w:rFonts w:ascii="Arial" w:hAnsi="Arial" w:cs="Arial"/>
        </w:rPr>
        <w:t xml:space="preserve"> 2017</w:t>
      </w:r>
      <w:r w:rsidR="003F1F11" w:rsidRPr="00096584">
        <w:rPr>
          <w:rFonts w:ascii="Arial" w:hAnsi="Arial" w:cs="Arial"/>
        </w:rPr>
        <w:t xml:space="preserve"> pour le financement de trois projets. </w:t>
      </w:r>
    </w:p>
    <w:p w:rsidR="00403DFF" w:rsidRDefault="00403DFF" w:rsidP="000E6F30">
      <w:pPr>
        <w:widowControl w:val="0"/>
        <w:autoSpaceDE w:val="0"/>
        <w:autoSpaceDN w:val="0"/>
        <w:adjustRightInd w:val="0"/>
        <w:spacing w:after="0" w:line="240" w:lineRule="auto"/>
        <w:jc w:val="both"/>
        <w:rPr>
          <w:rFonts w:ascii="Arial" w:hAnsi="Arial" w:cs="Arial"/>
        </w:rPr>
      </w:pPr>
    </w:p>
    <w:p w:rsidR="003F1F11" w:rsidRPr="00096584" w:rsidRDefault="003F1F11" w:rsidP="000E6F30">
      <w:pPr>
        <w:widowControl w:val="0"/>
        <w:autoSpaceDE w:val="0"/>
        <w:autoSpaceDN w:val="0"/>
        <w:adjustRightInd w:val="0"/>
        <w:spacing w:after="0" w:line="240" w:lineRule="auto"/>
        <w:jc w:val="both"/>
        <w:rPr>
          <w:rFonts w:ascii="Arial" w:hAnsi="Arial" w:cs="Arial"/>
        </w:rPr>
      </w:pPr>
      <w:r w:rsidRPr="00096584">
        <w:rPr>
          <w:rFonts w:ascii="Arial" w:hAnsi="Arial" w:cs="Arial"/>
        </w:rPr>
        <w:t xml:space="preserve">Selon le plan quinquennal </w:t>
      </w:r>
      <w:r w:rsidR="007A1012">
        <w:rPr>
          <w:rFonts w:ascii="Arial" w:hAnsi="Arial" w:cs="Arial"/>
        </w:rPr>
        <w:t xml:space="preserve">de coopération </w:t>
      </w:r>
      <w:r w:rsidRPr="00096584">
        <w:rPr>
          <w:rFonts w:ascii="Arial" w:hAnsi="Arial" w:cs="Arial"/>
        </w:rPr>
        <w:t>2013</w:t>
      </w:r>
      <w:r w:rsidR="007A1012">
        <w:rPr>
          <w:rFonts w:ascii="Arial" w:hAnsi="Arial" w:cs="Arial"/>
        </w:rPr>
        <w:t xml:space="preserve"> </w:t>
      </w:r>
      <w:r w:rsidR="00A126B1">
        <w:rPr>
          <w:rFonts w:ascii="Arial" w:hAnsi="Arial" w:cs="Arial"/>
        </w:rPr>
        <w:t>-2017,</w:t>
      </w:r>
      <w:r w:rsidRPr="00096584">
        <w:rPr>
          <w:rFonts w:ascii="Arial" w:hAnsi="Arial" w:cs="Arial"/>
        </w:rPr>
        <w:t xml:space="preserve"> les secteurs d’intervention du Japon portent sur l’agriculture, l’éducation, l’intégration régionale par l’aménagement d’infrastructures communautaires (routes, chemins de fer, interconnexions électriques).</w:t>
      </w:r>
    </w:p>
    <w:p w:rsidR="00EC1B72" w:rsidRPr="00ED3168" w:rsidRDefault="00EC1B72" w:rsidP="00B92B11">
      <w:pPr>
        <w:pStyle w:val="Paragraphedeliste"/>
        <w:numPr>
          <w:ilvl w:val="0"/>
          <w:numId w:val="82"/>
        </w:numPr>
        <w:spacing w:before="240" w:after="240" w:line="240" w:lineRule="auto"/>
        <w:jc w:val="both"/>
        <w:rPr>
          <w:rFonts w:ascii="Arial" w:hAnsi="Arial" w:cs="Arial"/>
          <w:b/>
        </w:rPr>
      </w:pPr>
      <w:r w:rsidRPr="00ED3168">
        <w:rPr>
          <w:rFonts w:ascii="Arial" w:hAnsi="Arial" w:cs="Arial"/>
          <w:b/>
        </w:rPr>
        <w:t xml:space="preserve">L’Union Européenne  </w:t>
      </w:r>
    </w:p>
    <w:p w:rsidR="00EC1B72" w:rsidRPr="009E21FB" w:rsidRDefault="00EC1B72" w:rsidP="00EC1B72">
      <w:pPr>
        <w:tabs>
          <w:tab w:val="left" w:pos="284"/>
          <w:tab w:val="left" w:pos="567"/>
        </w:tabs>
        <w:contextualSpacing/>
        <w:jc w:val="both"/>
        <w:rPr>
          <w:rFonts w:ascii="Arial" w:hAnsi="Arial" w:cs="Arial"/>
        </w:rPr>
      </w:pPr>
      <w:r w:rsidRPr="009E21FB">
        <w:rPr>
          <w:rFonts w:ascii="Arial" w:hAnsi="Arial" w:cs="Arial"/>
        </w:rPr>
        <w:t xml:space="preserve">L’UE intervient au Burkina Faso au travers du Programme </w:t>
      </w:r>
      <w:r w:rsidR="007A1012">
        <w:rPr>
          <w:rFonts w:ascii="Arial" w:hAnsi="Arial" w:cs="Arial"/>
        </w:rPr>
        <w:t>Indicatif National (PIN) du 11e</w:t>
      </w:r>
      <w:r w:rsidRPr="009E21FB">
        <w:rPr>
          <w:rFonts w:ascii="Arial" w:hAnsi="Arial" w:cs="Arial"/>
        </w:rPr>
        <w:t xml:space="preserve"> Fonds Européen de Développement (FED). Le PIN couvre la période </w:t>
      </w:r>
      <w:r w:rsidRPr="0092307C">
        <w:rPr>
          <w:rFonts w:ascii="Arial" w:hAnsi="Arial" w:cs="Arial"/>
        </w:rPr>
        <w:t>2014-2020</w:t>
      </w:r>
      <w:r w:rsidRPr="009E21FB">
        <w:rPr>
          <w:rFonts w:ascii="Arial" w:hAnsi="Arial" w:cs="Arial"/>
        </w:rPr>
        <w:t xml:space="preserve"> avec un budget indicatif de 623 millions d’euros. Au total, 07 </w:t>
      </w:r>
      <w:r>
        <w:rPr>
          <w:rFonts w:ascii="Arial" w:hAnsi="Arial" w:cs="Arial"/>
        </w:rPr>
        <w:t>conventions ont été signées pour</w:t>
      </w:r>
      <w:r w:rsidRPr="009E21FB">
        <w:rPr>
          <w:rFonts w:ascii="Arial" w:hAnsi="Arial" w:cs="Arial"/>
        </w:rPr>
        <w:t xml:space="preserve"> un montant global de 527 millions d’euros, soit 84,59% du PIN du 11e FED. </w:t>
      </w:r>
      <w:r>
        <w:rPr>
          <w:rFonts w:ascii="Arial" w:hAnsi="Arial" w:cs="Arial"/>
        </w:rPr>
        <w:t xml:space="preserve">Aussi, l’UE </w:t>
      </w:r>
      <w:r w:rsidRPr="009E21FB">
        <w:rPr>
          <w:rFonts w:ascii="Arial" w:hAnsi="Arial" w:cs="Arial"/>
        </w:rPr>
        <w:t>p</w:t>
      </w:r>
      <w:r>
        <w:rPr>
          <w:rFonts w:ascii="Arial" w:hAnsi="Arial" w:cs="Arial"/>
        </w:rPr>
        <w:t>orte une attention particulière a</w:t>
      </w:r>
      <w:r w:rsidRPr="009E21FB">
        <w:rPr>
          <w:rFonts w:ascii="Arial" w:hAnsi="Arial" w:cs="Arial"/>
        </w:rPr>
        <w:t>u rôle de plus en plus important jo</w:t>
      </w:r>
      <w:r w:rsidR="007A1012">
        <w:rPr>
          <w:rFonts w:ascii="Arial" w:hAnsi="Arial" w:cs="Arial"/>
        </w:rPr>
        <w:t xml:space="preserve">ué par les Organisations de la </w:t>
      </w:r>
      <w:r w:rsidRPr="009E21FB">
        <w:rPr>
          <w:rFonts w:ascii="Arial" w:hAnsi="Arial" w:cs="Arial"/>
        </w:rPr>
        <w:t>société civile (OSC) sur la scène politique, économique et sociale ces dernières années. De ce fait, sur la période sous revue, l’UE a alloué un montant de 21 millions d’euros au profit des OSC.</w:t>
      </w:r>
    </w:p>
    <w:p w:rsidR="00EC1B72" w:rsidRPr="009E21FB" w:rsidRDefault="00EC1B72" w:rsidP="00EC1B72">
      <w:pPr>
        <w:tabs>
          <w:tab w:val="left" w:pos="284"/>
          <w:tab w:val="left" w:pos="567"/>
        </w:tabs>
        <w:contextualSpacing/>
        <w:jc w:val="both"/>
        <w:rPr>
          <w:rFonts w:ascii="Arial" w:hAnsi="Arial" w:cs="Arial"/>
        </w:rPr>
      </w:pPr>
      <w:r w:rsidRPr="009E21FB">
        <w:rPr>
          <w:rFonts w:ascii="Arial" w:hAnsi="Arial" w:cs="Arial"/>
        </w:rPr>
        <w:t>Les secteurs d’interventions sont (i) la gouvernance, (ii) la santé et (iii) la sécurité alimentaire et nutritionnel</w:t>
      </w:r>
      <w:r>
        <w:rPr>
          <w:rFonts w:ascii="Arial" w:hAnsi="Arial" w:cs="Arial"/>
        </w:rPr>
        <w:t>le</w:t>
      </w:r>
      <w:r w:rsidRPr="009E21FB">
        <w:rPr>
          <w:rFonts w:ascii="Arial" w:hAnsi="Arial" w:cs="Arial"/>
        </w:rPr>
        <w:t xml:space="preserve">, l’agriculture durable et l’eau. </w:t>
      </w:r>
    </w:p>
    <w:p w:rsidR="00EC1B72" w:rsidRPr="002B4C0A" w:rsidRDefault="00EC1B72" w:rsidP="00EC1B72">
      <w:pPr>
        <w:pStyle w:val="Paragraphedeliste"/>
        <w:tabs>
          <w:tab w:val="left" w:pos="540"/>
        </w:tabs>
        <w:spacing w:before="120" w:after="120"/>
        <w:jc w:val="both"/>
        <w:rPr>
          <w:rFonts w:ascii="Arial" w:hAnsi="Arial" w:cs="Arial"/>
          <w:b/>
          <w:color w:val="0070C0"/>
        </w:rPr>
      </w:pPr>
    </w:p>
    <w:p w:rsidR="00EC1B72" w:rsidRPr="0012545B" w:rsidRDefault="00EC1B72" w:rsidP="00B92B11">
      <w:pPr>
        <w:pStyle w:val="Paragraphedeliste"/>
        <w:numPr>
          <w:ilvl w:val="0"/>
          <w:numId w:val="85"/>
        </w:numPr>
        <w:tabs>
          <w:tab w:val="left" w:pos="540"/>
        </w:tabs>
        <w:spacing w:before="120" w:after="120" w:line="240" w:lineRule="auto"/>
        <w:jc w:val="both"/>
        <w:rPr>
          <w:rFonts w:ascii="Arial" w:hAnsi="Arial" w:cs="Arial"/>
          <w:b/>
        </w:rPr>
      </w:pPr>
      <w:r w:rsidRPr="0012545B">
        <w:rPr>
          <w:rFonts w:ascii="Arial" w:hAnsi="Arial" w:cs="Arial"/>
          <w:b/>
        </w:rPr>
        <w:t>Les stratégies/programmes en cours d’élaboration</w:t>
      </w:r>
    </w:p>
    <w:p w:rsidR="00EC1B72" w:rsidRPr="00B93B07" w:rsidRDefault="00EC1B72" w:rsidP="00EC1B72">
      <w:pPr>
        <w:tabs>
          <w:tab w:val="left" w:pos="540"/>
        </w:tabs>
        <w:spacing w:before="120" w:after="120"/>
        <w:jc w:val="both"/>
        <w:rPr>
          <w:rFonts w:ascii="Arial" w:hAnsi="Arial" w:cs="Arial"/>
        </w:rPr>
      </w:pPr>
      <w:r w:rsidRPr="00B93B07">
        <w:rPr>
          <w:rFonts w:ascii="Arial" w:hAnsi="Arial" w:cs="Arial"/>
        </w:rPr>
        <w:t xml:space="preserve">Les partenaires dont leurs programmes de coopération sont en cours d’élaboration sont:  </w:t>
      </w:r>
    </w:p>
    <w:p w:rsidR="00EC1B72" w:rsidRPr="00B93B07" w:rsidRDefault="00EC1B72" w:rsidP="00B92B11">
      <w:pPr>
        <w:pStyle w:val="Paragraphedeliste"/>
        <w:numPr>
          <w:ilvl w:val="0"/>
          <w:numId w:val="82"/>
        </w:numPr>
        <w:tabs>
          <w:tab w:val="left" w:pos="540"/>
        </w:tabs>
        <w:spacing w:before="120" w:after="120" w:line="240" w:lineRule="auto"/>
        <w:jc w:val="both"/>
        <w:rPr>
          <w:rFonts w:ascii="Arial" w:hAnsi="Arial" w:cs="Arial"/>
        </w:rPr>
      </w:pPr>
      <w:r w:rsidRPr="00B93B07">
        <w:rPr>
          <w:rFonts w:ascii="Arial" w:hAnsi="Arial" w:cs="Arial"/>
        </w:rPr>
        <w:t>l’Allemagne pour lequel les négociations intergouvernementales sont programmées en juillet 2017 ;</w:t>
      </w:r>
    </w:p>
    <w:p w:rsidR="00EC1B72" w:rsidRPr="00B93B07" w:rsidRDefault="00EC1B72" w:rsidP="00B92B11">
      <w:pPr>
        <w:pStyle w:val="Paragraphedeliste"/>
        <w:numPr>
          <w:ilvl w:val="0"/>
          <w:numId w:val="82"/>
        </w:numPr>
        <w:tabs>
          <w:tab w:val="left" w:pos="540"/>
        </w:tabs>
        <w:spacing w:before="120" w:after="120" w:line="240" w:lineRule="auto"/>
        <w:jc w:val="both"/>
        <w:rPr>
          <w:rFonts w:ascii="Arial" w:hAnsi="Arial" w:cs="Arial"/>
        </w:rPr>
      </w:pPr>
      <w:r w:rsidRPr="00B93B07">
        <w:rPr>
          <w:rFonts w:ascii="Arial" w:hAnsi="Arial" w:cs="Arial"/>
        </w:rPr>
        <w:t>la Suède dont une mission d’identification a été effectuée en avril 2017 ;</w:t>
      </w:r>
    </w:p>
    <w:p w:rsidR="00EC1B72" w:rsidRPr="00B93B07" w:rsidRDefault="00EC1B72" w:rsidP="00B92B11">
      <w:pPr>
        <w:pStyle w:val="Paragraphedeliste"/>
        <w:numPr>
          <w:ilvl w:val="0"/>
          <w:numId w:val="82"/>
        </w:numPr>
        <w:tabs>
          <w:tab w:val="left" w:pos="540"/>
        </w:tabs>
        <w:spacing w:before="120" w:after="120" w:line="240" w:lineRule="auto"/>
        <w:jc w:val="both"/>
        <w:rPr>
          <w:rFonts w:ascii="Arial" w:hAnsi="Arial" w:cs="Arial"/>
        </w:rPr>
      </w:pPr>
      <w:r w:rsidRPr="00B93B07">
        <w:rPr>
          <w:rFonts w:ascii="Arial" w:hAnsi="Arial" w:cs="Arial"/>
        </w:rPr>
        <w:t>la  Belgique avec la convention générale de coopération en cours d’élaboration ;</w:t>
      </w:r>
    </w:p>
    <w:p w:rsidR="00EC1B72" w:rsidRPr="00B93B07" w:rsidRDefault="00EC1B72" w:rsidP="00EC1B72">
      <w:pPr>
        <w:pStyle w:val="Paragraphedeliste"/>
        <w:tabs>
          <w:tab w:val="left" w:pos="540"/>
        </w:tabs>
        <w:spacing w:before="120" w:after="120"/>
        <w:jc w:val="both"/>
        <w:rPr>
          <w:rFonts w:ascii="Arial" w:hAnsi="Arial" w:cs="Arial"/>
        </w:rPr>
      </w:pPr>
    </w:p>
    <w:p w:rsidR="00EC1B72" w:rsidRPr="00B93B07" w:rsidRDefault="00EC1B72" w:rsidP="00B92B11">
      <w:pPr>
        <w:pStyle w:val="Paragraphedeliste"/>
        <w:numPr>
          <w:ilvl w:val="0"/>
          <w:numId w:val="82"/>
        </w:numPr>
        <w:tabs>
          <w:tab w:val="left" w:pos="540"/>
        </w:tabs>
        <w:spacing w:before="120" w:after="120" w:line="240" w:lineRule="auto"/>
        <w:jc w:val="both"/>
        <w:rPr>
          <w:rFonts w:ascii="Arial" w:hAnsi="Arial" w:cs="Arial"/>
        </w:rPr>
      </w:pPr>
      <w:r w:rsidRPr="00B93B07">
        <w:rPr>
          <w:rFonts w:ascii="Arial" w:hAnsi="Arial" w:cs="Arial"/>
        </w:rPr>
        <w:lastRenderedPageBreak/>
        <w:t>le SNU intervient au Burkina Faso à travers le Plan cadre des Nations-Unies pour l’aide au développement (UNDAF) assorti des plans d’action du programme pays des différentes agences. En 2015, la stratégie arrivait à échéance mais compte tenu de la situation nationale, le SNU en accord avec l’Etat burkinabè a prorogé la date d’échéance jusqu’en décembre 2017 en vue de la prise en compte des priorités du nouveau référentiel de développement.</w:t>
      </w:r>
    </w:p>
    <w:p w:rsidR="00EC1B72" w:rsidRPr="00882FA4" w:rsidRDefault="00EC1B72" w:rsidP="00EC1B72">
      <w:pPr>
        <w:pStyle w:val="Paragraphedeliste"/>
        <w:tabs>
          <w:tab w:val="left" w:pos="540"/>
        </w:tabs>
        <w:spacing w:before="120" w:after="120"/>
        <w:jc w:val="both"/>
        <w:rPr>
          <w:rFonts w:ascii="Arial" w:hAnsi="Arial" w:cs="Arial"/>
          <w:b/>
          <w:color w:val="FF0000"/>
        </w:rPr>
      </w:pPr>
    </w:p>
    <w:p w:rsidR="00EC1B72" w:rsidRPr="0012545B" w:rsidRDefault="00EC1B72" w:rsidP="00B92B11">
      <w:pPr>
        <w:pStyle w:val="Paragraphedeliste"/>
        <w:numPr>
          <w:ilvl w:val="0"/>
          <w:numId w:val="82"/>
        </w:numPr>
        <w:tabs>
          <w:tab w:val="left" w:pos="540"/>
        </w:tabs>
        <w:spacing w:before="120" w:after="120" w:line="240" w:lineRule="auto"/>
        <w:jc w:val="both"/>
        <w:rPr>
          <w:rFonts w:ascii="Arial" w:hAnsi="Arial" w:cs="Arial"/>
          <w:b/>
        </w:rPr>
      </w:pPr>
      <w:r w:rsidRPr="0012545B">
        <w:rPr>
          <w:rFonts w:ascii="Arial" w:hAnsi="Arial" w:cs="Arial"/>
          <w:b/>
        </w:rPr>
        <w:t>Banque islamique de développement (BID)</w:t>
      </w:r>
    </w:p>
    <w:p w:rsidR="00EC1B72" w:rsidRPr="00716B24" w:rsidRDefault="00EC1B72" w:rsidP="00EC1B72">
      <w:pPr>
        <w:tabs>
          <w:tab w:val="left" w:pos="540"/>
        </w:tabs>
        <w:spacing w:before="120" w:after="120"/>
        <w:jc w:val="both"/>
        <w:rPr>
          <w:rFonts w:ascii="Arial" w:hAnsi="Arial" w:cs="Arial"/>
        </w:rPr>
      </w:pPr>
      <w:r w:rsidRPr="00716B24">
        <w:rPr>
          <w:rFonts w:ascii="Arial" w:hAnsi="Arial" w:cs="Arial"/>
        </w:rPr>
        <w:t>En 2017, la Banque a retenu six projets qui ont fait l’objet d’études de faisabilité et s’inscrivent dans les domaines prioritaires du Gouvernement. Cependant, ce nombre pourrait augmenter en fonction de la maturité d’autres projets. La perspective immédiate est l’élaboration d’un document stratégique de coopération.</w:t>
      </w:r>
    </w:p>
    <w:p w:rsidR="00EC1B72" w:rsidRPr="00185120" w:rsidRDefault="00EC1B72" w:rsidP="00B92B11">
      <w:pPr>
        <w:pStyle w:val="Paragraphedeliste"/>
        <w:numPr>
          <w:ilvl w:val="0"/>
          <w:numId w:val="82"/>
        </w:numPr>
        <w:tabs>
          <w:tab w:val="left" w:pos="540"/>
        </w:tabs>
        <w:spacing w:before="120" w:after="120" w:line="240" w:lineRule="auto"/>
        <w:jc w:val="both"/>
        <w:rPr>
          <w:rFonts w:ascii="Arial" w:hAnsi="Arial" w:cs="Arial"/>
          <w:b/>
        </w:rPr>
      </w:pPr>
      <w:r w:rsidRPr="00185120">
        <w:rPr>
          <w:rFonts w:ascii="Arial" w:hAnsi="Arial" w:cs="Arial"/>
          <w:b/>
        </w:rPr>
        <w:t>La Banque arabe pour le développement économique en Afrique (BADEA)</w:t>
      </w:r>
    </w:p>
    <w:p w:rsidR="00EC1B72" w:rsidRPr="00185120" w:rsidRDefault="00EC1B72" w:rsidP="00EC1B72">
      <w:pPr>
        <w:tabs>
          <w:tab w:val="left" w:pos="540"/>
        </w:tabs>
        <w:spacing w:before="120" w:after="120"/>
        <w:jc w:val="both"/>
        <w:rPr>
          <w:rFonts w:ascii="Arial" w:hAnsi="Arial" w:cs="Arial"/>
        </w:rPr>
      </w:pPr>
      <w:r w:rsidRPr="00185120">
        <w:rPr>
          <w:rFonts w:ascii="Arial" w:hAnsi="Arial" w:cs="Arial"/>
        </w:rPr>
        <w:t xml:space="preserve">La Banque alloue annuellement une l’enveloppe financière d’un montant de 10 millions de dollars US à chaque pays. En outre, le programme d’intervention de la BADEA en 2017 prévoit un financement des études de faisabilité de 2 projets de développement </w:t>
      </w:r>
    </w:p>
    <w:p w:rsidR="00EC1B72" w:rsidRPr="0012545B" w:rsidRDefault="00EC1B72" w:rsidP="00B92B11">
      <w:pPr>
        <w:pStyle w:val="Paragraphedeliste"/>
        <w:numPr>
          <w:ilvl w:val="0"/>
          <w:numId w:val="82"/>
        </w:numPr>
        <w:tabs>
          <w:tab w:val="left" w:pos="540"/>
        </w:tabs>
        <w:spacing w:before="120" w:after="120" w:line="240" w:lineRule="auto"/>
        <w:jc w:val="both"/>
        <w:rPr>
          <w:rFonts w:ascii="Arial" w:hAnsi="Arial" w:cs="Arial"/>
          <w:b/>
        </w:rPr>
      </w:pPr>
      <w:r w:rsidRPr="0012545B">
        <w:rPr>
          <w:rFonts w:ascii="Arial" w:hAnsi="Arial" w:cs="Arial"/>
          <w:b/>
        </w:rPr>
        <w:t>La Banque Africaine de développement (BAD)</w:t>
      </w:r>
    </w:p>
    <w:p w:rsidR="00EC1B72" w:rsidRPr="007343FE" w:rsidRDefault="00EC1B72" w:rsidP="00EC1B72">
      <w:pPr>
        <w:tabs>
          <w:tab w:val="left" w:pos="540"/>
        </w:tabs>
        <w:spacing w:before="120" w:after="120"/>
        <w:jc w:val="both"/>
        <w:rPr>
          <w:rFonts w:ascii="Arial" w:hAnsi="Arial" w:cs="Arial"/>
        </w:rPr>
      </w:pPr>
      <w:r w:rsidRPr="007343FE">
        <w:rPr>
          <w:rFonts w:ascii="Arial" w:hAnsi="Arial" w:cs="Arial"/>
        </w:rPr>
        <w:t>A l’issue de la revue tenue du 18 au 28 avril 2017, la BAD compte financer dix-sept (17) projets sur la période 2016-2021 correspondant à quinze (15) projets pour la période de mise en œuvre du PNDES. Selon la programmation, les années 2017 et 2018 enregistreront chacune le démarrage de cinq (05) projets. Le reste des projets débuteront au cours des dernières années, soit trois (03) et deux (02) projets respectivement en 2019 et en 2020.</w:t>
      </w:r>
    </w:p>
    <w:p w:rsidR="00EC1B72" w:rsidRPr="00CF7BBD" w:rsidRDefault="00EC1B72" w:rsidP="00B92B11">
      <w:pPr>
        <w:pStyle w:val="Paragraphedeliste"/>
        <w:numPr>
          <w:ilvl w:val="0"/>
          <w:numId w:val="82"/>
        </w:numPr>
        <w:spacing w:before="120" w:after="240" w:line="240" w:lineRule="auto"/>
        <w:jc w:val="both"/>
        <w:rPr>
          <w:rFonts w:ascii="Arial" w:hAnsi="Arial" w:cs="Arial"/>
        </w:rPr>
      </w:pPr>
      <w:r w:rsidRPr="00CF7BBD">
        <w:rPr>
          <w:rFonts w:ascii="Arial" w:hAnsi="Arial" w:cs="Arial"/>
          <w:b/>
        </w:rPr>
        <w:t>La coopération allemande</w:t>
      </w:r>
    </w:p>
    <w:p w:rsidR="00EC1B72" w:rsidRPr="00CF7BBD" w:rsidRDefault="00EC1B72" w:rsidP="00EC1B72">
      <w:pPr>
        <w:spacing w:before="120" w:after="240"/>
        <w:jc w:val="both"/>
        <w:rPr>
          <w:rFonts w:ascii="Arial" w:hAnsi="Arial" w:cs="Arial"/>
        </w:rPr>
      </w:pPr>
      <w:r w:rsidRPr="00CF7BBD">
        <w:rPr>
          <w:rFonts w:ascii="Arial" w:hAnsi="Arial" w:cs="Arial"/>
        </w:rPr>
        <w:t xml:space="preserve">Les consultations bilatérales avec les autorités de la République Fédérale d’Allemagne ont eu lieu du 03 au 05 avril 2017. La délégation allemande a eu des rencontres d’échanges avec certains ministères sectoriels. L’objectif de ces rencontres était d’échanger sur les grandes lignes de la coopération, les avancées et défis ainsi que les perspectives pour la coopération future, à déterminer lors des négociations intergouvernementales qui se tiendront du 10 au 12 juillet 2017 à Ouagadougou. </w:t>
      </w:r>
    </w:p>
    <w:p w:rsidR="00EC1B72" w:rsidRPr="00512346" w:rsidRDefault="00EC1B72" w:rsidP="008D7758">
      <w:pPr>
        <w:pStyle w:val="Titre3"/>
        <w:numPr>
          <w:ilvl w:val="0"/>
          <w:numId w:val="115"/>
        </w:numPr>
        <w:ind w:left="1276" w:hanging="567"/>
      </w:pPr>
      <w:bookmarkStart w:id="644" w:name="_Toc492972246"/>
      <w:r w:rsidRPr="00512346">
        <w:t>Signature des accords de financement</w:t>
      </w:r>
      <w:bookmarkEnd w:id="644"/>
    </w:p>
    <w:p w:rsidR="000E6F30" w:rsidRPr="00512346" w:rsidRDefault="000E6F30" w:rsidP="000E6F30">
      <w:pPr>
        <w:spacing w:before="120" w:after="240"/>
        <w:jc w:val="both"/>
        <w:rPr>
          <w:rFonts w:ascii="Arial" w:hAnsi="Arial" w:cs="Arial"/>
        </w:rPr>
      </w:pPr>
      <w:r w:rsidRPr="00512346">
        <w:rPr>
          <w:rFonts w:ascii="Arial" w:hAnsi="Arial" w:cs="Arial"/>
        </w:rPr>
        <w:t xml:space="preserve">De </w:t>
      </w:r>
      <w:r w:rsidR="00900813">
        <w:rPr>
          <w:rFonts w:ascii="Arial" w:hAnsi="Arial" w:cs="Arial"/>
        </w:rPr>
        <w:t xml:space="preserve">janvier </w:t>
      </w:r>
      <w:r w:rsidRPr="00512346">
        <w:rPr>
          <w:rFonts w:ascii="Arial" w:hAnsi="Arial" w:cs="Arial"/>
        </w:rPr>
        <w:t xml:space="preserve">2016 au 30 juin 2017, </w:t>
      </w:r>
      <w:r w:rsidR="00200EA9">
        <w:rPr>
          <w:rFonts w:ascii="Arial" w:hAnsi="Arial" w:cs="Arial"/>
        </w:rPr>
        <w:t xml:space="preserve">ce sont </w:t>
      </w:r>
      <w:r w:rsidRPr="00512346">
        <w:rPr>
          <w:rFonts w:ascii="Arial" w:hAnsi="Arial" w:cs="Arial"/>
        </w:rPr>
        <w:t xml:space="preserve">149 conventions de financement </w:t>
      </w:r>
      <w:r w:rsidR="00200EA9">
        <w:rPr>
          <w:rFonts w:ascii="Arial" w:hAnsi="Arial" w:cs="Arial"/>
        </w:rPr>
        <w:t xml:space="preserve">qui </w:t>
      </w:r>
      <w:r w:rsidRPr="00512346">
        <w:rPr>
          <w:rFonts w:ascii="Arial" w:hAnsi="Arial" w:cs="Arial"/>
        </w:rPr>
        <w:t>ont été signées pour un montant total de 1 110 milliards de FCFA. Ces conventions de financement destinées à financer le PNDES ont été signées avec les partenaires Multilatéraux, bilatéraux et les partenaires privés dans le cadre des PPP et les ONG/AD.</w:t>
      </w:r>
    </w:p>
    <w:p w:rsidR="000E6F30" w:rsidRDefault="000E6F30" w:rsidP="000E6F30">
      <w:pPr>
        <w:spacing w:before="120" w:after="240"/>
        <w:jc w:val="both"/>
        <w:rPr>
          <w:rFonts w:ascii="Arial" w:hAnsi="Arial" w:cs="Arial"/>
        </w:rPr>
      </w:pPr>
      <w:r w:rsidRPr="00512346">
        <w:rPr>
          <w:rFonts w:ascii="Arial" w:hAnsi="Arial" w:cs="Arial"/>
        </w:rPr>
        <w:t>Le graphique suivant permet d’apprécier la contribution de chaque type de bailleur dans le montant total des conventions signées sur la période ci-dessus indiquée.</w:t>
      </w:r>
    </w:p>
    <w:p w:rsidR="000E6F30" w:rsidRPr="0074127E" w:rsidRDefault="0074127E" w:rsidP="0074127E">
      <w:pPr>
        <w:pStyle w:val="Lgende"/>
        <w:rPr>
          <w:color w:val="auto"/>
        </w:rPr>
      </w:pPr>
      <w:bookmarkStart w:id="645" w:name="_Toc492895755"/>
      <w:r w:rsidRPr="0074127E">
        <w:rPr>
          <w:color w:val="auto"/>
        </w:rPr>
        <w:t xml:space="preserve">Graphique </w:t>
      </w:r>
      <w:r w:rsidRPr="0074127E">
        <w:rPr>
          <w:color w:val="auto"/>
        </w:rPr>
        <w:fldChar w:fldCharType="begin"/>
      </w:r>
      <w:r w:rsidRPr="0074127E">
        <w:rPr>
          <w:color w:val="auto"/>
        </w:rPr>
        <w:instrText xml:space="preserve"> SEQ Graphique \* ARABIC </w:instrText>
      </w:r>
      <w:r w:rsidRPr="0074127E">
        <w:rPr>
          <w:color w:val="auto"/>
        </w:rPr>
        <w:fldChar w:fldCharType="separate"/>
      </w:r>
      <w:r w:rsidR="009A1402">
        <w:rPr>
          <w:noProof/>
          <w:color w:val="auto"/>
        </w:rPr>
        <w:t>22</w:t>
      </w:r>
      <w:r w:rsidRPr="0074127E">
        <w:rPr>
          <w:color w:val="auto"/>
        </w:rPr>
        <w:fldChar w:fldCharType="end"/>
      </w:r>
      <w:r w:rsidRPr="0074127E">
        <w:rPr>
          <w:color w:val="auto"/>
        </w:rPr>
        <w:t> :</w:t>
      </w:r>
      <w:r w:rsidR="000E6F30" w:rsidRPr="0074127E">
        <w:rPr>
          <w:color w:val="auto"/>
        </w:rPr>
        <w:t xml:space="preserve"> </w:t>
      </w:r>
      <w:r w:rsidR="000E6F30" w:rsidRPr="0074127E">
        <w:rPr>
          <w:color w:val="auto"/>
          <w:u w:val="none"/>
        </w:rPr>
        <w:t>Répartition des conventions de financement par type de partenaire</w:t>
      </w:r>
      <w:bookmarkEnd w:id="645"/>
    </w:p>
    <w:p w:rsidR="000E6F30" w:rsidRPr="00733715" w:rsidRDefault="000E6F30" w:rsidP="000E6F30">
      <w:pPr>
        <w:tabs>
          <w:tab w:val="left" w:pos="540"/>
        </w:tabs>
        <w:spacing w:after="160" w:line="259" w:lineRule="auto"/>
        <w:ind w:left="360"/>
        <w:jc w:val="both"/>
        <w:rPr>
          <w:rFonts w:ascii="Arial" w:hAnsi="Arial" w:cs="Arial"/>
          <w:color w:val="00B0F0"/>
        </w:rPr>
      </w:pPr>
      <w:r w:rsidRPr="00733715">
        <w:rPr>
          <w:noProof/>
          <w:color w:val="00B0F0"/>
          <w:lang w:eastAsia="fr-FR"/>
        </w:rPr>
        <w:lastRenderedPageBreak/>
        <w:drawing>
          <wp:inline distT="0" distB="0" distL="0" distR="0" wp14:anchorId="5DCC0295" wp14:editId="768BF886">
            <wp:extent cx="5715000" cy="2171700"/>
            <wp:effectExtent l="0" t="0" r="0" b="0"/>
            <wp:docPr id="23" name="Graphique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74127E" w:rsidRPr="0074127E" w:rsidRDefault="0074127E" w:rsidP="000E6F30">
      <w:pPr>
        <w:spacing w:before="120" w:after="240"/>
        <w:jc w:val="both"/>
        <w:rPr>
          <w:rFonts w:ascii="Arial" w:hAnsi="Arial" w:cs="Arial"/>
          <w:i/>
          <w:sz w:val="20"/>
          <w:szCs w:val="20"/>
          <w:u w:val="single"/>
        </w:rPr>
      </w:pPr>
      <w:r w:rsidRPr="0074127E">
        <w:rPr>
          <w:rFonts w:ascii="Arial" w:hAnsi="Arial" w:cs="Arial"/>
          <w:b/>
          <w:i/>
          <w:sz w:val="20"/>
          <w:szCs w:val="20"/>
          <w:u w:val="single"/>
        </w:rPr>
        <w:t>Source </w:t>
      </w:r>
      <w:r w:rsidRPr="009A1402">
        <w:rPr>
          <w:rFonts w:ascii="Arial" w:hAnsi="Arial" w:cs="Arial"/>
          <w:b/>
          <w:i/>
          <w:sz w:val="20"/>
          <w:szCs w:val="20"/>
        </w:rPr>
        <w:t xml:space="preserve">: </w:t>
      </w:r>
      <w:r w:rsidR="009A1402" w:rsidRPr="009A1402">
        <w:rPr>
          <w:rFonts w:ascii="Arial" w:hAnsi="Arial" w:cs="Arial"/>
          <w:b/>
          <w:i/>
          <w:sz w:val="20"/>
          <w:szCs w:val="20"/>
        </w:rPr>
        <w:t xml:space="preserve">DGCOOP/MINEFID, </w:t>
      </w:r>
      <w:r w:rsidR="009A1402">
        <w:rPr>
          <w:rFonts w:ascii="Arial" w:hAnsi="Arial" w:cs="Arial"/>
          <w:b/>
          <w:i/>
          <w:sz w:val="20"/>
          <w:szCs w:val="20"/>
        </w:rPr>
        <w:t>juillet 2017</w:t>
      </w:r>
    </w:p>
    <w:p w:rsidR="008A23B5" w:rsidRDefault="006E040B" w:rsidP="000E6F30">
      <w:pPr>
        <w:spacing w:before="120" w:after="240"/>
        <w:jc w:val="both"/>
        <w:rPr>
          <w:rFonts w:ascii="Arial" w:hAnsi="Arial" w:cs="Arial"/>
        </w:rPr>
      </w:pPr>
      <w:r>
        <w:rPr>
          <w:rFonts w:ascii="Arial" w:hAnsi="Arial" w:cs="Arial"/>
        </w:rPr>
        <w:t>Le</w:t>
      </w:r>
      <w:r w:rsidR="000E6F30" w:rsidRPr="004963C3">
        <w:rPr>
          <w:rFonts w:ascii="Arial" w:hAnsi="Arial" w:cs="Arial"/>
        </w:rPr>
        <w:t xml:space="preserve"> graphique indique que sur le montant total des conventions de financement signées sur la période de référence, la contribution des partenaires multilatéraux reste de loin la plus import</w:t>
      </w:r>
      <w:r w:rsidR="00562A1B">
        <w:rPr>
          <w:rFonts w:ascii="Arial" w:hAnsi="Arial" w:cs="Arial"/>
        </w:rPr>
        <w:t>ante avec un montant de 7</w:t>
      </w:r>
      <w:r w:rsidR="000D78A8">
        <w:rPr>
          <w:rFonts w:ascii="Arial" w:hAnsi="Arial" w:cs="Arial"/>
        </w:rPr>
        <w:t>00</w:t>
      </w:r>
      <w:r w:rsidR="00562A1B">
        <w:rPr>
          <w:rFonts w:ascii="Arial" w:hAnsi="Arial" w:cs="Arial"/>
        </w:rPr>
        <w:t xml:space="preserve">,37 </w:t>
      </w:r>
      <w:r w:rsidR="00CA26F9">
        <w:rPr>
          <w:rFonts w:ascii="Arial" w:hAnsi="Arial" w:cs="Arial"/>
        </w:rPr>
        <w:t xml:space="preserve">milliards de FCFA, soit une </w:t>
      </w:r>
      <w:r w:rsidR="004963C3">
        <w:rPr>
          <w:rFonts w:ascii="Arial" w:hAnsi="Arial" w:cs="Arial"/>
        </w:rPr>
        <w:t>proportion de 63</w:t>
      </w:r>
      <w:r w:rsidR="000E6F30" w:rsidRPr="004963C3">
        <w:rPr>
          <w:rFonts w:ascii="Arial" w:hAnsi="Arial" w:cs="Arial"/>
        </w:rPr>
        <w:t xml:space="preserve">%. Ils sont suivis respectivement </w:t>
      </w:r>
      <w:r w:rsidR="004963C3">
        <w:rPr>
          <w:rFonts w:ascii="Arial" w:hAnsi="Arial" w:cs="Arial"/>
        </w:rPr>
        <w:t xml:space="preserve">des partenaires bilatéraux </w:t>
      </w:r>
      <w:r w:rsidR="000D78A8">
        <w:rPr>
          <w:rFonts w:ascii="Arial" w:hAnsi="Arial" w:cs="Arial"/>
        </w:rPr>
        <w:t xml:space="preserve">qui ont contribué </w:t>
      </w:r>
      <w:r w:rsidR="007E1FDB">
        <w:rPr>
          <w:rFonts w:ascii="Arial" w:hAnsi="Arial" w:cs="Arial"/>
        </w:rPr>
        <w:t xml:space="preserve">pour un montant de </w:t>
      </w:r>
      <w:r w:rsidR="000D78A8">
        <w:rPr>
          <w:rFonts w:ascii="Arial" w:hAnsi="Arial" w:cs="Arial"/>
        </w:rPr>
        <w:t xml:space="preserve">304,44 </w:t>
      </w:r>
      <w:r w:rsidR="000D78A8" w:rsidRPr="00512346">
        <w:rPr>
          <w:rFonts w:ascii="Arial" w:hAnsi="Arial" w:cs="Arial"/>
        </w:rPr>
        <w:t xml:space="preserve">milliards de FCFA. </w:t>
      </w:r>
      <w:r w:rsidR="004963C3">
        <w:rPr>
          <w:rFonts w:ascii="Arial" w:hAnsi="Arial" w:cs="Arial"/>
        </w:rPr>
        <w:t>(27</w:t>
      </w:r>
      <w:r w:rsidR="000C2B2E">
        <w:rPr>
          <w:rFonts w:ascii="Arial" w:hAnsi="Arial" w:cs="Arial"/>
        </w:rPr>
        <w:t>%</w:t>
      </w:r>
      <w:r w:rsidR="000E6F30" w:rsidRPr="004963C3">
        <w:rPr>
          <w:rFonts w:ascii="Arial" w:hAnsi="Arial" w:cs="Arial"/>
        </w:rPr>
        <w:t>) et des ONG</w:t>
      </w:r>
      <w:r w:rsidR="007E1FDB">
        <w:rPr>
          <w:rFonts w:ascii="Arial" w:hAnsi="Arial" w:cs="Arial"/>
        </w:rPr>
        <w:t xml:space="preserve"> comptabilisant un volume de 65,07 milliards de FCFA, soit </w:t>
      </w:r>
      <w:r w:rsidR="000E6F30" w:rsidRPr="004963C3">
        <w:rPr>
          <w:rFonts w:ascii="Arial" w:hAnsi="Arial" w:cs="Arial"/>
        </w:rPr>
        <w:t>(</w:t>
      </w:r>
      <w:r w:rsidR="004963C3">
        <w:rPr>
          <w:rFonts w:ascii="Arial" w:hAnsi="Arial" w:cs="Arial"/>
        </w:rPr>
        <w:t>6</w:t>
      </w:r>
      <w:r w:rsidR="000E6F30" w:rsidRPr="004963C3">
        <w:rPr>
          <w:rFonts w:ascii="Arial" w:hAnsi="Arial" w:cs="Arial"/>
        </w:rPr>
        <w:t xml:space="preserve">%). Les conventions signées en PPP avec les partenaires privés demeurent très faible avec une part de </w:t>
      </w:r>
      <w:r w:rsidR="004963C3">
        <w:rPr>
          <w:rFonts w:ascii="Arial" w:hAnsi="Arial" w:cs="Arial"/>
        </w:rPr>
        <w:t>4</w:t>
      </w:r>
      <w:r w:rsidR="007E1FDB">
        <w:rPr>
          <w:rFonts w:ascii="Arial" w:hAnsi="Arial" w:cs="Arial"/>
        </w:rPr>
        <w:t>% (</w:t>
      </w:r>
      <w:r w:rsidR="008A23B5">
        <w:rPr>
          <w:rFonts w:ascii="Arial" w:hAnsi="Arial" w:cs="Arial"/>
        </w:rPr>
        <w:t>40,32</w:t>
      </w:r>
      <w:r w:rsidR="008A23B5" w:rsidRPr="008A23B5">
        <w:rPr>
          <w:rFonts w:ascii="Arial" w:hAnsi="Arial" w:cs="Arial"/>
        </w:rPr>
        <w:t xml:space="preserve"> </w:t>
      </w:r>
      <w:r w:rsidR="008A23B5">
        <w:rPr>
          <w:rFonts w:ascii="Arial" w:hAnsi="Arial" w:cs="Arial"/>
        </w:rPr>
        <w:t>milliards de FCFA).</w:t>
      </w:r>
    </w:p>
    <w:p w:rsidR="000E6F30" w:rsidRPr="004963C3" w:rsidRDefault="000E6F30" w:rsidP="000E6F30">
      <w:pPr>
        <w:spacing w:before="120" w:after="240"/>
        <w:jc w:val="both"/>
        <w:rPr>
          <w:rFonts w:ascii="Arial" w:hAnsi="Arial" w:cs="Arial"/>
        </w:rPr>
      </w:pPr>
      <w:r w:rsidRPr="004963C3">
        <w:rPr>
          <w:rFonts w:ascii="Arial" w:hAnsi="Arial" w:cs="Arial"/>
        </w:rPr>
        <w:t xml:space="preserve">Suivant la modalité de financement, on observe </w:t>
      </w:r>
      <w:r w:rsidR="00D1024A">
        <w:rPr>
          <w:rFonts w:ascii="Arial" w:hAnsi="Arial" w:cs="Arial"/>
        </w:rPr>
        <w:t>un</w:t>
      </w:r>
      <w:r w:rsidR="00A052DB">
        <w:rPr>
          <w:rFonts w:ascii="Arial" w:hAnsi="Arial" w:cs="Arial"/>
        </w:rPr>
        <w:t xml:space="preserve"> montant</w:t>
      </w:r>
      <w:r w:rsidRPr="004963C3">
        <w:rPr>
          <w:rFonts w:ascii="Arial" w:hAnsi="Arial" w:cs="Arial"/>
        </w:rPr>
        <w:t xml:space="preserve"> des conventions signées </w:t>
      </w:r>
      <w:r w:rsidR="00D1024A">
        <w:rPr>
          <w:rFonts w:ascii="Arial" w:hAnsi="Arial" w:cs="Arial"/>
        </w:rPr>
        <w:t>de 601,3</w:t>
      </w:r>
      <w:r w:rsidR="009670DC">
        <w:rPr>
          <w:rFonts w:ascii="Arial" w:hAnsi="Arial" w:cs="Arial"/>
        </w:rPr>
        <w:t xml:space="preserve">5 milliards de FCFA </w:t>
      </w:r>
      <w:r w:rsidR="00D1024A">
        <w:rPr>
          <w:rFonts w:ascii="Arial" w:hAnsi="Arial" w:cs="Arial"/>
        </w:rPr>
        <w:t>sous forme de dons</w:t>
      </w:r>
      <w:r w:rsidR="00E53EDF">
        <w:rPr>
          <w:rFonts w:ascii="Arial" w:hAnsi="Arial" w:cs="Arial"/>
        </w:rPr>
        <w:t xml:space="preserve"> (54,2%)</w:t>
      </w:r>
      <w:r w:rsidR="00D1024A">
        <w:rPr>
          <w:rFonts w:ascii="Arial" w:hAnsi="Arial" w:cs="Arial"/>
        </w:rPr>
        <w:t xml:space="preserve"> t</w:t>
      </w:r>
      <w:r w:rsidRPr="004963C3">
        <w:rPr>
          <w:rFonts w:ascii="Arial" w:hAnsi="Arial" w:cs="Arial"/>
        </w:rPr>
        <w:t>andis que le</w:t>
      </w:r>
      <w:r w:rsidR="00D1024A">
        <w:rPr>
          <w:rFonts w:ascii="Arial" w:hAnsi="Arial" w:cs="Arial"/>
        </w:rPr>
        <w:t>s prêts s’élèvent à 508,8</w:t>
      </w:r>
      <w:r w:rsidR="009670DC">
        <w:rPr>
          <w:rFonts w:ascii="Arial" w:hAnsi="Arial" w:cs="Arial"/>
        </w:rPr>
        <w:t xml:space="preserve">5 </w:t>
      </w:r>
      <w:r w:rsidR="00E53EDF">
        <w:rPr>
          <w:rFonts w:ascii="Arial" w:hAnsi="Arial" w:cs="Arial"/>
        </w:rPr>
        <w:t>(45,8%)</w:t>
      </w:r>
      <w:r w:rsidR="00DC0FF2">
        <w:rPr>
          <w:rFonts w:ascii="Arial" w:hAnsi="Arial" w:cs="Arial"/>
        </w:rPr>
        <w:t xml:space="preserve"> </w:t>
      </w:r>
      <w:r w:rsidR="009670DC" w:rsidRPr="00512346">
        <w:rPr>
          <w:rFonts w:ascii="Arial" w:hAnsi="Arial" w:cs="Arial"/>
        </w:rPr>
        <w:t xml:space="preserve">milliards de FCFA. </w:t>
      </w:r>
      <w:r w:rsidRPr="004963C3">
        <w:rPr>
          <w:rFonts w:ascii="Arial" w:hAnsi="Arial" w:cs="Arial"/>
        </w:rPr>
        <w:t xml:space="preserve"> </w:t>
      </w:r>
    </w:p>
    <w:p w:rsidR="00DC0FF2" w:rsidRPr="0074127E" w:rsidRDefault="0074127E" w:rsidP="0074127E">
      <w:pPr>
        <w:pStyle w:val="Lgende"/>
        <w:rPr>
          <w:color w:val="auto"/>
        </w:rPr>
      </w:pPr>
      <w:bookmarkStart w:id="646" w:name="_Toc492895756"/>
      <w:r w:rsidRPr="0074127E">
        <w:rPr>
          <w:color w:val="auto"/>
        </w:rPr>
        <w:t xml:space="preserve">Graphique </w:t>
      </w:r>
      <w:r w:rsidRPr="0074127E">
        <w:rPr>
          <w:color w:val="auto"/>
        </w:rPr>
        <w:fldChar w:fldCharType="begin"/>
      </w:r>
      <w:r w:rsidRPr="0074127E">
        <w:rPr>
          <w:color w:val="auto"/>
        </w:rPr>
        <w:instrText xml:space="preserve"> SEQ Graphique \* ARABIC </w:instrText>
      </w:r>
      <w:r w:rsidRPr="0074127E">
        <w:rPr>
          <w:color w:val="auto"/>
        </w:rPr>
        <w:fldChar w:fldCharType="separate"/>
      </w:r>
      <w:r w:rsidR="009A1402">
        <w:rPr>
          <w:noProof/>
          <w:color w:val="auto"/>
        </w:rPr>
        <w:t>23</w:t>
      </w:r>
      <w:r w:rsidRPr="0074127E">
        <w:rPr>
          <w:color w:val="auto"/>
        </w:rPr>
        <w:fldChar w:fldCharType="end"/>
      </w:r>
      <w:r w:rsidR="000E6F30" w:rsidRPr="0074127E">
        <w:rPr>
          <w:color w:val="auto"/>
        </w:rPr>
        <w:t xml:space="preserve"> : </w:t>
      </w:r>
      <w:r w:rsidR="000E6F30" w:rsidRPr="0074127E">
        <w:rPr>
          <w:color w:val="auto"/>
          <w:u w:val="none"/>
        </w:rPr>
        <w:t>Situation des conventions signées selon la modalité de financement</w:t>
      </w:r>
      <w:bookmarkEnd w:id="646"/>
    </w:p>
    <w:p w:rsidR="000E6F30" w:rsidRDefault="00F65DED" w:rsidP="000E6F30">
      <w:pPr>
        <w:pStyle w:val="Paragraphedeliste"/>
        <w:tabs>
          <w:tab w:val="left" w:pos="540"/>
        </w:tabs>
        <w:spacing w:after="160" w:line="259" w:lineRule="auto"/>
        <w:ind w:left="0"/>
        <w:jc w:val="both"/>
        <w:rPr>
          <w:rFonts w:ascii="Arial" w:hAnsi="Arial" w:cs="Arial"/>
        </w:rPr>
      </w:pPr>
      <w:r>
        <w:rPr>
          <w:noProof/>
          <w:lang w:eastAsia="fr-FR"/>
        </w:rPr>
        <w:drawing>
          <wp:inline distT="0" distB="0" distL="0" distR="0" wp14:anchorId="72CA2A2F" wp14:editId="50C13081">
            <wp:extent cx="5724525" cy="2181225"/>
            <wp:effectExtent l="0" t="0" r="9525" b="9525"/>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74127E" w:rsidRPr="0074127E" w:rsidRDefault="0074127E" w:rsidP="000E6F30">
      <w:pPr>
        <w:pStyle w:val="Paragraphedeliste"/>
        <w:tabs>
          <w:tab w:val="left" w:pos="540"/>
        </w:tabs>
        <w:spacing w:after="160" w:line="259" w:lineRule="auto"/>
        <w:ind w:left="0"/>
        <w:jc w:val="both"/>
        <w:rPr>
          <w:rFonts w:ascii="Arial" w:hAnsi="Arial" w:cs="Arial"/>
          <w:i/>
          <w:sz w:val="20"/>
          <w:szCs w:val="20"/>
        </w:rPr>
      </w:pPr>
      <w:r w:rsidRPr="0074127E">
        <w:rPr>
          <w:rFonts w:ascii="Arial" w:hAnsi="Arial" w:cs="Arial"/>
          <w:b/>
          <w:i/>
          <w:sz w:val="20"/>
          <w:szCs w:val="20"/>
          <w:u w:val="single"/>
        </w:rPr>
        <w:t xml:space="preserve">Source : </w:t>
      </w:r>
    </w:p>
    <w:p w:rsidR="00EC1B72" w:rsidRPr="00C47A9B" w:rsidRDefault="00EC1B72" w:rsidP="008D7758">
      <w:pPr>
        <w:pStyle w:val="Titre2"/>
        <w:numPr>
          <w:ilvl w:val="0"/>
          <w:numId w:val="114"/>
        </w:numPr>
        <w:tabs>
          <w:tab w:val="left" w:pos="1134"/>
        </w:tabs>
      </w:pPr>
      <w:bookmarkStart w:id="647" w:name="_Toc492972247"/>
      <w:r w:rsidRPr="00C47A9B">
        <w:t>Le financement par le PPP national et international</w:t>
      </w:r>
      <w:bookmarkEnd w:id="647"/>
    </w:p>
    <w:p w:rsidR="00EC1B72" w:rsidRPr="001B7BDA" w:rsidRDefault="00EC1B72" w:rsidP="00EC1B72">
      <w:pPr>
        <w:autoSpaceDE w:val="0"/>
        <w:autoSpaceDN w:val="0"/>
        <w:adjustRightInd w:val="0"/>
        <w:spacing w:before="100" w:beforeAutospacing="1" w:after="100" w:afterAutospacing="1"/>
        <w:ind w:right="340"/>
        <w:jc w:val="both"/>
        <w:rPr>
          <w:rFonts w:ascii="Arial" w:hAnsi="Arial" w:cs="Arial"/>
        </w:rPr>
      </w:pPr>
      <w:r w:rsidRPr="001B7BDA">
        <w:rPr>
          <w:rFonts w:ascii="Arial" w:hAnsi="Arial" w:cs="Arial"/>
          <w:bCs/>
        </w:rPr>
        <w:t>L’approche de PPP est une forme de coopération entre les autorités publiques et le secteur privé qui vise à assurer le financement, la construction, la rénovation, la gestion ou l’entretien d’une infrastructure ou la fourniture d’un service public.</w:t>
      </w:r>
    </w:p>
    <w:p w:rsidR="00EC1B72" w:rsidRPr="008F0104" w:rsidRDefault="00EC1B72" w:rsidP="00EC1B72">
      <w:pPr>
        <w:autoSpaceDE w:val="0"/>
        <w:autoSpaceDN w:val="0"/>
        <w:adjustRightInd w:val="0"/>
        <w:spacing w:before="100" w:beforeAutospacing="1" w:after="100" w:afterAutospacing="1"/>
        <w:ind w:right="340"/>
        <w:jc w:val="both"/>
        <w:rPr>
          <w:rFonts w:ascii="Arial" w:hAnsi="Arial" w:cs="Arial"/>
        </w:rPr>
      </w:pPr>
      <w:r w:rsidRPr="008F0104">
        <w:rPr>
          <w:rFonts w:ascii="Arial" w:hAnsi="Arial" w:cs="Arial"/>
        </w:rPr>
        <w:t xml:space="preserve">Depuis 2014, la prospection des possibilités de financement a conduit le pays à recourir au Partenariat public-privé (PPP) comme source alternative de financement et de mobilisation </w:t>
      </w:r>
      <w:r w:rsidRPr="008F0104">
        <w:rPr>
          <w:rFonts w:ascii="Arial" w:hAnsi="Arial" w:cs="Arial"/>
        </w:rPr>
        <w:lastRenderedPageBreak/>
        <w:t>optimale de l’expertise privée internationale et nationale nécessaire à la réalisation des projets et programmes de développement.</w:t>
      </w:r>
    </w:p>
    <w:p w:rsidR="00EC1B72" w:rsidRPr="008F0104" w:rsidRDefault="00EC1B72" w:rsidP="008D7758">
      <w:pPr>
        <w:pStyle w:val="Titre3"/>
        <w:numPr>
          <w:ilvl w:val="0"/>
          <w:numId w:val="116"/>
        </w:numPr>
      </w:pPr>
      <w:bookmarkStart w:id="648" w:name="_Toc492972248"/>
      <w:r w:rsidRPr="002D029E">
        <w:t>Présentation contextuelle, outil de planification et formes de PPP</w:t>
      </w:r>
      <w:bookmarkEnd w:id="648"/>
      <w:r w:rsidRPr="002D029E">
        <w:t xml:space="preserve"> </w:t>
      </w:r>
    </w:p>
    <w:p w:rsidR="00EC1B72" w:rsidRPr="002D029E" w:rsidRDefault="00EC1B72" w:rsidP="008D7758">
      <w:pPr>
        <w:pStyle w:val="Titre4"/>
        <w:numPr>
          <w:ilvl w:val="0"/>
          <w:numId w:val="146"/>
        </w:numPr>
        <w:tabs>
          <w:tab w:val="left" w:pos="1560"/>
        </w:tabs>
        <w:ind w:left="1134"/>
      </w:pPr>
      <w:bookmarkStart w:id="649" w:name="_Toc492972249"/>
      <w:r w:rsidRPr="002D029E">
        <w:t>Présentation contextuelle</w:t>
      </w:r>
      <w:bookmarkEnd w:id="649"/>
    </w:p>
    <w:p w:rsidR="00EC1B72" w:rsidRPr="002D029E" w:rsidRDefault="00EC1B72" w:rsidP="00EC1B72">
      <w:pPr>
        <w:tabs>
          <w:tab w:val="left" w:pos="540"/>
        </w:tabs>
        <w:autoSpaceDE w:val="0"/>
        <w:autoSpaceDN w:val="0"/>
        <w:adjustRightInd w:val="0"/>
        <w:spacing w:before="100" w:beforeAutospacing="1" w:after="100" w:afterAutospacing="1"/>
        <w:ind w:right="340"/>
        <w:contextualSpacing/>
        <w:jc w:val="both"/>
        <w:rPr>
          <w:rFonts w:ascii="Arial" w:hAnsi="Arial" w:cs="Arial"/>
        </w:rPr>
      </w:pPr>
      <w:r w:rsidRPr="002D029E">
        <w:rPr>
          <w:rFonts w:ascii="Arial" w:hAnsi="Arial" w:cs="Arial"/>
        </w:rPr>
        <w:t>Face aux contraintes budgétaires et à l’amenuisement de l’aide publique au développement, le Burkina Faso manifeste de plus en plus sa volonté d’impliquer le secteur privé dans la réalisation de ses objectifs de développement.</w:t>
      </w:r>
    </w:p>
    <w:p w:rsidR="00EC1B72" w:rsidRPr="002B4C0A" w:rsidRDefault="00EC1B72" w:rsidP="00EC1B72">
      <w:pPr>
        <w:tabs>
          <w:tab w:val="left" w:pos="540"/>
        </w:tabs>
        <w:autoSpaceDE w:val="0"/>
        <w:autoSpaceDN w:val="0"/>
        <w:adjustRightInd w:val="0"/>
        <w:spacing w:before="100" w:beforeAutospacing="1" w:after="100" w:afterAutospacing="1"/>
        <w:ind w:right="340"/>
        <w:contextualSpacing/>
        <w:jc w:val="both"/>
        <w:rPr>
          <w:rFonts w:ascii="Arial" w:hAnsi="Arial" w:cs="Arial"/>
          <w:color w:val="0070C0"/>
        </w:rPr>
      </w:pPr>
    </w:p>
    <w:p w:rsidR="00EC1B72" w:rsidRPr="008F0104" w:rsidRDefault="00EC1B72" w:rsidP="00EC1B72">
      <w:pPr>
        <w:autoSpaceDE w:val="0"/>
        <w:autoSpaceDN w:val="0"/>
        <w:adjustRightInd w:val="0"/>
        <w:spacing w:before="100" w:beforeAutospacing="1" w:after="100" w:afterAutospacing="1"/>
        <w:ind w:right="340"/>
        <w:jc w:val="both"/>
        <w:rPr>
          <w:rFonts w:ascii="Arial" w:hAnsi="Arial" w:cs="Arial"/>
        </w:rPr>
      </w:pPr>
      <w:r w:rsidRPr="008F0104">
        <w:rPr>
          <w:rFonts w:ascii="Arial" w:hAnsi="Arial" w:cs="Arial"/>
        </w:rPr>
        <w:t xml:space="preserve">Le recours au PPP est inscrit dans la politique économique du Gouvernement, visant à placer le Burkina Faso sur une trajectoire de croissance forte, durable et inclusive en vue de parvenir à une transformation structurelle de l’économie nationale et à réduire la pauvreté et les inégalités sociales. </w:t>
      </w:r>
    </w:p>
    <w:p w:rsidR="00EC1B72" w:rsidRPr="001B7BDA" w:rsidRDefault="00EC1B72" w:rsidP="00EC1B72">
      <w:pPr>
        <w:autoSpaceDE w:val="0"/>
        <w:autoSpaceDN w:val="0"/>
        <w:adjustRightInd w:val="0"/>
        <w:spacing w:before="100" w:beforeAutospacing="1" w:after="100" w:afterAutospacing="1"/>
        <w:ind w:right="340"/>
        <w:jc w:val="both"/>
        <w:rPr>
          <w:rFonts w:ascii="Arial" w:hAnsi="Arial" w:cs="Arial"/>
        </w:rPr>
      </w:pPr>
      <w:r w:rsidRPr="001B7BDA">
        <w:rPr>
          <w:rFonts w:ascii="Arial" w:hAnsi="Arial" w:cs="Arial"/>
        </w:rPr>
        <w:t>La réalisation d’une telle performance repose essentiellement sur la mise en œuvre d’un programme d’investissements qui reste subordonnée à une contribution plus efficace du secteur privé notamment par l’entremise du PPP. C’est ainsi qu’est élaboré le programme de projets de partenariat public-privé dénommé « Programme PPP » qui décrit l’ensemble des projets du Gouvernement autorisés à être exécutés en PPP au titre d’une année donnée au regard de leur caractère structurant.</w:t>
      </w:r>
    </w:p>
    <w:p w:rsidR="00EC1B72" w:rsidRDefault="00EC1B72" w:rsidP="00EC1B72">
      <w:pPr>
        <w:tabs>
          <w:tab w:val="left" w:pos="540"/>
        </w:tabs>
        <w:spacing w:before="100" w:beforeAutospacing="1" w:after="100" w:afterAutospacing="1"/>
        <w:ind w:right="340"/>
        <w:jc w:val="both"/>
        <w:rPr>
          <w:rFonts w:ascii="Arial" w:hAnsi="Arial" w:cs="Arial"/>
        </w:rPr>
      </w:pPr>
      <w:r w:rsidRPr="00B3278B">
        <w:rPr>
          <w:rFonts w:ascii="Arial" w:hAnsi="Arial" w:cs="Arial"/>
        </w:rPr>
        <w:t>En outre, un cadre juridique transparent et équitable accompagné d’un programme de projets PPP constituent sans doute un gage pour un financement privé national ou international bénéfique pour l’économie nationale.</w:t>
      </w:r>
    </w:p>
    <w:p w:rsidR="00EC1B72" w:rsidRPr="0033650B" w:rsidRDefault="00EC1B72" w:rsidP="008D7758">
      <w:pPr>
        <w:pStyle w:val="Titre4"/>
        <w:numPr>
          <w:ilvl w:val="0"/>
          <w:numId w:val="146"/>
        </w:numPr>
        <w:tabs>
          <w:tab w:val="left" w:pos="1560"/>
        </w:tabs>
        <w:ind w:left="1134"/>
      </w:pPr>
      <w:bookmarkStart w:id="650" w:name="_Toc492972250"/>
      <w:r w:rsidRPr="0033650B">
        <w:t>Outils de planification du PPP</w:t>
      </w:r>
      <w:bookmarkEnd w:id="650"/>
    </w:p>
    <w:p w:rsidR="00EC1B72" w:rsidRPr="00865B65" w:rsidRDefault="00EC1B72" w:rsidP="00B92B11">
      <w:pPr>
        <w:numPr>
          <w:ilvl w:val="0"/>
          <w:numId w:val="84"/>
        </w:numPr>
        <w:tabs>
          <w:tab w:val="left" w:pos="540"/>
        </w:tabs>
        <w:spacing w:before="100" w:beforeAutospacing="1" w:after="100" w:afterAutospacing="1"/>
        <w:ind w:right="340"/>
        <w:contextualSpacing/>
        <w:jc w:val="both"/>
        <w:rPr>
          <w:rFonts w:ascii="Arial" w:hAnsi="Arial" w:cs="Arial"/>
          <w:b/>
        </w:rPr>
      </w:pPr>
      <w:r w:rsidRPr="00865B65">
        <w:rPr>
          <w:rFonts w:ascii="Arial" w:hAnsi="Arial" w:cs="Arial"/>
          <w:b/>
        </w:rPr>
        <w:t>Le cadre juridique</w:t>
      </w:r>
    </w:p>
    <w:p w:rsidR="00EC1B72" w:rsidRPr="00291740" w:rsidRDefault="00EC1B72" w:rsidP="000F3381">
      <w:pPr>
        <w:tabs>
          <w:tab w:val="left" w:pos="540"/>
        </w:tabs>
        <w:spacing w:before="100" w:beforeAutospacing="1" w:after="100" w:afterAutospacing="1"/>
        <w:ind w:right="340"/>
        <w:jc w:val="both"/>
        <w:rPr>
          <w:rFonts w:ascii="Arial" w:eastAsia="SimSun" w:hAnsi="Arial" w:cs="Arial"/>
        </w:rPr>
      </w:pPr>
      <w:r w:rsidRPr="00291740">
        <w:rPr>
          <w:rFonts w:ascii="Arial" w:eastAsia="SimSun" w:hAnsi="Arial" w:cs="Arial"/>
        </w:rPr>
        <w:t xml:space="preserve">Un cadre juridique et institutionnel est indispensable afin de garantir le succès des PPP au Burkina Faso à travers des financements privés national ou international aux projets. A cet effet, une </w:t>
      </w:r>
      <w:r w:rsidRPr="00291740">
        <w:rPr>
          <w:rFonts w:ascii="Arial" w:hAnsi="Arial" w:cs="Arial"/>
        </w:rPr>
        <w:t>loi portant régime juridique du partenariat public-privé au Burkina Faso a été adoptée ainsi que</w:t>
      </w:r>
      <w:r w:rsidRPr="00291740">
        <w:rPr>
          <w:rFonts w:ascii="Arial" w:eastAsia="SimSun" w:hAnsi="Arial" w:cs="Arial"/>
        </w:rPr>
        <w:t xml:space="preserve"> son décret d’application et textes complémentaires. Elle devra permettre avec le programme de projets PPP de limiter les risques d'incompréhension de la part des investisseurs locaux ou internationaux.</w:t>
      </w:r>
    </w:p>
    <w:p w:rsidR="00EC1B72" w:rsidRPr="005C1622" w:rsidRDefault="00EC1B72" w:rsidP="00B92B11">
      <w:pPr>
        <w:numPr>
          <w:ilvl w:val="0"/>
          <w:numId w:val="84"/>
        </w:numPr>
        <w:tabs>
          <w:tab w:val="left" w:pos="540"/>
        </w:tabs>
        <w:spacing w:before="100" w:beforeAutospacing="1" w:after="100" w:afterAutospacing="1"/>
        <w:ind w:right="340"/>
        <w:contextualSpacing/>
        <w:jc w:val="both"/>
        <w:rPr>
          <w:rFonts w:ascii="Arial" w:hAnsi="Arial" w:cs="Arial"/>
          <w:b/>
        </w:rPr>
      </w:pPr>
      <w:r w:rsidRPr="005C1622">
        <w:rPr>
          <w:rFonts w:ascii="Arial" w:hAnsi="Arial" w:cs="Arial"/>
          <w:b/>
        </w:rPr>
        <w:t>Le programme de projets PPP</w:t>
      </w:r>
    </w:p>
    <w:p w:rsidR="00EC1B72" w:rsidRPr="005C1622" w:rsidRDefault="00EC1B72" w:rsidP="000F3381">
      <w:pPr>
        <w:spacing w:before="100" w:beforeAutospacing="1" w:after="100" w:afterAutospacing="1"/>
        <w:ind w:right="340"/>
        <w:jc w:val="both"/>
        <w:rPr>
          <w:rFonts w:ascii="Arial" w:hAnsi="Arial" w:cs="Arial"/>
        </w:rPr>
      </w:pPr>
      <w:r w:rsidRPr="005C1622">
        <w:rPr>
          <w:rFonts w:ascii="Arial" w:hAnsi="Arial" w:cs="Arial"/>
        </w:rPr>
        <w:t>Le programme de projets PPP, document de planification, est constitué des projets prioritaires des départements ministériels. Le programme des projets PPP prend aussi en compte le coût estimatif des projets PPP ainsi que les avantages et inconvénients des différentes options possibles. Il est en cohérence avec le Plan national de développement économique et social et les politiques sectorielles des différents départements ministériels.</w:t>
      </w:r>
    </w:p>
    <w:p w:rsidR="00EC1B72" w:rsidRPr="007A7C26" w:rsidRDefault="00EC1B72" w:rsidP="008D7758">
      <w:pPr>
        <w:pStyle w:val="Titre4"/>
        <w:numPr>
          <w:ilvl w:val="0"/>
          <w:numId w:val="146"/>
        </w:numPr>
        <w:tabs>
          <w:tab w:val="left" w:pos="1560"/>
        </w:tabs>
        <w:ind w:left="1134"/>
      </w:pPr>
      <w:bookmarkStart w:id="651" w:name="_Toc492972251"/>
      <w:r w:rsidRPr="007A7C26">
        <w:t>Formes de PPP</w:t>
      </w:r>
      <w:bookmarkEnd w:id="651"/>
      <w:r w:rsidRPr="007A7C26">
        <w:t xml:space="preserve"> </w:t>
      </w:r>
    </w:p>
    <w:p w:rsidR="00EC1B72" w:rsidRPr="005C1622" w:rsidRDefault="00EC1B72" w:rsidP="000F3381">
      <w:pPr>
        <w:spacing w:before="100" w:beforeAutospacing="1" w:after="100" w:afterAutospacing="1"/>
        <w:ind w:right="340"/>
        <w:jc w:val="both"/>
        <w:rPr>
          <w:rFonts w:ascii="Arial" w:hAnsi="Arial" w:cs="Arial"/>
        </w:rPr>
      </w:pPr>
      <w:r w:rsidRPr="005C1622">
        <w:rPr>
          <w:rFonts w:ascii="Arial" w:hAnsi="Arial" w:cs="Arial"/>
        </w:rPr>
        <w:t xml:space="preserve">Selon l’article 4 de la loi n°020-2013/AN du 23 mai 2013 portant régime juridique du partenariat public-privé au Burkina Faso, le contrat de partenariat public-privé régit la collaboration entre une </w:t>
      </w:r>
      <w:r w:rsidRPr="005C1622">
        <w:rPr>
          <w:rFonts w:ascii="Arial" w:hAnsi="Arial" w:cs="Arial"/>
        </w:rPr>
        <w:lastRenderedPageBreak/>
        <w:t>autorité publique et une ou plusieurs personnes privées pour la délivrance de services publics. A ce titre, on dénombre différents types de PPP:</w:t>
      </w:r>
    </w:p>
    <w:p w:rsidR="00EC1B72" w:rsidRPr="005C1622" w:rsidRDefault="00EC1B72" w:rsidP="00B92B11">
      <w:pPr>
        <w:pStyle w:val="Paragraphedeliste"/>
        <w:numPr>
          <w:ilvl w:val="0"/>
          <w:numId w:val="103"/>
        </w:numPr>
        <w:spacing w:after="0" w:line="240" w:lineRule="auto"/>
        <w:rPr>
          <w:rFonts w:ascii="Arial" w:hAnsi="Arial" w:cs="Arial"/>
          <w:b/>
          <w:iCs/>
        </w:rPr>
      </w:pPr>
      <w:bookmarkStart w:id="652" w:name="_Toc464640808"/>
      <w:r>
        <w:rPr>
          <w:rFonts w:ascii="Arial" w:hAnsi="Arial" w:cs="Arial"/>
          <w:b/>
        </w:rPr>
        <w:t xml:space="preserve">Built - </w:t>
      </w:r>
      <w:r w:rsidRPr="005C1622">
        <w:rPr>
          <w:rFonts w:ascii="Arial" w:hAnsi="Arial" w:cs="Arial"/>
          <w:b/>
        </w:rPr>
        <w:t>Operate</w:t>
      </w:r>
      <w:r>
        <w:rPr>
          <w:rFonts w:ascii="Arial" w:hAnsi="Arial" w:cs="Arial"/>
          <w:b/>
        </w:rPr>
        <w:t>-</w:t>
      </w:r>
      <w:r w:rsidRPr="005C1622">
        <w:rPr>
          <w:rFonts w:ascii="Arial" w:hAnsi="Arial" w:cs="Arial"/>
          <w:b/>
        </w:rPr>
        <w:t>Transfer</w:t>
      </w:r>
      <w:r w:rsidRPr="005C1622">
        <w:rPr>
          <w:rFonts w:ascii="Arial" w:hAnsi="Arial" w:cs="Arial"/>
          <w:b/>
          <w:iCs/>
        </w:rPr>
        <w:t xml:space="preserve"> (BOT</w:t>
      </w:r>
      <w:bookmarkEnd w:id="652"/>
      <w:r w:rsidRPr="005C1622">
        <w:rPr>
          <w:rFonts w:ascii="Arial" w:hAnsi="Arial" w:cs="Arial"/>
          <w:b/>
          <w:iCs/>
        </w:rPr>
        <w:t>)</w:t>
      </w:r>
    </w:p>
    <w:p w:rsidR="00EC1B72" w:rsidRPr="005C1622" w:rsidRDefault="00EC1B72" w:rsidP="000F3381">
      <w:pPr>
        <w:tabs>
          <w:tab w:val="left" w:pos="3660"/>
        </w:tabs>
        <w:spacing w:before="100" w:beforeAutospacing="1" w:after="100" w:afterAutospacing="1"/>
        <w:ind w:right="340"/>
        <w:jc w:val="both"/>
        <w:rPr>
          <w:rFonts w:ascii="Arial" w:hAnsi="Arial" w:cs="Arial"/>
        </w:rPr>
      </w:pPr>
      <w:r w:rsidRPr="005C1622">
        <w:rPr>
          <w:rFonts w:ascii="Arial" w:hAnsi="Arial" w:cs="Arial"/>
        </w:rPr>
        <w:t>Dans un BOT, le privé se charge du financement, de la construction et de l’exploitation d’un nouvel ouvrage conformément aux exigences de performances définies par l’autorité publique. A l’issue du délai contractuel, l’exploitation de l’ouvrage est transférée à la partie publique.</w:t>
      </w:r>
    </w:p>
    <w:p w:rsidR="00EC1B72" w:rsidRPr="00E66D58" w:rsidRDefault="00EC1B72" w:rsidP="00B92B11">
      <w:pPr>
        <w:pStyle w:val="Paragraphedeliste"/>
        <w:numPr>
          <w:ilvl w:val="0"/>
          <w:numId w:val="103"/>
        </w:numPr>
        <w:spacing w:after="0" w:line="240" w:lineRule="auto"/>
        <w:rPr>
          <w:rFonts w:ascii="Arial" w:hAnsi="Arial" w:cs="Arial"/>
          <w:b/>
          <w:lang w:val="en-US"/>
        </w:rPr>
      </w:pPr>
      <w:bookmarkStart w:id="653" w:name="_Toc464640809"/>
      <w:r w:rsidRPr="00E66D58">
        <w:rPr>
          <w:rFonts w:ascii="Arial" w:hAnsi="Arial" w:cs="Arial"/>
          <w:b/>
          <w:lang w:val="en-US"/>
        </w:rPr>
        <w:t>Design-Built-Finance-Maintain (DBFM</w:t>
      </w:r>
      <w:bookmarkEnd w:id="653"/>
      <w:r w:rsidRPr="00E66D58">
        <w:rPr>
          <w:rFonts w:ascii="Arial" w:hAnsi="Arial" w:cs="Arial"/>
          <w:b/>
          <w:lang w:val="en-US"/>
        </w:rPr>
        <w:t>)</w:t>
      </w:r>
    </w:p>
    <w:p w:rsidR="00EC1B72" w:rsidRPr="005C1622" w:rsidRDefault="00EC1B72" w:rsidP="007A7C26">
      <w:pPr>
        <w:tabs>
          <w:tab w:val="left" w:pos="2535"/>
        </w:tabs>
        <w:spacing w:before="100" w:beforeAutospacing="1" w:after="100" w:afterAutospacing="1"/>
        <w:ind w:right="340"/>
        <w:jc w:val="both"/>
        <w:rPr>
          <w:rFonts w:ascii="Arial" w:hAnsi="Arial" w:cs="Arial"/>
        </w:rPr>
      </w:pPr>
      <w:r w:rsidRPr="005C1622">
        <w:rPr>
          <w:rFonts w:ascii="Arial" w:hAnsi="Arial" w:cs="Arial"/>
        </w:rPr>
        <w:t>Les DBFM portent en même temps sur la conception, la construction, le financement et l’entretien d’un ouvrage. Ils permettent de réussir la jonction entre la conception et la construction et garantissent ainsi une bonne gestion des coûts et des délais.</w:t>
      </w:r>
    </w:p>
    <w:p w:rsidR="00EC1B72" w:rsidRPr="00E66D58" w:rsidRDefault="00EC1B72" w:rsidP="00B92B11">
      <w:pPr>
        <w:pStyle w:val="Paragraphedeliste"/>
        <w:numPr>
          <w:ilvl w:val="0"/>
          <w:numId w:val="103"/>
        </w:numPr>
        <w:spacing w:after="0" w:line="240" w:lineRule="auto"/>
        <w:rPr>
          <w:rFonts w:ascii="Arial" w:hAnsi="Arial" w:cs="Arial"/>
          <w:b/>
          <w:lang w:val="en-US"/>
        </w:rPr>
      </w:pPr>
      <w:bookmarkStart w:id="654" w:name="_Toc464640810"/>
      <w:r w:rsidRPr="00E66D58">
        <w:rPr>
          <w:rFonts w:ascii="Arial" w:hAnsi="Arial" w:cs="Arial"/>
          <w:b/>
          <w:lang w:val="en-US"/>
        </w:rPr>
        <w:t>Design-Built-Finance-Operate (DBFO)</w:t>
      </w:r>
      <w:bookmarkEnd w:id="654"/>
      <w:r w:rsidRPr="00E66D58">
        <w:rPr>
          <w:rFonts w:ascii="Arial" w:hAnsi="Arial" w:cs="Arial"/>
          <w:b/>
          <w:lang w:val="en-US"/>
        </w:rPr>
        <w:t>;</w:t>
      </w:r>
    </w:p>
    <w:p w:rsidR="00EC1B72" w:rsidRPr="006C471B" w:rsidRDefault="00EC1B72" w:rsidP="007A7C26">
      <w:pPr>
        <w:tabs>
          <w:tab w:val="left" w:pos="2535"/>
        </w:tabs>
        <w:spacing w:before="100" w:beforeAutospacing="1" w:after="100" w:afterAutospacing="1"/>
        <w:ind w:right="340"/>
        <w:jc w:val="both"/>
        <w:rPr>
          <w:rFonts w:ascii="Arial" w:hAnsi="Arial" w:cs="Arial"/>
        </w:rPr>
      </w:pPr>
      <w:r w:rsidRPr="006C471B">
        <w:rPr>
          <w:rFonts w:ascii="Arial" w:hAnsi="Arial" w:cs="Arial"/>
        </w:rPr>
        <w:t>Le DBFO permet au secteur privé de concevoir, construire, financer et exploiter une infrastructure publique sensée générer des ressources financières. En contrepartie, il perçoit une rémunération liée aux revenus provenant des usagers de l’infrastructure qu’il gère.</w:t>
      </w:r>
    </w:p>
    <w:p w:rsidR="00EC1B72" w:rsidRPr="00E66D58" w:rsidRDefault="00EC1B72" w:rsidP="00B92B11">
      <w:pPr>
        <w:pStyle w:val="Paragraphedeliste"/>
        <w:numPr>
          <w:ilvl w:val="0"/>
          <w:numId w:val="103"/>
        </w:numPr>
        <w:spacing w:after="0" w:line="240" w:lineRule="auto"/>
        <w:rPr>
          <w:rFonts w:ascii="Arial" w:hAnsi="Arial" w:cs="Arial"/>
          <w:b/>
          <w:lang w:val="en-US"/>
        </w:rPr>
      </w:pPr>
      <w:bookmarkStart w:id="655" w:name="_Toc464640811"/>
      <w:r w:rsidRPr="00E66D58">
        <w:rPr>
          <w:rFonts w:ascii="Arial" w:hAnsi="Arial" w:cs="Arial"/>
          <w:b/>
          <w:lang w:val="en-US"/>
        </w:rPr>
        <w:t>Built, Own and Operate (BOO</w:t>
      </w:r>
      <w:bookmarkEnd w:id="655"/>
      <w:r w:rsidRPr="00E66D58">
        <w:rPr>
          <w:rFonts w:ascii="Arial" w:hAnsi="Arial" w:cs="Arial"/>
          <w:b/>
          <w:lang w:val="en-US"/>
        </w:rPr>
        <w:t>)</w:t>
      </w:r>
    </w:p>
    <w:p w:rsidR="00EC1B72" w:rsidRPr="006C471B" w:rsidRDefault="00EC1B72" w:rsidP="007A7C26">
      <w:pPr>
        <w:tabs>
          <w:tab w:val="left" w:pos="2535"/>
        </w:tabs>
        <w:spacing w:before="100" w:beforeAutospacing="1" w:after="100" w:afterAutospacing="1"/>
        <w:ind w:right="340"/>
        <w:jc w:val="both"/>
        <w:rPr>
          <w:rFonts w:ascii="Arial" w:hAnsi="Arial" w:cs="Arial"/>
        </w:rPr>
      </w:pPr>
      <w:r w:rsidRPr="006C471B">
        <w:rPr>
          <w:rFonts w:ascii="Arial" w:hAnsi="Arial" w:cs="Arial"/>
        </w:rPr>
        <w:t>Le BOO désigne le cas où un partenaire privé finance et construit une infrastructure ou fournis des équipements qu’il va posséder et exploiter, moyennant des revenus sur une durée bien déterminée. Dans ce cas de figure</w:t>
      </w:r>
      <w:r>
        <w:rPr>
          <w:rFonts w:ascii="Arial" w:hAnsi="Arial" w:cs="Arial"/>
        </w:rPr>
        <w:t>,</w:t>
      </w:r>
      <w:r w:rsidRPr="006C471B">
        <w:rPr>
          <w:rFonts w:ascii="Arial" w:hAnsi="Arial" w:cs="Arial"/>
        </w:rPr>
        <w:t xml:space="preserve"> il n’y a pas de restitution d’infrastructure au secteur public.</w:t>
      </w:r>
    </w:p>
    <w:p w:rsidR="00EC1B72" w:rsidRPr="00E66D58" w:rsidRDefault="00EC1B72" w:rsidP="00B92B11">
      <w:pPr>
        <w:pStyle w:val="Paragraphedeliste"/>
        <w:numPr>
          <w:ilvl w:val="0"/>
          <w:numId w:val="103"/>
        </w:numPr>
        <w:spacing w:after="0" w:line="240" w:lineRule="auto"/>
        <w:rPr>
          <w:rFonts w:ascii="Arial" w:hAnsi="Arial" w:cs="Arial"/>
          <w:b/>
          <w:lang w:val="en-US"/>
        </w:rPr>
      </w:pPr>
      <w:bookmarkStart w:id="656" w:name="_Toc464640812"/>
      <w:r w:rsidRPr="00E66D58">
        <w:rPr>
          <w:rFonts w:ascii="Arial" w:hAnsi="Arial" w:cs="Arial"/>
          <w:b/>
          <w:lang w:val="en-US"/>
        </w:rPr>
        <w:t>Built-Transfer-and Operate(BTO</w:t>
      </w:r>
      <w:bookmarkEnd w:id="656"/>
      <w:r w:rsidRPr="00E66D58">
        <w:rPr>
          <w:rFonts w:ascii="Arial" w:hAnsi="Arial" w:cs="Arial"/>
          <w:b/>
          <w:lang w:val="en-US"/>
        </w:rPr>
        <w:t>)</w:t>
      </w:r>
    </w:p>
    <w:p w:rsidR="00EC1B72" w:rsidRPr="006C471B" w:rsidRDefault="00EC1B72" w:rsidP="007A7C26">
      <w:pPr>
        <w:tabs>
          <w:tab w:val="left" w:pos="2535"/>
        </w:tabs>
        <w:spacing w:before="100" w:beforeAutospacing="1" w:after="100" w:afterAutospacing="1"/>
        <w:ind w:right="340"/>
        <w:jc w:val="both"/>
        <w:rPr>
          <w:rFonts w:ascii="Arial" w:hAnsi="Arial" w:cs="Arial"/>
        </w:rPr>
      </w:pPr>
      <w:r w:rsidRPr="006C471B">
        <w:rPr>
          <w:rFonts w:ascii="Arial" w:hAnsi="Arial" w:cs="Arial"/>
        </w:rPr>
        <w:t>Pour ce type de contrat, le partenaire privé finance et construit une infrastructure puis transfère la propriété à l’Etat juste après la construction. A son tour, l’Etat met l’infrastructure en location à ce privé ou à un autre, pendant une durée limitée (20 à40 ans) à l’échéance de laquelle tous les droits sont transférés au partenaire public. Toutefois, la responsabilité financière du privé reste engagée même après le transfert.</w:t>
      </w:r>
    </w:p>
    <w:p w:rsidR="00EC1B72" w:rsidRPr="00E66D58" w:rsidRDefault="00EC1B72" w:rsidP="00B92B11">
      <w:pPr>
        <w:pStyle w:val="Paragraphedeliste"/>
        <w:numPr>
          <w:ilvl w:val="0"/>
          <w:numId w:val="103"/>
        </w:numPr>
        <w:spacing w:after="0" w:line="240" w:lineRule="auto"/>
        <w:rPr>
          <w:rFonts w:ascii="Arial" w:hAnsi="Arial" w:cs="Arial"/>
          <w:b/>
          <w:lang w:val="en-US"/>
        </w:rPr>
      </w:pPr>
      <w:bookmarkStart w:id="657" w:name="_Toc464640813"/>
      <w:r w:rsidRPr="00E66D58">
        <w:rPr>
          <w:rFonts w:ascii="Arial" w:hAnsi="Arial" w:cs="Arial"/>
          <w:b/>
          <w:lang w:val="en-US"/>
        </w:rPr>
        <w:t>Buy, Built and Operate (BBO</w:t>
      </w:r>
      <w:bookmarkEnd w:id="657"/>
      <w:r w:rsidRPr="00E66D58">
        <w:rPr>
          <w:rFonts w:ascii="Arial" w:hAnsi="Arial" w:cs="Arial"/>
          <w:b/>
          <w:lang w:val="en-US"/>
        </w:rPr>
        <w:t>)</w:t>
      </w:r>
    </w:p>
    <w:p w:rsidR="00EC1B72" w:rsidRPr="00786C65" w:rsidRDefault="00EC1B72" w:rsidP="007A7C26">
      <w:pPr>
        <w:tabs>
          <w:tab w:val="left" w:pos="2535"/>
        </w:tabs>
        <w:spacing w:before="100" w:beforeAutospacing="1" w:after="100" w:afterAutospacing="1"/>
        <w:ind w:right="340"/>
        <w:jc w:val="both"/>
        <w:rPr>
          <w:rFonts w:ascii="Arial" w:hAnsi="Arial" w:cs="Arial"/>
        </w:rPr>
      </w:pPr>
      <w:r w:rsidRPr="00786C65">
        <w:rPr>
          <w:rFonts w:ascii="Arial" w:hAnsi="Arial" w:cs="Arial"/>
        </w:rPr>
        <w:t>Par ce biais, une entreprise ou un groupe d’entreprise rachète à l’Etat une infrastructure existante, l’élargit, ou la répare. Elle l’exploite ensuite et reçoit des recettes de péages de façon permanente.</w:t>
      </w:r>
    </w:p>
    <w:p w:rsidR="00EC1B72" w:rsidRPr="00E66D58" w:rsidRDefault="00EC1B72" w:rsidP="00B92B11">
      <w:pPr>
        <w:pStyle w:val="Paragraphedeliste"/>
        <w:numPr>
          <w:ilvl w:val="0"/>
          <w:numId w:val="103"/>
        </w:numPr>
        <w:spacing w:after="0" w:line="240" w:lineRule="auto"/>
        <w:rPr>
          <w:rFonts w:ascii="Arial" w:hAnsi="Arial" w:cs="Arial"/>
          <w:b/>
          <w:lang w:val="en-US"/>
        </w:rPr>
      </w:pPr>
      <w:bookmarkStart w:id="658" w:name="_Toc464640814"/>
      <w:r w:rsidRPr="00E66D58">
        <w:rPr>
          <w:rFonts w:ascii="Arial" w:hAnsi="Arial" w:cs="Arial"/>
          <w:b/>
          <w:lang w:val="en-US"/>
        </w:rPr>
        <w:t>Lease, Improved and Operate (LIO</w:t>
      </w:r>
      <w:bookmarkEnd w:id="658"/>
      <w:r w:rsidRPr="00E66D58">
        <w:rPr>
          <w:rFonts w:ascii="Arial" w:hAnsi="Arial" w:cs="Arial"/>
          <w:b/>
          <w:lang w:val="en-US"/>
        </w:rPr>
        <w:t>)</w:t>
      </w:r>
    </w:p>
    <w:p w:rsidR="00EC1B72" w:rsidRPr="00786C65" w:rsidRDefault="00EC1B72" w:rsidP="007A7C26">
      <w:pPr>
        <w:tabs>
          <w:tab w:val="left" w:pos="2535"/>
        </w:tabs>
        <w:spacing w:before="100" w:beforeAutospacing="1" w:after="100" w:afterAutospacing="1"/>
        <w:ind w:right="340"/>
        <w:jc w:val="both"/>
        <w:rPr>
          <w:rFonts w:ascii="Arial" w:hAnsi="Arial" w:cs="Arial"/>
        </w:rPr>
      </w:pPr>
      <w:r w:rsidRPr="00786C65">
        <w:rPr>
          <w:rFonts w:ascii="Arial" w:hAnsi="Arial" w:cs="Arial"/>
        </w:rPr>
        <w:t xml:space="preserve">Le privé loue une infrastructure existante, la </w:t>
      </w:r>
      <w:r>
        <w:rPr>
          <w:rFonts w:ascii="Arial" w:hAnsi="Arial" w:cs="Arial"/>
        </w:rPr>
        <w:t>réhabilite</w:t>
      </w:r>
      <w:r w:rsidRPr="00786C65">
        <w:rPr>
          <w:rFonts w:ascii="Arial" w:hAnsi="Arial" w:cs="Arial"/>
        </w:rPr>
        <w:t xml:space="preserve"> ou l’é</w:t>
      </w:r>
      <w:r>
        <w:rPr>
          <w:rFonts w:ascii="Arial" w:hAnsi="Arial" w:cs="Arial"/>
        </w:rPr>
        <w:t>tend</w:t>
      </w:r>
      <w:r w:rsidRPr="00786C65">
        <w:rPr>
          <w:rFonts w:ascii="Arial" w:hAnsi="Arial" w:cs="Arial"/>
        </w:rPr>
        <w:t xml:space="preserve">. En contrepartie, il engrange des recettes, généralement sous forme de </w:t>
      </w:r>
      <w:r>
        <w:rPr>
          <w:rFonts w:ascii="Arial" w:hAnsi="Arial" w:cs="Arial"/>
        </w:rPr>
        <w:t>loyers</w:t>
      </w:r>
      <w:r w:rsidRPr="00786C65">
        <w:rPr>
          <w:rFonts w:ascii="Arial" w:hAnsi="Arial" w:cs="Arial"/>
        </w:rPr>
        <w:t xml:space="preserve"> au cours du bail.</w:t>
      </w:r>
    </w:p>
    <w:p w:rsidR="00EC1B72" w:rsidRPr="0064646A" w:rsidRDefault="00EC1B72" w:rsidP="007A7C26">
      <w:pPr>
        <w:spacing w:before="100" w:beforeAutospacing="1" w:after="100" w:afterAutospacing="1"/>
        <w:ind w:right="340"/>
        <w:jc w:val="both"/>
        <w:rPr>
          <w:rFonts w:ascii="Arial" w:hAnsi="Arial" w:cs="Arial"/>
        </w:rPr>
      </w:pPr>
      <w:r w:rsidRPr="0064646A">
        <w:rPr>
          <w:rFonts w:ascii="Arial" w:hAnsi="Arial" w:cs="Arial"/>
        </w:rPr>
        <w:t>Ces différents types de PPP impliquent leur préfinancement par les entreprises allant de la construction à l’exploitation des infrastructures. Plusieurs projets et accords de ce genre sont en cours et attendent d’être finalisés et exécutés </w:t>
      </w:r>
    </w:p>
    <w:p w:rsidR="00EC1B72" w:rsidRPr="007A7C26" w:rsidRDefault="00EC1B72" w:rsidP="008D7758">
      <w:pPr>
        <w:pStyle w:val="Titre3"/>
        <w:numPr>
          <w:ilvl w:val="0"/>
          <w:numId w:val="116"/>
        </w:numPr>
      </w:pPr>
      <w:r w:rsidRPr="007A7C26">
        <w:lastRenderedPageBreak/>
        <w:t xml:space="preserve"> </w:t>
      </w:r>
      <w:bookmarkStart w:id="659" w:name="_Toc492972252"/>
      <w:r w:rsidRPr="007A7C26">
        <w:t>Point du financement international des projets structurants par le PPP</w:t>
      </w:r>
      <w:bookmarkEnd w:id="659"/>
      <w:r w:rsidRPr="007A7C26">
        <w:t xml:space="preserve"> </w:t>
      </w:r>
    </w:p>
    <w:p w:rsidR="00EC1B72" w:rsidRPr="003E2DD9" w:rsidRDefault="00EC1B72" w:rsidP="007A7C26">
      <w:pPr>
        <w:spacing w:before="100" w:beforeAutospacing="1" w:after="100" w:afterAutospacing="1"/>
        <w:ind w:right="340"/>
        <w:jc w:val="both"/>
        <w:rPr>
          <w:rFonts w:ascii="Arial" w:hAnsi="Arial" w:cs="Arial"/>
        </w:rPr>
      </w:pPr>
      <w:r w:rsidRPr="003E2DD9">
        <w:rPr>
          <w:rFonts w:ascii="Arial" w:hAnsi="Arial" w:cs="Arial"/>
        </w:rPr>
        <w:t>Les enjeux des PPP au Burkina sont relatifs à la concrétisation des engagements pris au niveau international</w:t>
      </w:r>
      <w:r w:rsidRPr="003E2DD9">
        <w:rPr>
          <w:rFonts w:ascii="Arial" w:hAnsi="Arial" w:cs="Arial"/>
          <w:bCs/>
          <w:i/>
        </w:rPr>
        <w:t xml:space="preserve">. </w:t>
      </w:r>
      <w:r w:rsidRPr="003E2DD9">
        <w:rPr>
          <w:rFonts w:ascii="Arial" w:hAnsi="Arial" w:cs="Arial"/>
        </w:rPr>
        <w:t>La tenue de ces engagements devra se faire, in fine, par la réalisation, avec le Privé, de projets et programmes de développement (PPD) porteurs de forte croissance et respectueux du développement durable.</w:t>
      </w:r>
    </w:p>
    <w:p w:rsidR="00EC1B72" w:rsidRPr="003E2DD9" w:rsidRDefault="00EC1B72" w:rsidP="007A7C26">
      <w:pPr>
        <w:spacing w:before="100" w:beforeAutospacing="1" w:after="100" w:afterAutospacing="1"/>
        <w:ind w:right="340"/>
        <w:jc w:val="both"/>
        <w:rPr>
          <w:rFonts w:ascii="Arial" w:hAnsi="Arial" w:cs="Arial"/>
        </w:rPr>
      </w:pPr>
      <w:r w:rsidRPr="003E2DD9">
        <w:rPr>
          <w:rFonts w:ascii="Arial" w:hAnsi="Arial" w:cs="Arial"/>
        </w:rPr>
        <w:t xml:space="preserve">Les enjeux se situeront au niveau des actions à entreprendre au plan opérationnel. Ceux-ci pourraient se résumer par les questions suivantes : </w:t>
      </w:r>
    </w:p>
    <w:p w:rsidR="00EC1B72" w:rsidRPr="003E2DD9" w:rsidRDefault="00EC1B72" w:rsidP="00B92B11">
      <w:pPr>
        <w:numPr>
          <w:ilvl w:val="0"/>
          <w:numId w:val="104"/>
        </w:numPr>
        <w:spacing w:before="100" w:beforeAutospacing="1" w:after="100" w:afterAutospacing="1"/>
        <w:ind w:left="567" w:right="340"/>
        <w:contextualSpacing/>
        <w:jc w:val="both"/>
        <w:rPr>
          <w:rFonts w:ascii="Arial" w:hAnsi="Arial" w:cs="Arial"/>
        </w:rPr>
      </w:pPr>
      <w:r w:rsidRPr="003E2DD9">
        <w:rPr>
          <w:rFonts w:ascii="Arial" w:hAnsi="Arial" w:cs="Arial"/>
        </w:rPr>
        <w:t>comment réussir les projets PPP au regard des risques importants qu’ils comportent ?</w:t>
      </w:r>
    </w:p>
    <w:p w:rsidR="00EC1B72" w:rsidRPr="003E2DD9" w:rsidRDefault="00EC1B72" w:rsidP="00B92B11">
      <w:pPr>
        <w:numPr>
          <w:ilvl w:val="0"/>
          <w:numId w:val="104"/>
        </w:numPr>
        <w:spacing w:before="100" w:beforeAutospacing="1" w:after="100" w:afterAutospacing="1"/>
        <w:ind w:left="567" w:right="340"/>
        <w:contextualSpacing/>
        <w:jc w:val="both"/>
        <w:rPr>
          <w:rFonts w:ascii="Arial" w:hAnsi="Arial" w:cs="Arial"/>
        </w:rPr>
      </w:pPr>
      <w:r w:rsidRPr="003E2DD9">
        <w:rPr>
          <w:rFonts w:ascii="Arial" w:hAnsi="Arial" w:cs="Arial"/>
        </w:rPr>
        <w:t>comment avoir des bons PPD à même de relever les défis du développement ?</w:t>
      </w:r>
    </w:p>
    <w:p w:rsidR="00EC1B72" w:rsidRPr="007A7C26" w:rsidRDefault="00EC1B72" w:rsidP="00B92B11">
      <w:pPr>
        <w:numPr>
          <w:ilvl w:val="0"/>
          <w:numId w:val="104"/>
        </w:numPr>
        <w:spacing w:before="100" w:beforeAutospacing="1" w:after="100" w:afterAutospacing="1"/>
        <w:ind w:left="567" w:right="340"/>
        <w:contextualSpacing/>
        <w:jc w:val="both"/>
        <w:rPr>
          <w:rFonts w:ascii="Arial" w:hAnsi="Arial" w:cs="Arial"/>
        </w:rPr>
      </w:pPr>
      <w:r w:rsidRPr="003E2DD9">
        <w:rPr>
          <w:rFonts w:ascii="Arial" w:hAnsi="Arial" w:cs="Arial"/>
        </w:rPr>
        <w:t>comm</w:t>
      </w:r>
      <w:r>
        <w:rPr>
          <w:rFonts w:ascii="Arial" w:hAnsi="Arial" w:cs="Arial"/>
        </w:rPr>
        <w:t>ent concilier les objectifs du p</w:t>
      </w:r>
      <w:r w:rsidRPr="003E2DD9">
        <w:rPr>
          <w:rFonts w:ascii="Arial" w:hAnsi="Arial" w:cs="Arial"/>
        </w:rPr>
        <w:t>ublic (de délivrance d’un service accessible aux populations) et</w:t>
      </w:r>
      <w:r>
        <w:rPr>
          <w:rFonts w:ascii="Arial" w:hAnsi="Arial" w:cs="Arial"/>
        </w:rPr>
        <w:t xml:space="preserve"> du p</w:t>
      </w:r>
      <w:r w:rsidRPr="003E2DD9">
        <w:rPr>
          <w:rFonts w:ascii="Arial" w:hAnsi="Arial" w:cs="Arial"/>
        </w:rPr>
        <w:t>rivé (de recherche de plus de profit) ?</w:t>
      </w:r>
    </w:p>
    <w:p w:rsidR="00EC1B72" w:rsidRPr="007A7C26" w:rsidRDefault="00EC1B72" w:rsidP="008D7758">
      <w:pPr>
        <w:pStyle w:val="Titre3"/>
        <w:numPr>
          <w:ilvl w:val="0"/>
          <w:numId w:val="116"/>
        </w:numPr>
      </w:pPr>
      <w:bookmarkStart w:id="660" w:name="_Toc492972253"/>
      <w:r w:rsidRPr="007A7C26">
        <w:t>Point sur les actions de financement du privé national</w:t>
      </w:r>
      <w:bookmarkEnd w:id="660"/>
    </w:p>
    <w:p w:rsidR="00EC1B72" w:rsidRPr="002B4C0A" w:rsidRDefault="00EC1B72" w:rsidP="008D7758">
      <w:pPr>
        <w:pStyle w:val="Titre4"/>
        <w:numPr>
          <w:ilvl w:val="0"/>
          <w:numId w:val="147"/>
        </w:numPr>
        <w:tabs>
          <w:tab w:val="left" w:pos="1560"/>
        </w:tabs>
        <w:ind w:left="1134"/>
      </w:pPr>
      <w:bookmarkStart w:id="661" w:name="_Toc492972254"/>
      <w:r w:rsidRPr="002B4C0A">
        <w:t>Organisation du secteur privé</w:t>
      </w:r>
      <w:bookmarkEnd w:id="661"/>
    </w:p>
    <w:p w:rsidR="00EC1B72" w:rsidRPr="002B4C0A" w:rsidRDefault="00EC1B72" w:rsidP="007A7C26">
      <w:pPr>
        <w:tabs>
          <w:tab w:val="left" w:pos="540"/>
        </w:tabs>
        <w:spacing w:before="100" w:beforeAutospacing="1"/>
        <w:ind w:right="340"/>
        <w:jc w:val="both"/>
        <w:rPr>
          <w:rFonts w:ascii="Arial" w:hAnsi="Arial" w:cs="Arial"/>
        </w:rPr>
      </w:pPr>
      <w:r w:rsidRPr="002B4C0A">
        <w:rPr>
          <w:rFonts w:ascii="Arial" w:hAnsi="Arial" w:cs="Arial"/>
        </w:rPr>
        <w:t xml:space="preserve">Les entreprises, en fonction de la nature de leurs activités, du nombre d’employés, de leurs chiffres d’affaires sont classées en 4 catégories : </w:t>
      </w:r>
      <w:r>
        <w:rPr>
          <w:rFonts w:ascii="Arial" w:hAnsi="Arial" w:cs="Arial"/>
        </w:rPr>
        <w:t xml:space="preserve">les </w:t>
      </w:r>
      <w:r w:rsidRPr="002B4C0A">
        <w:rPr>
          <w:rFonts w:ascii="Arial" w:hAnsi="Arial" w:cs="Arial"/>
        </w:rPr>
        <w:t>micro entreprises</w:t>
      </w:r>
      <w:r>
        <w:rPr>
          <w:rFonts w:ascii="Arial" w:hAnsi="Arial" w:cs="Arial"/>
        </w:rPr>
        <w:t>, les petites entreprises</w:t>
      </w:r>
      <w:r w:rsidRPr="002B4C0A">
        <w:rPr>
          <w:rFonts w:ascii="Arial" w:hAnsi="Arial" w:cs="Arial"/>
        </w:rPr>
        <w:t>, les moyennes entreprises et les grandes entreprises. Plus de 80% des entreprises burkinabè sont classées dans les micros entreprises et les petites et moyennes entreprises. Ainsi, selon leur</w:t>
      </w:r>
      <w:r>
        <w:rPr>
          <w:rFonts w:ascii="Arial" w:hAnsi="Arial" w:cs="Arial"/>
        </w:rPr>
        <w:t>s</w:t>
      </w:r>
      <w:r w:rsidRPr="002B4C0A">
        <w:rPr>
          <w:rFonts w:ascii="Arial" w:hAnsi="Arial" w:cs="Arial"/>
        </w:rPr>
        <w:t xml:space="preserve"> chiffre</w:t>
      </w:r>
      <w:r>
        <w:rPr>
          <w:rFonts w:ascii="Arial" w:hAnsi="Arial" w:cs="Arial"/>
        </w:rPr>
        <w:t>s</w:t>
      </w:r>
      <w:r w:rsidRPr="002B4C0A">
        <w:rPr>
          <w:rFonts w:ascii="Arial" w:hAnsi="Arial" w:cs="Arial"/>
        </w:rPr>
        <w:t xml:space="preserve"> d’affaires</w:t>
      </w:r>
      <w:r>
        <w:rPr>
          <w:rStyle w:val="Appelnotedebasdep"/>
          <w:rFonts w:cs="Arial"/>
        </w:rPr>
        <w:footnoteReference w:id="3"/>
      </w:r>
      <w:r w:rsidRPr="002B4C0A">
        <w:rPr>
          <w:rFonts w:ascii="Arial" w:hAnsi="Arial" w:cs="Arial"/>
        </w:rPr>
        <w:t xml:space="preserve"> annuel</w:t>
      </w:r>
      <w:r>
        <w:rPr>
          <w:rFonts w:ascii="Arial" w:hAnsi="Arial" w:cs="Arial"/>
        </w:rPr>
        <w:t>s</w:t>
      </w:r>
      <w:r w:rsidRPr="002B4C0A">
        <w:rPr>
          <w:rFonts w:ascii="Arial" w:hAnsi="Arial" w:cs="Arial"/>
        </w:rPr>
        <w:t xml:space="preserve"> réalisé</w:t>
      </w:r>
      <w:r>
        <w:rPr>
          <w:rFonts w:ascii="Arial" w:hAnsi="Arial" w:cs="Arial"/>
        </w:rPr>
        <w:t>s</w:t>
      </w:r>
      <w:r w:rsidRPr="002B4C0A">
        <w:rPr>
          <w:rFonts w:ascii="Arial" w:hAnsi="Arial" w:cs="Arial"/>
        </w:rPr>
        <w:t xml:space="preserve"> en FCFA, on peut distinguer :</w:t>
      </w:r>
    </w:p>
    <w:p w:rsidR="00EC1B72" w:rsidRPr="002B4C0A" w:rsidRDefault="00EC1B72" w:rsidP="00B92B11">
      <w:pPr>
        <w:numPr>
          <w:ilvl w:val="0"/>
          <w:numId w:val="102"/>
        </w:numPr>
        <w:tabs>
          <w:tab w:val="left" w:pos="540"/>
        </w:tabs>
        <w:spacing w:before="100" w:beforeAutospacing="1" w:after="0"/>
        <w:ind w:left="567" w:right="340"/>
        <w:contextualSpacing/>
        <w:jc w:val="both"/>
        <w:rPr>
          <w:rFonts w:ascii="Arial" w:hAnsi="Arial" w:cs="Arial"/>
        </w:rPr>
      </w:pPr>
      <w:r>
        <w:rPr>
          <w:rFonts w:ascii="Arial" w:hAnsi="Arial" w:cs="Arial"/>
        </w:rPr>
        <w:t>la m</w:t>
      </w:r>
      <w:r w:rsidRPr="002B4C0A">
        <w:rPr>
          <w:rFonts w:ascii="Arial" w:hAnsi="Arial" w:cs="Arial"/>
        </w:rPr>
        <w:t>icro entreprise : montant inférieur à 15 millions de FCFA ;</w:t>
      </w:r>
    </w:p>
    <w:p w:rsidR="00EC1B72" w:rsidRPr="002B4C0A" w:rsidRDefault="00EC1B72" w:rsidP="00B92B11">
      <w:pPr>
        <w:numPr>
          <w:ilvl w:val="0"/>
          <w:numId w:val="102"/>
        </w:numPr>
        <w:tabs>
          <w:tab w:val="left" w:pos="540"/>
        </w:tabs>
        <w:spacing w:before="100" w:beforeAutospacing="1" w:after="0"/>
        <w:ind w:left="567" w:right="340"/>
        <w:contextualSpacing/>
        <w:jc w:val="both"/>
        <w:rPr>
          <w:rFonts w:ascii="Arial" w:hAnsi="Arial" w:cs="Arial"/>
        </w:rPr>
      </w:pPr>
      <w:r>
        <w:rPr>
          <w:rFonts w:ascii="Arial" w:hAnsi="Arial" w:cs="Arial"/>
        </w:rPr>
        <w:t>la p</w:t>
      </w:r>
      <w:r w:rsidRPr="002B4C0A">
        <w:rPr>
          <w:rFonts w:ascii="Arial" w:hAnsi="Arial" w:cs="Arial"/>
        </w:rPr>
        <w:t>etite et moyenne entreprise : 15 à 50 millions de FCFA ;</w:t>
      </w:r>
    </w:p>
    <w:p w:rsidR="00EC1B72" w:rsidRDefault="00EC1B72" w:rsidP="00B92B11">
      <w:pPr>
        <w:numPr>
          <w:ilvl w:val="0"/>
          <w:numId w:val="102"/>
        </w:numPr>
        <w:tabs>
          <w:tab w:val="left" w:pos="540"/>
        </w:tabs>
        <w:spacing w:before="100" w:beforeAutospacing="1" w:after="100" w:afterAutospacing="1"/>
        <w:ind w:left="567" w:right="340"/>
        <w:contextualSpacing/>
        <w:jc w:val="both"/>
        <w:rPr>
          <w:rFonts w:ascii="Arial" w:hAnsi="Arial" w:cs="Arial"/>
        </w:rPr>
      </w:pPr>
      <w:r>
        <w:rPr>
          <w:rFonts w:ascii="Arial" w:hAnsi="Arial" w:cs="Arial"/>
        </w:rPr>
        <w:t>la g</w:t>
      </w:r>
      <w:r w:rsidRPr="002B4C0A">
        <w:rPr>
          <w:rFonts w:ascii="Arial" w:hAnsi="Arial" w:cs="Arial"/>
        </w:rPr>
        <w:t>rande entreprise : plus de 50 millions de FCFA.</w:t>
      </w:r>
    </w:p>
    <w:p w:rsidR="00EC1B72" w:rsidRPr="002B4C0A" w:rsidRDefault="00EC1B72" w:rsidP="007A7C26">
      <w:pPr>
        <w:tabs>
          <w:tab w:val="left" w:pos="540"/>
        </w:tabs>
        <w:spacing w:before="100" w:beforeAutospacing="1" w:after="100" w:afterAutospacing="1"/>
        <w:ind w:right="340"/>
        <w:contextualSpacing/>
        <w:jc w:val="both"/>
        <w:rPr>
          <w:rFonts w:ascii="Arial" w:hAnsi="Arial" w:cs="Arial"/>
        </w:rPr>
      </w:pPr>
    </w:p>
    <w:p w:rsidR="00EC1B72" w:rsidRPr="002B4C0A" w:rsidRDefault="00EC1B72" w:rsidP="007A7C26">
      <w:pPr>
        <w:tabs>
          <w:tab w:val="left" w:pos="540"/>
        </w:tabs>
        <w:spacing w:before="100" w:beforeAutospacing="1" w:after="100" w:afterAutospacing="1"/>
        <w:ind w:right="340"/>
        <w:jc w:val="both"/>
        <w:rPr>
          <w:rFonts w:ascii="Arial" w:hAnsi="Arial" w:cs="Arial"/>
        </w:rPr>
      </w:pPr>
      <w:r w:rsidRPr="002B4C0A">
        <w:rPr>
          <w:rFonts w:ascii="Arial" w:hAnsi="Arial" w:cs="Arial"/>
        </w:rPr>
        <w:t>Convaincu du rôle q</w:t>
      </w:r>
      <w:r>
        <w:rPr>
          <w:rFonts w:ascii="Arial" w:hAnsi="Arial" w:cs="Arial"/>
        </w:rPr>
        <w:t xml:space="preserve">ue doit jouer le secteur privé </w:t>
      </w:r>
      <w:r w:rsidRPr="002B4C0A">
        <w:rPr>
          <w:rFonts w:ascii="Arial" w:hAnsi="Arial" w:cs="Arial"/>
        </w:rPr>
        <w:t>comme acteur principal du développement du pays, le Gouvernement a privilégié la concertation et l’a institutionnalisée dans le cadre d’un partenariat d’objectifs. Ce cadre de concertat</w:t>
      </w:r>
      <w:r>
        <w:rPr>
          <w:rFonts w:ascii="Arial" w:hAnsi="Arial" w:cs="Arial"/>
        </w:rPr>
        <w:t>ion annuel Etat / Secteur privé</w:t>
      </w:r>
      <w:r w:rsidRPr="002B4C0A">
        <w:rPr>
          <w:rFonts w:ascii="Arial" w:hAnsi="Arial" w:cs="Arial"/>
        </w:rPr>
        <w:t xml:space="preserve"> a été mis en place </w:t>
      </w:r>
      <w:r>
        <w:rPr>
          <w:rFonts w:ascii="Arial" w:hAnsi="Arial" w:cs="Arial"/>
        </w:rPr>
        <w:t>en</w:t>
      </w:r>
      <w:r w:rsidRPr="002B4C0A">
        <w:rPr>
          <w:rFonts w:ascii="Arial" w:hAnsi="Arial" w:cs="Arial"/>
        </w:rPr>
        <w:t xml:space="preserve"> 2001 pour favoriser le dialogue et dégager les orientations.</w:t>
      </w:r>
    </w:p>
    <w:p w:rsidR="00EC1B72" w:rsidRPr="002B4C0A" w:rsidRDefault="00EC1B72" w:rsidP="007A7C26">
      <w:pPr>
        <w:tabs>
          <w:tab w:val="left" w:pos="540"/>
        </w:tabs>
        <w:spacing w:before="100" w:beforeAutospacing="1" w:after="100" w:afterAutospacing="1"/>
        <w:ind w:right="340"/>
        <w:jc w:val="both"/>
        <w:rPr>
          <w:rFonts w:ascii="Arial" w:hAnsi="Arial" w:cs="Arial"/>
        </w:rPr>
      </w:pPr>
      <w:r w:rsidRPr="002B4C0A">
        <w:rPr>
          <w:rFonts w:ascii="Arial" w:hAnsi="Arial" w:cs="Arial"/>
        </w:rPr>
        <w:t>En termes d’organisation, le management orienté vers les résultats a conduit à la mise en place d’institutions spécialisées et d’appui du secteur pri</w:t>
      </w:r>
      <w:r>
        <w:rPr>
          <w:rFonts w:ascii="Arial" w:hAnsi="Arial" w:cs="Arial"/>
        </w:rPr>
        <w:t xml:space="preserve">vé dont la Chambre de Commerce et </w:t>
      </w:r>
      <w:r w:rsidRPr="002B4C0A">
        <w:rPr>
          <w:rFonts w:ascii="Arial" w:hAnsi="Arial" w:cs="Arial"/>
        </w:rPr>
        <w:t>d’i</w:t>
      </w:r>
      <w:r>
        <w:rPr>
          <w:rFonts w:ascii="Arial" w:hAnsi="Arial" w:cs="Arial"/>
        </w:rPr>
        <w:t>ndustrie du Burkina Faso</w:t>
      </w:r>
      <w:r w:rsidRPr="002B4C0A">
        <w:rPr>
          <w:rFonts w:ascii="Arial" w:hAnsi="Arial" w:cs="Arial"/>
        </w:rPr>
        <w:t>.</w:t>
      </w:r>
    </w:p>
    <w:p w:rsidR="00EC1B72" w:rsidRPr="007A7C26" w:rsidRDefault="00EC1B72" w:rsidP="008D7758">
      <w:pPr>
        <w:pStyle w:val="Titre4"/>
        <w:numPr>
          <w:ilvl w:val="0"/>
          <w:numId w:val="147"/>
        </w:numPr>
        <w:tabs>
          <w:tab w:val="left" w:pos="1560"/>
        </w:tabs>
        <w:ind w:left="1276" w:hanging="709"/>
      </w:pPr>
      <w:bookmarkStart w:id="662" w:name="_Toc492972255"/>
      <w:r w:rsidRPr="007A7C26">
        <w:t>Opportunités, défis et contraintes de mobilisation des ressources auprès du secteur privé</w:t>
      </w:r>
      <w:bookmarkEnd w:id="662"/>
      <w:r w:rsidRPr="007A7C26">
        <w:t xml:space="preserve"> </w:t>
      </w:r>
    </w:p>
    <w:p w:rsidR="00EC1B72" w:rsidRPr="007A7C26" w:rsidRDefault="00EC1B72" w:rsidP="00B92B11">
      <w:pPr>
        <w:pStyle w:val="Paragraphedeliste"/>
        <w:numPr>
          <w:ilvl w:val="0"/>
          <w:numId w:val="84"/>
        </w:numPr>
        <w:tabs>
          <w:tab w:val="left" w:pos="709"/>
        </w:tabs>
        <w:spacing w:before="100" w:beforeAutospacing="1" w:after="100" w:afterAutospacing="1"/>
        <w:ind w:right="340"/>
        <w:jc w:val="both"/>
        <w:rPr>
          <w:rFonts w:ascii="Arial" w:hAnsi="Arial" w:cs="Arial"/>
          <w:b/>
        </w:rPr>
      </w:pPr>
      <w:r w:rsidRPr="007A7C26">
        <w:rPr>
          <w:rFonts w:ascii="Arial" w:hAnsi="Arial" w:cs="Arial"/>
          <w:b/>
        </w:rPr>
        <w:t xml:space="preserve">Opportunités </w:t>
      </w:r>
    </w:p>
    <w:p w:rsidR="00EC1B72" w:rsidRPr="001D0029" w:rsidRDefault="00EC1B72" w:rsidP="007A7C26">
      <w:pPr>
        <w:tabs>
          <w:tab w:val="left" w:pos="540"/>
        </w:tabs>
        <w:spacing w:before="100" w:beforeAutospacing="1" w:after="100" w:afterAutospacing="1"/>
        <w:ind w:right="340"/>
        <w:jc w:val="both"/>
        <w:rPr>
          <w:rFonts w:ascii="Arial" w:hAnsi="Arial" w:cs="Arial"/>
        </w:rPr>
      </w:pPr>
      <w:r w:rsidRPr="001D0029">
        <w:rPr>
          <w:rFonts w:ascii="Arial" w:hAnsi="Arial" w:cs="Arial"/>
        </w:rPr>
        <w:t>Le secteur privé, par le biais du partenariat public-privé, est aujourd’hui un acteur privilégié dans la mobilisation des ressources financières pour le développement des pôles de croissances, des sec</w:t>
      </w:r>
      <w:r>
        <w:rPr>
          <w:rFonts w:ascii="Arial" w:hAnsi="Arial" w:cs="Arial"/>
        </w:rPr>
        <w:t xml:space="preserve">teurs clés (agriculture, mine, </w:t>
      </w:r>
      <w:r w:rsidRPr="001D0029">
        <w:rPr>
          <w:rFonts w:ascii="Arial" w:hAnsi="Arial" w:cs="Arial"/>
        </w:rPr>
        <w:t>infrastructure,  tourisme, artisanat, industrie) et des PME/PMI.</w:t>
      </w:r>
    </w:p>
    <w:p w:rsidR="00EC1B72" w:rsidRPr="001D0029" w:rsidRDefault="00EC1B72" w:rsidP="007A7C26">
      <w:pPr>
        <w:tabs>
          <w:tab w:val="left" w:pos="540"/>
        </w:tabs>
        <w:spacing w:before="100" w:beforeAutospacing="1" w:after="100" w:afterAutospacing="1"/>
        <w:ind w:right="340"/>
        <w:jc w:val="both"/>
        <w:rPr>
          <w:rFonts w:ascii="Arial" w:hAnsi="Arial" w:cs="Arial"/>
        </w:rPr>
      </w:pPr>
      <w:r w:rsidRPr="001D0029">
        <w:rPr>
          <w:rFonts w:ascii="Arial" w:hAnsi="Arial" w:cs="Arial"/>
        </w:rPr>
        <w:lastRenderedPageBreak/>
        <w:t>Le climat des affaires reste le baromètre du dynamisme de notre économie et des initiatives ont été développées à cet effet pour rendre le Burkina Faso attractif et attirer le maximum d’investisseurs dans les secteurs stratégiques du développement.</w:t>
      </w:r>
    </w:p>
    <w:p w:rsidR="00EC1B72" w:rsidRPr="000E51B5" w:rsidRDefault="00EC1B72" w:rsidP="008D7758">
      <w:pPr>
        <w:pStyle w:val="Paragraphedeliste"/>
        <w:numPr>
          <w:ilvl w:val="0"/>
          <w:numId w:val="148"/>
        </w:numPr>
        <w:spacing w:before="100" w:beforeAutospacing="1" w:after="100" w:afterAutospacing="1"/>
        <w:ind w:left="284" w:right="340" w:hanging="284"/>
        <w:rPr>
          <w:rFonts w:ascii="Arial" w:hAnsi="Arial" w:cs="Arial"/>
          <w:b/>
          <w:i/>
        </w:rPr>
      </w:pPr>
      <w:r w:rsidRPr="000E51B5">
        <w:rPr>
          <w:rFonts w:ascii="Arial" w:hAnsi="Arial" w:cs="Arial"/>
          <w:b/>
          <w:i/>
        </w:rPr>
        <w:t xml:space="preserve">Doing Business </w:t>
      </w:r>
    </w:p>
    <w:p w:rsidR="00EC1B72" w:rsidRPr="001D0029" w:rsidRDefault="00EC1B72" w:rsidP="007A7C26">
      <w:pPr>
        <w:spacing w:before="100" w:beforeAutospacing="1" w:after="100" w:afterAutospacing="1"/>
        <w:ind w:right="340"/>
        <w:jc w:val="both"/>
        <w:rPr>
          <w:rFonts w:ascii="Arial" w:hAnsi="Arial" w:cs="Arial"/>
        </w:rPr>
      </w:pPr>
      <w:r w:rsidRPr="001D0029">
        <w:rPr>
          <w:rFonts w:ascii="Arial" w:hAnsi="Arial" w:cs="Arial"/>
        </w:rPr>
        <w:t xml:space="preserve">Le rapport Doing Business évalue la situation économique et les réformes opérées en matière de climat des affaires sur la période de juin de l’année n-1 à juin de l’année n. Après avoir gagné 6 places en 2016 et obtenant alors la 143e place mondiale des pays où le climat des affaires est plus attractif, le Burkina Faso vient d’enregistrer une régression dans le classement dressé par le rapport 2017. Au total, 189 pays au niveau mondial, dont 54 sur le plan africain, ont été notés dans le rapport 2017. Le Burkina Faso occupe la 146e place mondiale et la  22e en Afrique. </w:t>
      </w:r>
    </w:p>
    <w:p w:rsidR="00EC1B72" w:rsidRPr="001D0029" w:rsidRDefault="00EC1B72" w:rsidP="007A7C26">
      <w:pPr>
        <w:spacing w:before="100" w:beforeAutospacing="1" w:after="100" w:afterAutospacing="1"/>
        <w:ind w:right="340"/>
        <w:jc w:val="both"/>
        <w:rPr>
          <w:rFonts w:ascii="Arial" w:hAnsi="Arial" w:cs="Arial"/>
        </w:rPr>
      </w:pPr>
      <w:r w:rsidRPr="001D0029">
        <w:rPr>
          <w:rFonts w:ascii="Arial" w:hAnsi="Arial" w:cs="Arial"/>
        </w:rPr>
        <w:t>Le recul du Burkina Faso dans le rapport 2017 est expliqué par les scores en matière «de raccordement à l’électricité» (29,4/100), «d’obtention d’un prêt bancaire» (30/100), «d’exécution des contrats» (40/100), «de règlement de l’insolvabilité» (39,2/100), «de protection des investisseurs minoritaires» (40/100). Le meilleur score du Burkina concerne le critère de la création d’entreprise (88/100).</w:t>
      </w:r>
    </w:p>
    <w:p w:rsidR="00EC1B72" w:rsidRPr="000E51B5" w:rsidRDefault="00EC1B72" w:rsidP="008D7758">
      <w:pPr>
        <w:pStyle w:val="Paragraphedeliste"/>
        <w:numPr>
          <w:ilvl w:val="0"/>
          <w:numId w:val="148"/>
        </w:numPr>
        <w:spacing w:before="100" w:beforeAutospacing="1" w:after="100" w:afterAutospacing="1"/>
        <w:ind w:left="284" w:right="340" w:hanging="284"/>
        <w:rPr>
          <w:rFonts w:ascii="Arial" w:hAnsi="Arial" w:cs="Arial"/>
          <w:b/>
          <w:i/>
        </w:rPr>
      </w:pPr>
      <w:r w:rsidRPr="000E51B5">
        <w:rPr>
          <w:rFonts w:ascii="Arial" w:hAnsi="Arial" w:cs="Arial"/>
          <w:b/>
          <w:i/>
        </w:rPr>
        <w:t xml:space="preserve">Le Conseil présidentiel pour l’Investissement (CPI)/ l’Agence de Promotion des Investissements du Burkina Faso (API-BF)  </w:t>
      </w:r>
    </w:p>
    <w:p w:rsidR="00EC1B72" w:rsidRPr="001D0029" w:rsidRDefault="00EC1B72" w:rsidP="00EC1B72">
      <w:pPr>
        <w:jc w:val="both"/>
        <w:rPr>
          <w:rFonts w:ascii="Arial" w:hAnsi="Arial" w:cs="Arial"/>
        </w:rPr>
      </w:pPr>
      <w:r w:rsidRPr="001D0029">
        <w:rPr>
          <w:rFonts w:ascii="Arial" w:hAnsi="Arial" w:cs="Arial"/>
        </w:rPr>
        <w:t>Les principales s</w:t>
      </w:r>
      <w:r>
        <w:rPr>
          <w:rFonts w:ascii="Arial" w:hAnsi="Arial" w:cs="Arial"/>
        </w:rPr>
        <w:t xml:space="preserve">tructures </w:t>
      </w:r>
      <w:r w:rsidRPr="001D0029">
        <w:rPr>
          <w:rFonts w:ascii="Arial" w:hAnsi="Arial" w:cs="Arial"/>
        </w:rPr>
        <w:t xml:space="preserve">chargées de promouvoir les investissements au Burkina Faso sont le Conseil présidentiel pour l’Investissement (CPI) et l’Agence de Promotion des Investissements du Burkina Faso (API-BF).  </w:t>
      </w:r>
    </w:p>
    <w:p w:rsidR="00EC1B72" w:rsidRPr="001D0029" w:rsidRDefault="00EC1B72" w:rsidP="00EC1B72">
      <w:pPr>
        <w:jc w:val="both"/>
        <w:rPr>
          <w:rFonts w:ascii="Arial" w:hAnsi="Arial" w:cs="Arial"/>
        </w:rPr>
      </w:pPr>
      <w:r w:rsidRPr="001D0029">
        <w:rPr>
          <w:rFonts w:ascii="Arial" w:hAnsi="Arial" w:cs="Arial"/>
        </w:rPr>
        <w:t xml:space="preserve">Le CPI a été créé par le gouvernement burkinabé en 2008 en vue de mener des réflexions sur les problématiques relatives aux investissements. Il propose des stratégies et des politiques en la matière. </w:t>
      </w:r>
    </w:p>
    <w:p w:rsidR="00EC1B72" w:rsidRPr="001D0029" w:rsidRDefault="00EC1B72" w:rsidP="00EC1B72">
      <w:pPr>
        <w:jc w:val="both"/>
        <w:rPr>
          <w:rFonts w:ascii="Arial" w:hAnsi="Arial" w:cs="Arial"/>
        </w:rPr>
      </w:pPr>
      <w:r w:rsidRPr="001D0029">
        <w:rPr>
          <w:rFonts w:ascii="Arial" w:hAnsi="Arial" w:cs="Arial"/>
        </w:rPr>
        <w:t>Créée le 07 mars 2013 par le gouvernement, L’API est la s</w:t>
      </w:r>
      <w:r w:rsidR="007321D5">
        <w:rPr>
          <w:rFonts w:ascii="Arial" w:hAnsi="Arial" w:cs="Arial"/>
        </w:rPr>
        <w:t>tructure opérationnelle du CPI. L</w:t>
      </w:r>
      <w:r w:rsidRPr="001D0029">
        <w:rPr>
          <w:rFonts w:ascii="Arial" w:hAnsi="Arial" w:cs="Arial"/>
        </w:rPr>
        <w:t>’API-BF a pour rôle d’attirer, de faciliter et de suivre les investissements jusqu’à leur aboutissement final. Rattachée à la présidence du Faso, la mission de l’API-BF est de promouvoir les investissements directs étrangers et nationaux de grands volumes et de maximiser leur impact positif sur le développement économique, social et durable du Burkina Faso. L’agence fait prioritairement la promotion des secteurs à forts potentiels d’investissement comme l’agriculture et l’agro-business, l’énergie, les mines et les carrières, les infrastructures aéroportuaires, routières et l’immobiliers, le tourisme et l’hôtellerie, les NTIC, la santé et l’éducation selon la directrice générale. L’API devrait travailler à «</w:t>
      </w:r>
      <w:r>
        <w:rPr>
          <w:rFonts w:ascii="Arial" w:hAnsi="Arial" w:cs="Arial"/>
        </w:rPr>
        <w:t xml:space="preserve"> </w:t>
      </w:r>
      <w:r w:rsidRPr="001D0029">
        <w:rPr>
          <w:rFonts w:ascii="Arial" w:hAnsi="Arial" w:cs="Arial"/>
        </w:rPr>
        <w:t>hisser les investissements privés à un taux de 20 à 25 % du PIB en 2020 et hisser les investissements directs étrangers à un taux de 10% du PIB en 2020».</w:t>
      </w:r>
    </w:p>
    <w:p w:rsidR="00EC1B72" w:rsidRPr="001D0029" w:rsidRDefault="00EC1B72" w:rsidP="00EC1B72">
      <w:pPr>
        <w:jc w:val="both"/>
        <w:rPr>
          <w:rFonts w:ascii="Arial" w:hAnsi="Arial" w:cs="Arial"/>
        </w:rPr>
      </w:pPr>
      <w:r w:rsidRPr="001D0029">
        <w:rPr>
          <w:rFonts w:ascii="Arial" w:hAnsi="Arial" w:cs="Arial"/>
        </w:rPr>
        <w:t>Dans un contexte de morosité du climat des affaires au Burkina Faso, redonner confiance aux investisseurs reste un défi majeur pour l’API.</w:t>
      </w:r>
    </w:p>
    <w:p w:rsidR="00EC1B72" w:rsidRPr="000E51B5" w:rsidRDefault="00EC1B72" w:rsidP="00B92B11">
      <w:pPr>
        <w:pStyle w:val="Paragraphedeliste"/>
        <w:numPr>
          <w:ilvl w:val="0"/>
          <w:numId w:val="84"/>
        </w:numPr>
        <w:tabs>
          <w:tab w:val="left" w:pos="709"/>
        </w:tabs>
        <w:spacing w:before="100" w:beforeAutospacing="1" w:after="100" w:afterAutospacing="1"/>
        <w:ind w:right="340"/>
        <w:jc w:val="both"/>
        <w:rPr>
          <w:rFonts w:ascii="Arial" w:hAnsi="Arial" w:cs="Arial"/>
          <w:b/>
        </w:rPr>
      </w:pPr>
      <w:r w:rsidRPr="000E51B5">
        <w:rPr>
          <w:rFonts w:ascii="Arial" w:hAnsi="Arial" w:cs="Arial"/>
          <w:b/>
        </w:rPr>
        <w:t>Défis du secteur privé</w:t>
      </w:r>
    </w:p>
    <w:p w:rsidR="00EC1B72" w:rsidRPr="001D0029" w:rsidRDefault="00EC1B72" w:rsidP="00EC1B72">
      <w:pPr>
        <w:tabs>
          <w:tab w:val="left" w:pos="540"/>
        </w:tabs>
        <w:spacing w:before="100" w:beforeAutospacing="1" w:after="100" w:afterAutospacing="1"/>
        <w:ind w:right="340"/>
        <w:jc w:val="both"/>
        <w:rPr>
          <w:rFonts w:ascii="Arial" w:hAnsi="Arial" w:cs="Arial"/>
        </w:rPr>
      </w:pPr>
      <w:r w:rsidRPr="001D0029">
        <w:rPr>
          <w:rFonts w:ascii="Arial" w:hAnsi="Arial" w:cs="Arial"/>
        </w:rPr>
        <w:t>L’augmentation des flux des investissements directs étrangers (IDE) est un défi que le Burkina Faso entend relever pour la période 2016-2020. Ces IDE se définissent comme une activité à travers laquelle un investisseur résident dans un pays donné obtient un intérêt durable et une influence significative dans la gestion d'une entité résidente dans un autre.</w:t>
      </w:r>
    </w:p>
    <w:p w:rsidR="00EC1B72" w:rsidRPr="001D0029" w:rsidRDefault="00EC1B72" w:rsidP="00EC1B72">
      <w:pPr>
        <w:spacing w:before="100" w:beforeAutospacing="1" w:after="100" w:afterAutospacing="1"/>
        <w:ind w:right="340"/>
        <w:jc w:val="both"/>
        <w:rPr>
          <w:rFonts w:ascii="Arial" w:hAnsi="Arial" w:cs="Arial"/>
        </w:rPr>
      </w:pPr>
      <w:r w:rsidRPr="001D0029">
        <w:rPr>
          <w:rFonts w:ascii="Arial" w:hAnsi="Arial" w:cs="Arial"/>
        </w:rPr>
        <w:lastRenderedPageBreak/>
        <w:t>Le succès des PPP au Burkina Faso dépendra de l'existence d'un cadre stratégique, institutionnel et juridique qui peut être développé en parallèle à l'examen préalable et au développement des projets. Les éléments constitutifs de ce cadre comprennent : une politique d'orientation claire du Gouvernement ; les dispositions légales appropriées et un cadre institutionnel apte à mettre en œuvre efficacement des projets PPP; les lignes directrices standard de procédure de ce processus ; et les compétences adéquates pour la structuration des transactions,  la gestion des contrats et le suivi du projet.</w:t>
      </w:r>
    </w:p>
    <w:p w:rsidR="00EC1B72" w:rsidRPr="001D0029" w:rsidRDefault="00EC1B72" w:rsidP="00EC1B72">
      <w:pPr>
        <w:spacing w:before="100" w:beforeAutospacing="1" w:after="100" w:afterAutospacing="1"/>
        <w:ind w:right="340"/>
        <w:jc w:val="both"/>
        <w:rPr>
          <w:rFonts w:ascii="Arial" w:hAnsi="Arial" w:cs="Arial"/>
        </w:rPr>
      </w:pPr>
      <w:r>
        <w:rPr>
          <w:rFonts w:ascii="Arial" w:hAnsi="Arial" w:cs="Arial"/>
        </w:rPr>
        <w:t>L</w:t>
      </w:r>
      <w:r w:rsidRPr="001D0029">
        <w:rPr>
          <w:rFonts w:ascii="Arial" w:hAnsi="Arial" w:cs="Arial"/>
        </w:rPr>
        <w:t>e renforcement des capacités est nécessaire à tous les niveaux, des décideurs au personnel technique qui sera responsable de la gestion des transactions PPP et des contrats.</w:t>
      </w:r>
    </w:p>
    <w:p w:rsidR="00EC1B72" w:rsidRPr="001D0029" w:rsidRDefault="00EC1B72" w:rsidP="00EC1B72">
      <w:pPr>
        <w:tabs>
          <w:tab w:val="left" w:pos="540"/>
        </w:tabs>
        <w:spacing w:before="100" w:beforeAutospacing="1" w:after="100" w:afterAutospacing="1"/>
        <w:ind w:right="340"/>
        <w:jc w:val="both"/>
        <w:rPr>
          <w:rFonts w:ascii="Arial" w:hAnsi="Arial" w:cs="Arial"/>
        </w:rPr>
      </w:pPr>
      <w:r w:rsidRPr="001D0029">
        <w:rPr>
          <w:rFonts w:ascii="Arial" w:hAnsi="Arial" w:cs="Arial"/>
        </w:rPr>
        <w:t>Les défis critiques pour l'affirmation du secteur privé en tant qu'acteur dynamique du processus de transformation structurelle sont : l'amélioration de l'environnement des affaires pour créer les conditions de développement des entreprises privées et attirer</w:t>
      </w:r>
      <w:r>
        <w:rPr>
          <w:rFonts w:ascii="Arial" w:hAnsi="Arial" w:cs="Arial"/>
        </w:rPr>
        <w:t xml:space="preserve"> les investisseurs, la levée</w:t>
      </w:r>
      <w:r w:rsidRPr="001D0029">
        <w:rPr>
          <w:rFonts w:ascii="Arial" w:hAnsi="Arial" w:cs="Arial"/>
        </w:rPr>
        <w:t xml:space="preserve"> des obstacles qui entravent le développement du secteur privé et l'amélioration de la compétitivité des entreprises. </w:t>
      </w:r>
    </w:p>
    <w:p w:rsidR="00EC1B72" w:rsidRPr="00AB781F" w:rsidRDefault="00EC1B72" w:rsidP="00B92B11">
      <w:pPr>
        <w:pStyle w:val="Paragraphedeliste"/>
        <w:numPr>
          <w:ilvl w:val="0"/>
          <w:numId w:val="84"/>
        </w:numPr>
        <w:tabs>
          <w:tab w:val="left" w:pos="709"/>
        </w:tabs>
        <w:spacing w:before="100" w:beforeAutospacing="1" w:after="100" w:afterAutospacing="1"/>
        <w:ind w:right="340"/>
        <w:jc w:val="both"/>
        <w:rPr>
          <w:rFonts w:ascii="Arial" w:hAnsi="Arial" w:cs="Arial"/>
          <w:b/>
        </w:rPr>
      </w:pPr>
      <w:r w:rsidRPr="00AB781F">
        <w:rPr>
          <w:rFonts w:ascii="Arial" w:hAnsi="Arial" w:cs="Arial"/>
          <w:b/>
        </w:rPr>
        <w:t>Contraintes</w:t>
      </w:r>
    </w:p>
    <w:p w:rsidR="00EC1B72" w:rsidRPr="00AB781F" w:rsidRDefault="00EC1B72" w:rsidP="00EC1B72">
      <w:pPr>
        <w:spacing w:before="100" w:beforeAutospacing="1" w:after="100" w:afterAutospacing="1"/>
        <w:ind w:right="340"/>
        <w:jc w:val="both"/>
        <w:rPr>
          <w:rFonts w:ascii="Arial" w:hAnsi="Arial" w:cs="Arial"/>
        </w:rPr>
      </w:pPr>
      <w:r w:rsidRPr="00AB781F">
        <w:rPr>
          <w:rFonts w:ascii="Arial" w:hAnsi="Arial" w:cs="Arial"/>
        </w:rPr>
        <w:t xml:space="preserve">Le secteur privé burkinabé est en proie à de multiples contraintes qui sont entre autres liées à la gestion  et au financement des entreprises d’une part, et à la mise en œuvre des PPP d’autres part. </w:t>
      </w:r>
    </w:p>
    <w:p w:rsidR="00EC1B72" w:rsidRPr="00AB781F" w:rsidRDefault="00EC1B72" w:rsidP="00EC1B72">
      <w:pPr>
        <w:spacing w:before="100" w:beforeAutospacing="1" w:after="100" w:afterAutospacing="1"/>
        <w:ind w:right="340"/>
        <w:jc w:val="both"/>
        <w:rPr>
          <w:rFonts w:ascii="Arial" w:hAnsi="Arial" w:cs="Arial"/>
        </w:rPr>
      </w:pPr>
      <w:r w:rsidRPr="00AB781F">
        <w:rPr>
          <w:rFonts w:ascii="Arial" w:hAnsi="Arial" w:cs="Arial"/>
        </w:rPr>
        <w:t>Au niveau de la gestion des entreprises, les contraintes sont liées à la faible rentabilité des entreprises, à la faiblesse de l’innovation et au déficit de compétences. Aussi, l’accès au financement est un problème en raison des coûts élevés du financement qui entrave le développement des initiatives d’investissement.</w:t>
      </w:r>
    </w:p>
    <w:p w:rsidR="00EC1B72" w:rsidRDefault="00EC1B72" w:rsidP="00CB60C9">
      <w:pPr>
        <w:spacing w:before="100" w:beforeAutospacing="1" w:after="100" w:afterAutospacing="1"/>
        <w:ind w:right="340"/>
        <w:jc w:val="both"/>
        <w:rPr>
          <w:rFonts w:ascii="Arial" w:hAnsi="Arial" w:cs="Arial"/>
        </w:rPr>
      </w:pPr>
      <w:r w:rsidRPr="00AB781F">
        <w:rPr>
          <w:rFonts w:ascii="Arial" w:hAnsi="Arial" w:cs="Arial"/>
        </w:rPr>
        <w:t>En ce qui concerne les PPP, les principales contraintes relevées dans le processus sont liées : (i) à l’environnement législatif et réglementaire, (ii) aux capacités institutionnelles, (iii) à l’expérience du secteur public en matière de PPP, (iv) l’environnement bancaire et  financier.</w:t>
      </w:r>
      <w:r w:rsidR="00863484">
        <w:rPr>
          <w:rFonts w:ascii="Arial" w:hAnsi="Arial" w:cs="Arial"/>
        </w:rPr>
        <w:t xml:space="preserve"> </w:t>
      </w:r>
      <w:r w:rsidR="00863484" w:rsidRPr="0023780D">
        <w:rPr>
          <w:rFonts w:ascii="Arial" w:hAnsi="Arial" w:cs="Arial"/>
        </w:rPr>
        <w:t>L</w:t>
      </w:r>
      <w:r w:rsidR="00E740D0" w:rsidRPr="0023780D">
        <w:rPr>
          <w:rFonts w:ascii="Arial" w:hAnsi="Arial" w:cs="Arial"/>
        </w:rPr>
        <w:t>’annexe n°</w:t>
      </w:r>
      <w:r w:rsidR="0023780D" w:rsidRPr="0023780D">
        <w:rPr>
          <w:rFonts w:ascii="Arial" w:hAnsi="Arial" w:cs="Arial"/>
        </w:rPr>
        <w:t>3</w:t>
      </w:r>
      <w:r w:rsidR="00863484" w:rsidRPr="00863484">
        <w:rPr>
          <w:rFonts w:ascii="Arial" w:hAnsi="Arial" w:cs="Arial"/>
        </w:rPr>
        <w:t xml:space="preserve"> </w:t>
      </w:r>
      <w:r w:rsidRPr="00863484">
        <w:rPr>
          <w:rFonts w:ascii="Arial" w:hAnsi="Arial" w:cs="Arial"/>
        </w:rPr>
        <w:t>fait le point des contrats signés dans divers domaines d’activités en mode PPP et les prévisions sur la période 2017-2020</w:t>
      </w:r>
      <w:r w:rsidR="00863484">
        <w:rPr>
          <w:rFonts w:ascii="Arial" w:hAnsi="Arial" w:cs="Arial"/>
        </w:rPr>
        <w:t>.</w:t>
      </w:r>
    </w:p>
    <w:p w:rsidR="00EC1B72" w:rsidRPr="00C47A9B" w:rsidRDefault="00EC1B72" w:rsidP="008D7758">
      <w:pPr>
        <w:pStyle w:val="Titre2"/>
        <w:numPr>
          <w:ilvl w:val="0"/>
          <w:numId w:val="114"/>
        </w:numPr>
        <w:tabs>
          <w:tab w:val="left" w:pos="1134"/>
        </w:tabs>
      </w:pPr>
      <w:bookmarkStart w:id="663" w:name="_Toc492972256"/>
      <w:r w:rsidRPr="00C47A9B">
        <w:t>Point sur les financements innovants</w:t>
      </w:r>
      <w:bookmarkEnd w:id="663"/>
      <w:r w:rsidRPr="00C47A9B">
        <w:t> </w:t>
      </w:r>
    </w:p>
    <w:p w:rsidR="00EC1B72" w:rsidRPr="002B4C0A" w:rsidRDefault="00EC1B72" w:rsidP="00EC1B72">
      <w:pPr>
        <w:tabs>
          <w:tab w:val="left" w:pos="540"/>
        </w:tabs>
        <w:jc w:val="both"/>
        <w:rPr>
          <w:rFonts w:ascii="Arial" w:hAnsi="Arial" w:cs="Arial"/>
        </w:rPr>
      </w:pPr>
      <w:r>
        <w:rPr>
          <w:rFonts w:ascii="Arial" w:hAnsi="Arial" w:cs="Arial"/>
        </w:rPr>
        <w:t>La 3</w:t>
      </w:r>
      <w:r w:rsidRPr="00C24A45">
        <w:rPr>
          <w:rFonts w:ascii="Arial" w:hAnsi="Arial" w:cs="Arial"/>
          <w:vertAlign w:val="superscript"/>
        </w:rPr>
        <w:t>ème</w:t>
      </w:r>
      <w:r>
        <w:rPr>
          <w:rFonts w:ascii="Arial" w:hAnsi="Arial" w:cs="Arial"/>
        </w:rPr>
        <w:t xml:space="preserve"> </w:t>
      </w:r>
      <w:r w:rsidRPr="002B4C0A">
        <w:rPr>
          <w:rFonts w:ascii="Arial" w:hAnsi="Arial" w:cs="Arial"/>
        </w:rPr>
        <w:t xml:space="preserve">conférence internationale sur le financement du développement d’Addis-Abeba tenue en juillet 2015 a </w:t>
      </w:r>
      <w:r>
        <w:rPr>
          <w:rFonts w:ascii="Arial" w:hAnsi="Arial" w:cs="Arial"/>
        </w:rPr>
        <w:t>réuni</w:t>
      </w:r>
      <w:r w:rsidRPr="002B4C0A">
        <w:rPr>
          <w:rFonts w:ascii="Arial" w:hAnsi="Arial" w:cs="Arial"/>
        </w:rPr>
        <w:t xml:space="preserve"> tous les acteurs </w:t>
      </w:r>
      <w:r>
        <w:rPr>
          <w:rFonts w:ascii="Arial" w:hAnsi="Arial" w:cs="Arial"/>
        </w:rPr>
        <w:t xml:space="preserve">autour </w:t>
      </w:r>
      <w:r w:rsidRPr="002B4C0A">
        <w:rPr>
          <w:rFonts w:ascii="Arial" w:hAnsi="Arial" w:cs="Arial"/>
        </w:rPr>
        <w:t>des outils de financement multi-acteurs, catalytiques en vue de permettre un plus grand effet de levier.</w:t>
      </w:r>
    </w:p>
    <w:p w:rsidR="00EC1B72" w:rsidRPr="008C6994" w:rsidRDefault="00EC1B72" w:rsidP="008D7758">
      <w:pPr>
        <w:pStyle w:val="Titre3"/>
        <w:numPr>
          <w:ilvl w:val="0"/>
          <w:numId w:val="149"/>
        </w:numPr>
        <w:tabs>
          <w:tab w:val="left" w:pos="1560"/>
        </w:tabs>
        <w:ind w:left="1276" w:hanging="425"/>
      </w:pPr>
      <w:bookmarkStart w:id="664" w:name="_Toc492972257"/>
      <w:r w:rsidRPr="008C6994">
        <w:t>La finance islamique</w:t>
      </w:r>
      <w:bookmarkEnd w:id="664"/>
    </w:p>
    <w:p w:rsidR="00EC1B72" w:rsidRPr="008B337F" w:rsidRDefault="00EC1B72" w:rsidP="00EC1B72">
      <w:pPr>
        <w:spacing w:before="100" w:beforeAutospacing="1" w:after="100" w:afterAutospacing="1"/>
        <w:jc w:val="both"/>
        <w:rPr>
          <w:rFonts w:ascii="Arial" w:hAnsi="Arial" w:cs="Arial"/>
        </w:rPr>
      </w:pPr>
      <w:r w:rsidRPr="008C6994">
        <w:rPr>
          <w:rFonts w:ascii="Arial" w:hAnsi="Arial" w:cs="Arial"/>
        </w:rPr>
        <w:t>La finance islamique est de</w:t>
      </w:r>
      <w:r w:rsidRPr="008B337F">
        <w:rPr>
          <w:rFonts w:ascii="Arial" w:hAnsi="Arial" w:cs="Arial"/>
        </w:rPr>
        <w:t xml:space="preserve"> plus en plus utilisée dans le monde de la finance et dans le monde musulman en raison de son caractère éthique et de sa conformité à la morale islamique.</w:t>
      </w:r>
    </w:p>
    <w:p w:rsidR="00EC1B72" w:rsidRDefault="00EC1B72" w:rsidP="00EC1B72">
      <w:pPr>
        <w:tabs>
          <w:tab w:val="left" w:pos="540"/>
        </w:tabs>
        <w:contextualSpacing/>
        <w:jc w:val="both"/>
        <w:rPr>
          <w:rFonts w:ascii="Arial" w:hAnsi="Arial" w:cs="Arial"/>
          <w:color w:val="E84A18"/>
        </w:rPr>
      </w:pPr>
      <w:r>
        <w:rPr>
          <w:rFonts w:ascii="Arial" w:hAnsi="Arial" w:cs="Arial"/>
          <w:noProof/>
          <w:color w:val="E84A18"/>
          <w:lang w:eastAsia="fr-FR"/>
        </w:rPr>
        <w:lastRenderedPageBreak/>
        <mc:AlternateContent>
          <mc:Choice Requires="wps">
            <w:drawing>
              <wp:anchor distT="45720" distB="45720" distL="114300" distR="114300" simplePos="0" relativeHeight="251658240" behindDoc="0" locked="0" layoutInCell="1" allowOverlap="1" wp14:anchorId="1E6EA034" wp14:editId="1504AE7B">
                <wp:simplePos x="0" y="0"/>
                <wp:positionH relativeFrom="column">
                  <wp:posOffset>241935</wp:posOffset>
                </wp:positionH>
                <wp:positionV relativeFrom="paragraph">
                  <wp:posOffset>382270</wp:posOffset>
                </wp:positionV>
                <wp:extent cx="6145530" cy="5904865"/>
                <wp:effectExtent l="0" t="0" r="26670" b="19685"/>
                <wp:wrapSquare wrapText="bothSides"/>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5530" cy="5904865"/>
                        </a:xfrm>
                        <a:prstGeom prst="rect">
                          <a:avLst/>
                        </a:prstGeom>
                        <a:ln>
                          <a:headEnd/>
                          <a:tailEnd/>
                        </a:ln>
                        <a:extLst/>
                      </wps:spPr>
                      <wps:style>
                        <a:lnRef idx="2">
                          <a:schemeClr val="accent2"/>
                        </a:lnRef>
                        <a:fillRef idx="1">
                          <a:schemeClr val="lt1"/>
                        </a:fillRef>
                        <a:effectRef idx="0">
                          <a:schemeClr val="accent2"/>
                        </a:effectRef>
                        <a:fontRef idx="minor">
                          <a:schemeClr val="dk1"/>
                        </a:fontRef>
                      </wps:style>
                      <wps:txbx>
                        <w:txbxContent>
                          <w:p w:rsidR="00BA455D" w:rsidRPr="005776C8" w:rsidRDefault="00BA455D" w:rsidP="00A36221">
                            <w:pPr>
                              <w:shd w:val="clear" w:color="auto" w:fill="D9D9D9" w:themeFill="background1" w:themeFillShade="D9"/>
                              <w:spacing w:before="60" w:after="60"/>
                              <w:jc w:val="both"/>
                              <w:rPr>
                                <w:rFonts w:ascii="Arial" w:hAnsi="Arial" w:cs="Arial"/>
                              </w:rPr>
                            </w:pPr>
                            <w:r w:rsidRPr="005776C8">
                              <w:rPr>
                                <w:rFonts w:ascii="Arial" w:hAnsi="Arial" w:cs="Arial"/>
                              </w:rPr>
                              <w:t>La finance islamique tire sa source de la loi islamique (chari’a). Elle s’intéresse aux transactions monétaires sensées assurer le financement des activités économiques dans le strict respect des principes édictés par la chari’a.</w:t>
                            </w:r>
                          </w:p>
                          <w:p w:rsidR="00BA455D" w:rsidRPr="005776C8" w:rsidRDefault="00BA455D" w:rsidP="00A36221">
                            <w:pPr>
                              <w:shd w:val="clear" w:color="auto" w:fill="D9D9D9" w:themeFill="background1" w:themeFillShade="D9"/>
                              <w:spacing w:before="60" w:after="60"/>
                              <w:jc w:val="both"/>
                              <w:rPr>
                                <w:rFonts w:ascii="Arial" w:hAnsi="Arial" w:cs="Arial"/>
                              </w:rPr>
                            </w:pPr>
                            <w:r w:rsidRPr="005776C8">
                              <w:rPr>
                                <w:rFonts w:ascii="Arial" w:hAnsi="Arial" w:cs="Arial"/>
                              </w:rPr>
                              <w:t>Les principes suivants sont, pour l’essentiel, ceux qui s’imprègnent du droit islamique des affaires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le droit de propriété est entièrement dévolu à Dieu seul qui le prête à l’homme pour en jouir en tant qu’administrateur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la liberté économique doit être une liberté responsable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l’interventionnisme est permis pour la régulation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la consommation doit être modérée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la libre circulation des biens et des personnes est admise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le salaire inclus le matériel, le financier et le spirituel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l’acquittement obligatoire de la zakat (impôt légal). Le principe de la zakat englobe toutes les transactions financières permises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l’adossement de tout financement à un actif tangible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le partage des pertes et profits est de mise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la liberté d’investir dans toute activité tant que celle-ci n’est pas entamée de ribâ (intérêt et usure). le principe du ribâ englobe toutes les transactions financières prohibées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le principe contractuel dans les transactions : le contrat étant la relation légale entre la demande et l’acceptation. Il est composé de la formulation, des deux parties contractantes et de l’objet.</w:t>
                            </w:r>
                          </w:p>
                          <w:p w:rsidR="00BA455D" w:rsidRPr="005776C8" w:rsidRDefault="00BA455D" w:rsidP="00A36221">
                            <w:pPr>
                              <w:pStyle w:val="Corpsdetexte"/>
                              <w:shd w:val="clear" w:color="auto" w:fill="D9D9D9" w:themeFill="background1" w:themeFillShade="D9"/>
                              <w:spacing w:after="0"/>
                              <w:jc w:val="both"/>
                              <w:rPr>
                                <w:rFonts w:ascii="Arial" w:hAnsi="Arial" w:cs="Arial"/>
                                <w:sz w:val="22"/>
                                <w:szCs w:val="22"/>
                              </w:rPr>
                            </w:pPr>
                          </w:p>
                          <w:p w:rsidR="00BA455D" w:rsidRPr="005776C8" w:rsidRDefault="00BA455D" w:rsidP="00A36221">
                            <w:pPr>
                              <w:pStyle w:val="Corpsdetexte"/>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Parmi les multiples produits de la finance islamique, l’on peut citer le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mousharakah (contrat de partenariat sociétal)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moudharaba (contrat de gestion de fonds avec marge bénéficiaire)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mourabaha (contrat de vente avec marge bénéficiaire)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bay’ mu’ajjal (contrat de vente sur paiement différé)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bay’ salam (contrat de vente prépayé)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ijarah (contrat de location)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ijarah waqtina’a (contrat de location-vente)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istisna’a(contrat de fabrication ou de construction sur commande)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sukuk (certificat d’investissement assimilable aux obligations)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waqf (charité perpétuelle).</w:t>
                            </w:r>
                          </w:p>
                          <w:p w:rsidR="00BA455D" w:rsidRDefault="00BA455D" w:rsidP="00A36221">
                            <w:pPr>
                              <w:shd w:val="clear" w:color="auto" w:fill="D9D9D9" w:themeFill="background1" w:themeFillShade="D9"/>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6EA034" id="Zone de texte 9" o:spid="_x0000_s1029" type="#_x0000_t202" style="position:absolute;left:0;text-align:left;margin-left:19.05pt;margin-top:30.1pt;width:483.9pt;height:464.9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" fillcolor="white [3201]" strokecolor="#c0504d [3205]" strokeweight="2pt">
                <v:textbox>
                  <w:txbxContent>
                    <w:p w:rsidR="00BA455D" w:rsidRPr="005776C8" w:rsidRDefault="00BA455D" w:rsidP="00A36221">
                      <w:pPr>
                        <w:shd w:val="clear" w:color="auto" w:fill="D9D9D9" w:themeFill="background1" w:themeFillShade="D9"/>
                        <w:spacing w:before="60" w:after="60"/>
                        <w:jc w:val="both"/>
                        <w:rPr>
                          <w:rFonts w:ascii="Arial" w:hAnsi="Arial" w:cs="Arial"/>
                        </w:rPr>
                      </w:pPr>
                      <w:r w:rsidRPr="005776C8">
                        <w:rPr>
                          <w:rFonts w:ascii="Arial" w:hAnsi="Arial" w:cs="Arial"/>
                        </w:rPr>
                        <w:t>La finance islamique tire sa source de la loi islamique (chari’a). Elle s’intéresse aux transactions monétaires sensées assurer le financement des activités économiques dans le strict respect des principes édictés par la chari’a.</w:t>
                      </w:r>
                    </w:p>
                    <w:p w:rsidR="00BA455D" w:rsidRPr="005776C8" w:rsidRDefault="00BA455D" w:rsidP="00A36221">
                      <w:pPr>
                        <w:shd w:val="clear" w:color="auto" w:fill="D9D9D9" w:themeFill="background1" w:themeFillShade="D9"/>
                        <w:spacing w:before="60" w:after="60"/>
                        <w:jc w:val="both"/>
                        <w:rPr>
                          <w:rFonts w:ascii="Arial" w:hAnsi="Arial" w:cs="Arial"/>
                        </w:rPr>
                      </w:pPr>
                      <w:r w:rsidRPr="005776C8">
                        <w:rPr>
                          <w:rFonts w:ascii="Arial" w:hAnsi="Arial" w:cs="Arial"/>
                        </w:rPr>
                        <w:t>Les principes suivants sont, pour l’essentiel, ceux qui s’imprègnent du droit islamique des affaires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le droit de propriété est entièrement dévolu à Dieu seul qui le prête à l’homme pour en jouir en tant qu’administrateur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la liberté économique doit être une liberté responsable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l’interventionnisme est permis pour la régulation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la consommation doit être modérée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la libre circulation des biens et des personnes est admise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le salaire inclus le matériel, le financier et le spirituel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l’acquittement obligatoire de la zakat (impôt légal). Le principe de la zakat englobe toutes les transactions financières permises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l’adossement de tout financement à un actif tangible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le partage des pertes et profits est de mise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la liberté d’investir dans toute activité tant que celle-ci n’est pas entamée de ribâ (intérêt et usure). le principe du ribâ englobe toutes les transactions financières prohibées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le principe contractuel dans les transactions : le contrat étant la relation légale entre la demande et l’acceptation. Il est composé de la formulation, des deux parties contractantes et de l’objet.</w:t>
                      </w:r>
                    </w:p>
                    <w:p w:rsidR="00BA455D" w:rsidRPr="005776C8" w:rsidRDefault="00BA455D" w:rsidP="00A36221">
                      <w:pPr>
                        <w:pStyle w:val="Corpsdetexte"/>
                        <w:shd w:val="clear" w:color="auto" w:fill="D9D9D9" w:themeFill="background1" w:themeFillShade="D9"/>
                        <w:spacing w:after="0"/>
                        <w:jc w:val="both"/>
                        <w:rPr>
                          <w:rFonts w:ascii="Arial" w:hAnsi="Arial" w:cs="Arial"/>
                          <w:sz w:val="22"/>
                          <w:szCs w:val="22"/>
                        </w:rPr>
                      </w:pPr>
                    </w:p>
                    <w:p w:rsidR="00BA455D" w:rsidRPr="005776C8" w:rsidRDefault="00BA455D" w:rsidP="00A36221">
                      <w:pPr>
                        <w:pStyle w:val="Corpsdetexte"/>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 xml:space="preserve">Parmi les multiples produits de la finance islamique, l’on peut citer le :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mousharakah (contrat de partenariat sociétal)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moudharaba (contrat de gestion de fonds avec marge bénéficiaire)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mourabaha (contrat de vente avec marge bénéficiaire)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bay’ mu’ajjal (contrat de vente sur paiement différé)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bay’ salam (contrat de vente prépayé)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ijarah (contrat de location)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ijarah waqtina’a (contrat de location-vente)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istisna’a(contrat de fabrication ou de construction sur commande)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sukuk (certificat d’investissement assimilable aux obligations) ;</w:t>
                      </w:r>
                    </w:p>
                    <w:p w:rsidR="00BA455D" w:rsidRPr="005776C8" w:rsidRDefault="00BA455D" w:rsidP="00A36221">
                      <w:pPr>
                        <w:pStyle w:val="Corpsdetexte"/>
                        <w:numPr>
                          <w:ilvl w:val="0"/>
                          <w:numId w:val="106"/>
                        </w:numPr>
                        <w:shd w:val="clear" w:color="auto" w:fill="D9D9D9" w:themeFill="background1" w:themeFillShade="D9"/>
                        <w:spacing w:after="0"/>
                        <w:jc w:val="both"/>
                        <w:rPr>
                          <w:rFonts w:ascii="Arial" w:hAnsi="Arial" w:cs="Arial"/>
                          <w:sz w:val="22"/>
                          <w:szCs w:val="22"/>
                        </w:rPr>
                      </w:pPr>
                      <w:r w:rsidRPr="005776C8">
                        <w:rPr>
                          <w:rFonts w:ascii="Arial" w:hAnsi="Arial" w:cs="Arial"/>
                          <w:sz w:val="22"/>
                          <w:szCs w:val="22"/>
                        </w:rPr>
                        <w:t>waqf (charité perpétuelle).</w:t>
                      </w:r>
                    </w:p>
                    <w:p w:rsidR="00BA455D" w:rsidRDefault="00BA455D" w:rsidP="00A36221">
                      <w:pPr>
                        <w:shd w:val="clear" w:color="auto" w:fill="D9D9D9" w:themeFill="background1" w:themeFillShade="D9"/>
                      </w:pPr>
                    </w:p>
                  </w:txbxContent>
                </v:textbox>
                <w10:wrap type="square"/>
              </v:shape>
            </w:pict>
          </mc:Fallback>
        </mc:AlternateContent>
      </w:r>
    </w:p>
    <w:p w:rsidR="00EC1B72" w:rsidRDefault="00EC1B72" w:rsidP="008D7758">
      <w:pPr>
        <w:pStyle w:val="Paragraphedeliste"/>
        <w:numPr>
          <w:ilvl w:val="0"/>
          <w:numId w:val="107"/>
        </w:numPr>
        <w:autoSpaceDE w:val="0"/>
        <w:autoSpaceDN w:val="0"/>
        <w:adjustRightInd w:val="0"/>
        <w:spacing w:after="0" w:line="240" w:lineRule="auto"/>
        <w:rPr>
          <w:rFonts w:ascii="Arial" w:hAnsi="Arial" w:cs="Arial"/>
          <w:b/>
          <w:color w:val="000000"/>
        </w:rPr>
      </w:pPr>
      <w:r>
        <w:rPr>
          <w:rFonts w:ascii="Arial" w:hAnsi="Arial" w:cs="Arial"/>
          <w:b/>
          <w:color w:val="000000"/>
        </w:rPr>
        <w:t>E</w:t>
      </w:r>
      <w:r w:rsidRPr="002B4C0A">
        <w:rPr>
          <w:rFonts w:ascii="Arial" w:hAnsi="Arial" w:cs="Arial"/>
          <w:b/>
          <w:color w:val="000000"/>
        </w:rPr>
        <w:t>tat des li</w:t>
      </w:r>
      <w:r>
        <w:rPr>
          <w:rFonts w:ascii="Arial" w:hAnsi="Arial" w:cs="Arial"/>
          <w:b/>
          <w:color w:val="000000"/>
        </w:rPr>
        <w:t>eux de la finance islamique au Burkina F</w:t>
      </w:r>
      <w:r w:rsidRPr="002B4C0A">
        <w:rPr>
          <w:rFonts w:ascii="Arial" w:hAnsi="Arial" w:cs="Arial"/>
          <w:b/>
          <w:color w:val="000000"/>
        </w:rPr>
        <w:t>aso</w:t>
      </w:r>
    </w:p>
    <w:p w:rsidR="00EC1B72" w:rsidRDefault="00EC1B72" w:rsidP="00EC1B72">
      <w:pPr>
        <w:tabs>
          <w:tab w:val="left" w:pos="540"/>
        </w:tabs>
        <w:jc w:val="both"/>
        <w:rPr>
          <w:rFonts w:ascii="Arial" w:hAnsi="Arial" w:cs="Arial"/>
        </w:rPr>
      </w:pPr>
      <w:r>
        <w:rPr>
          <w:rFonts w:ascii="Arial" w:hAnsi="Arial" w:cs="Arial"/>
          <w:color w:val="000000"/>
        </w:rPr>
        <w:t>Au Burkina Faso, l</w:t>
      </w:r>
      <w:r w:rsidRPr="002B4C0A">
        <w:rPr>
          <w:rFonts w:ascii="Arial" w:hAnsi="Arial" w:cs="Arial"/>
          <w:color w:val="000000"/>
        </w:rPr>
        <w:t>a finance</w:t>
      </w:r>
      <w:r>
        <w:rPr>
          <w:rFonts w:ascii="Arial" w:hAnsi="Arial" w:cs="Arial"/>
          <w:color w:val="000000"/>
        </w:rPr>
        <w:t xml:space="preserve"> </w:t>
      </w:r>
      <w:r w:rsidRPr="002B4C0A">
        <w:rPr>
          <w:rFonts w:ascii="Arial" w:hAnsi="Arial" w:cs="Arial"/>
          <w:color w:val="000000"/>
        </w:rPr>
        <w:t xml:space="preserve">islamique est animée principalement par la </w:t>
      </w:r>
      <w:r>
        <w:rPr>
          <w:rFonts w:ascii="Arial" w:hAnsi="Arial" w:cs="Arial"/>
          <w:color w:val="000000"/>
        </w:rPr>
        <w:t>BID</w:t>
      </w:r>
      <w:r w:rsidRPr="002B4C0A">
        <w:rPr>
          <w:rFonts w:ascii="Arial" w:hAnsi="Arial" w:cs="Arial"/>
          <w:color w:val="000000"/>
        </w:rPr>
        <w:t>.</w:t>
      </w:r>
      <w:r>
        <w:rPr>
          <w:rFonts w:ascii="Arial" w:hAnsi="Arial" w:cs="Arial"/>
          <w:color w:val="000000"/>
        </w:rPr>
        <w:t xml:space="preserve"> Ainsi, elle</w:t>
      </w:r>
      <w:r w:rsidRPr="002B4C0A">
        <w:rPr>
          <w:rFonts w:ascii="Arial" w:hAnsi="Arial" w:cs="Arial"/>
          <w:color w:val="000000"/>
        </w:rPr>
        <w:t xml:space="preserve"> intervient dans les domaines du développement humain, agricole</w:t>
      </w:r>
      <w:r>
        <w:rPr>
          <w:rFonts w:ascii="Arial" w:hAnsi="Arial" w:cs="Arial"/>
          <w:color w:val="000000"/>
        </w:rPr>
        <w:t>,</w:t>
      </w:r>
      <w:r w:rsidRPr="002B4C0A">
        <w:rPr>
          <w:rFonts w:ascii="Arial" w:hAnsi="Arial" w:cs="Arial"/>
          <w:color w:val="000000"/>
        </w:rPr>
        <w:t xml:space="preserve"> des infrastructures</w:t>
      </w:r>
      <w:r>
        <w:rPr>
          <w:rFonts w:ascii="Arial" w:hAnsi="Arial" w:cs="Arial"/>
          <w:color w:val="000000"/>
        </w:rPr>
        <w:t xml:space="preserve">, </w:t>
      </w:r>
      <w:r w:rsidRPr="002B4C0A">
        <w:rPr>
          <w:rFonts w:ascii="Arial" w:hAnsi="Arial" w:cs="Arial"/>
          <w:color w:val="000000"/>
        </w:rPr>
        <w:t>du secteur privé</w:t>
      </w:r>
      <w:r w:rsidRPr="00042B1B">
        <w:rPr>
          <w:rFonts w:ascii="Arial" w:hAnsi="Arial" w:cs="Arial"/>
          <w:color w:val="000000"/>
        </w:rPr>
        <w:t xml:space="preserve"> </w:t>
      </w:r>
      <w:r w:rsidRPr="002B4C0A">
        <w:rPr>
          <w:rFonts w:ascii="Arial" w:hAnsi="Arial" w:cs="Arial"/>
          <w:color w:val="000000"/>
        </w:rPr>
        <w:t>et de la sécurité alimentaire</w:t>
      </w:r>
      <w:r w:rsidRPr="002B4C0A">
        <w:rPr>
          <w:rFonts w:ascii="Arial" w:hAnsi="Arial" w:cs="Arial"/>
        </w:rPr>
        <w:t xml:space="preserve">. </w:t>
      </w:r>
    </w:p>
    <w:p w:rsidR="00EC1B72" w:rsidRDefault="00EC1B72" w:rsidP="00EC1B72">
      <w:pPr>
        <w:jc w:val="both"/>
        <w:rPr>
          <w:rFonts w:ascii="Arial" w:hAnsi="Arial" w:cs="Arial"/>
        </w:rPr>
      </w:pPr>
      <w:r w:rsidRPr="002B4C0A">
        <w:rPr>
          <w:rFonts w:ascii="Arial" w:hAnsi="Arial" w:cs="Arial"/>
        </w:rPr>
        <w:t xml:space="preserve">Au 31 décembre 2016, les interventions de la BID se chiffrent à </w:t>
      </w:r>
      <w:r w:rsidRPr="00B6077B">
        <w:rPr>
          <w:rFonts w:ascii="Arial" w:hAnsi="Arial" w:cs="Arial"/>
          <w:bCs/>
        </w:rPr>
        <w:t xml:space="preserve">1 721 </w:t>
      </w:r>
      <w:r w:rsidRPr="00B6077B">
        <w:rPr>
          <w:rFonts w:ascii="Arial" w:hAnsi="Arial" w:cs="Arial"/>
        </w:rPr>
        <w:t>millions de dollars US</w:t>
      </w:r>
      <w:r w:rsidRPr="002B4C0A">
        <w:rPr>
          <w:rFonts w:ascii="Arial" w:hAnsi="Arial" w:cs="Arial"/>
        </w:rPr>
        <w:t xml:space="preserve"> soit environ 1032,6 milliards de FCFA pour 153 opérations (nombre d’accords). Au titre des projets en cours, on dénombre 22 projets en cours d’e</w:t>
      </w:r>
      <w:r>
        <w:rPr>
          <w:rFonts w:ascii="Arial" w:hAnsi="Arial" w:cs="Arial"/>
        </w:rPr>
        <w:t xml:space="preserve">xécution avec une programmation </w:t>
      </w:r>
      <w:r w:rsidRPr="002B4C0A">
        <w:rPr>
          <w:rFonts w:ascii="Arial" w:hAnsi="Arial" w:cs="Arial"/>
        </w:rPr>
        <w:t>de six projets en 2017</w:t>
      </w:r>
      <w:r>
        <w:rPr>
          <w:rFonts w:ascii="Arial" w:hAnsi="Arial" w:cs="Arial"/>
        </w:rPr>
        <w:t>.</w:t>
      </w:r>
    </w:p>
    <w:p w:rsidR="00EC1B72" w:rsidRDefault="00EC1B72" w:rsidP="00EC1B72">
      <w:pPr>
        <w:ind w:left="57"/>
        <w:jc w:val="both"/>
        <w:rPr>
          <w:rFonts w:ascii="Arial" w:hAnsi="Arial" w:cs="Arial"/>
        </w:rPr>
      </w:pPr>
      <w:r w:rsidRPr="002B4C0A">
        <w:rPr>
          <w:rFonts w:ascii="Arial" w:hAnsi="Arial" w:cs="Arial"/>
        </w:rPr>
        <w:t>En plus des appuis projets, la BID appui le secteur du commerce à travers la Société Internationale Islamique de Financement du Commerce (I.T.F.C). Ainsi, de 2008 à 2016, l’I.T.F.C. a injecté dans le circuit commercial du Burkina Faso</w:t>
      </w:r>
      <w:r>
        <w:rPr>
          <w:rFonts w:ascii="Arial" w:hAnsi="Arial" w:cs="Arial"/>
        </w:rPr>
        <w:t>,</w:t>
      </w:r>
      <w:r w:rsidRPr="002B4C0A">
        <w:rPr>
          <w:rFonts w:ascii="Arial" w:hAnsi="Arial" w:cs="Arial"/>
        </w:rPr>
        <w:t xml:space="preserve"> un montant total </w:t>
      </w:r>
      <w:r>
        <w:rPr>
          <w:rFonts w:ascii="Arial" w:hAnsi="Arial" w:cs="Arial"/>
        </w:rPr>
        <w:t xml:space="preserve">de </w:t>
      </w:r>
      <w:r w:rsidRPr="002B4C0A">
        <w:rPr>
          <w:rFonts w:ascii="Arial" w:hAnsi="Arial" w:cs="Arial"/>
        </w:rPr>
        <w:t>761,74</w:t>
      </w:r>
      <w:r>
        <w:rPr>
          <w:rFonts w:ascii="Arial" w:hAnsi="Arial" w:cs="Arial"/>
        </w:rPr>
        <w:t xml:space="preserve"> </w:t>
      </w:r>
      <w:r w:rsidRPr="002B4C0A">
        <w:rPr>
          <w:rFonts w:ascii="Arial" w:hAnsi="Arial" w:cs="Arial"/>
        </w:rPr>
        <w:t>millions de dollars américains soit plus de 457 milliards de francs CFA. La SO.FI.TEX., la SO.NA.B.HY, la Société Kanis</w:t>
      </w:r>
      <w:r>
        <w:rPr>
          <w:rFonts w:ascii="Arial" w:hAnsi="Arial" w:cs="Arial"/>
        </w:rPr>
        <w:t xml:space="preserve"> International</w:t>
      </w:r>
      <w:r w:rsidRPr="002B4C0A">
        <w:rPr>
          <w:rFonts w:ascii="Arial" w:hAnsi="Arial" w:cs="Arial"/>
        </w:rPr>
        <w:t xml:space="preserve"> et Coris Bank International en sont les principaux bénéficiaires.</w:t>
      </w:r>
      <w:r>
        <w:rPr>
          <w:rFonts w:ascii="Arial" w:hAnsi="Arial" w:cs="Arial"/>
        </w:rPr>
        <w:t xml:space="preserve"> Au cours de la </w:t>
      </w:r>
      <w:r>
        <w:rPr>
          <w:rFonts w:ascii="Arial" w:hAnsi="Arial" w:cs="Arial"/>
        </w:rPr>
        <w:lastRenderedPageBreak/>
        <w:t>conférence de Paris, la BID s’est engagée à appuyer le Burkina Faso pour mobiliser des SUKUK à hauteur de 600 millions de dollars à la demande du Gouvernement.</w:t>
      </w:r>
    </w:p>
    <w:p w:rsidR="00EC1B72" w:rsidRPr="000E6F30" w:rsidRDefault="00EC1B72" w:rsidP="008D7758">
      <w:pPr>
        <w:pStyle w:val="Paragraphedeliste"/>
        <w:numPr>
          <w:ilvl w:val="0"/>
          <w:numId w:val="107"/>
        </w:numPr>
        <w:autoSpaceDE w:val="0"/>
        <w:autoSpaceDN w:val="0"/>
        <w:adjustRightInd w:val="0"/>
        <w:spacing w:after="0" w:line="240" w:lineRule="auto"/>
        <w:rPr>
          <w:rFonts w:ascii="Arial" w:hAnsi="Arial" w:cs="Arial"/>
          <w:b/>
          <w:color w:val="000000"/>
        </w:rPr>
      </w:pPr>
      <w:r w:rsidRPr="00933395">
        <w:rPr>
          <w:rFonts w:ascii="Arial" w:hAnsi="Arial" w:cs="Arial"/>
          <w:b/>
          <w:color w:val="000000"/>
        </w:rPr>
        <w:t xml:space="preserve">Les apports potentiels de la finance islamique aux problèmes économiques et sociaux </w:t>
      </w:r>
    </w:p>
    <w:p w:rsidR="00EC1B72" w:rsidRDefault="00EC1B72" w:rsidP="00EC1B72">
      <w:pPr>
        <w:pStyle w:val="Default"/>
        <w:jc w:val="both"/>
        <w:rPr>
          <w:sz w:val="22"/>
          <w:szCs w:val="22"/>
        </w:rPr>
      </w:pPr>
      <w:r>
        <w:rPr>
          <w:sz w:val="22"/>
          <w:szCs w:val="22"/>
        </w:rPr>
        <w:t>La</w:t>
      </w:r>
      <w:r w:rsidRPr="002B4C0A">
        <w:rPr>
          <w:sz w:val="22"/>
          <w:szCs w:val="22"/>
        </w:rPr>
        <w:t xml:space="preserve"> finance islamique </w:t>
      </w:r>
      <w:r>
        <w:rPr>
          <w:sz w:val="22"/>
          <w:szCs w:val="22"/>
        </w:rPr>
        <w:t>pourrai</w:t>
      </w:r>
      <w:r w:rsidRPr="002B4C0A">
        <w:rPr>
          <w:sz w:val="22"/>
          <w:szCs w:val="22"/>
        </w:rPr>
        <w:t>t apporter, entre autres alternatives, des solutions à certains problèmes de dévelop</w:t>
      </w:r>
      <w:r>
        <w:rPr>
          <w:sz w:val="22"/>
          <w:szCs w:val="22"/>
        </w:rPr>
        <w:t xml:space="preserve">pement tels que le chômage, la </w:t>
      </w:r>
      <w:r w:rsidRPr="002B4C0A">
        <w:rPr>
          <w:sz w:val="22"/>
          <w:szCs w:val="22"/>
        </w:rPr>
        <w:t>dégradation du pouvoir d’achat, les problèmes liés au développement et à l’infrastructure</w:t>
      </w:r>
      <w:r>
        <w:rPr>
          <w:sz w:val="22"/>
          <w:szCs w:val="22"/>
        </w:rPr>
        <w:t>.</w:t>
      </w:r>
    </w:p>
    <w:p w:rsidR="00EC1B72" w:rsidRDefault="00EC1B72" w:rsidP="00EC1B72">
      <w:pPr>
        <w:pStyle w:val="Default"/>
        <w:jc w:val="both"/>
        <w:rPr>
          <w:sz w:val="22"/>
          <w:szCs w:val="22"/>
        </w:rPr>
      </w:pPr>
      <w:r>
        <w:rPr>
          <w:sz w:val="22"/>
          <w:szCs w:val="22"/>
        </w:rPr>
        <w:t>Les</w:t>
      </w:r>
      <w:r w:rsidRPr="002B4C0A">
        <w:rPr>
          <w:sz w:val="22"/>
          <w:szCs w:val="22"/>
        </w:rPr>
        <w:t xml:space="preserve"> formules d’investissements basées sur les techniques participatives, telles que « Al Moudharaba » ou « Al Moucharaka » sont fortement plus </w:t>
      </w:r>
      <w:r>
        <w:rPr>
          <w:sz w:val="22"/>
          <w:szCs w:val="22"/>
        </w:rPr>
        <w:t>appréciables</w:t>
      </w:r>
      <w:r w:rsidRPr="002B4C0A">
        <w:rPr>
          <w:sz w:val="22"/>
          <w:szCs w:val="22"/>
        </w:rPr>
        <w:t xml:space="preserve"> que les placements bancaires classiques, notamment en période de baisse de taux. </w:t>
      </w:r>
    </w:p>
    <w:p w:rsidR="00EC1B72" w:rsidRDefault="00EC1B72" w:rsidP="00EC1B72">
      <w:pPr>
        <w:pStyle w:val="Default"/>
        <w:jc w:val="both"/>
        <w:rPr>
          <w:sz w:val="22"/>
          <w:szCs w:val="22"/>
        </w:rPr>
      </w:pPr>
    </w:p>
    <w:p w:rsidR="00EC1B72" w:rsidRDefault="00EC1B72" w:rsidP="00EC1B72">
      <w:pPr>
        <w:pStyle w:val="Default"/>
        <w:jc w:val="both"/>
        <w:rPr>
          <w:sz w:val="22"/>
          <w:szCs w:val="22"/>
        </w:rPr>
      </w:pPr>
      <w:r w:rsidRPr="002B4C0A">
        <w:rPr>
          <w:sz w:val="22"/>
          <w:szCs w:val="22"/>
        </w:rPr>
        <w:t xml:space="preserve">La souscription à des « Sukuk » auprès d’un émetteur pourrait garantir une rentabilité bien loin de celle offerte à travers des placements monétaires. D’un autre côté, ce même mécanisme de « Sukuk » pourrait être utilisé pour mobiliser des ressources pour l’Etat, auprès des </w:t>
      </w:r>
      <w:r>
        <w:rPr>
          <w:sz w:val="22"/>
          <w:szCs w:val="22"/>
        </w:rPr>
        <w:t>investisseurs.</w:t>
      </w:r>
    </w:p>
    <w:p w:rsidR="00EC1B72" w:rsidRPr="002B4C0A" w:rsidRDefault="00EC1B72" w:rsidP="00EC1B72">
      <w:pPr>
        <w:pStyle w:val="Default"/>
        <w:jc w:val="both"/>
        <w:rPr>
          <w:sz w:val="22"/>
          <w:szCs w:val="22"/>
        </w:rPr>
      </w:pPr>
    </w:p>
    <w:p w:rsidR="00EC1B72" w:rsidRDefault="00EC1B72" w:rsidP="00EC1B72">
      <w:pPr>
        <w:tabs>
          <w:tab w:val="left" w:pos="540"/>
        </w:tabs>
        <w:jc w:val="both"/>
        <w:rPr>
          <w:rFonts w:ascii="Arial" w:hAnsi="Arial" w:cs="Arial"/>
          <w:color w:val="000000"/>
        </w:rPr>
      </w:pPr>
      <w:r w:rsidRPr="002B4C0A">
        <w:rPr>
          <w:rFonts w:ascii="Arial" w:hAnsi="Arial" w:cs="Arial"/>
          <w:color w:val="000000"/>
        </w:rPr>
        <w:t>Les fonds d’investissement islamiques sont également un cadre attrayant pour drainer des ressources, notamment auprès de bailleurs de fonds externes, qui sont intéressés par l’investissement au Burkina Faso.</w:t>
      </w:r>
    </w:p>
    <w:p w:rsidR="00EC1B72" w:rsidRDefault="00EC1B72" w:rsidP="00EC1B72">
      <w:pPr>
        <w:tabs>
          <w:tab w:val="left" w:pos="540"/>
        </w:tabs>
        <w:jc w:val="both"/>
        <w:rPr>
          <w:rFonts w:ascii="Arial" w:hAnsi="Arial" w:cs="Arial"/>
          <w:color w:val="000000"/>
        </w:rPr>
      </w:pPr>
      <w:r w:rsidRPr="002B4C0A">
        <w:rPr>
          <w:rFonts w:ascii="Arial" w:hAnsi="Arial" w:cs="Arial"/>
          <w:color w:val="000000"/>
        </w:rPr>
        <w:t>De ce fait, les institutions financières islamiques pourraient être un levier pour le financement du PNDES.</w:t>
      </w:r>
    </w:p>
    <w:p w:rsidR="00EC1B72" w:rsidRPr="00E57D12" w:rsidRDefault="00EC1B72" w:rsidP="008D7758">
      <w:pPr>
        <w:pStyle w:val="Titre3"/>
        <w:numPr>
          <w:ilvl w:val="0"/>
          <w:numId w:val="149"/>
        </w:numPr>
        <w:tabs>
          <w:tab w:val="left" w:pos="1560"/>
        </w:tabs>
        <w:ind w:left="1276" w:hanging="425"/>
      </w:pPr>
      <w:bookmarkStart w:id="665" w:name="_Toc492972258"/>
      <w:r w:rsidRPr="00E57D12">
        <w:t>La finance climat</w:t>
      </w:r>
      <w:bookmarkEnd w:id="665"/>
    </w:p>
    <w:p w:rsidR="00EC1B72" w:rsidRPr="00C65E18" w:rsidRDefault="009C563C" w:rsidP="00EC1B72">
      <w:pPr>
        <w:ind w:left="57"/>
        <w:jc w:val="both"/>
        <w:rPr>
          <w:rFonts w:ascii="Arial" w:hAnsi="Arial" w:cs="Arial"/>
        </w:rPr>
      </w:pPr>
      <w:r w:rsidRPr="008B3692">
        <w:rPr>
          <w:rFonts w:ascii="Arial" w:hAnsi="Arial" w:cs="Arial"/>
        </w:rPr>
        <w:t>L’engouement autour de la protection de l’environnement a pris naissance en 1972 à la conférence de</w:t>
      </w:r>
      <w:r w:rsidR="00FF7A36">
        <w:rPr>
          <w:rFonts w:ascii="Arial" w:hAnsi="Arial" w:cs="Arial"/>
        </w:rPr>
        <w:t>s Nations U</w:t>
      </w:r>
      <w:r w:rsidR="006D37DC">
        <w:rPr>
          <w:rFonts w:ascii="Arial" w:hAnsi="Arial" w:cs="Arial"/>
        </w:rPr>
        <w:t>nies sur l’environnement</w:t>
      </w:r>
      <w:r w:rsidR="003750C1">
        <w:rPr>
          <w:rFonts w:ascii="Arial" w:hAnsi="Arial" w:cs="Arial"/>
        </w:rPr>
        <w:t>, tenue à</w:t>
      </w:r>
      <w:r w:rsidRPr="008B3692">
        <w:rPr>
          <w:rFonts w:ascii="Arial" w:hAnsi="Arial" w:cs="Arial"/>
        </w:rPr>
        <w:t xml:space="preserve"> Stockholm</w:t>
      </w:r>
      <w:r w:rsidR="00FF7A36">
        <w:rPr>
          <w:rFonts w:ascii="Arial" w:hAnsi="Arial" w:cs="Arial"/>
        </w:rPr>
        <w:t xml:space="preserve"> (Suède)</w:t>
      </w:r>
      <w:r w:rsidRPr="008B3692">
        <w:rPr>
          <w:rFonts w:ascii="Arial" w:hAnsi="Arial" w:cs="Arial"/>
        </w:rPr>
        <w:t>. Le financement des actions en faveur de cette protection a depuis lors fait l’objet d’une attention particuli</w:t>
      </w:r>
      <w:r w:rsidR="002430EA">
        <w:rPr>
          <w:rFonts w:ascii="Arial" w:hAnsi="Arial" w:cs="Arial"/>
        </w:rPr>
        <w:t xml:space="preserve">ère au niveau mondial. </w:t>
      </w:r>
      <w:r w:rsidRPr="008B3692">
        <w:rPr>
          <w:rFonts w:ascii="Arial" w:hAnsi="Arial" w:cs="Arial"/>
        </w:rPr>
        <w:t xml:space="preserve">De ce fait, plusieurs fonds ont été mis en place pour financer les mesures d’adaptation et d’atténuation </w:t>
      </w:r>
      <w:r w:rsidRPr="00C65E18">
        <w:rPr>
          <w:rFonts w:ascii="Arial" w:hAnsi="Arial" w:cs="Arial"/>
        </w:rPr>
        <w:t>aux effets des changements climatiques.</w:t>
      </w:r>
    </w:p>
    <w:p w:rsidR="006D3FCF" w:rsidRPr="004922AE" w:rsidRDefault="00F13B21" w:rsidP="00F13B21">
      <w:pPr>
        <w:pStyle w:val="Paragraphedeliste"/>
        <w:autoSpaceDE w:val="0"/>
        <w:autoSpaceDN w:val="0"/>
        <w:adjustRightInd w:val="0"/>
        <w:spacing w:before="120" w:after="120" w:line="240" w:lineRule="auto"/>
        <w:jc w:val="both"/>
        <w:rPr>
          <w:rFonts w:ascii="Cambria" w:eastAsia="Times New Roman" w:hAnsi="Cambria"/>
          <w:b/>
          <w:bCs/>
          <w:sz w:val="24"/>
          <w:szCs w:val="26"/>
        </w:rPr>
      </w:pPr>
      <w:r w:rsidRPr="004922AE">
        <w:rPr>
          <w:rFonts w:ascii="Cambria" w:eastAsia="Times New Roman" w:hAnsi="Cambria"/>
          <w:b/>
          <w:bCs/>
          <w:sz w:val="24"/>
          <w:szCs w:val="26"/>
        </w:rPr>
        <w:t xml:space="preserve">1.4.2.1 </w:t>
      </w:r>
      <w:r w:rsidR="006D3FCF" w:rsidRPr="004922AE">
        <w:rPr>
          <w:rFonts w:ascii="Cambria" w:eastAsia="Times New Roman" w:hAnsi="Cambria"/>
          <w:b/>
          <w:bCs/>
          <w:sz w:val="24"/>
          <w:szCs w:val="26"/>
        </w:rPr>
        <w:t>Le Fonds pour l’Environnement Mondial (FEM)</w:t>
      </w:r>
    </w:p>
    <w:p w:rsidR="00FE7767" w:rsidRDefault="00FE7767" w:rsidP="00FE7767">
      <w:pPr>
        <w:autoSpaceDE w:val="0"/>
        <w:autoSpaceDN w:val="0"/>
        <w:adjustRightInd w:val="0"/>
        <w:spacing w:before="120" w:after="120" w:line="240" w:lineRule="auto"/>
        <w:jc w:val="both"/>
        <w:rPr>
          <w:rFonts w:ascii="Arial" w:hAnsi="Arial" w:cs="Arial"/>
          <w:lang w:eastAsia="fr-FR"/>
        </w:rPr>
      </w:pPr>
      <w:r w:rsidRPr="00C65E18">
        <w:rPr>
          <w:rFonts w:ascii="Arial" w:hAnsi="Arial" w:cs="Arial"/>
          <w:lang w:eastAsia="fr-FR"/>
        </w:rPr>
        <w:t>Le FEM est créé en 1991 pour la mise en œuvre des conventions internationales sur la biodiversité, les polluants organiques persistants, la désertification et les changements climatiques. Il octroie des ressources sous forme de don</w:t>
      </w:r>
      <w:r w:rsidR="000F2078" w:rsidRPr="00C65E18">
        <w:rPr>
          <w:rFonts w:ascii="Arial" w:hAnsi="Arial" w:cs="Arial"/>
          <w:lang w:eastAsia="fr-FR"/>
        </w:rPr>
        <w:t>s</w:t>
      </w:r>
      <w:r w:rsidRPr="00C65E18">
        <w:rPr>
          <w:rFonts w:ascii="Arial" w:hAnsi="Arial" w:cs="Arial"/>
          <w:lang w:eastAsia="fr-FR"/>
        </w:rPr>
        <w:t xml:space="preserve"> ou de prêt</w:t>
      </w:r>
      <w:r w:rsidR="000F2078" w:rsidRPr="00C65E18">
        <w:rPr>
          <w:rFonts w:ascii="Arial" w:hAnsi="Arial" w:cs="Arial"/>
          <w:lang w:eastAsia="fr-FR"/>
        </w:rPr>
        <w:t>s</w:t>
      </w:r>
      <w:r w:rsidRPr="00C65E18">
        <w:rPr>
          <w:rFonts w:ascii="Arial" w:hAnsi="Arial" w:cs="Arial"/>
          <w:lang w:eastAsia="fr-FR"/>
        </w:rPr>
        <w:t xml:space="preserve"> à des </w:t>
      </w:r>
      <w:r w:rsidR="009D6450">
        <w:rPr>
          <w:rFonts w:ascii="Arial" w:hAnsi="Arial" w:cs="Arial"/>
          <w:lang w:eastAsia="fr-FR"/>
        </w:rPr>
        <w:t xml:space="preserve">conditions favorables aux PMA constituant de ce fait l’entité financière opérationnelle </w:t>
      </w:r>
      <w:r w:rsidR="009D6450" w:rsidRPr="00C65E18">
        <w:rPr>
          <w:rFonts w:ascii="Arial" w:hAnsi="Arial" w:cs="Arial"/>
          <w:lang w:eastAsia="fr-FR"/>
        </w:rPr>
        <w:t>de la convention cadre des nations unies sur les changements climatiques (CCNUCC)</w:t>
      </w:r>
      <w:r w:rsidR="009D6450">
        <w:rPr>
          <w:rFonts w:ascii="Arial" w:hAnsi="Arial" w:cs="Arial"/>
          <w:lang w:eastAsia="fr-FR"/>
        </w:rPr>
        <w:t>.</w:t>
      </w:r>
    </w:p>
    <w:p w:rsidR="009D6450" w:rsidRDefault="009D6450" w:rsidP="00FE7767">
      <w:pPr>
        <w:autoSpaceDE w:val="0"/>
        <w:autoSpaceDN w:val="0"/>
        <w:adjustRightInd w:val="0"/>
        <w:spacing w:before="120" w:after="120" w:line="240" w:lineRule="auto"/>
        <w:jc w:val="both"/>
        <w:rPr>
          <w:rFonts w:ascii="Arial" w:hAnsi="Arial" w:cs="Arial"/>
          <w:lang w:eastAsia="fr-FR"/>
        </w:rPr>
      </w:pPr>
      <w:r>
        <w:rPr>
          <w:rFonts w:ascii="Arial" w:hAnsi="Arial" w:cs="Arial"/>
          <w:lang w:eastAsia="fr-FR"/>
        </w:rPr>
        <w:t xml:space="preserve">Le FEM regroupe 3 fonds dédié prioritairement à l’adaptation au changement climatique et qui finance à travers le monde des projets stratégiques </w:t>
      </w:r>
      <w:r w:rsidR="00EF5308">
        <w:rPr>
          <w:rFonts w:ascii="Arial" w:hAnsi="Arial" w:cs="Arial"/>
          <w:lang w:eastAsia="fr-FR"/>
        </w:rPr>
        <w:t xml:space="preserve">et dont deux sont </w:t>
      </w:r>
      <w:r w:rsidR="007F7A2E">
        <w:rPr>
          <w:rFonts w:ascii="Arial" w:hAnsi="Arial" w:cs="Arial"/>
          <w:lang w:eastAsia="fr-FR"/>
        </w:rPr>
        <w:t>toujours actifs</w:t>
      </w:r>
      <w:r>
        <w:rPr>
          <w:rFonts w:ascii="Arial" w:hAnsi="Arial" w:cs="Arial"/>
          <w:lang w:eastAsia="fr-FR"/>
        </w:rPr>
        <w:t> :</w:t>
      </w:r>
    </w:p>
    <w:p w:rsidR="00FE7767" w:rsidRPr="00182620" w:rsidRDefault="00FE7767" w:rsidP="008D7758">
      <w:pPr>
        <w:pStyle w:val="Paragraphedeliste"/>
        <w:numPr>
          <w:ilvl w:val="0"/>
          <w:numId w:val="109"/>
        </w:numPr>
        <w:autoSpaceDE w:val="0"/>
        <w:autoSpaceDN w:val="0"/>
        <w:adjustRightInd w:val="0"/>
        <w:spacing w:before="120" w:after="120" w:line="240" w:lineRule="auto"/>
        <w:contextualSpacing w:val="0"/>
        <w:jc w:val="both"/>
        <w:rPr>
          <w:rFonts w:ascii="Arial" w:hAnsi="Arial" w:cs="Arial"/>
          <w:lang w:eastAsia="fr-FR"/>
        </w:rPr>
      </w:pPr>
      <w:r w:rsidRPr="00182620">
        <w:rPr>
          <w:rFonts w:ascii="Arial" w:hAnsi="Arial" w:cs="Arial"/>
          <w:b/>
          <w:lang w:eastAsia="fr-FR"/>
        </w:rPr>
        <w:t>le Fonds spécial pour les</w:t>
      </w:r>
      <w:r w:rsidR="00C16B25" w:rsidRPr="00182620">
        <w:rPr>
          <w:rFonts w:ascii="Arial" w:hAnsi="Arial" w:cs="Arial"/>
          <w:b/>
          <w:lang w:eastAsia="fr-FR"/>
        </w:rPr>
        <w:t xml:space="preserve"> changements climatiques (FSCC)</w:t>
      </w:r>
      <w:r w:rsidR="00182620">
        <w:rPr>
          <w:rFonts w:ascii="Arial" w:hAnsi="Arial" w:cs="Arial"/>
          <w:b/>
          <w:lang w:eastAsia="fr-FR"/>
        </w:rPr>
        <w:t xml:space="preserve">, </w:t>
      </w:r>
      <w:r w:rsidR="00182620" w:rsidRPr="00182620">
        <w:rPr>
          <w:rFonts w:ascii="Arial" w:hAnsi="Arial" w:cs="Arial"/>
          <w:lang w:eastAsia="fr-FR"/>
        </w:rPr>
        <w:t xml:space="preserve">qui accompagne deux programmes </w:t>
      </w:r>
      <w:r w:rsidR="00182620">
        <w:rPr>
          <w:rFonts w:ascii="Arial" w:hAnsi="Arial" w:cs="Arial"/>
          <w:lang w:eastAsia="fr-FR"/>
        </w:rPr>
        <w:t>(</w:t>
      </w:r>
      <w:r w:rsidR="00182620" w:rsidRPr="00182620">
        <w:rPr>
          <w:rFonts w:ascii="Arial" w:hAnsi="Arial" w:cs="Arial"/>
          <w:lang w:eastAsia="fr-FR"/>
        </w:rPr>
        <w:t>adaptation et transfert de technologie)</w:t>
      </w:r>
      <w:r w:rsidR="00182620">
        <w:rPr>
          <w:rFonts w:ascii="Arial" w:hAnsi="Arial" w:cs="Arial"/>
          <w:lang w:eastAsia="fr-FR"/>
        </w:rPr>
        <w:t xml:space="preserve"> et d’autres domaines tel que l’énergie et le transport.</w:t>
      </w:r>
    </w:p>
    <w:p w:rsidR="00FE7767" w:rsidRDefault="00FE7767" w:rsidP="008D7758">
      <w:pPr>
        <w:pStyle w:val="Paragraphedeliste"/>
        <w:numPr>
          <w:ilvl w:val="0"/>
          <w:numId w:val="109"/>
        </w:numPr>
        <w:autoSpaceDE w:val="0"/>
        <w:autoSpaceDN w:val="0"/>
        <w:adjustRightInd w:val="0"/>
        <w:spacing w:before="120" w:after="120" w:line="240" w:lineRule="auto"/>
        <w:contextualSpacing w:val="0"/>
        <w:jc w:val="both"/>
        <w:rPr>
          <w:rFonts w:ascii="Arial" w:hAnsi="Arial" w:cs="Arial"/>
          <w:lang w:eastAsia="fr-FR"/>
        </w:rPr>
      </w:pPr>
      <w:r w:rsidRPr="00CB4BCA">
        <w:rPr>
          <w:rFonts w:ascii="Arial" w:hAnsi="Arial" w:cs="Arial"/>
          <w:b/>
          <w:lang w:eastAsia="fr-FR"/>
        </w:rPr>
        <w:t>le Fonds pour le</w:t>
      </w:r>
      <w:r w:rsidR="00C16B25" w:rsidRPr="00CB4BCA">
        <w:rPr>
          <w:rFonts w:ascii="Arial" w:hAnsi="Arial" w:cs="Arial"/>
          <w:b/>
          <w:lang w:eastAsia="fr-FR"/>
        </w:rPr>
        <w:t>s pays les moins avancés (FPMA)</w:t>
      </w:r>
      <w:r w:rsidR="00CB4BCA">
        <w:rPr>
          <w:rFonts w:ascii="Arial" w:hAnsi="Arial" w:cs="Arial"/>
          <w:b/>
          <w:lang w:eastAsia="fr-FR"/>
        </w:rPr>
        <w:t xml:space="preserve"> </w:t>
      </w:r>
      <w:r w:rsidR="00CB4BCA" w:rsidRPr="00CB4BCA">
        <w:rPr>
          <w:rFonts w:ascii="Arial" w:hAnsi="Arial" w:cs="Arial"/>
          <w:lang w:eastAsia="fr-FR"/>
        </w:rPr>
        <w:t xml:space="preserve">qui a permis de financer la préparation des Programmes d’Actions Nationaux d’Adaptation aux changements climatiques (PANA) </w:t>
      </w:r>
      <w:r w:rsidR="00CB4BCA">
        <w:rPr>
          <w:rFonts w:ascii="Arial" w:hAnsi="Arial" w:cs="Arial"/>
          <w:lang w:eastAsia="fr-FR"/>
        </w:rPr>
        <w:t xml:space="preserve">dont le Burkina Faso en a </w:t>
      </w:r>
      <w:r w:rsidR="00E933FF">
        <w:rPr>
          <w:rFonts w:ascii="Arial" w:hAnsi="Arial" w:cs="Arial"/>
          <w:lang w:eastAsia="fr-FR"/>
        </w:rPr>
        <w:t>bénéfice</w:t>
      </w:r>
      <w:r w:rsidR="00CB4BCA">
        <w:rPr>
          <w:rFonts w:ascii="Arial" w:hAnsi="Arial" w:cs="Arial"/>
          <w:lang w:eastAsia="fr-FR"/>
        </w:rPr>
        <w:t>.</w:t>
      </w:r>
    </w:p>
    <w:p w:rsidR="005833D2" w:rsidRPr="00E372AC" w:rsidRDefault="00E372AC" w:rsidP="00E372AC">
      <w:pPr>
        <w:pStyle w:val="Paragraphedeliste"/>
        <w:autoSpaceDE w:val="0"/>
        <w:autoSpaceDN w:val="0"/>
        <w:adjustRightInd w:val="0"/>
        <w:spacing w:before="120" w:after="120" w:line="240" w:lineRule="auto"/>
        <w:jc w:val="both"/>
        <w:rPr>
          <w:rFonts w:ascii="Cambria" w:eastAsia="Times New Roman" w:hAnsi="Cambria"/>
          <w:b/>
          <w:bCs/>
          <w:sz w:val="24"/>
          <w:szCs w:val="26"/>
        </w:rPr>
      </w:pPr>
      <w:r>
        <w:rPr>
          <w:rFonts w:ascii="Cambria" w:eastAsia="Times New Roman" w:hAnsi="Cambria"/>
          <w:b/>
          <w:bCs/>
          <w:sz w:val="24"/>
          <w:szCs w:val="26"/>
        </w:rPr>
        <w:t xml:space="preserve">1.4.2.2 </w:t>
      </w:r>
      <w:r w:rsidR="0092630A" w:rsidRPr="00E372AC">
        <w:rPr>
          <w:rFonts w:ascii="Cambria" w:eastAsia="Times New Roman" w:hAnsi="Cambria"/>
          <w:b/>
          <w:bCs/>
          <w:sz w:val="24"/>
          <w:szCs w:val="26"/>
        </w:rPr>
        <w:t>Le Fonds d’adaptation</w:t>
      </w:r>
    </w:p>
    <w:p w:rsidR="005833D2" w:rsidRPr="00E372AC" w:rsidRDefault="00E933FF" w:rsidP="005833D2">
      <w:pPr>
        <w:spacing w:before="120" w:after="120"/>
        <w:jc w:val="both"/>
        <w:rPr>
          <w:rFonts w:ascii="Arial" w:hAnsi="Arial" w:cs="Arial"/>
        </w:rPr>
      </w:pPr>
      <w:r w:rsidRPr="00E372AC">
        <w:rPr>
          <w:rFonts w:ascii="Arial" w:hAnsi="Arial" w:cs="Arial"/>
          <w:lang w:eastAsia="fr-FR"/>
        </w:rPr>
        <w:t xml:space="preserve">Par ailleurs, </w:t>
      </w:r>
      <w:r w:rsidR="003B7D48" w:rsidRPr="00E372AC">
        <w:rPr>
          <w:rFonts w:ascii="Arial" w:hAnsi="Arial" w:cs="Arial"/>
          <w:lang w:eastAsia="fr-FR"/>
        </w:rPr>
        <w:t>un fonds d’adaptation (FA) a été institué par la Conférence des parties (COP) et constitue le principal instrument de financement pour l’adaptation aux CC des PMA</w:t>
      </w:r>
      <w:r w:rsidR="006100D3" w:rsidRPr="00E372AC">
        <w:rPr>
          <w:rFonts w:ascii="Arial" w:hAnsi="Arial" w:cs="Arial"/>
          <w:lang w:eastAsia="fr-FR"/>
        </w:rPr>
        <w:t xml:space="preserve">. </w:t>
      </w:r>
      <w:r w:rsidR="005833D2" w:rsidRPr="00E372AC">
        <w:rPr>
          <w:rFonts w:ascii="Arial" w:hAnsi="Arial" w:cs="Arial"/>
        </w:rPr>
        <w:t>Les caractéristiques  particulières du FA sont la prépondérance de pays en développement dans le Conseil d’administration et l’accès direct aux ressources sans l’intermédiation des agences de mise en œuvre et d’exécution du FEM. Le secrétariat du FA est assuré par le FEM et la gestion des ressources par la BM. Les priorités du FA :</w:t>
      </w:r>
    </w:p>
    <w:p w:rsidR="005833D2" w:rsidRPr="00E372AC" w:rsidRDefault="005833D2" w:rsidP="008D7758">
      <w:pPr>
        <w:numPr>
          <w:ilvl w:val="0"/>
          <w:numId w:val="110"/>
        </w:numPr>
        <w:spacing w:before="120" w:after="120" w:line="259" w:lineRule="auto"/>
        <w:jc w:val="both"/>
        <w:rPr>
          <w:rFonts w:ascii="Arial" w:hAnsi="Arial" w:cs="Arial"/>
        </w:rPr>
      </w:pPr>
      <w:r w:rsidRPr="00E372AC">
        <w:rPr>
          <w:rFonts w:ascii="Arial" w:hAnsi="Arial" w:cs="Arial"/>
        </w:rPr>
        <w:lastRenderedPageBreak/>
        <w:t>assister les pays en développement signataires du protocole de Kyoto qui sont vulnérables aux effets adverses des CC ;</w:t>
      </w:r>
    </w:p>
    <w:p w:rsidR="005833D2" w:rsidRPr="00E372AC" w:rsidRDefault="005833D2" w:rsidP="008D7758">
      <w:pPr>
        <w:numPr>
          <w:ilvl w:val="0"/>
          <w:numId w:val="110"/>
        </w:numPr>
        <w:spacing w:before="120" w:after="120" w:line="259" w:lineRule="auto"/>
        <w:jc w:val="both"/>
        <w:rPr>
          <w:rFonts w:ascii="Arial" w:hAnsi="Arial" w:cs="Arial"/>
        </w:rPr>
      </w:pPr>
      <w:r w:rsidRPr="00E372AC">
        <w:rPr>
          <w:rFonts w:ascii="Arial" w:hAnsi="Arial" w:cs="Arial"/>
        </w:rPr>
        <w:t>financer les projets et programmes concret conduits par le pays, basés sur les besoins, visions et priorités des pays éligibles ;</w:t>
      </w:r>
    </w:p>
    <w:p w:rsidR="005833D2" w:rsidRDefault="005833D2" w:rsidP="008D7758">
      <w:pPr>
        <w:numPr>
          <w:ilvl w:val="0"/>
          <w:numId w:val="110"/>
        </w:numPr>
        <w:spacing w:before="120" w:after="120" w:line="259" w:lineRule="auto"/>
        <w:jc w:val="both"/>
        <w:rPr>
          <w:rFonts w:ascii="Arial" w:hAnsi="Arial" w:cs="Arial"/>
        </w:rPr>
      </w:pPr>
      <w:r w:rsidRPr="00E372AC">
        <w:rPr>
          <w:rFonts w:ascii="Arial" w:hAnsi="Arial" w:cs="Arial"/>
        </w:rPr>
        <w:t>prendre en compte dans les projets et programme financés, les stratégies nationales de développement durable, les stratégies de réduction de la pauvreté, les communications nationales, les programmes d’action nationale d’adaptation aux changements climatiques.</w:t>
      </w:r>
    </w:p>
    <w:p w:rsidR="006100D3" w:rsidRPr="005A0C0C" w:rsidRDefault="005A0C0C" w:rsidP="00FE7767">
      <w:pPr>
        <w:pStyle w:val="Paragraphedeliste"/>
        <w:autoSpaceDE w:val="0"/>
        <w:autoSpaceDN w:val="0"/>
        <w:adjustRightInd w:val="0"/>
        <w:spacing w:before="120" w:after="120" w:line="240" w:lineRule="auto"/>
        <w:ind w:left="0"/>
        <w:contextualSpacing w:val="0"/>
        <w:jc w:val="both"/>
        <w:rPr>
          <w:rFonts w:asciiTheme="majorHAnsi" w:hAnsiTheme="majorHAnsi" w:cs="Arial"/>
          <w:b/>
          <w:sz w:val="24"/>
          <w:szCs w:val="24"/>
          <w:lang w:eastAsia="fr-FR"/>
        </w:rPr>
      </w:pPr>
      <w:r w:rsidRPr="005A0C0C">
        <w:rPr>
          <w:rFonts w:asciiTheme="majorHAnsi" w:hAnsiTheme="majorHAnsi" w:cs="Arial"/>
          <w:b/>
          <w:sz w:val="24"/>
          <w:szCs w:val="24"/>
          <w:lang w:eastAsia="fr-FR"/>
        </w:rPr>
        <w:t>1.4.2.3 Le fonds d’investissement climatique</w:t>
      </w:r>
    </w:p>
    <w:p w:rsidR="003B7D48" w:rsidRDefault="00FF011C" w:rsidP="00FE7767">
      <w:pPr>
        <w:pStyle w:val="Paragraphedeliste"/>
        <w:autoSpaceDE w:val="0"/>
        <w:autoSpaceDN w:val="0"/>
        <w:adjustRightInd w:val="0"/>
        <w:spacing w:before="120" w:after="120" w:line="240" w:lineRule="auto"/>
        <w:ind w:left="0"/>
        <w:contextualSpacing w:val="0"/>
        <w:jc w:val="both"/>
        <w:rPr>
          <w:rFonts w:ascii="Arial" w:hAnsi="Arial" w:cs="Arial"/>
          <w:lang w:eastAsia="fr-FR"/>
        </w:rPr>
      </w:pPr>
      <w:r>
        <w:rPr>
          <w:rFonts w:ascii="Arial" w:hAnsi="Arial" w:cs="Arial"/>
          <w:lang w:eastAsia="fr-FR"/>
        </w:rPr>
        <w:t>Outre ces fonds, un fonds d’investissement climatique, qui regroupe en son sein deux fonds a été créé</w:t>
      </w:r>
      <w:r w:rsidR="005A0C0C">
        <w:rPr>
          <w:rFonts w:ascii="Arial" w:hAnsi="Arial" w:cs="Arial"/>
          <w:lang w:eastAsia="fr-FR"/>
        </w:rPr>
        <w:t xml:space="preserve"> en 2008 </w:t>
      </w:r>
      <w:r>
        <w:rPr>
          <w:rFonts w:ascii="Arial" w:hAnsi="Arial" w:cs="Arial"/>
          <w:lang w:eastAsia="fr-FR"/>
        </w:rPr>
        <w:t>par la BM pour le financement</w:t>
      </w:r>
      <w:r w:rsidRPr="00FF011C">
        <w:t xml:space="preserve"> </w:t>
      </w:r>
      <w:r w:rsidRPr="00FF011C">
        <w:rPr>
          <w:rFonts w:ascii="Arial" w:hAnsi="Arial" w:cs="Arial"/>
          <w:lang w:eastAsia="fr-FR"/>
        </w:rPr>
        <w:t>de l’atténuation et l’adaptati</w:t>
      </w:r>
      <w:r>
        <w:rPr>
          <w:rFonts w:ascii="Arial" w:hAnsi="Arial" w:cs="Arial"/>
          <w:lang w:eastAsia="fr-FR"/>
        </w:rPr>
        <w:t xml:space="preserve">on aux changements climatiques ainsi que </w:t>
      </w:r>
      <w:r w:rsidRPr="00FF011C">
        <w:rPr>
          <w:rFonts w:ascii="Arial" w:hAnsi="Arial" w:cs="Arial"/>
          <w:lang w:eastAsia="fr-FR"/>
        </w:rPr>
        <w:t>la promotio</w:t>
      </w:r>
      <w:r w:rsidR="0098349A">
        <w:rPr>
          <w:rFonts w:ascii="Arial" w:hAnsi="Arial" w:cs="Arial"/>
          <w:lang w:eastAsia="fr-FR"/>
        </w:rPr>
        <w:t>n de l’efficacité énergétique, d</w:t>
      </w:r>
      <w:r w:rsidRPr="00FF011C">
        <w:rPr>
          <w:rFonts w:ascii="Arial" w:hAnsi="Arial" w:cs="Arial"/>
          <w:lang w:eastAsia="fr-FR"/>
        </w:rPr>
        <w:t xml:space="preserve">es technologies à faibles émissions de CO2, </w:t>
      </w:r>
      <w:r w:rsidR="0098349A">
        <w:rPr>
          <w:rFonts w:ascii="Arial" w:hAnsi="Arial" w:cs="Arial"/>
          <w:lang w:eastAsia="fr-FR"/>
        </w:rPr>
        <w:t xml:space="preserve">de </w:t>
      </w:r>
      <w:r w:rsidRPr="00FF011C">
        <w:rPr>
          <w:rFonts w:ascii="Arial" w:hAnsi="Arial" w:cs="Arial"/>
          <w:lang w:eastAsia="fr-FR"/>
        </w:rPr>
        <w:t>l’investissement en faveur des forêts et du développement des énergies renouvelables.</w:t>
      </w:r>
    </w:p>
    <w:p w:rsidR="005A0C0C" w:rsidRDefault="005A0C0C" w:rsidP="005A0C0C">
      <w:pPr>
        <w:spacing w:before="120" w:after="120" w:line="259" w:lineRule="auto"/>
        <w:jc w:val="both"/>
        <w:rPr>
          <w:rFonts w:ascii="Arial" w:hAnsi="Arial" w:cs="Arial"/>
          <w:lang w:eastAsia="fr-FR"/>
        </w:rPr>
      </w:pPr>
      <w:r w:rsidRPr="005A0C0C">
        <w:rPr>
          <w:rFonts w:ascii="Arial" w:hAnsi="Arial" w:cs="Arial"/>
          <w:lang w:eastAsia="fr-FR"/>
        </w:rPr>
        <w:t>Il soutient les Programmes d’action nationaux d’adaptation aux changements climatiques (PANA), les études, plans et stratégies nationaux pertinents. A ce titre, le Burkina Faso a bénéficié du financement du Projet de Gestion. Le Projet de Gestion Participative des Forêts Classées (PGPFC/REDD+) financé par la Banque Africaine de Développement et du Projet de Gestion Décentralisée des Forêts et des Espaces Boisés (PGDFEB) cofinancé par la Banque Mondiale et l’Union Européenne.</w:t>
      </w:r>
    </w:p>
    <w:p w:rsidR="00D923B6" w:rsidRPr="003A6840" w:rsidRDefault="00D923B6" w:rsidP="00AC52A0">
      <w:pPr>
        <w:pStyle w:val="Default"/>
        <w:spacing w:before="120" w:after="120"/>
        <w:jc w:val="both"/>
        <w:rPr>
          <w:color w:val="auto"/>
        </w:rPr>
      </w:pPr>
      <w:r w:rsidRPr="003A6840">
        <w:rPr>
          <w:color w:val="auto"/>
          <w:sz w:val="22"/>
          <w:szCs w:val="22"/>
          <w:lang w:eastAsia="en-US"/>
        </w:rPr>
        <w:t xml:space="preserve">Le </w:t>
      </w:r>
      <w:r w:rsidR="00A03926">
        <w:rPr>
          <w:color w:val="auto"/>
          <w:sz w:val="22"/>
          <w:szCs w:val="22"/>
          <w:lang w:eastAsia="en-US"/>
        </w:rPr>
        <w:t xml:space="preserve">premier </w:t>
      </w:r>
      <w:r w:rsidR="00DA2A39">
        <w:rPr>
          <w:color w:val="auto"/>
          <w:sz w:val="22"/>
          <w:szCs w:val="22"/>
          <w:lang w:eastAsia="en-US"/>
        </w:rPr>
        <w:t xml:space="preserve">projet </w:t>
      </w:r>
      <w:r w:rsidR="00A03926">
        <w:rPr>
          <w:color w:val="auto"/>
          <w:sz w:val="22"/>
          <w:szCs w:val="22"/>
          <w:lang w:eastAsia="en-US"/>
        </w:rPr>
        <w:t xml:space="preserve">financé </w:t>
      </w:r>
      <w:r w:rsidR="00DA2A39">
        <w:rPr>
          <w:color w:val="auto"/>
          <w:sz w:val="22"/>
          <w:szCs w:val="22"/>
          <w:lang w:eastAsia="en-US"/>
        </w:rPr>
        <w:t xml:space="preserve">au </w:t>
      </w:r>
      <w:r w:rsidR="00A03926" w:rsidRPr="003A6840">
        <w:rPr>
          <w:color w:val="auto"/>
          <w:sz w:val="22"/>
          <w:szCs w:val="22"/>
          <w:lang w:eastAsia="en-US"/>
        </w:rPr>
        <w:t xml:space="preserve">Burkina Faso </w:t>
      </w:r>
      <w:r w:rsidR="00A03926">
        <w:rPr>
          <w:color w:val="auto"/>
          <w:sz w:val="22"/>
          <w:szCs w:val="22"/>
          <w:lang w:eastAsia="en-US"/>
        </w:rPr>
        <w:t xml:space="preserve">à travers le </w:t>
      </w:r>
      <w:r w:rsidR="00A03926" w:rsidRPr="00A03926">
        <w:rPr>
          <w:color w:val="auto"/>
          <w:sz w:val="22"/>
          <w:szCs w:val="22"/>
          <w:lang w:eastAsia="en-US"/>
        </w:rPr>
        <w:t xml:space="preserve">fonds d’investissement climatique </w:t>
      </w:r>
      <w:r w:rsidR="00A03926">
        <w:rPr>
          <w:color w:val="auto"/>
          <w:sz w:val="22"/>
          <w:szCs w:val="22"/>
          <w:lang w:eastAsia="en-US"/>
        </w:rPr>
        <w:t xml:space="preserve">est le </w:t>
      </w:r>
      <w:r w:rsidRPr="003A6840">
        <w:rPr>
          <w:color w:val="auto"/>
          <w:sz w:val="22"/>
          <w:szCs w:val="22"/>
          <w:lang w:eastAsia="en-US"/>
        </w:rPr>
        <w:t>Programme d’action national d’adaptation</w:t>
      </w:r>
      <w:r w:rsidR="00DA2A39">
        <w:rPr>
          <w:color w:val="auto"/>
          <w:sz w:val="22"/>
          <w:szCs w:val="22"/>
          <w:lang w:eastAsia="en-US"/>
        </w:rPr>
        <w:t xml:space="preserve"> (PANA)</w:t>
      </w:r>
      <w:r w:rsidRPr="003A6840">
        <w:rPr>
          <w:color w:val="auto"/>
          <w:sz w:val="22"/>
          <w:szCs w:val="22"/>
          <w:lang w:eastAsia="en-US"/>
        </w:rPr>
        <w:t xml:space="preserve"> </w:t>
      </w:r>
      <w:r w:rsidR="00DA2A39">
        <w:rPr>
          <w:color w:val="auto"/>
          <w:sz w:val="22"/>
          <w:szCs w:val="22"/>
          <w:lang w:eastAsia="en-US"/>
        </w:rPr>
        <w:t>2009 -</w:t>
      </w:r>
      <w:r w:rsidRPr="003A6840">
        <w:rPr>
          <w:color w:val="auto"/>
          <w:sz w:val="22"/>
          <w:szCs w:val="22"/>
          <w:lang w:eastAsia="en-US"/>
        </w:rPr>
        <w:t xml:space="preserve">2014. </w:t>
      </w:r>
    </w:p>
    <w:p w:rsidR="00D923B6" w:rsidRPr="003A6840" w:rsidRDefault="00550DAD" w:rsidP="00D923B6">
      <w:pPr>
        <w:spacing w:before="120" w:after="120"/>
        <w:jc w:val="both"/>
        <w:rPr>
          <w:rFonts w:ascii="Arial" w:hAnsi="Arial" w:cs="Arial"/>
        </w:rPr>
      </w:pPr>
      <w:r>
        <w:rPr>
          <w:rFonts w:ascii="Arial" w:hAnsi="Arial" w:cs="Arial"/>
        </w:rPr>
        <w:t>Se</w:t>
      </w:r>
      <w:r w:rsidR="00D923B6" w:rsidRPr="003A6840">
        <w:rPr>
          <w:rFonts w:ascii="Arial" w:hAnsi="Arial" w:cs="Arial"/>
        </w:rPr>
        <w:t xml:space="preserve"> fondant sur les leçons tirées de la mise en œuvre du PANA le Burkina Faso à procéder à l’élaboration du Plan National d’adaptation aux changements climatiques (PNA) conformément à la Décision 5/CP.17 de la CCNUCC. </w:t>
      </w:r>
    </w:p>
    <w:p w:rsidR="00D923B6" w:rsidRDefault="00D923B6" w:rsidP="00D923B6">
      <w:pPr>
        <w:pStyle w:val="Default"/>
        <w:spacing w:before="120" w:after="120"/>
        <w:jc w:val="both"/>
        <w:rPr>
          <w:color w:val="auto"/>
          <w:sz w:val="22"/>
          <w:szCs w:val="22"/>
          <w:lang w:eastAsia="en-US"/>
        </w:rPr>
      </w:pPr>
      <w:r w:rsidRPr="003A6840">
        <w:rPr>
          <w:color w:val="auto"/>
          <w:sz w:val="22"/>
          <w:szCs w:val="22"/>
          <w:lang w:eastAsia="en-US"/>
        </w:rPr>
        <w:t xml:space="preserve">L’objectif du PNA est de réduire la vulnérabilité aux changements climatiques et de faciliter l’intégration de l’adaptation aux changements climatiques. Le coût global estimé du PNA à court, moyen et long termes (1 à 15 ans) est de 3853,75 milliards de francs CFA. Il résulte de la ventilation sectorielle que l’agriculture occupe la première place (1313 milliards de FCFA) suivie de l’énergie (1126 milliards FCFA). </w:t>
      </w:r>
    </w:p>
    <w:p w:rsidR="005562C7" w:rsidRDefault="005562C7" w:rsidP="00D923B6">
      <w:pPr>
        <w:pStyle w:val="Default"/>
        <w:spacing w:before="120" w:after="120"/>
        <w:jc w:val="both"/>
        <w:rPr>
          <w:color w:val="auto"/>
          <w:sz w:val="22"/>
          <w:szCs w:val="22"/>
          <w:lang w:eastAsia="en-US"/>
        </w:rPr>
      </w:pPr>
    </w:p>
    <w:p w:rsidR="00BB405E" w:rsidRPr="005A0C0C" w:rsidRDefault="00F13B21" w:rsidP="008D7758">
      <w:pPr>
        <w:numPr>
          <w:ilvl w:val="0"/>
          <w:numId w:val="110"/>
        </w:numPr>
        <w:autoSpaceDE w:val="0"/>
        <w:autoSpaceDN w:val="0"/>
        <w:adjustRightInd w:val="0"/>
        <w:spacing w:before="120" w:after="120" w:line="240" w:lineRule="auto"/>
        <w:jc w:val="both"/>
        <w:rPr>
          <w:rFonts w:asciiTheme="majorHAnsi" w:hAnsiTheme="majorHAnsi" w:cs="Arial"/>
          <w:b/>
          <w:sz w:val="24"/>
          <w:szCs w:val="24"/>
          <w:lang w:eastAsia="fr-FR"/>
        </w:rPr>
      </w:pPr>
      <w:r w:rsidRPr="005A0C0C">
        <w:rPr>
          <w:rFonts w:asciiTheme="majorHAnsi" w:hAnsiTheme="majorHAnsi" w:cs="Arial"/>
          <w:b/>
          <w:sz w:val="24"/>
          <w:szCs w:val="24"/>
          <w:lang w:eastAsia="fr-FR"/>
        </w:rPr>
        <w:t>1.4.2.</w:t>
      </w:r>
      <w:r w:rsidR="003A6840">
        <w:rPr>
          <w:rFonts w:asciiTheme="majorHAnsi" w:hAnsiTheme="majorHAnsi" w:cs="Arial"/>
          <w:b/>
          <w:sz w:val="24"/>
          <w:szCs w:val="24"/>
          <w:lang w:eastAsia="fr-FR"/>
        </w:rPr>
        <w:t>4</w:t>
      </w:r>
      <w:r w:rsidRPr="005A0C0C">
        <w:rPr>
          <w:rFonts w:asciiTheme="majorHAnsi" w:hAnsiTheme="majorHAnsi" w:cs="Arial"/>
          <w:b/>
          <w:sz w:val="24"/>
          <w:szCs w:val="24"/>
          <w:lang w:eastAsia="fr-FR"/>
        </w:rPr>
        <w:t xml:space="preserve"> </w:t>
      </w:r>
      <w:r w:rsidR="00BE55C0" w:rsidRPr="005A0C0C">
        <w:rPr>
          <w:rFonts w:asciiTheme="majorHAnsi" w:hAnsiTheme="majorHAnsi" w:cs="Arial"/>
          <w:b/>
          <w:sz w:val="24"/>
          <w:szCs w:val="24"/>
          <w:lang w:eastAsia="fr-FR"/>
        </w:rPr>
        <w:t>L</w:t>
      </w:r>
      <w:r w:rsidR="00BB405E" w:rsidRPr="005A0C0C">
        <w:rPr>
          <w:rFonts w:asciiTheme="majorHAnsi" w:hAnsiTheme="majorHAnsi" w:cs="Arial"/>
          <w:b/>
          <w:sz w:val="24"/>
          <w:szCs w:val="24"/>
          <w:lang w:eastAsia="fr-FR"/>
        </w:rPr>
        <w:t xml:space="preserve">e fonds vert pour le climat </w:t>
      </w:r>
      <w:r w:rsidR="00872D1A">
        <w:rPr>
          <w:rFonts w:asciiTheme="majorHAnsi" w:hAnsiTheme="majorHAnsi" w:cs="Arial"/>
          <w:b/>
          <w:sz w:val="24"/>
          <w:szCs w:val="24"/>
          <w:lang w:eastAsia="fr-FR"/>
        </w:rPr>
        <w:t>(FVC)</w:t>
      </w:r>
    </w:p>
    <w:p w:rsidR="00BB405E" w:rsidRPr="003A6840" w:rsidRDefault="00BB405E" w:rsidP="00BB405E">
      <w:pPr>
        <w:spacing w:after="160" w:line="259" w:lineRule="auto"/>
        <w:jc w:val="both"/>
        <w:rPr>
          <w:rFonts w:ascii="Arial" w:hAnsi="Arial" w:cs="Arial"/>
        </w:rPr>
      </w:pPr>
      <w:r w:rsidRPr="003A6840">
        <w:rPr>
          <w:rFonts w:ascii="Arial" w:hAnsi="Arial" w:cs="Arial"/>
        </w:rPr>
        <w:t>Le</w:t>
      </w:r>
      <w:r w:rsidR="00872D1A">
        <w:rPr>
          <w:rFonts w:ascii="Arial" w:hAnsi="Arial" w:cs="Arial"/>
        </w:rPr>
        <w:t xml:space="preserve"> FVC finance différents projets</w:t>
      </w:r>
      <w:r w:rsidRPr="003A6840">
        <w:rPr>
          <w:rFonts w:ascii="Arial" w:hAnsi="Arial" w:cs="Arial"/>
        </w:rPr>
        <w:t xml:space="preserve"> avec pour objectif de diminuer les émissions de </w:t>
      </w:r>
      <w:hyperlink r:id="rId41" w:tooltip="Gaz à effet de serre" w:history="1">
        <w:r w:rsidRPr="003A6840">
          <w:rPr>
            <w:rFonts w:ascii="Arial" w:hAnsi="Arial" w:cs="Arial"/>
          </w:rPr>
          <w:t>gaz à effet de serre</w:t>
        </w:r>
      </w:hyperlink>
      <w:r w:rsidRPr="003A6840">
        <w:rPr>
          <w:rFonts w:ascii="Arial" w:hAnsi="Arial" w:cs="Arial"/>
        </w:rPr>
        <w:t xml:space="preserve">, de lutter contre la </w:t>
      </w:r>
      <w:hyperlink r:id="rId42" w:tooltip="Déforestation" w:history="1">
        <w:r w:rsidRPr="003A6840">
          <w:rPr>
            <w:rFonts w:ascii="Arial" w:hAnsi="Arial" w:cs="Arial"/>
          </w:rPr>
          <w:t>déforestation</w:t>
        </w:r>
      </w:hyperlink>
      <w:r w:rsidRPr="003A6840">
        <w:rPr>
          <w:rFonts w:ascii="Arial" w:hAnsi="Arial" w:cs="Arial"/>
        </w:rPr>
        <w:t xml:space="preserve"> et de prendre des mesures d'adaptation aux conséquences du réchauffement climatique. Les ressources sont ainsi transférées des pays les plus avancés vers les pays les plus vulnérables en priorité les pays en développement.</w:t>
      </w:r>
    </w:p>
    <w:p w:rsidR="00BB405E" w:rsidRPr="003A6840" w:rsidRDefault="00BB405E" w:rsidP="00BB405E">
      <w:pPr>
        <w:spacing w:after="160" w:line="259" w:lineRule="auto"/>
        <w:jc w:val="both"/>
        <w:rPr>
          <w:rFonts w:ascii="Arial" w:hAnsi="Arial" w:cs="Arial"/>
        </w:rPr>
      </w:pPr>
      <w:r w:rsidRPr="003A6840">
        <w:rPr>
          <w:rFonts w:ascii="Arial" w:hAnsi="Arial" w:cs="Arial"/>
        </w:rPr>
        <w:t>L’accès aux ressources du FVC se fait à travers des entités accréditées selon un processus en plusieurs phases comprenant : (i) la désignation d’entités accréditées à travers le point focal du gouvernement ou l’autorité nationale désignée, (ii) la préparation et la soumission du dossier de candidature de l’entité accrédité par le point focal, (iii) l’évaluation des capacités institutionnelles de l’entité, (iv) la décision du Conseil, (v) la soumission par l’entité accréditée des projets et programmes pour financement  du FVC.</w:t>
      </w:r>
    </w:p>
    <w:p w:rsidR="00EC1B72" w:rsidRPr="009512E0" w:rsidRDefault="000E6F30" w:rsidP="008D7758">
      <w:pPr>
        <w:numPr>
          <w:ilvl w:val="0"/>
          <w:numId w:val="132"/>
        </w:numPr>
        <w:autoSpaceDE w:val="0"/>
        <w:autoSpaceDN w:val="0"/>
        <w:adjustRightInd w:val="0"/>
        <w:spacing w:before="120" w:after="0" w:line="240" w:lineRule="auto"/>
        <w:ind w:hanging="357"/>
        <w:contextualSpacing/>
        <w:jc w:val="both"/>
        <w:rPr>
          <w:rFonts w:ascii="Arial" w:hAnsi="Arial" w:cs="Arial"/>
          <w:b/>
        </w:rPr>
      </w:pPr>
      <w:r w:rsidRPr="009512E0">
        <w:rPr>
          <w:rFonts w:ascii="Arial" w:hAnsi="Arial" w:cs="Arial"/>
          <w:color w:val="00B0F0"/>
        </w:rPr>
        <w:t>.</w:t>
      </w:r>
      <w:r w:rsidR="00EC1B72" w:rsidRPr="009512E0">
        <w:rPr>
          <w:rFonts w:ascii="Arial" w:hAnsi="Arial" w:cs="Arial"/>
          <w:b/>
        </w:rPr>
        <w:t>Défis majeurs</w:t>
      </w:r>
    </w:p>
    <w:p w:rsidR="00EC1B72" w:rsidRPr="009512E0" w:rsidRDefault="00EC1B72" w:rsidP="00EC1B72">
      <w:pPr>
        <w:tabs>
          <w:tab w:val="left" w:pos="540"/>
        </w:tabs>
        <w:ind w:left="720"/>
        <w:contextualSpacing/>
        <w:jc w:val="both"/>
        <w:rPr>
          <w:rFonts w:ascii="Arial" w:hAnsi="Arial" w:cs="Arial"/>
        </w:rPr>
      </w:pPr>
    </w:p>
    <w:p w:rsidR="00EC1B72" w:rsidRPr="009512E0" w:rsidRDefault="00EC1B72" w:rsidP="00EC1B72">
      <w:pPr>
        <w:tabs>
          <w:tab w:val="left" w:pos="540"/>
        </w:tabs>
        <w:jc w:val="both"/>
        <w:rPr>
          <w:rFonts w:ascii="Arial" w:hAnsi="Arial" w:cs="Arial"/>
        </w:rPr>
      </w:pPr>
      <w:r w:rsidRPr="009512E0">
        <w:rPr>
          <w:rFonts w:ascii="Arial" w:hAnsi="Arial" w:cs="Arial"/>
        </w:rPr>
        <w:t xml:space="preserve">En dépit de la prise de conscience des changements climatiques, les financements demeurent insuffisamment mobilisés, inaccessibles et insuffisants pour couvrir la totalité des besoins. </w:t>
      </w:r>
    </w:p>
    <w:p w:rsidR="00EC1B72" w:rsidRPr="009512E0" w:rsidRDefault="00EC1B72" w:rsidP="00EC1B72">
      <w:pPr>
        <w:tabs>
          <w:tab w:val="left" w:pos="540"/>
        </w:tabs>
        <w:jc w:val="both"/>
        <w:rPr>
          <w:rFonts w:ascii="Arial" w:hAnsi="Arial" w:cs="Arial"/>
        </w:rPr>
      </w:pPr>
      <w:r w:rsidRPr="009512E0">
        <w:rPr>
          <w:rFonts w:ascii="Arial" w:hAnsi="Arial" w:cs="Arial"/>
        </w:rPr>
        <w:lastRenderedPageBreak/>
        <w:t xml:space="preserve">Les enjeux ou défis pour le Burkina Faso dans la mise en œuvre du PNDES, par le recours au Fonds Vert Climat (FVC),  demeurent: </w:t>
      </w:r>
    </w:p>
    <w:p w:rsidR="00EC1B72" w:rsidRPr="009512E0" w:rsidRDefault="00EC1B72" w:rsidP="00B92B11">
      <w:pPr>
        <w:pStyle w:val="Paragraphedeliste"/>
        <w:numPr>
          <w:ilvl w:val="0"/>
          <w:numId w:val="105"/>
        </w:numPr>
        <w:tabs>
          <w:tab w:val="left" w:pos="540"/>
        </w:tabs>
        <w:spacing w:after="0" w:line="240" w:lineRule="auto"/>
        <w:jc w:val="both"/>
        <w:rPr>
          <w:rFonts w:ascii="Arial" w:hAnsi="Arial" w:cs="Arial"/>
        </w:rPr>
      </w:pPr>
      <w:r w:rsidRPr="009512E0">
        <w:rPr>
          <w:rFonts w:ascii="Arial" w:hAnsi="Arial" w:cs="Arial"/>
        </w:rPr>
        <w:t>L’amélioration des capacités nationales à accéder aux ressources du FVC;</w:t>
      </w:r>
    </w:p>
    <w:p w:rsidR="00EC1B72" w:rsidRPr="009512E0" w:rsidRDefault="00EC1B72" w:rsidP="00B92B11">
      <w:pPr>
        <w:pStyle w:val="Paragraphedeliste"/>
        <w:numPr>
          <w:ilvl w:val="0"/>
          <w:numId w:val="105"/>
        </w:numPr>
        <w:tabs>
          <w:tab w:val="left" w:pos="540"/>
        </w:tabs>
        <w:spacing w:after="0" w:line="240" w:lineRule="auto"/>
        <w:jc w:val="both"/>
        <w:rPr>
          <w:rFonts w:ascii="Arial" w:hAnsi="Arial" w:cs="Arial"/>
        </w:rPr>
      </w:pPr>
      <w:r w:rsidRPr="009512E0">
        <w:rPr>
          <w:rFonts w:ascii="Arial" w:hAnsi="Arial" w:cs="Arial"/>
        </w:rPr>
        <w:t>Le renforcement des capacités institutionnelles;</w:t>
      </w:r>
    </w:p>
    <w:p w:rsidR="00EC1B72" w:rsidRPr="009512E0" w:rsidRDefault="00EC1B72" w:rsidP="00B92B11">
      <w:pPr>
        <w:pStyle w:val="Paragraphedeliste"/>
        <w:numPr>
          <w:ilvl w:val="0"/>
          <w:numId w:val="105"/>
        </w:numPr>
        <w:tabs>
          <w:tab w:val="left" w:pos="540"/>
        </w:tabs>
        <w:spacing w:after="0" w:line="240" w:lineRule="auto"/>
        <w:jc w:val="both"/>
        <w:rPr>
          <w:rFonts w:ascii="Arial" w:hAnsi="Arial" w:cs="Arial"/>
        </w:rPr>
      </w:pPr>
      <w:r w:rsidRPr="009512E0">
        <w:rPr>
          <w:rFonts w:ascii="Arial" w:hAnsi="Arial" w:cs="Arial"/>
        </w:rPr>
        <w:t>L’optimisation des ressources mobilisées;</w:t>
      </w:r>
    </w:p>
    <w:p w:rsidR="00EC1B72" w:rsidRPr="009512E0" w:rsidRDefault="00EC1B72" w:rsidP="00B92B11">
      <w:pPr>
        <w:pStyle w:val="Paragraphedeliste"/>
        <w:numPr>
          <w:ilvl w:val="0"/>
          <w:numId w:val="87"/>
        </w:numPr>
        <w:tabs>
          <w:tab w:val="left" w:pos="540"/>
        </w:tabs>
        <w:spacing w:after="0" w:line="240" w:lineRule="auto"/>
        <w:ind w:left="360"/>
        <w:jc w:val="both"/>
        <w:rPr>
          <w:rFonts w:ascii="Arial" w:hAnsi="Arial" w:cs="Arial"/>
        </w:rPr>
      </w:pPr>
      <w:r w:rsidRPr="009512E0">
        <w:rPr>
          <w:rFonts w:ascii="Arial" w:hAnsi="Arial" w:cs="Arial"/>
        </w:rPr>
        <w:t>La coordination des opérations des différentes entités accréditées par un suivi régulier de leur rôle et responsabilité dans la préparation de projets, le respect de l’appropriation par le pays, l’instruction, la structuration, la supervision et le suivi/évaluation des projets ;</w:t>
      </w:r>
    </w:p>
    <w:p w:rsidR="00EC1B72" w:rsidRPr="009512E0" w:rsidRDefault="00EC1B72" w:rsidP="00B92B11">
      <w:pPr>
        <w:pStyle w:val="Paragraphedeliste"/>
        <w:numPr>
          <w:ilvl w:val="0"/>
          <w:numId w:val="87"/>
        </w:numPr>
        <w:tabs>
          <w:tab w:val="left" w:pos="540"/>
        </w:tabs>
        <w:spacing w:after="0" w:line="240" w:lineRule="auto"/>
        <w:ind w:left="360"/>
        <w:jc w:val="both"/>
        <w:rPr>
          <w:rFonts w:ascii="Arial" w:hAnsi="Arial" w:cs="Arial"/>
        </w:rPr>
      </w:pPr>
      <w:r w:rsidRPr="009512E0">
        <w:rPr>
          <w:rFonts w:ascii="Arial" w:hAnsi="Arial" w:cs="Arial"/>
        </w:rPr>
        <w:t>L’utilisation du fonds de préparation des projets (le plafond est de 1 million de dollars par an et par pays avec un minimum de 50% des ressources de préparation aux PMA, PIED et Etat africains) afin de mieux formuler les projets et programmes ;</w:t>
      </w:r>
    </w:p>
    <w:p w:rsidR="00EC1B72" w:rsidRPr="009512E0" w:rsidRDefault="00EC1B72" w:rsidP="00B92B11">
      <w:pPr>
        <w:pStyle w:val="Paragraphedeliste"/>
        <w:numPr>
          <w:ilvl w:val="0"/>
          <w:numId w:val="87"/>
        </w:numPr>
        <w:tabs>
          <w:tab w:val="left" w:pos="540"/>
        </w:tabs>
        <w:spacing w:after="0" w:line="240" w:lineRule="auto"/>
        <w:ind w:left="567" w:hanging="207"/>
        <w:jc w:val="both"/>
        <w:rPr>
          <w:rFonts w:ascii="Arial" w:hAnsi="Arial" w:cs="Arial"/>
        </w:rPr>
      </w:pPr>
      <w:r w:rsidRPr="009512E0">
        <w:rPr>
          <w:rFonts w:ascii="Arial" w:hAnsi="Arial" w:cs="Arial"/>
        </w:rPr>
        <w:t>Le respect des conditions d’accréditation;</w:t>
      </w:r>
    </w:p>
    <w:p w:rsidR="00EC1B72" w:rsidRPr="009512E0" w:rsidRDefault="00EC1B72" w:rsidP="00B92B11">
      <w:pPr>
        <w:pStyle w:val="Paragraphedeliste"/>
        <w:numPr>
          <w:ilvl w:val="0"/>
          <w:numId w:val="88"/>
        </w:numPr>
        <w:tabs>
          <w:tab w:val="left" w:pos="540"/>
        </w:tabs>
        <w:spacing w:after="0" w:line="240" w:lineRule="auto"/>
        <w:jc w:val="both"/>
        <w:rPr>
          <w:rFonts w:ascii="Arial" w:hAnsi="Arial" w:cs="Arial"/>
        </w:rPr>
      </w:pPr>
      <w:r w:rsidRPr="009512E0">
        <w:rPr>
          <w:rFonts w:ascii="Arial" w:hAnsi="Arial" w:cs="Arial"/>
        </w:rPr>
        <w:t>L’exploitation du mécanisme de «l’accréditation accélérée» par l’accréditation de certaines entités aux: (i) Fonds pour l’Environnement Mondial (FEM), (ii) Fonds pour l’Adaptation (FA), (iii) la Direction générale de la coopération internationale et du développement EuropeAid de la Commission européenne (EU-DEVCO) ;</w:t>
      </w:r>
    </w:p>
    <w:p w:rsidR="00EC1B72" w:rsidRPr="009512E0" w:rsidRDefault="00EC1B72" w:rsidP="00B92B11">
      <w:pPr>
        <w:pStyle w:val="Paragraphedeliste"/>
        <w:numPr>
          <w:ilvl w:val="0"/>
          <w:numId w:val="88"/>
        </w:numPr>
        <w:tabs>
          <w:tab w:val="left" w:pos="540"/>
        </w:tabs>
        <w:spacing w:after="0" w:line="240" w:lineRule="auto"/>
        <w:jc w:val="both"/>
        <w:rPr>
          <w:rFonts w:ascii="Arial" w:hAnsi="Arial" w:cs="Arial"/>
        </w:rPr>
      </w:pPr>
      <w:r w:rsidRPr="009512E0">
        <w:rPr>
          <w:rFonts w:ascii="Arial" w:hAnsi="Arial" w:cs="Arial"/>
        </w:rPr>
        <w:t>La sensibilisation des institutions, y compris les organisations internationales, régionales, nationales à postuler à l’accréditation ;</w:t>
      </w:r>
    </w:p>
    <w:p w:rsidR="00EC1B72" w:rsidRPr="009512E0" w:rsidRDefault="00EC1B72" w:rsidP="00B92B11">
      <w:pPr>
        <w:pStyle w:val="Paragraphedeliste"/>
        <w:numPr>
          <w:ilvl w:val="0"/>
          <w:numId w:val="88"/>
        </w:numPr>
        <w:spacing w:after="0" w:line="240" w:lineRule="auto"/>
        <w:rPr>
          <w:rFonts w:ascii="Arial" w:hAnsi="Arial" w:cs="Arial"/>
        </w:rPr>
      </w:pPr>
      <w:r w:rsidRPr="009512E0">
        <w:rPr>
          <w:rFonts w:ascii="Arial" w:hAnsi="Arial" w:cs="Arial"/>
        </w:rPr>
        <w:t>La possibilité de réorienter les flux financiers actuels du climat vers des investissements « verts "</w:t>
      </w:r>
    </w:p>
    <w:p w:rsidR="00EC1B72" w:rsidRPr="009512E0" w:rsidRDefault="00EC1B72" w:rsidP="00EC1B72">
      <w:pPr>
        <w:tabs>
          <w:tab w:val="left" w:pos="540"/>
        </w:tabs>
        <w:jc w:val="both"/>
        <w:rPr>
          <w:rFonts w:ascii="Arial" w:hAnsi="Arial" w:cs="Arial"/>
        </w:rPr>
      </w:pPr>
    </w:p>
    <w:p w:rsidR="00EC1B72" w:rsidRPr="002B4C0A" w:rsidRDefault="00EC1B72" w:rsidP="00EC1B72">
      <w:pPr>
        <w:tabs>
          <w:tab w:val="left" w:pos="2070"/>
        </w:tabs>
        <w:jc w:val="both"/>
        <w:rPr>
          <w:rFonts w:ascii="Arial" w:hAnsi="Arial" w:cs="Arial"/>
          <w:b/>
        </w:rPr>
      </w:pPr>
    </w:p>
    <w:p w:rsidR="00EC1B72" w:rsidRPr="009016A3" w:rsidRDefault="00EC1B72" w:rsidP="009016A3">
      <w:pPr>
        <w:pStyle w:val="Titre1"/>
        <w:jc w:val="center"/>
        <w:rPr>
          <w:lang w:eastAsia="fr-FR"/>
        </w:rPr>
      </w:pPr>
      <w:r w:rsidRPr="002B4C0A">
        <w:rPr>
          <w:rFonts w:ascii="Arial" w:hAnsi="Arial"/>
        </w:rPr>
        <w:br w:type="page"/>
      </w:r>
      <w:bookmarkStart w:id="666" w:name="_Toc482270568"/>
      <w:bookmarkStart w:id="667" w:name="_Toc482270643"/>
      <w:bookmarkStart w:id="668" w:name="_Toc482270680"/>
      <w:bookmarkStart w:id="669" w:name="_Toc482271107"/>
      <w:bookmarkStart w:id="670" w:name="_Toc492972259"/>
      <w:r w:rsidRPr="009016A3">
        <w:rPr>
          <w:lang w:eastAsia="fr-FR"/>
        </w:rPr>
        <w:lastRenderedPageBreak/>
        <w:t>Chapitre 3 : Perspectives et recommandations pour un financement efficace du PNDES</w:t>
      </w:r>
      <w:bookmarkEnd w:id="666"/>
      <w:bookmarkEnd w:id="667"/>
      <w:bookmarkEnd w:id="668"/>
      <w:bookmarkEnd w:id="669"/>
      <w:bookmarkEnd w:id="670"/>
    </w:p>
    <w:p w:rsidR="00EC1B72" w:rsidRPr="002B4C0A" w:rsidRDefault="00EC1B72" w:rsidP="00EC1B72">
      <w:pPr>
        <w:spacing w:after="60"/>
        <w:jc w:val="both"/>
        <w:rPr>
          <w:rFonts w:ascii="Arial" w:hAnsi="Arial" w:cs="Arial"/>
        </w:rPr>
      </w:pPr>
      <w:r w:rsidRPr="002B4C0A">
        <w:rPr>
          <w:rFonts w:ascii="Arial" w:hAnsi="Arial" w:cs="Arial"/>
        </w:rPr>
        <w:t>La mobilisation</w:t>
      </w:r>
      <w:r>
        <w:rPr>
          <w:rFonts w:ascii="Arial" w:hAnsi="Arial" w:cs="Arial"/>
        </w:rPr>
        <w:t xml:space="preserve"> </w:t>
      </w:r>
      <w:r w:rsidRPr="002B4C0A">
        <w:rPr>
          <w:rFonts w:ascii="Arial" w:hAnsi="Arial" w:cs="Arial"/>
        </w:rPr>
        <w:t>des ressources nécessaires pour la réalisation des objectifs du PNDES reste un défi majeur du Gouvernement.</w:t>
      </w:r>
      <w:r>
        <w:rPr>
          <w:rFonts w:ascii="Arial" w:hAnsi="Arial" w:cs="Arial"/>
        </w:rPr>
        <w:t xml:space="preserve"> </w:t>
      </w:r>
      <w:r w:rsidRPr="002B4C0A">
        <w:rPr>
          <w:rFonts w:ascii="Arial" w:hAnsi="Arial" w:cs="Arial"/>
        </w:rPr>
        <w:t xml:space="preserve">L’atteinte de ces objectifs repose surtout sur les capacités et ressources internes, mais également sur celles issues des partenaires au développement. A ce titre, les efforts du Gouvernement et des partenaires au développement devraient se poursuivre et s’accentuer au cours de la mise en œuvre du PNDES. </w:t>
      </w:r>
    </w:p>
    <w:p w:rsidR="00EC1B72" w:rsidRPr="00E57D12" w:rsidRDefault="00EC1B72" w:rsidP="008D7758">
      <w:pPr>
        <w:pStyle w:val="Titre2"/>
        <w:numPr>
          <w:ilvl w:val="0"/>
          <w:numId w:val="150"/>
        </w:numPr>
        <w:tabs>
          <w:tab w:val="left" w:pos="993"/>
        </w:tabs>
        <w:ind w:left="709"/>
      </w:pPr>
      <w:bookmarkStart w:id="671" w:name="_Toc492972260"/>
      <w:bookmarkStart w:id="672" w:name="_Toc482270569"/>
      <w:bookmarkStart w:id="673" w:name="_Toc482270644"/>
      <w:bookmarkStart w:id="674" w:name="_Toc482270681"/>
      <w:bookmarkStart w:id="675" w:name="_Toc482271108"/>
      <w:r w:rsidRPr="00E57D12">
        <w:t>Perspectives pour un financement efficace du PNDES</w:t>
      </w:r>
      <w:bookmarkEnd w:id="671"/>
      <w:r w:rsidRPr="00E57D12">
        <w:t xml:space="preserve">  </w:t>
      </w:r>
      <w:bookmarkEnd w:id="672"/>
      <w:bookmarkEnd w:id="673"/>
      <w:bookmarkEnd w:id="674"/>
      <w:bookmarkEnd w:id="675"/>
    </w:p>
    <w:p w:rsidR="00EC1B72" w:rsidRPr="002B4C0A" w:rsidRDefault="00EC1B72" w:rsidP="00EC1B72">
      <w:pPr>
        <w:jc w:val="both"/>
        <w:rPr>
          <w:rFonts w:ascii="Arial" w:hAnsi="Arial" w:cs="Arial"/>
          <w:kern w:val="24"/>
        </w:rPr>
      </w:pPr>
      <w:r w:rsidRPr="002B4C0A">
        <w:rPr>
          <w:rFonts w:ascii="Arial" w:hAnsi="Arial" w:cs="Arial"/>
          <w:kern w:val="24"/>
        </w:rPr>
        <w:t xml:space="preserve">Les perspectives </w:t>
      </w:r>
      <w:r>
        <w:rPr>
          <w:rFonts w:ascii="Arial" w:hAnsi="Arial" w:cs="Arial"/>
          <w:kern w:val="24"/>
        </w:rPr>
        <w:t>pour</w:t>
      </w:r>
      <w:r w:rsidRPr="002B4C0A">
        <w:rPr>
          <w:rFonts w:ascii="Arial" w:hAnsi="Arial" w:cs="Arial"/>
          <w:kern w:val="24"/>
        </w:rPr>
        <w:t xml:space="preserve"> le financement du PNDES résident dans les actions à entreprendre vis-à-vis des initiatives international</w:t>
      </w:r>
      <w:r>
        <w:rPr>
          <w:rFonts w:ascii="Arial" w:hAnsi="Arial" w:cs="Arial"/>
          <w:kern w:val="24"/>
        </w:rPr>
        <w:t>es</w:t>
      </w:r>
      <w:r w:rsidRPr="002B4C0A">
        <w:rPr>
          <w:rFonts w:ascii="Arial" w:hAnsi="Arial" w:cs="Arial"/>
          <w:kern w:val="24"/>
        </w:rPr>
        <w:t xml:space="preserve"> </w:t>
      </w:r>
      <w:r>
        <w:rPr>
          <w:rFonts w:ascii="Arial" w:hAnsi="Arial" w:cs="Arial"/>
          <w:kern w:val="24"/>
        </w:rPr>
        <w:t xml:space="preserve">et </w:t>
      </w:r>
      <w:r w:rsidRPr="002B4C0A">
        <w:rPr>
          <w:rFonts w:ascii="Arial" w:hAnsi="Arial" w:cs="Arial"/>
          <w:kern w:val="24"/>
        </w:rPr>
        <w:t>national</w:t>
      </w:r>
      <w:r>
        <w:rPr>
          <w:rFonts w:ascii="Arial" w:hAnsi="Arial" w:cs="Arial"/>
          <w:kern w:val="24"/>
        </w:rPr>
        <w:t>es à cet effet</w:t>
      </w:r>
      <w:r w:rsidRPr="002B4C0A">
        <w:rPr>
          <w:rFonts w:ascii="Arial" w:hAnsi="Arial" w:cs="Arial"/>
          <w:kern w:val="24"/>
        </w:rPr>
        <w:t xml:space="preserve">. </w:t>
      </w:r>
    </w:p>
    <w:p w:rsidR="00EC1B72" w:rsidRPr="00E57D12" w:rsidRDefault="00EC1B72" w:rsidP="008D7758">
      <w:pPr>
        <w:pStyle w:val="Titre3"/>
        <w:numPr>
          <w:ilvl w:val="0"/>
          <w:numId w:val="151"/>
        </w:numPr>
        <w:ind w:left="993"/>
      </w:pPr>
      <w:bookmarkStart w:id="676" w:name="_Toc482270570"/>
      <w:bookmarkStart w:id="677" w:name="_Toc482270645"/>
      <w:bookmarkStart w:id="678" w:name="_Toc482270682"/>
      <w:bookmarkStart w:id="679" w:name="_Toc482271109"/>
      <w:bookmarkStart w:id="680" w:name="_Toc492972261"/>
      <w:r w:rsidRPr="00E57D12">
        <w:t>Au niveau international</w:t>
      </w:r>
      <w:bookmarkEnd w:id="676"/>
      <w:bookmarkEnd w:id="677"/>
      <w:bookmarkEnd w:id="678"/>
      <w:bookmarkEnd w:id="679"/>
      <w:bookmarkEnd w:id="680"/>
    </w:p>
    <w:p w:rsidR="00EC1B72" w:rsidRPr="002A7F86" w:rsidRDefault="00EC1B72" w:rsidP="00EC1B72">
      <w:pPr>
        <w:jc w:val="both"/>
        <w:rPr>
          <w:rFonts w:ascii="Arial" w:hAnsi="Arial" w:cs="Arial"/>
        </w:rPr>
      </w:pPr>
      <w:r w:rsidRPr="002A7F86">
        <w:rPr>
          <w:rFonts w:ascii="Arial" w:hAnsi="Arial" w:cs="Arial"/>
        </w:rPr>
        <w:t>Le financement du PNDES doit s’appuyer sur les principes édictés dans les différentes initiatives au niveau international pour optimiser la mobilisation des ressources nécessaires en vue de réaliser les objectifs de développement. Le Gouvernement devrait développer des actions dans le sens de la mise en œuvre des engagements pris lors de la Conférence d’Addis-Abeba sur le financement du développement, la ré</w:t>
      </w:r>
      <w:r w:rsidR="000F7D8E">
        <w:rPr>
          <w:rFonts w:ascii="Arial" w:hAnsi="Arial" w:cs="Arial"/>
        </w:rPr>
        <w:t>union de haut niveau de Nairobi</w:t>
      </w:r>
      <w:r w:rsidRPr="002A7F86">
        <w:rPr>
          <w:rFonts w:ascii="Arial" w:hAnsi="Arial" w:cs="Arial"/>
        </w:rPr>
        <w:t>.</w:t>
      </w:r>
    </w:p>
    <w:p w:rsidR="00EC1B72" w:rsidRPr="006076C1" w:rsidRDefault="00EC1B72" w:rsidP="008D7758">
      <w:pPr>
        <w:pStyle w:val="Paragraphedeliste"/>
        <w:numPr>
          <w:ilvl w:val="0"/>
          <w:numId w:val="108"/>
        </w:numPr>
        <w:spacing w:after="160" w:line="259" w:lineRule="auto"/>
        <w:jc w:val="both"/>
        <w:rPr>
          <w:rFonts w:ascii="Arial" w:hAnsi="Arial" w:cs="Arial"/>
          <w:b/>
          <w:i/>
        </w:rPr>
      </w:pPr>
      <w:r w:rsidRPr="006076C1">
        <w:rPr>
          <w:rFonts w:ascii="Arial" w:hAnsi="Arial" w:cs="Arial"/>
          <w:b/>
          <w:i/>
        </w:rPr>
        <w:t>Le Programme d’Actions Addis-Abeba sur le financement du développement</w:t>
      </w:r>
    </w:p>
    <w:p w:rsidR="00EC1B72" w:rsidRPr="002A7F86" w:rsidRDefault="00EC1B72" w:rsidP="00EC1B72">
      <w:pPr>
        <w:jc w:val="both"/>
        <w:rPr>
          <w:rFonts w:ascii="Arial" w:hAnsi="Arial" w:cs="Arial"/>
        </w:rPr>
      </w:pPr>
      <w:r w:rsidRPr="002A7F86">
        <w:rPr>
          <w:rFonts w:ascii="Arial" w:hAnsi="Arial" w:cs="Arial"/>
        </w:rPr>
        <w:t>Document avertit, le Programme d’actions d’Addis-Abeba sur le financement du développement (PAAA) a été adopté en 2015, lors de la troisième conférence internationale sur le financement du développement.</w:t>
      </w:r>
    </w:p>
    <w:p w:rsidR="00EC1B72" w:rsidRPr="002A7F86" w:rsidRDefault="00EC1B72" w:rsidP="00EC1B72">
      <w:pPr>
        <w:jc w:val="both"/>
        <w:rPr>
          <w:rFonts w:ascii="Arial" w:hAnsi="Arial" w:cs="Arial"/>
        </w:rPr>
      </w:pPr>
      <w:r w:rsidRPr="002A7F86">
        <w:rPr>
          <w:rFonts w:ascii="Arial" w:hAnsi="Arial" w:cs="Arial"/>
        </w:rPr>
        <w:t xml:space="preserve">Il est établi dans sept (07) domaines de développement tels que la mobilisation des ressources domestiques, la mobilisation des ressources privées nationales et internationales, la mobilisation des ressources publiques internationales, la dette et la viabilité de la dette, le commerce international, les technologies, l’innovation et le renforcement des capacités et enfin la résolution des questions systémiques comme la bonne gouvernance, la décentralisation, les droits humains et les aspects environnementaux. La mise en œuvre des actions dans ces domaines constituera un déclencheur pour le développement de nos pays. </w:t>
      </w:r>
    </w:p>
    <w:p w:rsidR="00EC1B72" w:rsidRPr="002A7F86" w:rsidRDefault="00EC1B72" w:rsidP="00EC1B72">
      <w:pPr>
        <w:jc w:val="both"/>
        <w:rPr>
          <w:rFonts w:ascii="Arial" w:hAnsi="Arial" w:cs="Arial"/>
        </w:rPr>
      </w:pPr>
      <w:r w:rsidRPr="002A7F86">
        <w:rPr>
          <w:rFonts w:ascii="Arial" w:hAnsi="Arial" w:cs="Arial"/>
        </w:rPr>
        <w:t xml:space="preserve">En effet, plusieurs types de financements sont disponibles aux niveaux national et international mais des difficultés de mobilisation limitent leur accès. Le PAAA encourage la levée desdites difficultés par la culture de la transparence dans la gestion, la création de structures de régulation et la transformation des produits locaux pour plus de valeur ajoutée et sur le commerce intra régional. </w:t>
      </w:r>
    </w:p>
    <w:p w:rsidR="00EC1B72" w:rsidRPr="002A7F86" w:rsidRDefault="00EC1B72" w:rsidP="00EC1B72">
      <w:pPr>
        <w:jc w:val="both"/>
        <w:rPr>
          <w:rFonts w:ascii="Arial" w:hAnsi="Arial" w:cs="Arial"/>
        </w:rPr>
      </w:pPr>
      <w:r w:rsidRPr="002A7F86">
        <w:rPr>
          <w:rFonts w:ascii="Arial" w:hAnsi="Arial" w:cs="Arial"/>
        </w:rPr>
        <w:t>Dans la même dynamique, il a été relevé la nécessité de lutter contre les flux financiers illicites qui retardent le développement des pays comme le nôtre.</w:t>
      </w:r>
    </w:p>
    <w:p w:rsidR="00EC1B72" w:rsidRPr="006076C1" w:rsidRDefault="00EC1B72" w:rsidP="008D7758">
      <w:pPr>
        <w:pStyle w:val="Paragraphedeliste"/>
        <w:numPr>
          <w:ilvl w:val="0"/>
          <w:numId w:val="108"/>
        </w:numPr>
        <w:spacing w:after="160" w:line="259" w:lineRule="auto"/>
        <w:jc w:val="both"/>
        <w:rPr>
          <w:rFonts w:ascii="Arial" w:hAnsi="Arial" w:cs="Arial"/>
          <w:b/>
          <w:i/>
        </w:rPr>
      </w:pPr>
      <w:r w:rsidRPr="006076C1">
        <w:rPr>
          <w:rFonts w:ascii="Arial" w:hAnsi="Arial" w:cs="Arial"/>
          <w:b/>
          <w:i/>
        </w:rPr>
        <w:t xml:space="preserve">La déclaration de Nairobi sur la coopération au développement </w:t>
      </w:r>
    </w:p>
    <w:p w:rsidR="00EC1B72" w:rsidRPr="002A7F86" w:rsidRDefault="00EC1B72" w:rsidP="00EC1B72">
      <w:pPr>
        <w:jc w:val="both"/>
        <w:rPr>
          <w:rFonts w:ascii="Arial" w:hAnsi="Arial" w:cs="Arial"/>
        </w:rPr>
      </w:pPr>
      <w:r w:rsidRPr="002A7F86">
        <w:rPr>
          <w:rFonts w:ascii="Arial" w:hAnsi="Arial" w:cs="Arial"/>
        </w:rPr>
        <w:t>Réunis à Nairobi au Kenya, du 28 novembre au 1</w:t>
      </w:r>
      <w:r w:rsidRPr="002A7F86">
        <w:rPr>
          <w:rFonts w:ascii="Arial" w:hAnsi="Arial" w:cs="Arial"/>
          <w:vertAlign w:val="superscript"/>
        </w:rPr>
        <w:t>er</w:t>
      </w:r>
      <w:r w:rsidRPr="002A7F86">
        <w:rPr>
          <w:rFonts w:ascii="Arial" w:hAnsi="Arial" w:cs="Arial"/>
        </w:rPr>
        <w:t xml:space="preserve"> décembre 2016, pour réaffirmer l’esprit de partenariat dans lequel tous les pays ont un but commun, une interdépendance et des responsabilités respectives, les parties prenantes à la deuxième réunion de haut niveau du Partenariat mondial pour une coopération efficace au service du développement ont adopté la déclaration de Nairobi sur la coopération au développement. </w:t>
      </w:r>
    </w:p>
    <w:p w:rsidR="00EC1B72" w:rsidRPr="002A7F86" w:rsidRDefault="00EC1B72" w:rsidP="00EC1B72">
      <w:pPr>
        <w:jc w:val="both"/>
        <w:rPr>
          <w:rFonts w:ascii="Arial" w:hAnsi="Arial" w:cs="Arial"/>
        </w:rPr>
      </w:pPr>
      <w:r w:rsidRPr="002A7F86">
        <w:rPr>
          <w:rFonts w:ascii="Arial" w:hAnsi="Arial" w:cs="Arial"/>
        </w:rPr>
        <w:lastRenderedPageBreak/>
        <w:t>Deuxième du genre après celle tenue à Mexico en avril 2015, cette réunion fait suite aux recommandations du 4</w:t>
      </w:r>
      <w:r w:rsidRPr="002A7F86">
        <w:rPr>
          <w:rFonts w:ascii="Arial" w:hAnsi="Arial" w:cs="Arial"/>
          <w:vertAlign w:val="superscript"/>
        </w:rPr>
        <w:t>ème</w:t>
      </w:r>
      <w:r w:rsidRPr="002A7F86">
        <w:rPr>
          <w:rFonts w:ascii="Arial" w:hAnsi="Arial" w:cs="Arial"/>
        </w:rPr>
        <w:t xml:space="preserve"> forum de haut sur l’efficacité de l’aide publique au développement qui encourage un suivi régulier de l’Accord de partenariat de Busan.</w:t>
      </w:r>
    </w:p>
    <w:p w:rsidR="00EC1B72" w:rsidRPr="002A7F86" w:rsidRDefault="00EC1B72" w:rsidP="00EC1B72">
      <w:pPr>
        <w:jc w:val="both"/>
        <w:rPr>
          <w:rFonts w:ascii="Arial" w:hAnsi="Arial" w:cs="Arial"/>
          <w:sz w:val="28"/>
          <w:szCs w:val="28"/>
        </w:rPr>
      </w:pPr>
      <w:r w:rsidRPr="002A7F86">
        <w:rPr>
          <w:rFonts w:ascii="Arial" w:hAnsi="Arial" w:cs="Arial"/>
        </w:rPr>
        <w:t>Le document final de Nairobi relève la nécessité de prendre collectivement et individuellement des mesures urgentes qui s’aligneront sur les principes de Busan, applicables à l’ensemble des partenaires, à savoir l’appropriation des priorités de développement par les pays en développement, une orientation vers les résultats, des partenariats pour le développement ouverts à tous ainsi que la transparence et la redevabilité en vue de concrétiser les engagements internationaux convenus en matière de durabilité environnementale, de droits de l’homme, de travail décent, d’égalité hommes-femmes et d’élimination de toutes les formes de discrimination.</w:t>
      </w:r>
    </w:p>
    <w:p w:rsidR="00EC1B72" w:rsidRPr="00E57D12" w:rsidRDefault="00EC1B72" w:rsidP="008D7758">
      <w:pPr>
        <w:pStyle w:val="Titre3"/>
        <w:numPr>
          <w:ilvl w:val="0"/>
          <w:numId w:val="151"/>
        </w:numPr>
        <w:ind w:left="993"/>
      </w:pPr>
      <w:bookmarkStart w:id="681" w:name="_Toc492972262"/>
      <w:bookmarkStart w:id="682" w:name="_Toc482270571"/>
      <w:bookmarkStart w:id="683" w:name="_Toc482270646"/>
      <w:bookmarkStart w:id="684" w:name="_Toc482270683"/>
      <w:bookmarkStart w:id="685" w:name="_Toc482271110"/>
      <w:r w:rsidRPr="00E57D12">
        <w:t>Au niveau national</w:t>
      </w:r>
      <w:bookmarkEnd w:id="681"/>
      <w:r w:rsidRPr="00E57D12">
        <w:t xml:space="preserve"> </w:t>
      </w:r>
      <w:bookmarkEnd w:id="682"/>
      <w:bookmarkEnd w:id="683"/>
      <w:bookmarkEnd w:id="684"/>
      <w:bookmarkEnd w:id="685"/>
    </w:p>
    <w:p w:rsidR="00EC1B72" w:rsidRPr="002B4C0A" w:rsidRDefault="009B5BC6" w:rsidP="00EC1B72">
      <w:pPr>
        <w:pStyle w:val="Paragraphedeliste"/>
        <w:tabs>
          <w:tab w:val="left" w:pos="2070"/>
        </w:tabs>
        <w:ind w:left="0"/>
        <w:jc w:val="both"/>
        <w:rPr>
          <w:rFonts w:ascii="Arial" w:hAnsi="Arial" w:cs="Arial"/>
        </w:rPr>
      </w:pPr>
      <w:r>
        <w:rPr>
          <w:rFonts w:ascii="Arial" w:hAnsi="Arial" w:cs="Arial"/>
        </w:rPr>
        <w:t>Le financement du PNDES pourrait</w:t>
      </w:r>
      <w:r w:rsidR="00EC1B72" w:rsidRPr="002B4C0A">
        <w:rPr>
          <w:rFonts w:ascii="Arial" w:hAnsi="Arial" w:cs="Arial"/>
        </w:rPr>
        <w:t xml:space="preserve"> s’appuyer sur la mise en œuvre d</w:t>
      </w:r>
      <w:r w:rsidR="00EC1B72">
        <w:rPr>
          <w:rFonts w:ascii="Arial" w:hAnsi="Arial" w:cs="Arial"/>
        </w:rPr>
        <w:t>e la</w:t>
      </w:r>
      <w:r w:rsidR="00EC1B72" w:rsidRPr="002B4C0A">
        <w:rPr>
          <w:rFonts w:ascii="Arial" w:hAnsi="Arial" w:cs="Arial"/>
        </w:rPr>
        <w:t xml:space="preserve"> PNCD, les tables rondes sectorielles et la rationalisation des projets et programmes</w:t>
      </w:r>
      <w:r w:rsidR="00EC1B72">
        <w:rPr>
          <w:rFonts w:ascii="Arial" w:hAnsi="Arial" w:cs="Arial"/>
        </w:rPr>
        <w:t>.</w:t>
      </w:r>
    </w:p>
    <w:p w:rsidR="00EC1B72" w:rsidRPr="0044141F" w:rsidRDefault="00EC1B72" w:rsidP="008D7758">
      <w:pPr>
        <w:pStyle w:val="Titre4"/>
        <w:numPr>
          <w:ilvl w:val="0"/>
          <w:numId w:val="128"/>
        </w:numPr>
        <w:ind w:left="1985" w:hanging="220"/>
      </w:pPr>
      <w:bookmarkStart w:id="686" w:name="_Toc492972263"/>
      <w:r w:rsidRPr="0044141F">
        <w:t>La mise en œuvre de la politique nationale de la coopération au développement (PNCD).</w:t>
      </w:r>
      <w:bookmarkEnd w:id="686"/>
      <w:r w:rsidRPr="0044141F">
        <w:t xml:space="preserve">  </w:t>
      </w:r>
    </w:p>
    <w:p w:rsidR="00EC1B72" w:rsidRPr="002B4C0A" w:rsidRDefault="00EC1B72" w:rsidP="00EC1B72">
      <w:pPr>
        <w:jc w:val="both"/>
        <w:rPr>
          <w:rFonts w:ascii="Arial" w:hAnsi="Arial" w:cs="Arial"/>
          <w:bCs/>
        </w:rPr>
      </w:pPr>
      <w:r w:rsidRPr="002B4C0A">
        <w:rPr>
          <w:rFonts w:ascii="Arial" w:hAnsi="Arial" w:cs="Arial"/>
          <w:bCs/>
        </w:rPr>
        <w:t xml:space="preserve">La politique nationale de la coopération au développement est un document cadre du Gouvernement qui définit ses priorités et fédère la vision de l’ensemble des acteurs en matière de coopération au développement. </w:t>
      </w:r>
    </w:p>
    <w:p w:rsidR="00EC1B72" w:rsidRPr="002B4C0A" w:rsidRDefault="00EC1B72" w:rsidP="00EC1B72">
      <w:pPr>
        <w:tabs>
          <w:tab w:val="left" w:pos="993"/>
        </w:tabs>
        <w:jc w:val="both"/>
        <w:rPr>
          <w:rFonts w:ascii="Arial" w:hAnsi="Arial" w:cs="Arial"/>
          <w:bCs/>
        </w:rPr>
      </w:pPr>
      <w:r w:rsidRPr="002B4C0A">
        <w:rPr>
          <w:rFonts w:ascii="Arial" w:hAnsi="Arial" w:cs="Arial"/>
          <w:bCs/>
        </w:rPr>
        <w:t>Pour le Burkina Faso, la coopération au développement est la manifestation de la solidarité internationale et la synergie de tous les efforts nationaux face aux défis du développement. Dans un monde de plus en plus globalisant, cette coopération devrait contribuer à apporter des réponses appropriées à l’accélération de la croissance et la lutte contre la pauvreté, à la réduction des inégalités et à la préservation de la paix et des biens publics mondiaux.</w:t>
      </w:r>
    </w:p>
    <w:p w:rsidR="00EC1B72" w:rsidRPr="002B4C0A" w:rsidRDefault="00EC1B72" w:rsidP="00EC1B72">
      <w:pPr>
        <w:autoSpaceDE w:val="0"/>
        <w:autoSpaceDN w:val="0"/>
        <w:adjustRightInd w:val="0"/>
        <w:spacing w:before="120"/>
        <w:jc w:val="both"/>
        <w:rPr>
          <w:rFonts w:ascii="Arial" w:hAnsi="Arial" w:cs="Arial"/>
          <w:bCs/>
        </w:rPr>
      </w:pPr>
      <w:r w:rsidRPr="002B4C0A">
        <w:rPr>
          <w:rFonts w:ascii="Arial" w:hAnsi="Arial" w:cs="Arial"/>
          <w:bCs/>
        </w:rPr>
        <w:t>Le Gouvernement, à travers la mise en œuvre de cette politique, compte mettre l’accent sur une mobilisation conséquente des ressources internes par un plaidoyer fort vis-à-vis des donateurs à appuyer les institutions fiscales du pays, par la mise en place d’investissements structurants à même de servir de levier à un développement durable.</w:t>
      </w:r>
    </w:p>
    <w:p w:rsidR="00EC1B72" w:rsidRPr="002B4C0A" w:rsidRDefault="00EC1B72" w:rsidP="00EC1B72">
      <w:pPr>
        <w:autoSpaceDE w:val="0"/>
        <w:autoSpaceDN w:val="0"/>
        <w:adjustRightInd w:val="0"/>
        <w:jc w:val="both"/>
        <w:rPr>
          <w:rFonts w:ascii="Arial" w:hAnsi="Arial" w:cs="Arial"/>
          <w:bCs/>
        </w:rPr>
      </w:pPr>
      <w:r w:rsidRPr="002B4C0A">
        <w:rPr>
          <w:rFonts w:ascii="Arial" w:hAnsi="Arial" w:cs="Arial"/>
          <w:bCs/>
        </w:rPr>
        <w:t>Il compte mobiliser davantage de ressources additionnelles, en mettant l’accent sur les investissements directs étrangers (IDE) et les transferts des migrants ainsi que sur l’amélioration du climat des affaires pour attirer les investisseurs étrangers.</w:t>
      </w:r>
      <w:r>
        <w:rPr>
          <w:rFonts w:ascii="Arial" w:hAnsi="Arial" w:cs="Arial"/>
          <w:bCs/>
        </w:rPr>
        <w:t xml:space="preserve"> </w:t>
      </w:r>
      <w:r w:rsidRPr="002B4C0A">
        <w:rPr>
          <w:rFonts w:ascii="Arial" w:hAnsi="Arial" w:cs="Arial"/>
          <w:bCs/>
        </w:rPr>
        <w:t>Aussi, compte-t-il renforcer ses efforts dans le développement du PPP en tant qu’outil de mobilisation efficiente de la contribution du secteur privé national et international à la réalisation des projets de développement</w:t>
      </w:r>
      <w:r>
        <w:rPr>
          <w:rFonts w:ascii="Arial" w:hAnsi="Arial" w:cs="Arial"/>
          <w:bCs/>
        </w:rPr>
        <w:t>. Le Gouvernement</w:t>
      </w:r>
      <w:r w:rsidRPr="002B4C0A">
        <w:rPr>
          <w:rFonts w:ascii="Arial" w:hAnsi="Arial" w:cs="Arial"/>
          <w:bCs/>
        </w:rPr>
        <w:t xml:space="preserve"> s’engage </w:t>
      </w:r>
      <w:r>
        <w:rPr>
          <w:rFonts w:ascii="Arial" w:hAnsi="Arial" w:cs="Arial"/>
          <w:bCs/>
        </w:rPr>
        <w:t xml:space="preserve">également </w:t>
      </w:r>
      <w:r w:rsidRPr="002B4C0A">
        <w:rPr>
          <w:rFonts w:ascii="Arial" w:hAnsi="Arial" w:cs="Arial"/>
          <w:bCs/>
        </w:rPr>
        <w:t>à les encadrer par un dispositif juridique et institutionnel solide qui permet de protéger et de rassurer les différentes parties prenantes.</w:t>
      </w:r>
    </w:p>
    <w:p w:rsidR="00EC1B72" w:rsidRPr="002B4C0A" w:rsidRDefault="00EC1B72" w:rsidP="00EC1B72">
      <w:pPr>
        <w:autoSpaceDE w:val="0"/>
        <w:autoSpaceDN w:val="0"/>
        <w:adjustRightInd w:val="0"/>
        <w:spacing w:after="120"/>
        <w:jc w:val="both"/>
        <w:rPr>
          <w:rFonts w:ascii="Arial" w:hAnsi="Arial" w:cs="Arial"/>
          <w:bCs/>
        </w:rPr>
      </w:pPr>
      <w:r w:rsidRPr="002B4C0A">
        <w:rPr>
          <w:rFonts w:ascii="Arial" w:hAnsi="Arial" w:cs="Arial"/>
          <w:bCs/>
        </w:rPr>
        <w:t>La problématique des changements climatiques a amené la communauté internationale à mettre en place de</w:t>
      </w:r>
      <w:r>
        <w:rPr>
          <w:rFonts w:ascii="Arial" w:hAnsi="Arial" w:cs="Arial"/>
          <w:bCs/>
        </w:rPr>
        <w:t>s</w:t>
      </w:r>
      <w:r w:rsidRPr="002B4C0A">
        <w:rPr>
          <w:rFonts w:ascii="Arial" w:hAnsi="Arial" w:cs="Arial"/>
          <w:bCs/>
        </w:rPr>
        <w:t xml:space="preserve"> fonds dits «verts», en faveur des pays pour faire face à ces changements. Le Gouvernement mobilisera directement, auprès de ces fonds, des financements nécessaires pour faire face aux problèmes environnementaux et informera l’ensemble des acteurs sur toutes les activités financées par ces fonds ainsi que les procédures pour y accéder.</w:t>
      </w:r>
    </w:p>
    <w:p w:rsidR="00EC1B72" w:rsidRPr="002B4C0A" w:rsidRDefault="00EC1B72" w:rsidP="00EC1B72">
      <w:pPr>
        <w:autoSpaceDE w:val="0"/>
        <w:autoSpaceDN w:val="0"/>
        <w:adjustRightInd w:val="0"/>
        <w:spacing w:after="120"/>
        <w:jc w:val="both"/>
        <w:rPr>
          <w:rFonts w:ascii="Arial" w:hAnsi="Arial" w:cs="Arial"/>
          <w:bCs/>
        </w:rPr>
      </w:pPr>
      <w:r w:rsidRPr="002B4C0A">
        <w:rPr>
          <w:rFonts w:ascii="Arial" w:hAnsi="Arial" w:cs="Arial"/>
          <w:bCs/>
        </w:rPr>
        <w:t>Afin d’améliorer la contribution de la coopération au développement, cinq axes stratégiques ont été retenues dans cette politique.</w:t>
      </w:r>
    </w:p>
    <w:p w:rsidR="00EC1B72" w:rsidRPr="002B4C0A" w:rsidRDefault="00EC1B72" w:rsidP="00EC1B72">
      <w:pPr>
        <w:autoSpaceDE w:val="0"/>
        <w:autoSpaceDN w:val="0"/>
        <w:adjustRightInd w:val="0"/>
        <w:spacing w:after="120"/>
        <w:jc w:val="both"/>
        <w:rPr>
          <w:rFonts w:ascii="Arial" w:hAnsi="Arial" w:cs="Arial"/>
          <w:b/>
          <w:bCs/>
        </w:rPr>
      </w:pPr>
      <w:r w:rsidRPr="002B4C0A">
        <w:rPr>
          <w:rFonts w:ascii="Arial" w:hAnsi="Arial" w:cs="Arial"/>
          <w:b/>
        </w:rPr>
        <w:t xml:space="preserve"> Le leadership national dans la coopération au développement</w:t>
      </w:r>
    </w:p>
    <w:p w:rsidR="00EC1B72" w:rsidRPr="002B4C0A" w:rsidRDefault="00EC1B72" w:rsidP="00EC1B72">
      <w:pPr>
        <w:autoSpaceDE w:val="0"/>
        <w:autoSpaceDN w:val="0"/>
        <w:adjustRightInd w:val="0"/>
        <w:jc w:val="both"/>
        <w:rPr>
          <w:rFonts w:ascii="Arial" w:hAnsi="Arial" w:cs="Arial"/>
        </w:rPr>
      </w:pPr>
      <w:r>
        <w:rPr>
          <w:rFonts w:ascii="Arial" w:hAnsi="Arial" w:cs="Arial"/>
        </w:rPr>
        <w:lastRenderedPageBreak/>
        <w:t>C</w:t>
      </w:r>
      <w:r w:rsidRPr="002B4C0A">
        <w:rPr>
          <w:rFonts w:ascii="Arial" w:hAnsi="Arial" w:cs="Arial"/>
        </w:rPr>
        <w:t xml:space="preserve">e leadership devrait être réaffirmé par le renforcement de la fiabilité et de l’efficacité des procédures nationales, leur utilisation par les partenaires, l’élaboration conjointe des programmes pays (programme de coopération) avec les partenaires, l’orientation vers les résultats et la vulgarisation des documents de stratégie. </w:t>
      </w:r>
    </w:p>
    <w:p w:rsidR="00EC1B72" w:rsidRPr="002B4C0A" w:rsidRDefault="00EC1B72" w:rsidP="00EC1B72">
      <w:pPr>
        <w:autoSpaceDE w:val="0"/>
        <w:autoSpaceDN w:val="0"/>
        <w:adjustRightInd w:val="0"/>
        <w:jc w:val="both"/>
        <w:rPr>
          <w:rFonts w:ascii="Arial" w:hAnsi="Arial" w:cs="Arial"/>
          <w:bCs/>
        </w:rPr>
      </w:pPr>
      <w:r w:rsidRPr="002B4C0A">
        <w:rPr>
          <w:rFonts w:ascii="Arial" w:hAnsi="Arial" w:cs="Arial"/>
          <w:bCs/>
        </w:rPr>
        <w:t>Pour favoriser une bonne appropriation par les acteurs et assurer une mise en œuvre efficace de la PNCD, le Gouvernement ambitionne se doter d’une stratégie de communication, améliorer le dispositif institutionnel de la coopération, renforcer le système de suivi-évaluation, renforcer la coordination des acteurs ainsi que leurs capacités opérationnelles.</w:t>
      </w:r>
    </w:p>
    <w:p w:rsidR="00EC1B72" w:rsidRPr="002B4C0A" w:rsidRDefault="00EC1B72" w:rsidP="00EC1B72">
      <w:pPr>
        <w:jc w:val="both"/>
        <w:rPr>
          <w:rFonts w:ascii="Arial" w:hAnsi="Arial" w:cs="Arial"/>
          <w:b/>
        </w:rPr>
      </w:pPr>
      <w:r w:rsidRPr="002B4C0A">
        <w:rPr>
          <w:rFonts w:ascii="Arial" w:hAnsi="Arial" w:cs="Arial"/>
          <w:b/>
        </w:rPr>
        <w:t>Le partenariat ouvert </w:t>
      </w:r>
    </w:p>
    <w:p w:rsidR="00EC1B72" w:rsidRPr="002B4C0A" w:rsidRDefault="00EC1B72" w:rsidP="00E57D12">
      <w:pPr>
        <w:jc w:val="both"/>
        <w:rPr>
          <w:rFonts w:ascii="Arial" w:hAnsi="Arial" w:cs="Arial"/>
          <w:bCs/>
        </w:rPr>
      </w:pPr>
      <w:r w:rsidRPr="002B4C0A">
        <w:rPr>
          <w:rFonts w:ascii="Arial" w:hAnsi="Arial" w:cs="Arial"/>
          <w:bCs/>
        </w:rPr>
        <w:t>Le partenariat ouvert permettra de renforcer les relations de coopération avec les partenaires existants, de capitaliser les acquis et d’animer régulièrement les cadres de concertation. Le développement de nouveaux partenariats a pour objectif d’élargir le champ de la coopération. Il s’appuie sur la prospection de nouveaux partenaires et des nouvelles opportunités de partenariat internes et externes, notamment le partenariat public-privé, le partenariat vert, le partenariat sud-sud, la coopération triangulaire, la coopération décentralisée, les ONG.</w:t>
      </w:r>
    </w:p>
    <w:p w:rsidR="00EC1B72" w:rsidRPr="002B4C0A" w:rsidRDefault="00EC1B72" w:rsidP="00EC1B72">
      <w:pPr>
        <w:jc w:val="both"/>
        <w:rPr>
          <w:rFonts w:ascii="Arial" w:hAnsi="Arial" w:cs="Arial"/>
          <w:bCs/>
          <w:color w:val="FF0000"/>
        </w:rPr>
      </w:pPr>
      <w:r w:rsidRPr="002B4C0A">
        <w:rPr>
          <w:rFonts w:ascii="Arial" w:hAnsi="Arial" w:cs="Arial"/>
          <w:bCs/>
        </w:rPr>
        <w:t xml:space="preserve">L’aide que les économies récemment émergentes fournissent à l’Afrique pourrait être une opportunité à saisir pour notre pays dans le cadre de l’élargissement des sources de financements des actions de développement. </w:t>
      </w:r>
    </w:p>
    <w:p w:rsidR="00EC1B72" w:rsidRPr="0044141F" w:rsidRDefault="00EC1B72" w:rsidP="008D7758">
      <w:pPr>
        <w:pStyle w:val="Titre4"/>
        <w:numPr>
          <w:ilvl w:val="0"/>
          <w:numId w:val="128"/>
        </w:numPr>
        <w:ind w:left="1701" w:hanging="220"/>
      </w:pPr>
      <w:bookmarkStart w:id="687" w:name="_Toc492972264"/>
      <w:r w:rsidRPr="0044141F">
        <w:t>Mise en œuvre du document référentiel sur la division du travail et la complémentarité entre les interventions des Partenaires techniques et financiers</w:t>
      </w:r>
      <w:bookmarkEnd w:id="687"/>
    </w:p>
    <w:p w:rsidR="00EC1B72" w:rsidRPr="002B4C0A" w:rsidRDefault="00EC1B72" w:rsidP="00EC1B72">
      <w:pPr>
        <w:contextualSpacing/>
        <w:jc w:val="both"/>
        <w:rPr>
          <w:rFonts w:ascii="Arial" w:hAnsi="Arial" w:cs="Arial"/>
          <w:bCs/>
        </w:rPr>
      </w:pPr>
      <w:r w:rsidRPr="002B4C0A">
        <w:rPr>
          <w:rFonts w:ascii="Arial" w:hAnsi="Arial" w:cs="Arial"/>
          <w:bCs/>
        </w:rPr>
        <w:t>Dans la dynamique de l’optimisation de l’impact de l’aide sur le développement et singulièrement à travers la délivrance et la gestion des ressources extérieures, des initiatives internationales sont engagées depuis le début du millénaire par le truchement des fora organisés à cette fin. Ains</w:t>
      </w:r>
      <w:r>
        <w:rPr>
          <w:rFonts w:ascii="Arial" w:hAnsi="Arial" w:cs="Arial"/>
          <w:bCs/>
        </w:rPr>
        <w:t xml:space="preserve">i, dans la déclaration de Paris, le Programme d’Action d’Accra </w:t>
      </w:r>
      <w:r w:rsidRPr="002B4C0A">
        <w:rPr>
          <w:rFonts w:ascii="Arial" w:hAnsi="Arial" w:cs="Arial"/>
          <w:bCs/>
        </w:rPr>
        <w:t>et l’Accord de partenariat de Busan pour une coopération au développement efficace, des engagements ont été pris en matière de division du travail et de partage des tâches entre les partenaires dans le but de renforcer la complémentarité et de réduire les coûts de transactions.</w:t>
      </w:r>
    </w:p>
    <w:p w:rsidR="00EC1B72" w:rsidRPr="002B4C0A" w:rsidRDefault="00EC1B72" w:rsidP="00EC1B72">
      <w:pPr>
        <w:contextualSpacing/>
        <w:jc w:val="both"/>
        <w:rPr>
          <w:rFonts w:ascii="Arial" w:hAnsi="Arial" w:cs="Arial"/>
          <w:color w:val="00B0F0"/>
        </w:rPr>
      </w:pPr>
    </w:p>
    <w:p w:rsidR="00EC1B72" w:rsidRPr="002B4C0A" w:rsidRDefault="00EC1B72" w:rsidP="00EC1B72">
      <w:pPr>
        <w:contextualSpacing/>
        <w:jc w:val="both"/>
        <w:rPr>
          <w:rFonts w:ascii="Arial" w:hAnsi="Arial" w:cs="Arial"/>
          <w:bCs/>
        </w:rPr>
      </w:pPr>
      <w:r w:rsidRPr="002B4C0A">
        <w:rPr>
          <w:rFonts w:ascii="Arial" w:hAnsi="Arial" w:cs="Arial"/>
          <w:bCs/>
        </w:rPr>
        <w:t>Le Gouvernement burkinabé, conscient de la forte contribution des ressources extérieures dans le financement de ses actions de développement et de la nécessité d’améliorer l’efficacité des interventions des partenaires techniques et financiers, a inscrit la question de la division du travail au rang de ses priorités de développement en l’inscrivant dans les actions du PANED, de la PNCD et du PNDES.</w:t>
      </w:r>
    </w:p>
    <w:p w:rsidR="00EC1B72" w:rsidRPr="002B4C0A" w:rsidRDefault="00EC1B72" w:rsidP="00EC1B72">
      <w:pPr>
        <w:contextualSpacing/>
        <w:jc w:val="both"/>
        <w:rPr>
          <w:rFonts w:ascii="Arial" w:hAnsi="Arial" w:cs="Arial"/>
          <w:bCs/>
        </w:rPr>
      </w:pPr>
      <w:r w:rsidRPr="002B4C0A">
        <w:rPr>
          <w:rFonts w:ascii="Arial" w:hAnsi="Arial" w:cs="Arial"/>
          <w:bCs/>
        </w:rPr>
        <w:t xml:space="preserve">Le processus d’élaboration du document référentiel sur la division du travail est en cours et vise à mettre à la disposition des différents intervenants dans la coopération au développement, les options retenues par le gouvernement en matière de positionnement sectoriel et spatial des PTF ainsi que les arrangements et modalités les mieux adaptés dans le cadre de l’acheminement de l’aide. </w:t>
      </w:r>
    </w:p>
    <w:p w:rsidR="002375D2" w:rsidRDefault="002375D2" w:rsidP="00EC1B72">
      <w:pPr>
        <w:spacing w:after="160" w:line="259" w:lineRule="auto"/>
        <w:rPr>
          <w:rFonts w:ascii="Arial" w:hAnsi="Arial" w:cs="Arial"/>
          <w:b/>
        </w:rPr>
      </w:pPr>
    </w:p>
    <w:p w:rsidR="00EC1B72" w:rsidRPr="002B4C0A" w:rsidRDefault="00EC1B72" w:rsidP="00EC1B72">
      <w:pPr>
        <w:spacing w:after="160" w:line="259" w:lineRule="auto"/>
        <w:rPr>
          <w:rFonts w:ascii="Arial" w:hAnsi="Arial" w:cs="Arial"/>
        </w:rPr>
      </w:pPr>
      <w:r w:rsidRPr="002B4C0A">
        <w:rPr>
          <w:rFonts w:ascii="Arial" w:hAnsi="Arial" w:cs="Arial"/>
          <w:b/>
        </w:rPr>
        <w:t>La poursuite de la rationalisation des unités de gestion des projets et programmes</w:t>
      </w:r>
    </w:p>
    <w:p w:rsidR="00EC1B72" w:rsidRPr="002B4C0A" w:rsidRDefault="00EC1B72" w:rsidP="00EC1B72">
      <w:pPr>
        <w:spacing w:after="160"/>
        <w:jc w:val="both"/>
        <w:rPr>
          <w:rFonts w:ascii="Arial" w:hAnsi="Arial" w:cs="Arial"/>
          <w:bCs/>
        </w:rPr>
      </w:pPr>
      <w:r w:rsidRPr="002B4C0A">
        <w:rPr>
          <w:rFonts w:ascii="Arial" w:hAnsi="Arial" w:cs="Arial"/>
          <w:bCs/>
        </w:rPr>
        <w:t>Face à la fragmentation de l’aide à travers la multiplicité des projets de petite taille qui engendrent des charges importantes de fonctionnement, il est impératif de procéder à une rationalisation des projets et programmes par :</w:t>
      </w:r>
    </w:p>
    <w:p w:rsidR="00EC1B72" w:rsidRPr="002B4C0A" w:rsidRDefault="00EC1B72" w:rsidP="00B92B11">
      <w:pPr>
        <w:pStyle w:val="Paragraphedeliste"/>
        <w:numPr>
          <w:ilvl w:val="0"/>
          <w:numId w:val="94"/>
        </w:numPr>
        <w:spacing w:after="160"/>
        <w:jc w:val="both"/>
        <w:rPr>
          <w:rFonts w:ascii="Arial" w:hAnsi="Arial" w:cs="Arial"/>
          <w:bCs/>
        </w:rPr>
      </w:pPr>
      <w:r w:rsidRPr="002B4C0A">
        <w:rPr>
          <w:rFonts w:ascii="Arial" w:hAnsi="Arial" w:cs="Arial"/>
          <w:bCs/>
        </w:rPr>
        <w:lastRenderedPageBreak/>
        <w:t>le regroupement des projets en cours qui ont des objectifs semblables en programmes ;</w:t>
      </w:r>
    </w:p>
    <w:p w:rsidR="00EC1B72" w:rsidRPr="002B4C0A" w:rsidRDefault="00EC1B72" w:rsidP="00B92B11">
      <w:pPr>
        <w:pStyle w:val="Paragraphedeliste"/>
        <w:numPr>
          <w:ilvl w:val="0"/>
          <w:numId w:val="94"/>
        </w:numPr>
        <w:spacing w:after="160"/>
        <w:jc w:val="both"/>
        <w:rPr>
          <w:rFonts w:ascii="Arial" w:hAnsi="Arial" w:cs="Arial"/>
          <w:bCs/>
        </w:rPr>
      </w:pPr>
      <w:r w:rsidRPr="002B4C0A">
        <w:rPr>
          <w:rFonts w:ascii="Arial" w:hAnsi="Arial" w:cs="Arial"/>
          <w:bCs/>
        </w:rPr>
        <w:t xml:space="preserve">le développement des approches sectorielles pour faciliter l’alignement des PTF qui interviennent toujours selon l’approche projets/programmes classique; </w:t>
      </w:r>
    </w:p>
    <w:p w:rsidR="00EC1B72" w:rsidRPr="002B4C0A" w:rsidRDefault="00EC1B72" w:rsidP="00B92B11">
      <w:pPr>
        <w:pStyle w:val="Paragraphedeliste"/>
        <w:numPr>
          <w:ilvl w:val="0"/>
          <w:numId w:val="94"/>
        </w:numPr>
        <w:spacing w:after="160"/>
        <w:jc w:val="both"/>
        <w:rPr>
          <w:rFonts w:ascii="Arial" w:hAnsi="Arial" w:cs="Arial"/>
          <w:bCs/>
        </w:rPr>
      </w:pPr>
      <w:r w:rsidRPr="002B4C0A">
        <w:rPr>
          <w:rFonts w:ascii="Arial" w:hAnsi="Arial" w:cs="Arial"/>
          <w:bCs/>
        </w:rPr>
        <w:t xml:space="preserve">la division du travail pour un redéploiement stratégique des domaines d’intervention des PTF, dans la mise en œuvre du PNDES ; </w:t>
      </w:r>
    </w:p>
    <w:p w:rsidR="00EC1B72" w:rsidRPr="002B4C0A" w:rsidRDefault="00EC1B72" w:rsidP="00B92B11">
      <w:pPr>
        <w:pStyle w:val="Paragraphedeliste"/>
        <w:numPr>
          <w:ilvl w:val="0"/>
          <w:numId w:val="94"/>
        </w:numPr>
        <w:spacing w:after="160"/>
        <w:jc w:val="both"/>
        <w:rPr>
          <w:rFonts w:ascii="Arial" w:hAnsi="Arial" w:cs="Arial"/>
          <w:bCs/>
        </w:rPr>
      </w:pPr>
      <w:r w:rsidRPr="002B4C0A">
        <w:rPr>
          <w:rFonts w:ascii="Arial" w:hAnsi="Arial" w:cs="Arial"/>
          <w:bCs/>
        </w:rPr>
        <w:t xml:space="preserve">la création des agences de mise en œuvre des grands programmes transversaux de développement dans la vision du Partenariat public/privé. </w:t>
      </w:r>
    </w:p>
    <w:p w:rsidR="00EC1B72" w:rsidRPr="002B4C0A" w:rsidRDefault="00EC1B72" w:rsidP="00EC1B72">
      <w:pPr>
        <w:spacing w:after="160"/>
        <w:jc w:val="both"/>
        <w:rPr>
          <w:rFonts w:ascii="Arial" w:hAnsi="Arial" w:cs="Arial"/>
          <w:bCs/>
        </w:rPr>
      </w:pPr>
      <w:r w:rsidRPr="002B4C0A">
        <w:rPr>
          <w:rFonts w:ascii="Arial" w:hAnsi="Arial" w:cs="Arial"/>
          <w:bCs/>
        </w:rPr>
        <w:t xml:space="preserve">Ces mesures permettront non seulement de réaliser des économies conséquentes sur les charges de fonctionnement mais aussi au Gouvernement de jouer son rôle de leadership. Toutefois, les défis sont énormes. La question du fonctionnement des projets dans l’approche du budget programme reste posée. La règlementation </w:t>
      </w:r>
      <w:r>
        <w:rPr>
          <w:rFonts w:ascii="Arial" w:hAnsi="Arial" w:cs="Arial"/>
          <w:bCs/>
        </w:rPr>
        <w:t xml:space="preserve">générale </w:t>
      </w:r>
      <w:r w:rsidRPr="002B4C0A">
        <w:rPr>
          <w:rFonts w:ascii="Arial" w:hAnsi="Arial" w:cs="Arial"/>
          <w:bCs/>
        </w:rPr>
        <w:t xml:space="preserve">des projets </w:t>
      </w:r>
      <w:r>
        <w:rPr>
          <w:rFonts w:ascii="Arial" w:hAnsi="Arial" w:cs="Arial"/>
          <w:bCs/>
        </w:rPr>
        <w:t xml:space="preserve">ou programmes </w:t>
      </w:r>
      <w:r w:rsidRPr="002B4C0A">
        <w:rPr>
          <w:rFonts w:ascii="Arial" w:hAnsi="Arial" w:cs="Arial"/>
          <w:bCs/>
        </w:rPr>
        <w:t xml:space="preserve">doit être relue pour se conformer à l’approche </w:t>
      </w:r>
      <w:r>
        <w:rPr>
          <w:rFonts w:ascii="Arial" w:hAnsi="Arial" w:cs="Arial"/>
          <w:bCs/>
        </w:rPr>
        <w:t>du budget programme</w:t>
      </w:r>
      <w:r w:rsidRPr="002B4C0A">
        <w:rPr>
          <w:rFonts w:ascii="Arial" w:hAnsi="Arial" w:cs="Arial"/>
          <w:bCs/>
        </w:rPr>
        <w:t>.</w:t>
      </w:r>
    </w:p>
    <w:p w:rsidR="00EC1B72" w:rsidRPr="0044141F" w:rsidRDefault="00EC1B72" w:rsidP="008D7758">
      <w:pPr>
        <w:pStyle w:val="Titre4"/>
        <w:numPr>
          <w:ilvl w:val="0"/>
          <w:numId w:val="128"/>
        </w:numPr>
        <w:ind w:left="2205" w:hanging="220"/>
      </w:pPr>
      <w:bookmarkStart w:id="688" w:name="_Toc492972265"/>
      <w:r w:rsidRPr="0044141F">
        <w:t>La mise en œuvre de mesures tendant à une mobilisation conséquente des ressources</w:t>
      </w:r>
      <w:bookmarkEnd w:id="688"/>
    </w:p>
    <w:p w:rsidR="00EC1B72" w:rsidRPr="002B4C0A" w:rsidRDefault="00EC1B72" w:rsidP="00EC1B72">
      <w:pPr>
        <w:tabs>
          <w:tab w:val="left" w:pos="540"/>
        </w:tabs>
        <w:jc w:val="both"/>
        <w:rPr>
          <w:rFonts w:ascii="Arial" w:hAnsi="Arial" w:cs="Arial"/>
          <w:bCs/>
        </w:rPr>
      </w:pPr>
      <w:r w:rsidRPr="002B4C0A">
        <w:rPr>
          <w:rFonts w:ascii="Arial" w:hAnsi="Arial" w:cs="Arial"/>
          <w:bCs/>
        </w:rPr>
        <w:t>Dans le cadre du schéma de financement du PNDES</w:t>
      </w:r>
      <w:r>
        <w:rPr>
          <w:rFonts w:ascii="Arial" w:hAnsi="Arial" w:cs="Arial"/>
          <w:bCs/>
        </w:rPr>
        <w:t xml:space="preserve"> </w:t>
      </w:r>
      <w:r w:rsidRPr="002B4C0A">
        <w:rPr>
          <w:rFonts w:ascii="Arial" w:hAnsi="Arial" w:cs="Arial"/>
          <w:bCs/>
        </w:rPr>
        <w:t>qui nécessite un volume important de ressources aussi bien intérieures qu’extérieures, plusieurs réformes et mesures ont été identifiées en vue d’optimiser la mobilisation de ces ressources.</w:t>
      </w:r>
    </w:p>
    <w:p w:rsidR="00EC1B72" w:rsidRPr="002B4C0A" w:rsidRDefault="00EC1B72" w:rsidP="00EC1B72">
      <w:pPr>
        <w:tabs>
          <w:tab w:val="left" w:pos="540"/>
        </w:tabs>
        <w:jc w:val="both"/>
        <w:rPr>
          <w:rFonts w:ascii="Arial" w:hAnsi="Arial" w:cs="Arial"/>
          <w:bCs/>
        </w:rPr>
      </w:pPr>
      <w:r w:rsidRPr="002B4C0A">
        <w:rPr>
          <w:rFonts w:ascii="Arial" w:hAnsi="Arial" w:cs="Arial"/>
          <w:bCs/>
        </w:rPr>
        <w:t>En ce qui concerne la mobilisation des ressources internes, il s’agit entre autres de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la poursuite de l’application de la facture normalisée pour lutter contre la fraude en matière de facturation de la TVA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la modernisation de l’administration fiscale (poursuite de l’informatisation phase II de SINTAX, télé procédure,…)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la poursuite et la consolidation de la nouvelle segmentation dans le but de renforcer l’efficacité des nouvelles structures de gestion des contribuables (DME-C II, DCI, etc.)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la mise en œuvre du cadastre fiscal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l’opérationnalisation du service des relations fiscales internationales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 xml:space="preserve">l’installation des caisses enregistreuses homologuées au niveau des contribuables des moyennes entreprises ;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la poursuite du nouveau mécanisme de suivi de la gestion des restes à recouvrer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la poursuite de la sensibilisation des usagers sur le civisme fiscal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le renforcement de la stratégie de lutte contre la fraude, le faux et la corruption à travers le renforcement des actions de contrôle</w:t>
      </w:r>
      <w:r>
        <w:rPr>
          <w:rFonts w:ascii="Arial" w:hAnsi="Arial" w:cs="Arial"/>
          <w:bCs/>
        </w:rPr>
        <w:t xml:space="preserve"> (</w:t>
      </w:r>
      <w:r w:rsidRPr="002B4C0A">
        <w:rPr>
          <w:rFonts w:ascii="Arial" w:hAnsi="Arial" w:cs="Arial"/>
          <w:bCs/>
        </w:rPr>
        <w:t>exécution du service dan</w:t>
      </w:r>
      <w:r>
        <w:rPr>
          <w:rFonts w:ascii="Arial" w:hAnsi="Arial" w:cs="Arial"/>
          <w:bCs/>
        </w:rPr>
        <w:t xml:space="preserve">s les offices et des audits, </w:t>
      </w:r>
      <w:r w:rsidRPr="002B4C0A">
        <w:rPr>
          <w:rFonts w:ascii="Arial" w:hAnsi="Arial" w:cs="Arial"/>
          <w:bCs/>
        </w:rPr>
        <w:t>aéroportuaire, sortie effective des marchandises en transit international et de celles réexportées en suite de régimes suspensifs, le suivi rigoureux des exonérations</w:t>
      </w:r>
      <w:r>
        <w:rPr>
          <w:rFonts w:ascii="Arial" w:hAnsi="Arial" w:cs="Arial"/>
          <w:bCs/>
        </w:rPr>
        <w:t>)</w:t>
      </w:r>
      <w:r w:rsidRPr="002B4C0A">
        <w:rPr>
          <w:rFonts w:ascii="Arial" w:hAnsi="Arial" w:cs="Arial"/>
          <w:bCs/>
        </w:rPr>
        <w:t xml:space="preserve">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la modernisation de l’administration douanière avec des actions portant sur la connexion des Commissionnaires en douanes agréées au SYDONIA WORLD, l’informatisation des offices ;</w:t>
      </w:r>
    </w:p>
    <w:p w:rsidR="00EC1B72" w:rsidRPr="002B4C0A" w:rsidRDefault="00EC1B72" w:rsidP="00B92B11">
      <w:pPr>
        <w:pStyle w:val="Paragraphedeliste"/>
        <w:numPr>
          <w:ilvl w:val="0"/>
          <w:numId w:val="92"/>
        </w:numPr>
        <w:tabs>
          <w:tab w:val="left" w:pos="540"/>
        </w:tabs>
        <w:spacing w:after="0" w:line="240" w:lineRule="auto"/>
        <w:jc w:val="both"/>
        <w:rPr>
          <w:rFonts w:ascii="Arial" w:hAnsi="Arial" w:cs="Arial"/>
          <w:bCs/>
        </w:rPr>
      </w:pPr>
      <w:r w:rsidRPr="002B4C0A">
        <w:rPr>
          <w:rFonts w:ascii="Arial" w:hAnsi="Arial" w:cs="Arial"/>
          <w:bCs/>
        </w:rPr>
        <w:t>l’interconnexion du système informatique des Douanes avec les systèmes informatiques des pays voisins (le Togo, le Mali, la Côte d’Ivoire et le Ghana) ;</w:t>
      </w:r>
    </w:p>
    <w:p w:rsidR="00EC1B72" w:rsidRPr="002B4C0A" w:rsidRDefault="00EC1B72" w:rsidP="00B92B11">
      <w:pPr>
        <w:pStyle w:val="Paragraphedeliste"/>
        <w:numPr>
          <w:ilvl w:val="0"/>
          <w:numId w:val="92"/>
        </w:numPr>
        <w:tabs>
          <w:tab w:val="left" w:pos="540"/>
        </w:tabs>
        <w:spacing w:after="120"/>
        <w:ind w:left="777" w:hanging="357"/>
        <w:contextualSpacing w:val="0"/>
        <w:jc w:val="both"/>
        <w:rPr>
          <w:rFonts w:ascii="Arial" w:hAnsi="Arial" w:cs="Arial"/>
          <w:bCs/>
        </w:rPr>
      </w:pPr>
      <w:r w:rsidRPr="002B4C0A">
        <w:rPr>
          <w:rFonts w:ascii="Arial" w:hAnsi="Arial" w:cs="Arial"/>
          <w:bCs/>
        </w:rPr>
        <w:t>le renforcement du suivi du secteur minier et des sociétés conventionnées.</w:t>
      </w:r>
    </w:p>
    <w:p w:rsidR="00EC1B72" w:rsidRPr="002B4C0A" w:rsidRDefault="00EC1B72" w:rsidP="00EC1B72">
      <w:pPr>
        <w:pStyle w:val="Paragraphedeliste"/>
        <w:tabs>
          <w:tab w:val="left" w:pos="540"/>
        </w:tabs>
        <w:ind w:left="0"/>
        <w:jc w:val="both"/>
        <w:rPr>
          <w:rFonts w:ascii="Arial" w:hAnsi="Arial" w:cs="Arial"/>
          <w:bCs/>
        </w:rPr>
      </w:pPr>
      <w:r w:rsidRPr="002B4C0A">
        <w:rPr>
          <w:rFonts w:ascii="Arial" w:hAnsi="Arial" w:cs="Arial"/>
          <w:bCs/>
        </w:rPr>
        <w:t>En matière de mobilisation des ressources extérieures, il s’agira notamment (i) de la poursuite du recours au marché financier régional en vue du financement des investissements ; (ii) du développement du Partenariat public-privé (PPP) qui vise à faire du secteur privé le moteur de la croissance et (iii) de l’institution d’un mécanisme de suivi de la mise en œuvre des engagements des partenaires pour le financement du PNDES.</w:t>
      </w:r>
    </w:p>
    <w:p w:rsidR="00EC1B72" w:rsidRPr="0044141F" w:rsidRDefault="00EC1B72" w:rsidP="008D7758">
      <w:pPr>
        <w:pStyle w:val="Titre4"/>
        <w:numPr>
          <w:ilvl w:val="0"/>
          <w:numId w:val="128"/>
        </w:numPr>
        <w:ind w:left="2205" w:hanging="220"/>
      </w:pPr>
      <w:bookmarkStart w:id="689" w:name="_Toc492972266"/>
      <w:r w:rsidRPr="0044141F">
        <w:lastRenderedPageBreak/>
        <w:t>Projet d’appui à la mise en œuvre du PNDES</w:t>
      </w:r>
      <w:bookmarkEnd w:id="689"/>
      <w:r w:rsidRPr="0044141F">
        <w:t xml:space="preserve"> </w:t>
      </w:r>
    </w:p>
    <w:p w:rsidR="00EC1B72" w:rsidRDefault="00EC1B72" w:rsidP="00EC1B72">
      <w:pPr>
        <w:jc w:val="both"/>
        <w:rPr>
          <w:rFonts w:ascii="Arial" w:hAnsi="Arial" w:cs="Arial"/>
          <w:bCs/>
        </w:rPr>
      </w:pPr>
      <w:r>
        <w:rPr>
          <w:rFonts w:ascii="Arial" w:hAnsi="Arial" w:cs="Arial"/>
          <w:bCs/>
        </w:rPr>
        <w:t>Financé par le PNUD, c</w:t>
      </w:r>
      <w:r w:rsidRPr="002B4C0A">
        <w:rPr>
          <w:rFonts w:ascii="Arial" w:hAnsi="Arial" w:cs="Arial"/>
          <w:bCs/>
        </w:rPr>
        <w:t>e projet</w:t>
      </w:r>
      <w:r>
        <w:rPr>
          <w:rFonts w:ascii="Arial" w:hAnsi="Arial" w:cs="Arial"/>
          <w:bCs/>
        </w:rPr>
        <w:t xml:space="preserve">, couvrant la période de mise en œuvre du PNDES </w:t>
      </w:r>
      <w:r w:rsidRPr="002B4C0A">
        <w:rPr>
          <w:rFonts w:ascii="Arial" w:hAnsi="Arial" w:cs="Arial"/>
          <w:bCs/>
        </w:rPr>
        <w:t>est conçu pour contribuer à la réalisation de</w:t>
      </w:r>
      <w:r>
        <w:rPr>
          <w:rFonts w:ascii="Arial" w:hAnsi="Arial" w:cs="Arial"/>
          <w:bCs/>
        </w:rPr>
        <w:t xml:space="preserve"> ses </w:t>
      </w:r>
      <w:r w:rsidRPr="002B4C0A">
        <w:rPr>
          <w:rFonts w:ascii="Arial" w:hAnsi="Arial" w:cs="Arial"/>
          <w:bCs/>
        </w:rPr>
        <w:t xml:space="preserve">objectifs </w:t>
      </w:r>
      <w:r>
        <w:rPr>
          <w:rFonts w:ascii="Arial" w:hAnsi="Arial" w:cs="Arial"/>
          <w:bCs/>
        </w:rPr>
        <w:t>à travers</w:t>
      </w:r>
      <w:r w:rsidRPr="002B4C0A">
        <w:rPr>
          <w:rFonts w:ascii="Arial" w:hAnsi="Arial" w:cs="Arial"/>
          <w:bCs/>
        </w:rPr>
        <w:t xml:space="preserve"> quatre volets: la formulation</w:t>
      </w:r>
      <w:r>
        <w:rPr>
          <w:rFonts w:ascii="Arial" w:hAnsi="Arial" w:cs="Arial"/>
          <w:bCs/>
        </w:rPr>
        <w:t>, la mise en œuvre et le suivi</w:t>
      </w:r>
      <w:r w:rsidRPr="002B4C0A">
        <w:rPr>
          <w:rFonts w:ascii="Arial" w:hAnsi="Arial" w:cs="Arial"/>
          <w:bCs/>
        </w:rPr>
        <w:t xml:space="preserve"> de</w:t>
      </w:r>
      <w:r>
        <w:rPr>
          <w:rFonts w:ascii="Arial" w:hAnsi="Arial" w:cs="Arial"/>
          <w:bCs/>
        </w:rPr>
        <w:t>s</w:t>
      </w:r>
      <w:r w:rsidRPr="002B4C0A">
        <w:rPr>
          <w:rFonts w:ascii="Arial" w:hAnsi="Arial" w:cs="Arial"/>
          <w:bCs/>
        </w:rPr>
        <w:t xml:space="preserve"> stratégies, programmes et projets, </w:t>
      </w:r>
      <w:r>
        <w:rPr>
          <w:rFonts w:ascii="Arial" w:hAnsi="Arial" w:cs="Arial"/>
          <w:bCs/>
        </w:rPr>
        <w:t>ainsi que</w:t>
      </w:r>
      <w:r w:rsidRPr="002B4C0A">
        <w:rPr>
          <w:rFonts w:ascii="Arial" w:hAnsi="Arial" w:cs="Arial"/>
          <w:bCs/>
        </w:rPr>
        <w:t xml:space="preserve"> la mobilisation de</w:t>
      </w:r>
      <w:r>
        <w:rPr>
          <w:rFonts w:ascii="Arial" w:hAnsi="Arial" w:cs="Arial"/>
          <w:bCs/>
        </w:rPr>
        <w:t>s</w:t>
      </w:r>
      <w:r w:rsidRPr="002B4C0A">
        <w:rPr>
          <w:rFonts w:ascii="Arial" w:hAnsi="Arial" w:cs="Arial"/>
          <w:bCs/>
        </w:rPr>
        <w:t xml:space="preserve"> ressources pour leur financement.</w:t>
      </w:r>
    </w:p>
    <w:p w:rsidR="00EC1B72" w:rsidRPr="002B4C0A" w:rsidRDefault="00EC1B72" w:rsidP="00EC1B72">
      <w:pPr>
        <w:jc w:val="both"/>
        <w:rPr>
          <w:rFonts w:ascii="Arial" w:hAnsi="Arial" w:cs="Arial"/>
          <w:bCs/>
        </w:rPr>
      </w:pPr>
      <w:r>
        <w:rPr>
          <w:rFonts w:ascii="Arial" w:hAnsi="Arial" w:cs="Arial"/>
          <w:bCs/>
        </w:rPr>
        <w:t xml:space="preserve">Le projet vise à </w:t>
      </w:r>
      <w:r w:rsidRPr="002B4C0A">
        <w:rPr>
          <w:rFonts w:ascii="Arial" w:hAnsi="Arial" w:cs="Arial"/>
          <w:bCs/>
        </w:rPr>
        <w:t xml:space="preserve">améliorer l’efficacité de la mise en œuvre du PNDES. </w:t>
      </w:r>
    </w:p>
    <w:p w:rsidR="00EC1B72" w:rsidRPr="0044141F" w:rsidRDefault="00EC1B72" w:rsidP="008D7758">
      <w:pPr>
        <w:pStyle w:val="Titre4"/>
        <w:numPr>
          <w:ilvl w:val="0"/>
          <w:numId w:val="128"/>
        </w:numPr>
        <w:ind w:left="2205" w:hanging="220"/>
      </w:pPr>
      <w:bookmarkStart w:id="690" w:name="_Toc492972267"/>
      <w:r w:rsidRPr="0044141F">
        <w:t>Les tables rondes sectorielles/transversales</w:t>
      </w:r>
      <w:bookmarkEnd w:id="690"/>
    </w:p>
    <w:p w:rsidR="00EC1B72" w:rsidRDefault="00EC1B72" w:rsidP="00EC1B72">
      <w:pPr>
        <w:tabs>
          <w:tab w:val="left" w:pos="360"/>
          <w:tab w:val="left" w:pos="1890"/>
          <w:tab w:val="left" w:pos="7371"/>
        </w:tabs>
        <w:jc w:val="both"/>
        <w:rPr>
          <w:rFonts w:ascii="Arial" w:hAnsi="Arial" w:cs="Arial"/>
          <w:bCs/>
        </w:rPr>
      </w:pPr>
      <w:r w:rsidRPr="002B4C0A">
        <w:rPr>
          <w:rFonts w:ascii="Arial" w:hAnsi="Arial" w:cs="Arial"/>
          <w:bCs/>
        </w:rPr>
        <w:t xml:space="preserve">Les tables rondes sectorielles/transversales constituent pour le Gouvernement des cadres idoines pour présenter ses politiques, programmes ou plans sectoriels aux Partenaires techniques et financiers afin de solliciter leur adhésion et contribution à leur mise en œuvre. </w:t>
      </w:r>
    </w:p>
    <w:p w:rsidR="00EC1B72" w:rsidRDefault="00EC1B72" w:rsidP="00EC1B72">
      <w:pPr>
        <w:tabs>
          <w:tab w:val="left" w:pos="360"/>
          <w:tab w:val="left" w:pos="1890"/>
          <w:tab w:val="left" w:pos="7371"/>
        </w:tabs>
        <w:jc w:val="both"/>
        <w:rPr>
          <w:rFonts w:ascii="Arial" w:hAnsi="Arial" w:cs="Arial"/>
          <w:bCs/>
        </w:rPr>
      </w:pPr>
      <w:r w:rsidRPr="002B4C0A">
        <w:rPr>
          <w:rFonts w:ascii="Arial" w:hAnsi="Arial" w:cs="Arial"/>
          <w:bCs/>
        </w:rPr>
        <w:t>Ces cadres d’échanges mixtes visent spécifiquement à mener un plaidoyer avec le concours d’un chef de file sectoriel auprès de l’ensemble des PTF intervenant dans le secteur concerné</w:t>
      </w:r>
      <w:r>
        <w:rPr>
          <w:rFonts w:ascii="Arial" w:hAnsi="Arial" w:cs="Arial"/>
          <w:bCs/>
        </w:rPr>
        <w:t>. A cet effet,</w:t>
      </w:r>
      <w:r w:rsidRPr="002B4C0A">
        <w:rPr>
          <w:rFonts w:ascii="Arial" w:hAnsi="Arial" w:cs="Arial"/>
          <w:bCs/>
        </w:rPr>
        <w:t xml:space="preserve"> les priorités, le besoin de financement et le cadre commun à mettre en place </w:t>
      </w:r>
      <w:r>
        <w:rPr>
          <w:rFonts w:ascii="Arial" w:hAnsi="Arial" w:cs="Arial"/>
          <w:bCs/>
        </w:rPr>
        <w:t xml:space="preserve">sont exposés </w:t>
      </w:r>
      <w:r w:rsidRPr="002B4C0A">
        <w:rPr>
          <w:rFonts w:ascii="Arial" w:hAnsi="Arial" w:cs="Arial"/>
          <w:bCs/>
        </w:rPr>
        <w:t>en vue d’une bonne gestion des ressources éventuelles qui seraient mise</w:t>
      </w:r>
      <w:r>
        <w:rPr>
          <w:rFonts w:ascii="Arial" w:hAnsi="Arial" w:cs="Arial"/>
          <w:bCs/>
        </w:rPr>
        <w:t>s</w:t>
      </w:r>
      <w:r w:rsidRPr="002B4C0A">
        <w:rPr>
          <w:rFonts w:ascii="Arial" w:hAnsi="Arial" w:cs="Arial"/>
          <w:bCs/>
        </w:rPr>
        <w:t xml:space="preserve"> à la disposition de la structure requérante. </w:t>
      </w:r>
    </w:p>
    <w:p w:rsidR="00EC1B72" w:rsidRPr="002B4C0A" w:rsidRDefault="00EC1B72" w:rsidP="00EC1B72">
      <w:pPr>
        <w:tabs>
          <w:tab w:val="left" w:pos="360"/>
          <w:tab w:val="left" w:pos="1890"/>
          <w:tab w:val="left" w:pos="7371"/>
        </w:tabs>
        <w:jc w:val="both"/>
        <w:rPr>
          <w:rFonts w:ascii="Arial" w:hAnsi="Arial" w:cs="Arial"/>
          <w:bCs/>
        </w:rPr>
      </w:pPr>
      <w:r w:rsidRPr="002B4C0A">
        <w:rPr>
          <w:rFonts w:ascii="Arial" w:hAnsi="Arial" w:cs="Arial"/>
          <w:bCs/>
        </w:rPr>
        <w:t xml:space="preserve">Après la tenue de la conférence des partenaires pour le financement du PNDES, plusieurs tables rondes sectorielles doivent être organisées </w:t>
      </w:r>
      <w:r>
        <w:rPr>
          <w:rFonts w:ascii="Arial" w:hAnsi="Arial" w:cs="Arial"/>
          <w:bCs/>
        </w:rPr>
        <w:t>pour</w:t>
      </w:r>
      <w:r w:rsidRPr="002B4C0A">
        <w:rPr>
          <w:rFonts w:ascii="Arial" w:hAnsi="Arial" w:cs="Arial"/>
          <w:bCs/>
        </w:rPr>
        <w:t xml:space="preserve"> concrétiser les engagements pris et contribuer diligemment à l’atteinte des obje</w:t>
      </w:r>
      <w:r>
        <w:rPr>
          <w:rFonts w:ascii="Arial" w:hAnsi="Arial" w:cs="Arial"/>
          <w:bCs/>
        </w:rPr>
        <w:t>ctifs fixés dans le référentiel.</w:t>
      </w:r>
    </w:p>
    <w:p w:rsidR="00EC1B72" w:rsidRPr="00E57D12" w:rsidRDefault="00EC1B72" w:rsidP="008D7758">
      <w:pPr>
        <w:pStyle w:val="Titre4"/>
        <w:numPr>
          <w:ilvl w:val="0"/>
          <w:numId w:val="128"/>
        </w:numPr>
        <w:ind w:left="2205" w:hanging="220"/>
      </w:pPr>
      <w:bookmarkStart w:id="691" w:name="_Toc492972268"/>
      <w:r w:rsidRPr="00E57D12">
        <w:t>Mobilisation de l'épargne des Burkinabè de l'extérieur</w:t>
      </w:r>
      <w:bookmarkEnd w:id="691"/>
      <w:r w:rsidRPr="00E57D12">
        <w:t> </w:t>
      </w:r>
    </w:p>
    <w:p w:rsidR="00ED24CE" w:rsidRPr="004316BB" w:rsidRDefault="00EC1B72" w:rsidP="00EC1B72">
      <w:pPr>
        <w:suppressAutoHyphens/>
        <w:autoSpaceDN w:val="0"/>
        <w:spacing w:before="120" w:after="120"/>
        <w:jc w:val="both"/>
        <w:textAlignment w:val="baseline"/>
        <w:rPr>
          <w:rFonts w:ascii="Arial" w:hAnsi="Arial" w:cs="Arial"/>
          <w:bCs/>
        </w:rPr>
      </w:pPr>
      <w:r w:rsidRPr="002B4C0A">
        <w:rPr>
          <w:rFonts w:ascii="Arial" w:hAnsi="Arial" w:cs="Arial"/>
          <w:bCs/>
        </w:rPr>
        <w:t xml:space="preserve">Variable démographique aux implications multisectorielles, la migration peut être un potentiel catalyseur du changement et du développement, en ce qu’elle est un facteur d’enrichissement des économies, de la culture et des valeurs sociales des pays d’origine et </w:t>
      </w:r>
      <w:r w:rsidRPr="007B00BF">
        <w:rPr>
          <w:rFonts w:ascii="Arial" w:hAnsi="Arial" w:cs="Arial"/>
          <w:bCs/>
        </w:rPr>
        <w:t xml:space="preserve">de destination et même de ceux de transit. </w:t>
      </w:r>
      <w:r w:rsidRPr="004316BB">
        <w:rPr>
          <w:rFonts w:ascii="Arial" w:hAnsi="Arial" w:cs="Arial"/>
          <w:bCs/>
        </w:rPr>
        <w:t>Selon les statistiques de la BCEAO</w:t>
      </w:r>
      <w:r w:rsidR="00ED24CE" w:rsidRPr="004316BB">
        <w:rPr>
          <w:rFonts w:ascii="Arial" w:hAnsi="Arial" w:cs="Arial"/>
          <w:bCs/>
        </w:rPr>
        <w:t xml:space="preserve"> (balance des paiements)</w:t>
      </w:r>
      <w:r w:rsidRPr="004316BB">
        <w:rPr>
          <w:rFonts w:ascii="Arial" w:hAnsi="Arial" w:cs="Arial"/>
          <w:bCs/>
        </w:rPr>
        <w:t xml:space="preserve">, le montant total des transferts reçus passant par le circuit formel </w:t>
      </w:r>
      <w:r w:rsidR="00ED24CE" w:rsidRPr="004316BB">
        <w:rPr>
          <w:rFonts w:ascii="Arial" w:hAnsi="Arial" w:cs="Arial"/>
          <w:bCs/>
        </w:rPr>
        <w:t xml:space="preserve">s’élevait à 211,51 milliards de FCFA en 2015 et </w:t>
      </w:r>
      <w:r w:rsidR="004316BB" w:rsidRPr="004316BB">
        <w:rPr>
          <w:rFonts w:ascii="Arial" w:hAnsi="Arial" w:cs="Arial"/>
          <w:bCs/>
        </w:rPr>
        <w:t xml:space="preserve">à </w:t>
      </w:r>
      <w:r w:rsidR="00ED24CE" w:rsidRPr="004316BB">
        <w:rPr>
          <w:rFonts w:ascii="Arial" w:hAnsi="Arial" w:cs="Arial"/>
          <w:bCs/>
        </w:rPr>
        <w:t>218,104 milliards de FCFA en 2016</w:t>
      </w:r>
      <w:r w:rsidR="00CB311E" w:rsidRPr="004316BB">
        <w:rPr>
          <w:rFonts w:ascii="Arial" w:hAnsi="Arial" w:cs="Arial"/>
          <w:bCs/>
        </w:rPr>
        <w:t>.</w:t>
      </w:r>
    </w:p>
    <w:p w:rsidR="00EC1B72" w:rsidRPr="002B4C0A" w:rsidRDefault="00ED24CE" w:rsidP="00EC1B72">
      <w:pPr>
        <w:suppressAutoHyphens/>
        <w:autoSpaceDN w:val="0"/>
        <w:spacing w:before="120" w:after="120"/>
        <w:jc w:val="both"/>
        <w:textAlignment w:val="baseline"/>
        <w:rPr>
          <w:rFonts w:ascii="Arial" w:hAnsi="Arial" w:cs="Arial"/>
          <w:bCs/>
        </w:rPr>
      </w:pPr>
      <w:r>
        <w:rPr>
          <w:rFonts w:ascii="Arial" w:hAnsi="Arial" w:cs="Arial"/>
          <w:bCs/>
        </w:rPr>
        <w:t xml:space="preserve"> </w:t>
      </w:r>
      <w:r w:rsidR="00EC1B72">
        <w:rPr>
          <w:rFonts w:ascii="Arial" w:hAnsi="Arial" w:cs="Arial"/>
          <w:bCs/>
        </w:rPr>
        <w:t>Dans ce sens, l</w:t>
      </w:r>
      <w:r w:rsidR="00EC1B72" w:rsidRPr="002B4C0A">
        <w:rPr>
          <w:rFonts w:ascii="Arial" w:hAnsi="Arial" w:cs="Arial"/>
          <w:bCs/>
        </w:rPr>
        <w:t xml:space="preserve">e </w:t>
      </w:r>
      <w:r w:rsidR="00EC1B72">
        <w:rPr>
          <w:rFonts w:ascii="Arial" w:hAnsi="Arial" w:cs="Arial"/>
          <w:bCs/>
        </w:rPr>
        <w:t>PNDES</w:t>
      </w:r>
      <w:r w:rsidR="00EC1B72" w:rsidRPr="002B4C0A">
        <w:rPr>
          <w:rFonts w:ascii="Arial" w:hAnsi="Arial" w:cs="Arial"/>
          <w:bCs/>
        </w:rPr>
        <w:t xml:space="preserve"> fait des Burkinabè de l’extérieur des acteurs clés de son opérationnalisation. En effet, le niveau de mobilisation des ressources des burkinabè de l’étranger a été estimé à 10% des attentes en 2016. Ainsi, pour capter le maximum de ressources en provenance des Burkinabè de l’étranger</w:t>
      </w:r>
      <w:r w:rsidR="00EC1B72">
        <w:rPr>
          <w:rFonts w:ascii="Arial" w:hAnsi="Arial" w:cs="Arial"/>
          <w:bCs/>
        </w:rPr>
        <w:t xml:space="preserve">, </w:t>
      </w:r>
      <w:r w:rsidR="00EC1B72" w:rsidRPr="002B4C0A">
        <w:rPr>
          <w:rFonts w:ascii="Arial" w:hAnsi="Arial" w:cs="Arial"/>
          <w:bCs/>
        </w:rPr>
        <w:t>les actions suivantes peuvent être prises  par le gouvernement :</w:t>
      </w:r>
    </w:p>
    <w:p w:rsidR="00EC1B72" w:rsidRPr="002B4C0A" w:rsidRDefault="00EC1B72" w:rsidP="00B92B11">
      <w:pPr>
        <w:pStyle w:val="Paragraphedeliste"/>
        <w:numPr>
          <w:ilvl w:val="0"/>
          <w:numId w:val="89"/>
        </w:numPr>
        <w:suppressAutoHyphens/>
        <w:autoSpaceDN w:val="0"/>
        <w:spacing w:before="120" w:after="120"/>
        <w:jc w:val="both"/>
        <w:textAlignment w:val="baseline"/>
        <w:rPr>
          <w:rFonts w:ascii="Arial" w:hAnsi="Arial" w:cs="Arial"/>
          <w:bCs/>
        </w:rPr>
      </w:pPr>
      <w:r w:rsidRPr="002B4C0A">
        <w:rPr>
          <w:rFonts w:ascii="Arial" w:hAnsi="Arial" w:cs="Arial"/>
        </w:rPr>
        <w:t>la promotion au profit des Burkinabè de l’étranger des projets porteurs et des opportunités d’investissement au Burkina Faso ;</w:t>
      </w:r>
    </w:p>
    <w:p w:rsidR="00EC1B72" w:rsidRPr="002B4C0A" w:rsidRDefault="00EC1B72" w:rsidP="00B92B11">
      <w:pPr>
        <w:pStyle w:val="Paragraphedeliste"/>
        <w:numPr>
          <w:ilvl w:val="0"/>
          <w:numId w:val="89"/>
        </w:numPr>
        <w:suppressAutoHyphens/>
        <w:autoSpaceDN w:val="0"/>
        <w:spacing w:before="120" w:after="120"/>
        <w:jc w:val="both"/>
        <w:textAlignment w:val="baseline"/>
        <w:rPr>
          <w:rFonts w:ascii="Arial" w:hAnsi="Arial" w:cs="Arial"/>
          <w:bCs/>
        </w:rPr>
      </w:pPr>
      <w:r w:rsidRPr="002B4C0A">
        <w:rPr>
          <w:rFonts w:ascii="Arial" w:hAnsi="Arial" w:cs="Arial"/>
          <w:bCs/>
        </w:rPr>
        <w:t>l’accompagnement des institutions bancaires du Burkina Faso pour leur implantation dans les pays à forte diaspora burkinabè ;</w:t>
      </w:r>
    </w:p>
    <w:p w:rsidR="00EC1B72" w:rsidRPr="002B4C0A" w:rsidRDefault="00EC1B72" w:rsidP="00B92B11">
      <w:pPr>
        <w:numPr>
          <w:ilvl w:val="0"/>
          <w:numId w:val="89"/>
        </w:numPr>
        <w:suppressAutoHyphens/>
        <w:autoSpaceDN w:val="0"/>
        <w:spacing w:before="120" w:after="120"/>
        <w:jc w:val="both"/>
        <w:textAlignment w:val="baseline"/>
        <w:rPr>
          <w:rFonts w:ascii="Arial" w:hAnsi="Arial" w:cs="Arial"/>
          <w:bCs/>
        </w:rPr>
      </w:pPr>
      <w:r w:rsidRPr="002B4C0A">
        <w:rPr>
          <w:rFonts w:ascii="Arial" w:hAnsi="Arial" w:cs="Arial"/>
          <w:bCs/>
        </w:rPr>
        <w:t>l’accélération de la mise en place de la structure de promotion de l’expertise de la diaspora à l’étranger et au Burkina Faso ;</w:t>
      </w:r>
    </w:p>
    <w:p w:rsidR="00EC1B72" w:rsidRPr="002B4C0A" w:rsidRDefault="00EC1B72" w:rsidP="00B92B11">
      <w:pPr>
        <w:numPr>
          <w:ilvl w:val="0"/>
          <w:numId w:val="89"/>
        </w:numPr>
        <w:suppressAutoHyphens/>
        <w:autoSpaceDN w:val="0"/>
        <w:spacing w:before="120" w:after="120"/>
        <w:jc w:val="both"/>
        <w:textAlignment w:val="baseline"/>
        <w:rPr>
          <w:rFonts w:ascii="Arial" w:hAnsi="Arial" w:cs="Arial"/>
          <w:bCs/>
        </w:rPr>
      </w:pPr>
      <w:r w:rsidRPr="002B4C0A">
        <w:rPr>
          <w:rFonts w:ascii="Arial" w:hAnsi="Arial" w:cs="Arial"/>
          <w:bCs/>
        </w:rPr>
        <w:t>la mise en place d’une structure faitière de la diaspora siégeant au Burkina Faso et collaborant avec les Organisations de Société Civile et les structures étatiques ;</w:t>
      </w:r>
    </w:p>
    <w:p w:rsidR="00EC1B72" w:rsidRPr="002B4C0A" w:rsidRDefault="00EC1B72" w:rsidP="00B92B11">
      <w:pPr>
        <w:numPr>
          <w:ilvl w:val="0"/>
          <w:numId w:val="89"/>
        </w:numPr>
        <w:suppressAutoHyphens/>
        <w:autoSpaceDN w:val="0"/>
        <w:spacing w:before="120" w:after="120"/>
        <w:jc w:val="both"/>
        <w:textAlignment w:val="baseline"/>
        <w:rPr>
          <w:rFonts w:ascii="Arial" w:hAnsi="Arial" w:cs="Arial"/>
          <w:bCs/>
        </w:rPr>
      </w:pPr>
      <w:r>
        <w:rPr>
          <w:rFonts w:ascii="Arial" w:hAnsi="Arial" w:cs="Arial"/>
          <w:bCs/>
        </w:rPr>
        <w:t>la tenue régulière du forum national sur la migration et le d</w:t>
      </w:r>
      <w:r w:rsidRPr="002B4C0A">
        <w:rPr>
          <w:rFonts w:ascii="Arial" w:hAnsi="Arial" w:cs="Arial"/>
          <w:bCs/>
        </w:rPr>
        <w:t>éveloppement au Burkina Faso.</w:t>
      </w:r>
    </w:p>
    <w:p w:rsidR="00EC1B72" w:rsidRPr="00E57D12" w:rsidRDefault="00EC1B72" w:rsidP="008D7758">
      <w:pPr>
        <w:pStyle w:val="Titre2"/>
        <w:numPr>
          <w:ilvl w:val="0"/>
          <w:numId w:val="150"/>
        </w:numPr>
        <w:tabs>
          <w:tab w:val="left" w:pos="993"/>
        </w:tabs>
        <w:ind w:left="709"/>
      </w:pPr>
      <w:bookmarkStart w:id="692" w:name="_Toc445391203"/>
      <w:bookmarkStart w:id="693" w:name="_Toc482270572"/>
      <w:bookmarkStart w:id="694" w:name="_Toc482270647"/>
      <w:bookmarkStart w:id="695" w:name="_Toc482270684"/>
      <w:bookmarkStart w:id="696" w:name="_Toc482271111"/>
      <w:bookmarkStart w:id="697" w:name="_Toc492972269"/>
      <w:r w:rsidRPr="00E57D12">
        <w:lastRenderedPageBreak/>
        <w:t>Recommandations</w:t>
      </w:r>
      <w:bookmarkEnd w:id="692"/>
      <w:bookmarkEnd w:id="693"/>
      <w:bookmarkEnd w:id="694"/>
      <w:bookmarkEnd w:id="695"/>
      <w:bookmarkEnd w:id="696"/>
      <w:bookmarkEnd w:id="697"/>
    </w:p>
    <w:p w:rsidR="00EC1B72" w:rsidRPr="002B4C0A" w:rsidRDefault="00EC1B72" w:rsidP="00EC1B72">
      <w:pPr>
        <w:autoSpaceDE w:val="0"/>
        <w:autoSpaceDN w:val="0"/>
        <w:adjustRightInd w:val="0"/>
        <w:jc w:val="both"/>
        <w:rPr>
          <w:rFonts w:ascii="Arial" w:hAnsi="Arial" w:cs="Arial"/>
        </w:rPr>
      </w:pPr>
      <w:r w:rsidRPr="002B4C0A">
        <w:rPr>
          <w:rFonts w:ascii="Arial" w:hAnsi="Arial" w:cs="Arial"/>
        </w:rPr>
        <w:t xml:space="preserve">Les recommandations sont faites tant à l’endroit du Gouvernement </w:t>
      </w:r>
      <w:r>
        <w:rPr>
          <w:rFonts w:ascii="Arial" w:hAnsi="Arial" w:cs="Arial"/>
        </w:rPr>
        <w:t>et de ses partenaires au développement</w:t>
      </w:r>
      <w:r w:rsidRPr="002B4C0A">
        <w:rPr>
          <w:rFonts w:ascii="Arial" w:hAnsi="Arial" w:cs="Arial"/>
        </w:rPr>
        <w:t>.</w:t>
      </w:r>
    </w:p>
    <w:p w:rsidR="00EC1B72" w:rsidRPr="00E57D12" w:rsidRDefault="00EC1B72" w:rsidP="008D7758">
      <w:pPr>
        <w:pStyle w:val="Titre3"/>
        <w:numPr>
          <w:ilvl w:val="0"/>
          <w:numId w:val="152"/>
        </w:numPr>
        <w:ind w:left="993"/>
      </w:pPr>
      <w:bookmarkStart w:id="698" w:name="_Toc445391204"/>
      <w:bookmarkStart w:id="699" w:name="_Toc482270573"/>
      <w:bookmarkStart w:id="700" w:name="_Toc482270648"/>
      <w:bookmarkStart w:id="701" w:name="_Toc482270685"/>
      <w:bookmarkStart w:id="702" w:name="_Toc482271112"/>
      <w:bookmarkStart w:id="703" w:name="_Toc492972270"/>
      <w:r w:rsidRPr="00E57D12">
        <w:t>Au Gouvernement</w:t>
      </w:r>
      <w:bookmarkEnd w:id="698"/>
      <w:bookmarkEnd w:id="699"/>
      <w:bookmarkEnd w:id="700"/>
      <w:bookmarkEnd w:id="701"/>
      <w:bookmarkEnd w:id="702"/>
      <w:bookmarkEnd w:id="703"/>
    </w:p>
    <w:p w:rsidR="00EC1B72" w:rsidRPr="002B4C0A" w:rsidRDefault="00EC1B72" w:rsidP="00EC1B72">
      <w:pPr>
        <w:jc w:val="both"/>
        <w:rPr>
          <w:rFonts w:ascii="Arial" w:hAnsi="Arial" w:cs="Arial"/>
        </w:rPr>
      </w:pPr>
      <w:bookmarkStart w:id="704" w:name="_Toc445391205"/>
      <w:r w:rsidRPr="002B4C0A">
        <w:rPr>
          <w:rFonts w:ascii="Arial" w:hAnsi="Arial" w:cs="Arial"/>
        </w:rPr>
        <w:t xml:space="preserve">Le succès dans la réalisation </w:t>
      </w:r>
      <w:r>
        <w:rPr>
          <w:rFonts w:ascii="Arial" w:hAnsi="Arial" w:cs="Arial"/>
        </w:rPr>
        <w:t>des</w:t>
      </w:r>
      <w:r w:rsidRPr="002B4C0A">
        <w:rPr>
          <w:rFonts w:ascii="Arial" w:hAnsi="Arial" w:cs="Arial"/>
        </w:rPr>
        <w:t xml:space="preserve"> objectifs de développement dépendra de </w:t>
      </w:r>
      <w:r>
        <w:rPr>
          <w:rFonts w:ascii="Arial" w:hAnsi="Arial" w:cs="Arial"/>
        </w:rPr>
        <w:t>l’</w:t>
      </w:r>
      <w:r w:rsidRPr="002B4C0A">
        <w:rPr>
          <w:rFonts w:ascii="Arial" w:hAnsi="Arial" w:cs="Arial"/>
        </w:rPr>
        <w:t xml:space="preserve">efficacité </w:t>
      </w:r>
      <w:r>
        <w:rPr>
          <w:rFonts w:ascii="Arial" w:hAnsi="Arial" w:cs="Arial"/>
        </w:rPr>
        <w:t xml:space="preserve">du gouvernement </w:t>
      </w:r>
      <w:r w:rsidRPr="002B4C0A">
        <w:rPr>
          <w:rFonts w:ascii="Arial" w:hAnsi="Arial" w:cs="Arial"/>
        </w:rPr>
        <w:t>dans la prise en charge d’un certain nombre de défis. Aussi, dépend-t-il de la volonté des autorités et de l’implication de tous les acteurs au niveau national: A cet effet, les recommandations suivantes peuvent être formulées à l’endroit du Gouvernement :</w:t>
      </w:r>
    </w:p>
    <w:p w:rsidR="00EC1B72" w:rsidRPr="002B4C0A" w:rsidRDefault="00EC1B72" w:rsidP="00B92B11">
      <w:pPr>
        <w:pStyle w:val="Paragraphedeliste"/>
        <w:numPr>
          <w:ilvl w:val="0"/>
          <w:numId w:val="93"/>
        </w:numPr>
        <w:spacing w:after="0"/>
        <w:jc w:val="both"/>
        <w:rPr>
          <w:rFonts w:ascii="Arial" w:hAnsi="Arial" w:cs="Arial"/>
        </w:rPr>
      </w:pPr>
      <w:r w:rsidRPr="002B4C0A">
        <w:rPr>
          <w:rFonts w:ascii="Arial" w:hAnsi="Arial" w:cs="Arial"/>
        </w:rPr>
        <w:t>améliorer le taux de pression fiscale à travers l’élargissement de l’assiette fiscale (fiscalisation du secteur agricole, lutte contre la fraude fiscale et douanière, sensibilisation sur le civisme fiscal) ;</w:t>
      </w:r>
    </w:p>
    <w:p w:rsidR="00EC1B72" w:rsidRPr="002B4C0A" w:rsidRDefault="00EC1B72" w:rsidP="00B92B11">
      <w:pPr>
        <w:pStyle w:val="Paragraphedeliste"/>
        <w:numPr>
          <w:ilvl w:val="0"/>
          <w:numId w:val="93"/>
        </w:numPr>
        <w:spacing w:after="0"/>
        <w:jc w:val="both"/>
        <w:rPr>
          <w:rFonts w:ascii="Arial" w:hAnsi="Arial" w:cs="Arial"/>
        </w:rPr>
      </w:pPr>
      <w:r w:rsidRPr="002B4C0A">
        <w:rPr>
          <w:rFonts w:ascii="Arial" w:hAnsi="Arial" w:cs="Arial"/>
        </w:rPr>
        <w:t>élaborer et mettre en œuvre une stratégie de mobilisation de l’épargne des burkinabè de l’étranger ;</w:t>
      </w:r>
    </w:p>
    <w:p w:rsidR="00EC1B72" w:rsidRPr="002B4C0A" w:rsidRDefault="00EC1B72" w:rsidP="00B92B11">
      <w:pPr>
        <w:pStyle w:val="Paragraphedeliste"/>
        <w:numPr>
          <w:ilvl w:val="0"/>
          <w:numId w:val="93"/>
        </w:numPr>
        <w:spacing w:after="0"/>
        <w:jc w:val="both"/>
        <w:rPr>
          <w:rFonts w:ascii="Arial" w:hAnsi="Arial" w:cs="Arial"/>
        </w:rPr>
      </w:pPr>
      <w:r w:rsidRPr="002B4C0A">
        <w:rPr>
          <w:rFonts w:ascii="Arial" w:hAnsi="Arial" w:cs="Arial"/>
        </w:rPr>
        <w:t>intensifier les mesures sécuritaires (sécurité intérieure et aux frontières, coopération transfrontalière des services de sécurité…)</w:t>
      </w:r>
      <w:r>
        <w:rPr>
          <w:rFonts w:ascii="Arial" w:hAnsi="Arial" w:cs="Arial"/>
        </w:rPr>
        <w:t> ;</w:t>
      </w:r>
    </w:p>
    <w:p w:rsidR="00EC1B72" w:rsidRPr="002B4C0A" w:rsidRDefault="00EC1B72" w:rsidP="00B92B11">
      <w:pPr>
        <w:pStyle w:val="Paragraphedeliste"/>
        <w:numPr>
          <w:ilvl w:val="0"/>
          <w:numId w:val="93"/>
        </w:numPr>
        <w:spacing w:after="0"/>
        <w:jc w:val="both"/>
        <w:rPr>
          <w:rFonts w:ascii="Arial" w:hAnsi="Arial" w:cs="Arial"/>
        </w:rPr>
      </w:pPr>
      <w:r w:rsidRPr="002B4C0A">
        <w:rPr>
          <w:rFonts w:ascii="Arial" w:hAnsi="Arial" w:cs="Arial"/>
        </w:rPr>
        <w:t>élargir la coopération avec de nouveaux partenaires</w:t>
      </w:r>
      <w:r>
        <w:rPr>
          <w:rFonts w:ascii="Arial" w:hAnsi="Arial" w:cs="Arial"/>
        </w:rPr>
        <w:t> ;</w:t>
      </w:r>
    </w:p>
    <w:p w:rsidR="00EC1B72" w:rsidRPr="00155113" w:rsidRDefault="00EC1B72" w:rsidP="00B92B11">
      <w:pPr>
        <w:pStyle w:val="Paragraphedeliste"/>
        <w:numPr>
          <w:ilvl w:val="0"/>
          <w:numId w:val="93"/>
        </w:numPr>
        <w:spacing w:after="0"/>
        <w:jc w:val="both"/>
        <w:rPr>
          <w:rFonts w:ascii="Arial" w:hAnsi="Arial" w:cs="Arial"/>
        </w:rPr>
      </w:pPr>
      <w:r w:rsidRPr="002B4C0A">
        <w:rPr>
          <w:rFonts w:ascii="Arial" w:hAnsi="Arial" w:cs="Arial"/>
        </w:rPr>
        <w:t>renforcer la bonne gouvernance économique en luttant eff</w:t>
      </w:r>
      <w:r>
        <w:rPr>
          <w:rFonts w:ascii="Arial" w:hAnsi="Arial" w:cs="Arial"/>
        </w:rPr>
        <w:t>icacement contre la corruption.</w:t>
      </w:r>
    </w:p>
    <w:p w:rsidR="00EC1B72" w:rsidRPr="00E57D12" w:rsidRDefault="00EC1B72" w:rsidP="008D7758">
      <w:pPr>
        <w:pStyle w:val="Titre3"/>
        <w:numPr>
          <w:ilvl w:val="0"/>
          <w:numId w:val="152"/>
        </w:numPr>
        <w:ind w:left="1276" w:hanging="709"/>
      </w:pPr>
      <w:bookmarkStart w:id="705" w:name="_Toc482270574"/>
      <w:bookmarkStart w:id="706" w:name="_Toc482270649"/>
      <w:bookmarkStart w:id="707" w:name="_Toc482270686"/>
      <w:bookmarkStart w:id="708" w:name="_Toc482271113"/>
      <w:bookmarkStart w:id="709" w:name="_Toc492972271"/>
      <w:r w:rsidRPr="00E57D12">
        <w:t>Aux partenaires techniques et financiers et autres acteurs de développement</w:t>
      </w:r>
      <w:bookmarkEnd w:id="704"/>
      <w:bookmarkEnd w:id="705"/>
      <w:bookmarkEnd w:id="706"/>
      <w:bookmarkEnd w:id="707"/>
      <w:bookmarkEnd w:id="708"/>
      <w:bookmarkEnd w:id="709"/>
    </w:p>
    <w:p w:rsidR="00EC1B72" w:rsidRPr="0044141F" w:rsidRDefault="00EC1B72" w:rsidP="008D7758">
      <w:pPr>
        <w:pStyle w:val="Titre4"/>
        <w:numPr>
          <w:ilvl w:val="0"/>
          <w:numId w:val="129"/>
        </w:numPr>
        <w:ind w:left="2205" w:hanging="220"/>
      </w:pPr>
      <w:bookmarkStart w:id="710" w:name="_Toc492972272"/>
      <w:r w:rsidRPr="0044141F">
        <w:t>Aux partenaires techniques et financiers</w:t>
      </w:r>
      <w:bookmarkEnd w:id="710"/>
    </w:p>
    <w:p w:rsidR="00EC1B72" w:rsidRPr="002B4C0A" w:rsidRDefault="00EC1B72" w:rsidP="00EC1B72">
      <w:pPr>
        <w:jc w:val="both"/>
        <w:rPr>
          <w:rFonts w:ascii="Arial" w:hAnsi="Arial" w:cs="Arial"/>
          <w:bCs/>
        </w:rPr>
      </w:pPr>
      <w:bookmarkStart w:id="711" w:name="_Toc456780220"/>
      <w:r w:rsidRPr="002B4C0A">
        <w:rPr>
          <w:rFonts w:ascii="Arial" w:hAnsi="Arial" w:cs="Arial"/>
          <w:bCs/>
        </w:rPr>
        <w:t>Les Partenaires techniques et financiers accompagnent le Gouvernement dans la réalisation de ses actions de développement à travers diverses formes d’appuis que sont, le financement des PPD, l’aide budgétaire, l’expertise technique et les appuis en nature. Pour un accompagnement efficace, ils devraient :</w:t>
      </w:r>
      <w:bookmarkEnd w:id="711"/>
    </w:p>
    <w:p w:rsidR="00EC1B72" w:rsidRPr="002B4C0A" w:rsidRDefault="00EC1B72" w:rsidP="00B92B11">
      <w:pPr>
        <w:pStyle w:val="Paragraphedeliste"/>
        <w:numPr>
          <w:ilvl w:val="0"/>
          <w:numId w:val="90"/>
        </w:numPr>
        <w:spacing w:after="0"/>
        <w:jc w:val="both"/>
        <w:rPr>
          <w:rFonts w:ascii="Arial" w:hAnsi="Arial" w:cs="Arial"/>
          <w:bCs/>
        </w:rPr>
      </w:pPr>
      <w:r>
        <w:rPr>
          <w:rFonts w:ascii="Arial" w:hAnsi="Arial" w:cs="Arial"/>
          <w:bCs/>
        </w:rPr>
        <w:t>r</w:t>
      </w:r>
      <w:r w:rsidRPr="002B4C0A">
        <w:rPr>
          <w:rFonts w:ascii="Arial" w:hAnsi="Arial" w:cs="Arial"/>
          <w:bCs/>
        </w:rPr>
        <w:t>especter</w:t>
      </w:r>
      <w:r>
        <w:rPr>
          <w:rFonts w:ascii="Arial" w:hAnsi="Arial" w:cs="Arial"/>
          <w:bCs/>
        </w:rPr>
        <w:t xml:space="preserve"> </w:t>
      </w:r>
      <w:r w:rsidRPr="002B4C0A">
        <w:rPr>
          <w:rFonts w:ascii="Arial" w:hAnsi="Arial" w:cs="Arial"/>
          <w:bCs/>
        </w:rPr>
        <w:t>l’engagement</w:t>
      </w:r>
      <w:r>
        <w:rPr>
          <w:rFonts w:ascii="Arial" w:hAnsi="Arial" w:cs="Arial"/>
          <w:bCs/>
        </w:rPr>
        <w:t xml:space="preserve"> </w:t>
      </w:r>
      <w:r w:rsidRPr="002B4C0A">
        <w:rPr>
          <w:rFonts w:ascii="Arial" w:hAnsi="Arial" w:cs="Arial"/>
          <w:bCs/>
        </w:rPr>
        <w:t xml:space="preserve">de fournir </w:t>
      </w:r>
      <w:r>
        <w:rPr>
          <w:rFonts w:ascii="Arial" w:hAnsi="Arial" w:cs="Arial"/>
          <w:bCs/>
        </w:rPr>
        <w:t>au moins 1</w:t>
      </w:r>
      <w:r w:rsidRPr="002B4C0A">
        <w:rPr>
          <w:rFonts w:ascii="Arial" w:hAnsi="Arial" w:cs="Arial"/>
          <w:bCs/>
        </w:rPr>
        <w:t>% de leur RNB comme aide au développement aux pays en développement ;</w:t>
      </w:r>
    </w:p>
    <w:p w:rsidR="00EC1B72" w:rsidRPr="002B4C0A" w:rsidRDefault="00EC1B72" w:rsidP="00B92B11">
      <w:pPr>
        <w:pStyle w:val="Paragraphedeliste"/>
        <w:numPr>
          <w:ilvl w:val="0"/>
          <w:numId w:val="90"/>
        </w:numPr>
        <w:spacing w:after="0"/>
        <w:jc w:val="both"/>
        <w:rPr>
          <w:rFonts w:ascii="Arial" w:hAnsi="Arial" w:cs="Arial"/>
          <w:bCs/>
        </w:rPr>
      </w:pPr>
      <w:r w:rsidRPr="002B4C0A">
        <w:rPr>
          <w:rFonts w:ascii="Arial" w:hAnsi="Arial" w:cs="Arial"/>
          <w:bCs/>
        </w:rPr>
        <w:t>s’aligner sur les systèmes nationaux de gestion des finances publiques ;</w:t>
      </w:r>
    </w:p>
    <w:p w:rsidR="00EC1B72" w:rsidRPr="002B4C0A" w:rsidRDefault="00EC1B72" w:rsidP="004277C1">
      <w:pPr>
        <w:pStyle w:val="Paragraphedeliste"/>
        <w:numPr>
          <w:ilvl w:val="0"/>
          <w:numId w:val="31"/>
        </w:numPr>
        <w:autoSpaceDE w:val="0"/>
        <w:autoSpaceDN w:val="0"/>
        <w:adjustRightInd w:val="0"/>
        <w:spacing w:after="0"/>
        <w:jc w:val="both"/>
        <w:rPr>
          <w:rFonts w:ascii="Arial" w:hAnsi="Arial" w:cs="Arial"/>
          <w:bCs/>
        </w:rPr>
      </w:pPr>
      <w:r w:rsidRPr="002B4C0A">
        <w:rPr>
          <w:rFonts w:ascii="Arial" w:hAnsi="Arial" w:cs="Arial"/>
          <w:bCs/>
        </w:rPr>
        <w:t>contribuer à améliorer la mobilisation des ressources intérieures par un renforcement des capacités en la matière ;</w:t>
      </w:r>
    </w:p>
    <w:p w:rsidR="00EC1B72" w:rsidRPr="002B4C0A" w:rsidRDefault="00EC1B72" w:rsidP="004277C1">
      <w:pPr>
        <w:pStyle w:val="Paragraphedeliste"/>
        <w:numPr>
          <w:ilvl w:val="0"/>
          <w:numId w:val="31"/>
        </w:numPr>
        <w:autoSpaceDE w:val="0"/>
        <w:autoSpaceDN w:val="0"/>
        <w:adjustRightInd w:val="0"/>
        <w:spacing w:after="0"/>
        <w:jc w:val="both"/>
        <w:rPr>
          <w:rFonts w:ascii="Arial" w:hAnsi="Arial" w:cs="Arial"/>
          <w:bCs/>
        </w:rPr>
      </w:pPr>
      <w:r w:rsidRPr="002B4C0A">
        <w:rPr>
          <w:rFonts w:ascii="Arial" w:hAnsi="Arial" w:cs="Arial"/>
          <w:bCs/>
        </w:rPr>
        <w:t>privilégier les appuis budgétaires;</w:t>
      </w:r>
    </w:p>
    <w:p w:rsidR="00EC1B72" w:rsidRPr="002B4C0A" w:rsidRDefault="00EC1B72" w:rsidP="004277C1">
      <w:pPr>
        <w:pStyle w:val="Paragraphedeliste"/>
        <w:numPr>
          <w:ilvl w:val="0"/>
          <w:numId w:val="31"/>
        </w:numPr>
        <w:autoSpaceDE w:val="0"/>
        <w:autoSpaceDN w:val="0"/>
        <w:adjustRightInd w:val="0"/>
        <w:spacing w:after="0"/>
        <w:jc w:val="both"/>
        <w:rPr>
          <w:rFonts w:ascii="Arial" w:hAnsi="Arial" w:cs="Arial"/>
          <w:bCs/>
        </w:rPr>
      </w:pPr>
      <w:r w:rsidRPr="002B4C0A">
        <w:rPr>
          <w:rFonts w:ascii="Arial" w:hAnsi="Arial" w:cs="Arial"/>
          <w:bCs/>
        </w:rPr>
        <w:t>améliorer la prévisibilité de l’aide ;</w:t>
      </w:r>
    </w:p>
    <w:p w:rsidR="00EC1B72" w:rsidRPr="002B4C0A" w:rsidRDefault="00EC1B72" w:rsidP="004277C1">
      <w:pPr>
        <w:pStyle w:val="Paragraphedeliste"/>
        <w:numPr>
          <w:ilvl w:val="0"/>
          <w:numId w:val="31"/>
        </w:numPr>
        <w:autoSpaceDE w:val="0"/>
        <w:autoSpaceDN w:val="0"/>
        <w:adjustRightInd w:val="0"/>
        <w:spacing w:after="0"/>
        <w:jc w:val="both"/>
        <w:rPr>
          <w:rFonts w:ascii="Arial" w:hAnsi="Arial" w:cs="Arial"/>
          <w:bCs/>
        </w:rPr>
      </w:pPr>
      <w:r w:rsidRPr="002B4C0A">
        <w:rPr>
          <w:rFonts w:ascii="Arial" w:hAnsi="Arial" w:cs="Arial"/>
          <w:bCs/>
        </w:rPr>
        <w:t>recourir aux approches conjointes de financement y compris la mise en œuvre des principes de la division du travail et la complémentarité</w:t>
      </w:r>
      <w:bookmarkStart w:id="712" w:name="_Toc459122918"/>
      <w:r w:rsidRPr="002B4C0A">
        <w:rPr>
          <w:rFonts w:ascii="Arial" w:hAnsi="Arial" w:cs="Arial"/>
          <w:bCs/>
        </w:rPr>
        <w:t>.</w:t>
      </w:r>
    </w:p>
    <w:p w:rsidR="00EC1B72" w:rsidRPr="00E14ABA" w:rsidRDefault="00EC1B72" w:rsidP="008D7758">
      <w:pPr>
        <w:pStyle w:val="Titre4"/>
        <w:numPr>
          <w:ilvl w:val="0"/>
          <w:numId w:val="129"/>
        </w:numPr>
        <w:ind w:left="2205" w:hanging="220"/>
      </w:pPr>
      <w:bookmarkStart w:id="713" w:name="_Toc492972273"/>
      <w:r w:rsidRPr="00E14ABA">
        <w:t>A la société civile</w:t>
      </w:r>
      <w:bookmarkEnd w:id="712"/>
      <w:bookmarkEnd w:id="713"/>
    </w:p>
    <w:p w:rsidR="00EC1B72" w:rsidRPr="002B4C0A" w:rsidRDefault="00EC1B72" w:rsidP="00EC1B72">
      <w:pPr>
        <w:tabs>
          <w:tab w:val="left" w:pos="540"/>
        </w:tabs>
        <w:jc w:val="both"/>
        <w:rPr>
          <w:rFonts w:ascii="Arial" w:hAnsi="Arial" w:cs="Arial"/>
          <w:bCs/>
        </w:rPr>
      </w:pPr>
      <w:r w:rsidRPr="002B4C0A">
        <w:rPr>
          <w:rFonts w:ascii="Arial" w:hAnsi="Arial" w:cs="Arial"/>
          <w:bCs/>
        </w:rPr>
        <w:t>Les Organisations de la Société Civile contribuent à la promotion de la démocratie et à la lutte contre la pauvreté et la corruption. Dans cette dynamique, elles sont interpellées à:</w:t>
      </w:r>
    </w:p>
    <w:p w:rsidR="00EC1B72" w:rsidRPr="002B4C0A" w:rsidRDefault="00EC1B72" w:rsidP="004277C1">
      <w:pPr>
        <w:pStyle w:val="Paragraphedeliste"/>
        <w:numPr>
          <w:ilvl w:val="0"/>
          <w:numId w:val="31"/>
        </w:numPr>
        <w:autoSpaceDE w:val="0"/>
        <w:autoSpaceDN w:val="0"/>
        <w:adjustRightInd w:val="0"/>
        <w:spacing w:after="0"/>
        <w:jc w:val="both"/>
        <w:rPr>
          <w:rFonts w:ascii="Arial" w:hAnsi="Arial" w:cs="Arial"/>
          <w:bCs/>
        </w:rPr>
      </w:pPr>
      <w:r w:rsidRPr="002B4C0A">
        <w:rPr>
          <w:rFonts w:ascii="Arial" w:hAnsi="Arial" w:cs="Arial"/>
          <w:bCs/>
        </w:rPr>
        <w:t>jouer leur rôle de veille et de contrôle citoyen dans la mise en œuvre des politiques publiques ;</w:t>
      </w:r>
    </w:p>
    <w:p w:rsidR="00EC1B72" w:rsidRPr="002B4C0A" w:rsidRDefault="00EC1B72" w:rsidP="004277C1">
      <w:pPr>
        <w:pStyle w:val="Paragraphedeliste"/>
        <w:numPr>
          <w:ilvl w:val="0"/>
          <w:numId w:val="31"/>
        </w:numPr>
        <w:autoSpaceDE w:val="0"/>
        <w:autoSpaceDN w:val="0"/>
        <w:adjustRightInd w:val="0"/>
        <w:spacing w:after="0"/>
        <w:jc w:val="both"/>
        <w:rPr>
          <w:rFonts w:ascii="Arial" w:hAnsi="Arial" w:cs="Arial"/>
          <w:bCs/>
        </w:rPr>
      </w:pPr>
      <w:r w:rsidRPr="002B4C0A">
        <w:rPr>
          <w:rFonts w:ascii="Arial" w:hAnsi="Arial" w:cs="Arial"/>
          <w:bCs/>
        </w:rPr>
        <w:t>sensibiliser le public sur les engagements contractés au niveau national et local et mettre l’accent sur les progrès et difficultés rencontrées dans la mise en œuvre ;</w:t>
      </w:r>
    </w:p>
    <w:p w:rsidR="00EC1B72" w:rsidRPr="002B4C0A" w:rsidRDefault="00EC1B72" w:rsidP="004277C1">
      <w:pPr>
        <w:pStyle w:val="Paragraphedeliste"/>
        <w:numPr>
          <w:ilvl w:val="0"/>
          <w:numId w:val="31"/>
        </w:numPr>
        <w:autoSpaceDE w:val="0"/>
        <w:autoSpaceDN w:val="0"/>
        <w:adjustRightInd w:val="0"/>
        <w:spacing w:after="0"/>
        <w:jc w:val="both"/>
        <w:rPr>
          <w:rFonts w:ascii="Arial" w:hAnsi="Arial" w:cs="Arial"/>
          <w:bCs/>
        </w:rPr>
      </w:pPr>
      <w:r w:rsidRPr="002B4C0A">
        <w:rPr>
          <w:rFonts w:ascii="Arial" w:hAnsi="Arial" w:cs="Arial"/>
          <w:bCs/>
        </w:rPr>
        <w:t>accompagner davantage le Gouvernement dans le financement des actions de développement.</w:t>
      </w:r>
      <w:bookmarkStart w:id="714" w:name="_Toc459122919"/>
    </w:p>
    <w:p w:rsidR="00EC1B72" w:rsidRPr="00E14ABA" w:rsidRDefault="00EC1B72" w:rsidP="008D7758">
      <w:pPr>
        <w:pStyle w:val="Titre4"/>
        <w:numPr>
          <w:ilvl w:val="0"/>
          <w:numId w:val="129"/>
        </w:numPr>
        <w:ind w:left="2205" w:hanging="220"/>
      </w:pPr>
      <w:bookmarkStart w:id="715" w:name="_Toc492972274"/>
      <w:r w:rsidRPr="00E14ABA">
        <w:lastRenderedPageBreak/>
        <w:t>Au secteur privé</w:t>
      </w:r>
      <w:bookmarkEnd w:id="714"/>
      <w:bookmarkEnd w:id="715"/>
    </w:p>
    <w:p w:rsidR="00EC1B72" w:rsidRPr="002B4C0A" w:rsidRDefault="00EC1B72" w:rsidP="00EC1B72">
      <w:pPr>
        <w:jc w:val="both"/>
        <w:rPr>
          <w:rFonts w:ascii="Arial" w:hAnsi="Arial" w:cs="Arial"/>
          <w:bCs/>
        </w:rPr>
      </w:pPr>
      <w:r w:rsidRPr="002B4C0A">
        <w:rPr>
          <w:rFonts w:ascii="Arial" w:hAnsi="Arial" w:cs="Arial"/>
          <w:bCs/>
        </w:rPr>
        <w:t>Le secteur privé est un acteur important dans le développement de l’économie d’un pays. A cet effet, il est appelé à jouer pleinement son rôle de moteur de l’économie à travers la promotion de l’innovation, et la création de richesses,</w:t>
      </w:r>
      <w:r>
        <w:rPr>
          <w:rFonts w:ascii="Arial" w:hAnsi="Arial" w:cs="Arial"/>
          <w:bCs/>
        </w:rPr>
        <w:t xml:space="preserve"> </w:t>
      </w:r>
      <w:r w:rsidRPr="002B4C0A">
        <w:rPr>
          <w:rFonts w:ascii="Arial" w:hAnsi="Arial" w:cs="Arial"/>
          <w:bCs/>
        </w:rPr>
        <w:t>de revenus et d’emploi. Par conséquent, les acteurs de ce secteur doivent s’approprier les politiques publiques et partant, accompagner le Gouvernement dans le financement des actions de développement par le biais du partenariat public-privé. </w:t>
      </w:r>
    </w:p>
    <w:p w:rsidR="00EC1B72" w:rsidRPr="00E14ABA" w:rsidRDefault="00EC1B72" w:rsidP="008D7758">
      <w:pPr>
        <w:pStyle w:val="Titre4"/>
        <w:numPr>
          <w:ilvl w:val="0"/>
          <w:numId w:val="129"/>
        </w:numPr>
        <w:ind w:left="2205" w:hanging="220"/>
      </w:pPr>
      <w:bookmarkStart w:id="716" w:name="_Toc492972275"/>
      <w:r w:rsidRPr="00E14ABA">
        <w:t>A la Diaspora burkinabè</w:t>
      </w:r>
      <w:bookmarkEnd w:id="716"/>
    </w:p>
    <w:p w:rsidR="00EC1B72" w:rsidRPr="002B4C0A" w:rsidRDefault="00EC1B72" w:rsidP="00EC1B72">
      <w:pPr>
        <w:jc w:val="both"/>
        <w:rPr>
          <w:rFonts w:ascii="Arial" w:hAnsi="Arial" w:cs="Arial"/>
          <w:bCs/>
        </w:rPr>
      </w:pPr>
      <w:r w:rsidRPr="002B4C0A">
        <w:rPr>
          <w:rFonts w:ascii="Arial" w:hAnsi="Arial" w:cs="Arial"/>
          <w:bCs/>
        </w:rPr>
        <w:t xml:space="preserve">En vue de contribuer au financement du PNDES, la diaspora burkinabè doit :  </w:t>
      </w:r>
    </w:p>
    <w:p w:rsidR="00EC1B72" w:rsidRPr="002B4C0A" w:rsidRDefault="00EC1B72" w:rsidP="00B92B11">
      <w:pPr>
        <w:pStyle w:val="Paragraphedeliste"/>
        <w:numPr>
          <w:ilvl w:val="0"/>
          <w:numId w:val="91"/>
        </w:numPr>
        <w:spacing w:after="0"/>
        <w:jc w:val="both"/>
        <w:rPr>
          <w:rFonts w:ascii="Arial" w:hAnsi="Arial" w:cs="Arial"/>
          <w:bCs/>
        </w:rPr>
      </w:pPr>
      <w:r w:rsidRPr="002B4C0A">
        <w:rPr>
          <w:rFonts w:ascii="Arial" w:hAnsi="Arial" w:cs="Arial"/>
          <w:bCs/>
        </w:rPr>
        <w:t>sécuriser leurs ressources en les investissant au Burkina Faso ;</w:t>
      </w:r>
    </w:p>
    <w:p w:rsidR="00EC1B72" w:rsidRPr="002B4C0A" w:rsidRDefault="00EC1B72" w:rsidP="00B92B11">
      <w:pPr>
        <w:pStyle w:val="Paragraphedeliste"/>
        <w:numPr>
          <w:ilvl w:val="0"/>
          <w:numId w:val="91"/>
        </w:numPr>
        <w:spacing w:after="0"/>
        <w:jc w:val="both"/>
        <w:rPr>
          <w:rFonts w:ascii="Arial" w:hAnsi="Arial" w:cs="Arial"/>
          <w:bCs/>
        </w:rPr>
      </w:pPr>
      <w:r w:rsidRPr="002B4C0A">
        <w:rPr>
          <w:rFonts w:ascii="Arial" w:hAnsi="Arial" w:cs="Arial"/>
          <w:bCs/>
        </w:rPr>
        <w:t>dupliquer dans leur pays d’origine les bonnes expériences de progrès économique, social et culturel vécues dans les pays d’accueil ;</w:t>
      </w:r>
    </w:p>
    <w:p w:rsidR="00AD1BCE" w:rsidRPr="00E14ABA" w:rsidRDefault="00EC1B72" w:rsidP="00B92B11">
      <w:pPr>
        <w:pStyle w:val="Paragraphedeliste"/>
        <w:numPr>
          <w:ilvl w:val="0"/>
          <w:numId w:val="91"/>
        </w:numPr>
        <w:spacing w:after="0"/>
        <w:jc w:val="both"/>
        <w:rPr>
          <w:rFonts w:ascii="Arial" w:hAnsi="Arial" w:cs="Arial"/>
          <w:bCs/>
        </w:rPr>
      </w:pPr>
      <w:r w:rsidRPr="002B4C0A">
        <w:rPr>
          <w:rFonts w:ascii="Arial" w:hAnsi="Arial" w:cs="Arial"/>
          <w:bCs/>
        </w:rPr>
        <w:t>s’inspirer des expériences réussies dans une diaspora pour les dupliquer ailleurs.</w:t>
      </w:r>
    </w:p>
    <w:p w:rsidR="00A70C62" w:rsidRDefault="00A70C62">
      <w:pPr>
        <w:spacing w:after="0" w:line="240" w:lineRule="auto"/>
        <w:rPr>
          <w:rFonts w:ascii="Arial" w:hAnsi="Arial" w:cs="Arial"/>
          <w:b/>
        </w:rPr>
      </w:pPr>
      <w:r>
        <w:rPr>
          <w:rFonts w:ascii="Arial" w:hAnsi="Arial" w:cs="Arial"/>
          <w:b/>
        </w:rPr>
        <w:br w:type="page"/>
      </w:r>
    </w:p>
    <w:p w:rsidR="00EC1B72" w:rsidRPr="009016A3" w:rsidRDefault="00EC1B72" w:rsidP="009016A3">
      <w:pPr>
        <w:pStyle w:val="Titre1"/>
        <w:jc w:val="center"/>
        <w:rPr>
          <w:lang w:eastAsia="fr-FR"/>
        </w:rPr>
      </w:pPr>
      <w:bookmarkStart w:id="717" w:name="_Toc492972276"/>
      <w:r w:rsidRPr="009016A3">
        <w:rPr>
          <w:lang w:eastAsia="fr-FR"/>
        </w:rPr>
        <w:lastRenderedPageBreak/>
        <w:t>CONCLUSION</w:t>
      </w:r>
      <w:bookmarkEnd w:id="717"/>
    </w:p>
    <w:p w:rsidR="00633861" w:rsidRPr="00CB5D5E" w:rsidRDefault="00633861" w:rsidP="00CB5D5E">
      <w:pPr>
        <w:pStyle w:val="Pa2"/>
        <w:spacing w:after="120" w:line="276" w:lineRule="auto"/>
        <w:jc w:val="both"/>
        <w:rPr>
          <w:rFonts w:ascii="Arial" w:hAnsi="Arial" w:cs="Arial"/>
          <w:sz w:val="22"/>
          <w:szCs w:val="22"/>
        </w:rPr>
      </w:pPr>
      <w:r w:rsidRPr="00CB5D5E">
        <w:rPr>
          <w:rFonts w:ascii="Arial" w:hAnsi="Arial" w:cs="Arial"/>
          <w:sz w:val="22"/>
          <w:szCs w:val="22"/>
        </w:rPr>
        <w:t>Les annonces de financement faites lors de la conférence générale des partenaires au développement se sont élevées à plus de 18 318,684 milliards de francs CFA, sur un besoin de financement de 5, 570,2 milliards de FCFA p</w:t>
      </w:r>
      <w:r w:rsidR="00A43569">
        <w:rPr>
          <w:rFonts w:ascii="Arial" w:hAnsi="Arial" w:cs="Arial"/>
          <w:sz w:val="22"/>
          <w:szCs w:val="22"/>
        </w:rPr>
        <w:t xml:space="preserve">our la mise en œuvre du PNDES. </w:t>
      </w:r>
      <w:r w:rsidRPr="00CB5D5E">
        <w:rPr>
          <w:rFonts w:ascii="Arial" w:hAnsi="Arial" w:cs="Arial"/>
          <w:sz w:val="22"/>
          <w:szCs w:val="22"/>
        </w:rPr>
        <w:t xml:space="preserve">Ces annonces sont issues des partenaires relevant du public et du privé. Les annonces des partenaires du public s’élèvent à 8 353,059 milliards de FCFA dont 7294,400 pour les multilatéraux et 1058,659 pour les bilatéraux. Les partenaires privés ont faits des annonces à hauteur 9 965,625 milliards de FCFA. </w:t>
      </w:r>
    </w:p>
    <w:p w:rsidR="00633861" w:rsidRPr="00CB5D5E" w:rsidRDefault="00633861" w:rsidP="00CB5D5E">
      <w:pPr>
        <w:pStyle w:val="Pa2"/>
        <w:spacing w:after="120" w:line="276" w:lineRule="auto"/>
        <w:jc w:val="both"/>
        <w:rPr>
          <w:rFonts w:ascii="Arial" w:hAnsi="Arial" w:cs="Arial"/>
          <w:sz w:val="22"/>
          <w:szCs w:val="22"/>
        </w:rPr>
      </w:pPr>
      <w:r w:rsidRPr="00CB5D5E">
        <w:rPr>
          <w:rFonts w:ascii="Arial" w:hAnsi="Arial" w:cs="Arial"/>
          <w:sz w:val="22"/>
          <w:szCs w:val="22"/>
        </w:rPr>
        <w:t xml:space="preserve">Ces contributions viennent en soutien aux efforts financiers du Gouvernement qui s’élèvent à 9 825,2 milliards de FCFA. Ces sommes cumulées permettront de financer plusieurs secteurs de développement tels que le secteur agro-sylvo-pastoral, le secteur industriel et artisanal, de promouvoir le commerce et développer des infrastructures de qualité et résilientes, pour favoriser la transformation structurelle de l’économie.  </w:t>
      </w:r>
    </w:p>
    <w:p w:rsidR="00633861" w:rsidRPr="00CB5D5E" w:rsidRDefault="00633861" w:rsidP="00CB5D5E">
      <w:pPr>
        <w:pStyle w:val="Pa2"/>
        <w:spacing w:after="120" w:line="276" w:lineRule="auto"/>
        <w:jc w:val="both"/>
        <w:rPr>
          <w:rFonts w:ascii="Arial" w:hAnsi="Arial" w:cs="Arial"/>
          <w:sz w:val="22"/>
          <w:szCs w:val="22"/>
        </w:rPr>
      </w:pPr>
      <w:r w:rsidRPr="00CB5D5E">
        <w:rPr>
          <w:rFonts w:ascii="Arial" w:hAnsi="Arial" w:cs="Arial"/>
          <w:sz w:val="22"/>
          <w:szCs w:val="22"/>
        </w:rPr>
        <w:t xml:space="preserve">Le défi majeur réside dans la mobilisation effective des ressources pour financer les investissements prévus dans le cadre du PNDES. En effet, </w:t>
      </w:r>
      <w:r w:rsidRPr="0053231E">
        <w:rPr>
          <w:rFonts w:ascii="Arial" w:hAnsi="Arial" w:cs="Arial"/>
          <w:sz w:val="22"/>
          <w:szCs w:val="22"/>
        </w:rPr>
        <w:t xml:space="preserve">au 30 juin 2017, on note que la somme de </w:t>
      </w:r>
      <w:r w:rsidR="0053231E" w:rsidRPr="0053231E">
        <w:rPr>
          <w:rFonts w:ascii="Arial" w:hAnsi="Arial" w:cs="Arial"/>
          <w:sz w:val="22"/>
          <w:szCs w:val="22"/>
        </w:rPr>
        <w:t>1110</w:t>
      </w:r>
      <w:r w:rsidRPr="0053231E">
        <w:rPr>
          <w:rFonts w:ascii="Arial" w:hAnsi="Arial" w:cs="Arial"/>
          <w:sz w:val="22"/>
          <w:szCs w:val="22"/>
        </w:rPr>
        <w:t xml:space="preserve"> milliards de FCFA a été mobilisée pour 101 conventions de financement signées avec les partenaires multilatéraux, bilatéraux et les partenaires privés dans le cadre des PPP et les ONG/AD</w:t>
      </w:r>
      <w:r w:rsidRPr="00CB5D5E">
        <w:rPr>
          <w:rFonts w:ascii="Arial" w:hAnsi="Arial" w:cs="Arial"/>
          <w:sz w:val="22"/>
          <w:szCs w:val="22"/>
        </w:rPr>
        <w:t xml:space="preserve">. </w:t>
      </w:r>
    </w:p>
    <w:p w:rsidR="00633861" w:rsidRPr="00CB5D5E" w:rsidRDefault="00633861" w:rsidP="00CB5D5E">
      <w:pPr>
        <w:pStyle w:val="Pa2"/>
        <w:spacing w:after="120" w:line="276" w:lineRule="auto"/>
        <w:jc w:val="both"/>
        <w:rPr>
          <w:rFonts w:ascii="Arial" w:hAnsi="Arial" w:cs="Arial"/>
          <w:sz w:val="22"/>
          <w:szCs w:val="22"/>
        </w:rPr>
      </w:pPr>
      <w:r w:rsidRPr="00CB5D5E">
        <w:rPr>
          <w:rFonts w:ascii="Arial" w:hAnsi="Arial" w:cs="Arial"/>
          <w:sz w:val="22"/>
          <w:szCs w:val="22"/>
        </w:rPr>
        <w:t>En outre, l’adoption des outils et mécanismes de mise en œuvre du PNDES  viendront renforcer le dispositif institutionnel et juridique existant pour optimiser la mobilisation des ressources des partenaires public comme privé.  Mais, il faut noter que le secteur privé burkinabé connaît des contraintes réelles qui sont entre autres liées à la gestion et au financement des entreprises d’une part, et à la mise en œuvre des PPP d’autres part, ce qui fragilise leur participation effective aux efforts d’investissement du PNDES.</w:t>
      </w:r>
    </w:p>
    <w:p w:rsidR="00633861" w:rsidRPr="00CB5D5E" w:rsidRDefault="00633861" w:rsidP="00CB5D5E">
      <w:pPr>
        <w:pStyle w:val="Default"/>
        <w:spacing w:after="120" w:line="276" w:lineRule="auto"/>
        <w:jc w:val="both"/>
        <w:rPr>
          <w:rFonts w:eastAsiaTheme="minorHAnsi"/>
          <w:color w:val="auto"/>
          <w:sz w:val="22"/>
          <w:szCs w:val="22"/>
          <w:lang w:eastAsia="en-US"/>
        </w:rPr>
      </w:pPr>
      <w:r w:rsidRPr="00CB5D5E">
        <w:rPr>
          <w:rFonts w:eastAsiaTheme="minorHAnsi"/>
          <w:color w:val="auto"/>
          <w:sz w:val="22"/>
          <w:szCs w:val="22"/>
          <w:lang w:eastAsia="en-US"/>
        </w:rPr>
        <w:t>L’adhésion du Burkina à plusieurs initiatives internationales en matière de transparence et de reddition des comptes dans la gestion de l’aide sera un atout important pour une meilleure utilisation des ressources. Elle pourrait garantir une mise en œuvre efficace et transparente des actions de développement et renforcer la responsabilité des acteurs impliqués dans l’exécution du PNDES.  Enfin, cela pourrait offrir d’autres sources de financement du PNDES.</w:t>
      </w:r>
    </w:p>
    <w:p w:rsidR="00EC1B72" w:rsidRPr="00CB5D5E" w:rsidRDefault="00EC1B72" w:rsidP="00CB5D5E">
      <w:pPr>
        <w:spacing w:after="120"/>
        <w:rPr>
          <w:rFonts w:ascii="Arial" w:hAnsi="Arial" w:cs="Arial"/>
        </w:rPr>
      </w:pPr>
    </w:p>
    <w:p w:rsidR="00A1666B" w:rsidRDefault="00A1666B">
      <w:pPr>
        <w:spacing w:after="0" w:line="240" w:lineRule="auto"/>
        <w:rPr>
          <w:rFonts w:ascii="Arial" w:hAnsi="Arial" w:cs="Arial"/>
        </w:rPr>
      </w:pPr>
      <w:r>
        <w:rPr>
          <w:rFonts w:ascii="Arial" w:hAnsi="Arial" w:cs="Arial"/>
        </w:rPr>
        <w:br w:type="page"/>
      </w:r>
    </w:p>
    <w:p w:rsidR="00A1666B" w:rsidRPr="0074127E" w:rsidRDefault="00A1666B" w:rsidP="0074127E">
      <w:pPr>
        <w:pStyle w:val="Titre"/>
      </w:pPr>
      <w:bookmarkStart w:id="718" w:name="_Toc492972277"/>
      <w:r w:rsidRPr="0074127E">
        <w:lastRenderedPageBreak/>
        <w:t>CONCLUSION GENERALE</w:t>
      </w:r>
      <w:bookmarkEnd w:id="718"/>
    </w:p>
    <w:p w:rsidR="001F4294" w:rsidRPr="00BD226D" w:rsidRDefault="002B66F9" w:rsidP="002B66F9">
      <w:pPr>
        <w:tabs>
          <w:tab w:val="left" w:pos="6450"/>
        </w:tabs>
        <w:spacing w:after="120"/>
        <w:jc w:val="both"/>
        <w:rPr>
          <w:rFonts w:ascii="Arial" w:hAnsi="Arial" w:cs="Arial"/>
        </w:rPr>
      </w:pPr>
      <w:r w:rsidRPr="00BD226D">
        <w:rPr>
          <w:rFonts w:ascii="Arial" w:hAnsi="Arial" w:cs="Arial"/>
        </w:rPr>
        <w:t>Le rapport sur la coopération 2016 a permis de constater une nette amélioration</w:t>
      </w:r>
      <w:r w:rsidR="001F4294" w:rsidRPr="00BD226D">
        <w:rPr>
          <w:rFonts w:ascii="Arial" w:hAnsi="Arial" w:cs="Arial"/>
        </w:rPr>
        <w:t xml:space="preserve"> des flux d’aide comparativement à 2015.</w:t>
      </w:r>
      <w:r w:rsidR="00755FC1" w:rsidRPr="00BD226D">
        <w:rPr>
          <w:rFonts w:ascii="Arial" w:hAnsi="Arial" w:cs="Arial"/>
        </w:rPr>
        <w:t xml:space="preserve"> En effet, le volume d’aide mobilisé est </w:t>
      </w:r>
      <w:r w:rsidR="00AB0CC0" w:rsidRPr="00BD226D">
        <w:rPr>
          <w:rFonts w:ascii="Arial" w:hAnsi="Arial" w:cs="Arial"/>
        </w:rPr>
        <w:t>estimé à</w:t>
      </w:r>
      <w:r w:rsidR="00755FC1" w:rsidRPr="00BD226D">
        <w:rPr>
          <w:rFonts w:ascii="Arial" w:hAnsi="Arial" w:cs="Arial"/>
        </w:rPr>
        <w:t xml:space="preserve"> </w:t>
      </w:r>
      <w:r w:rsidR="00AB0CC0" w:rsidRPr="00BD226D">
        <w:rPr>
          <w:rFonts w:ascii="Arial" w:hAnsi="Arial" w:cs="Arial"/>
        </w:rPr>
        <w:t xml:space="preserve">1140,23 millions de dollars US contre </w:t>
      </w:r>
      <w:r w:rsidR="00755FC1" w:rsidRPr="00BD226D">
        <w:rPr>
          <w:rFonts w:ascii="Arial" w:hAnsi="Arial" w:cs="Arial"/>
        </w:rPr>
        <w:t>1100,34 millions de dollars us en 2015</w:t>
      </w:r>
      <w:r w:rsidR="003E5ABE" w:rsidRPr="00BD226D">
        <w:rPr>
          <w:rFonts w:ascii="Arial" w:hAnsi="Arial" w:cs="Arial"/>
        </w:rPr>
        <w:t>,</w:t>
      </w:r>
      <w:r w:rsidR="00755FC1" w:rsidRPr="00BD226D">
        <w:rPr>
          <w:rFonts w:ascii="Arial" w:hAnsi="Arial" w:cs="Arial"/>
        </w:rPr>
        <w:t xml:space="preserve"> soit une hausse 3,62 %.</w:t>
      </w:r>
      <w:r w:rsidR="003E5ABE" w:rsidRPr="00BD226D">
        <w:rPr>
          <w:rFonts w:ascii="Arial" w:hAnsi="Arial" w:cs="Arial"/>
        </w:rPr>
        <w:t xml:space="preserve"> L’APD a été octroyée à plus de </w:t>
      </w:r>
      <w:r w:rsidR="00755FC1" w:rsidRPr="00BD226D">
        <w:rPr>
          <w:rFonts w:ascii="Arial" w:hAnsi="Arial" w:cs="Arial"/>
        </w:rPr>
        <w:t>71,3% sous forme de dons, soit 812,77 milli</w:t>
      </w:r>
      <w:r w:rsidR="003E5ABE" w:rsidRPr="00BD226D">
        <w:rPr>
          <w:rFonts w:ascii="Arial" w:hAnsi="Arial" w:cs="Arial"/>
        </w:rPr>
        <w:t>ons dollars US contre 28,70% sous forme de</w:t>
      </w:r>
      <w:r w:rsidR="00755FC1" w:rsidRPr="00BD226D">
        <w:rPr>
          <w:rFonts w:ascii="Arial" w:hAnsi="Arial" w:cs="Arial"/>
        </w:rPr>
        <w:t xml:space="preserve"> prêt.    </w:t>
      </w:r>
    </w:p>
    <w:p w:rsidR="00FC1777" w:rsidRPr="00BD226D" w:rsidRDefault="002B66F9" w:rsidP="002B66F9">
      <w:pPr>
        <w:tabs>
          <w:tab w:val="left" w:pos="6450"/>
        </w:tabs>
        <w:spacing w:after="120"/>
        <w:jc w:val="both"/>
        <w:rPr>
          <w:rFonts w:ascii="Arial" w:hAnsi="Arial" w:cs="Arial"/>
        </w:rPr>
      </w:pPr>
      <w:r w:rsidRPr="00BD226D">
        <w:rPr>
          <w:rFonts w:ascii="Arial" w:hAnsi="Arial" w:cs="Arial"/>
        </w:rPr>
        <w:t xml:space="preserve">En outre, l’année </w:t>
      </w:r>
      <w:r w:rsidR="00B62C93" w:rsidRPr="00BD226D">
        <w:rPr>
          <w:rFonts w:ascii="Arial" w:hAnsi="Arial" w:cs="Arial"/>
        </w:rPr>
        <w:t xml:space="preserve">2016 </w:t>
      </w:r>
      <w:r w:rsidR="00D45006" w:rsidRPr="00BD226D">
        <w:rPr>
          <w:rFonts w:ascii="Arial" w:hAnsi="Arial" w:cs="Arial"/>
        </w:rPr>
        <w:t xml:space="preserve">a </w:t>
      </w:r>
      <w:r w:rsidRPr="00BD226D">
        <w:rPr>
          <w:rFonts w:ascii="Arial" w:hAnsi="Arial" w:cs="Arial"/>
        </w:rPr>
        <w:t>été marquée par l’adoption du PNDES, principal référentiel des actions de développement pour la période de 2016 à 2020.</w:t>
      </w:r>
      <w:r w:rsidR="003D53F6" w:rsidRPr="00BD226D">
        <w:rPr>
          <w:rFonts w:ascii="Arial" w:hAnsi="Arial" w:cs="Arial"/>
        </w:rPr>
        <w:t xml:space="preserve"> </w:t>
      </w:r>
      <w:r w:rsidRPr="00BD226D">
        <w:rPr>
          <w:rFonts w:ascii="Arial" w:hAnsi="Arial" w:cs="Arial"/>
        </w:rPr>
        <w:t xml:space="preserve">L’analyse </w:t>
      </w:r>
      <w:r w:rsidR="003D53F6" w:rsidRPr="00BD226D">
        <w:rPr>
          <w:rFonts w:ascii="Arial" w:hAnsi="Arial" w:cs="Arial"/>
        </w:rPr>
        <w:t xml:space="preserve">de son financement </w:t>
      </w:r>
      <w:r w:rsidR="00957DDD" w:rsidRPr="00BD226D">
        <w:rPr>
          <w:rFonts w:ascii="Arial" w:hAnsi="Arial" w:cs="Arial"/>
        </w:rPr>
        <w:t xml:space="preserve">en 2016 </w:t>
      </w:r>
      <w:r w:rsidRPr="00BD226D">
        <w:rPr>
          <w:rFonts w:ascii="Arial" w:hAnsi="Arial" w:cs="Arial"/>
        </w:rPr>
        <w:t xml:space="preserve">fait ressortir </w:t>
      </w:r>
      <w:r w:rsidR="004768D8" w:rsidRPr="00BD226D">
        <w:rPr>
          <w:rFonts w:ascii="Arial" w:hAnsi="Arial" w:cs="Arial"/>
        </w:rPr>
        <w:t>au titre des conventions signées, un montant</w:t>
      </w:r>
      <w:r w:rsidRPr="00BD226D">
        <w:rPr>
          <w:rFonts w:ascii="Arial" w:hAnsi="Arial" w:cs="Arial"/>
        </w:rPr>
        <w:t xml:space="preserve"> </w:t>
      </w:r>
      <w:r w:rsidR="00923F42" w:rsidRPr="00BD226D">
        <w:rPr>
          <w:rFonts w:ascii="Arial" w:hAnsi="Arial" w:cs="Arial"/>
        </w:rPr>
        <w:t>estimé</w:t>
      </w:r>
      <w:r w:rsidRPr="00BD226D">
        <w:rPr>
          <w:rFonts w:ascii="Arial" w:hAnsi="Arial" w:cs="Arial"/>
        </w:rPr>
        <w:t xml:space="preserve"> </w:t>
      </w:r>
      <w:r w:rsidR="00923F42" w:rsidRPr="00BD226D">
        <w:rPr>
          <w:rFonts w:ascii="Arial" w:hAnsi="Arial" w:cs="Arial"/>
        </w:rPr>
        <w:t xml:space="preserve">à </w:t>
      </w:r>
      <w:r w:rsidRPr="00BD226D">
        <w:rPr>
          <w:rFonts w:ascii="Arial" w:hAnsi="Arial" w:cs="Arial"/>
        </w:rPr>
        <w:t>717,96 milliards de FCFA</w:t>
      </w:r>
      <w:r w:rsidR="00E71131" w:rsidRPr="00BD226D">
        <w:rPr>
          <w:rFonts w:ascii="Arial" w:hAnsi="Arial" w:cs="Arial"/>
        </w:rPr>
        <w:t xml:space="preserve">. </w:t>
      </w:r>
    </w:p>
    <w:p w:rsidR="005F2E08" w:rsidRPr="00BD226D" w:rsidRDefault="00725C13" w:rsidP="002B66F9">
      <w:pPr>
        <w:tabs>
          <w:tab w:val="left" w:pos="6450"/>
        </w:tabs>
        <w:spacing w:after="120"/>
        <w:jc w:val="both"/>
        <w:rPr>
          <w:rFonts w:ascii="Arial" w:hAnsi="Arial" w:cs="Arial"/>
        </w:rPr>
      </w:pPr>
      <w:r w:rsidRPr="00BD226D">
        <w:rPr>
          <w:rFonts w:ascii="Arial" w:hAnsi="Arial" w:cs="Arial"/>
        </w:rPr>
        <w:t xml:space="preserve">L’analyse </w:t>
      </w:r>
      <w:r w:rsidR="00383C15" w:rsidRPr="00BD226D">
        <w:rPr>
          <w:rFonts w:ascii="Arial" w:hAnsi="Arial" w:cs="Arial"/>
        </w:rPr>
        <w:t>des ressources internes</w:t>
      </w:r>
      <w:r w:rsidR="002053FB" w:rsidRPr="00BD226D">
        <w:rPr>
          <w:rFonts w:ascii="Arial" w:hAnsi="Arial" w:cs="Arial"/>
        </w:rPr>
        <w:t xml:space="preserve"> </w:t>
      </w:r>
      <w:r w:rsidR="00383C15" w:rsidRPr="00BD226D">
        <w:rPr>
          <w:rFonts w:ascii="Arial" w:hAnsi="Arial" w:cs="Arial"/>
        </w:rPr>
        <w:t>indique</w:t>
      </w:r>
      <w:r w:rsidRPr="00BD226D">
        <w:rPr>
          <w:rFonts w:ascii="Arial" w:hAnsi="Arial" w:cs="Arial"/>
        </w:rPr>
        <w:t xml:space="preserve"> que le niveau de mobilisation des re</w:t>
      </w:r>
      <w:r w:rsidR="00584988" w:rsidRPr="00BD226D">
        <w:rPr>
          <w:rFonts w:ascii="Arial" w:hAnsi="Arial" w:cs="Arial"/>
        </w:rPr>
        <w:t>cettes</w:t>
      </w:r>
      <w:r w:rsidRPr="00BD226D">
        <w:rPr>
          <w:rFonts w:ascii="Arial" w:hAnsi="Arial" w:cs="Arial"/>
        </w:rPr>
        <w:t xml:space="preserve"> </w:t>
      </w:r>
      <w:r w:rsidR="006C6C4F" w:rsidRPr="00BD226D">
        <w:rPr>
          <w:rFonts w:ascii="Arial" w:hAnsi="Arial" w:cs="Arial"/>
        </w:rPr>
        <w:t xml:space="preserve">intérieures </w:t>
      </w:r>
      <w:r w:rsidR="00B52E69" w:rsidRPr="00BD226D">
        <w:rPr>
          <w:rFonts w:ascii="Arial" w:hAnsi="Arial" w:cs="Arial"/>
        </w:rPr>
        <w:t xml:space="preserve">est </w:t>
      </w:r>
      <w:r w:rsidRPr="00BD226D">
        <w:rPr>
          <w:rFonts w:ascii="Arial" w:hAnsi="Arial" w:cs="Arial"/>
        </w:rPr>
        <w:t>de 1 230,51 milliards de FCFA, sur une prévision annuelle de 1 283,90 milliards de FCFA, soit un taux de réalisation de 95,84%.</w:t>
      </w:r>
      <w:r w:rsidR="0082517E" w:rsidRPr="00BD226D">
        <w:rPr>
          <w:rFonts w:ascii="Arial" w:hAnsi="Arial" w:cs="Arial"/>
        </w:rPr>
        <w:t xml:space="preserve"> Le taux de pression fiscal quant à lui s’est affiché à 1</w:t>
      </w:r>
      <w:r w:rsidR="004B4B42" w:rsidRPr="00BD226D">
        <w:rPr>
          <w:rFonts w:ascii="Arial" w:hAnsi="Arial" w:cs="Arial"/>
        </w:rPr>
        <w:t>5</w:t>
      </w:r>
      <w:r w:rsidR="0082517E" w:rsidRPr="00BD226D">
        <w:rPr>
          <w:rFonts w:ascii="Arial" w:hAnsi="Arial" w:cs="Arial"/>
        </w:rPr>
        <w:t>,</w:t>
      </w:r>
      <w:r w:rsidR="004B4B42" w:rsidRPr="00BD226D">
        <w:rPr>
          <w:rFonts w:ascii="Arial" w:hAnsi="Arial" w:cs="Arial"/>
        </w:rPr>
        <w:t xml:space="preserve"> </w:t>
      </w:r>
      <w:r w:rsidR="0082517E" w:rsidRPr="00BD226D">
        <w:rPr>
          <w:rFonts w:ascii="Arial" w:hAnsi="Arial" w:cs="Arial"/>
        </w:rPr>
        <w:t>0%</w:t>
      </w:r>
      <w:r w:rsidR="005F2E08" w:rsidRPr="00BD226D">
        <w:rPr>
          <w:rFonts w:ascii="Arial" w:hAnsi="Arial" w:cs="Arial"/>
        </w:rPr>
        <w:t>.</w:t>
      </w:r>
    </w:p>
    <w:p w:rsidR="00B024B3" w:rsidRPr="00BD226D" w:rsidRDefault="00B024B3" w:rsidP="002B66F9">
      <w:pPr>
        <w:tabs>
          <w:tab w:val="left" w:pos="6450"/>
        </w:tabs>
        <w:spacing w:after="120"/>
        <w:jc w:val="both"/>
        <w:rPr>
          <w:rFonts w:ascii="Arial" w:hAnsi="Arial" w:cs="Arial"/>
        </w:rPr>
      </w:pPr>
      <w:r w:rsidRPr="00BD226D">
        <w:rPr>
          <w:rFonts w:ascii="Arial" w:hAnsi="Arial" w:cs="Arial"/>
        </w:rPr>
        <w:t xml:space="preserve">Le défi de l’atteinte des objectifs du PNDES à échéance nécessite des stratégies de mobilisation de ressources internes et externes efficaces. Pour ce faire, l’accent devrait être mis entre autres sur </w:t>
      </w:r>
      <w:r w:rsidR="00D43C53" w:rsidRPr="00BD226D">
        <w:rPr>
          <w:rFonts w:ascii="Arial" w:hAnsi="Arial" w:cs="Arial"/>
        </w:rPr>
        <w:t xml:space="preserve">l’utilisation et </w:t>
      </w:r>
      <w:r w:rsidRPr="00BD226D">
        <w:rPr>
          <w:rFonts w:ascii="Arial" w:hAnsi="Arial" w:cs="Arial"/>
        </w:rPr>
        <w:t xml:space="preserve">la prospection de financements innovants </w:t>
      </w:r>
      <w:r w:rsidR="00270405" w:rsidRPr="00BD226D">
        <w:rPr>
          <w:rFonts w:ascii="Arial" w:hAnsi="Arial" w:cs="Arial"/>
        </w:rPr>
        <w:t xml:space="preserve">ainsi que </w:t>
      </w:r>
      <w:r w:rsidRPr="00BD226D">
        <w:rPr>
          <w:rFonts w:ascii="Arial" w:hAnsi="Arial" w:cs="Arial"/>
        </w:rPr>
        <w:t>l’amélioration du taux de pression fiscal au niveau interne</w:t>
      </w:r>
      <w:r w:rsidR="00D43C53" w:rsidRPr="00BD226D">
        <w:rPr>
          <w:rFonts w:ascii="Arial" w:hAnsi="Arial" w:cs="Arial"/>
        </w:rPr>
        <w:t>.</w:t>
      </w:r>
    </w:p>
    <w:p w:rsidR="00A25A8D" w:rsidRPr="00BD226D" w:rsidRDefault="00A25A8D" w:rsidP="002B66F9">
      <w:pPr>
        <w:tabs>
          <w:tab w:val="left" w:pos="6450"/>
        </w:tabs>
        <w:spacing w:after="120"/>
        <w:jc w:val="both"/>
        <w:rPr>
          <w:rFonts w:ascii="Arial" w:hAnsi="Arial" w:cs="Arial"/>
        </w:rPr>
      </w:pPr>
    </w:p>
    <w:p w:rsidR="003D53F6" w:rsidRPr="00BD226D" w:rsidRDefault="003D53F6" w:rsidP="002B66F9">
      <w:pPr>
        <w:tabs>
          <w:tab w:val="left" w:pos="6450"/>
        </w:tabs>
        <w:spacing w:after="120"/>
        <w:jc w:val="both"/>
        <w:rPr>
          <w:rFonts w:ascii="Arial" w:hAnsi="Arial" w:cs="Arial"/>
        </w:rPr>
      </w:pPr>
    </w:p>
    <w:p w:rsidR="00B024B3" w:rsidRPr="00BD226D" w:rsidRDefault="00B024B3" w:rsidP="002B66F9">
      <w:pPr>
        <w:tabs>
          <w:tab w:val="left" w:pos="6450"/>
        </w:tabs>
        <w:spacing w:after="120"/>
        <w:jc w:val="both"/>
        <w:rPr>
          <w:rFonts w:ascii="Arial" w:hAnsi="Arial" w:cs="Arial"/>
        </w:rPr>
      </w:pPr>
    </w:p>
    <w:p w:rsidR="0032736F" w:rsidRPr="00BD226D" w:rsidRDefault="0032736F">
      <w:pPr>
        <w:spacing w:after="0" w:line="240" w:lineRule="auto"/>
        <w:rPr>
          <w:rFonts w:ascii="Arial" w:hAnsi="Arial" w:cs="Arial"/>
        </w:rPr>
      </w:pPr>
      <w:r w:rsidRPr="00BD226D">
        <w:rPr>
          <w:rFonts w:ascii="Arial" w:hAnsi="Arial" w:cs="Arial"/>
        </w:rPr>
        <w:br w:type="page"/>
      </w:r>
    </w:p>
    <w:p w:rsidR="0032736F" w:rsidRPr="0074127E" w:rsidRDefault="0032736F" w:rsidP="0032736F">
      <w:pPr>
        <w:pStyle w:val="Titre"/>
      </w:pPr>
      <w:bookmarkStart w:id="719" w:name="_Toc459122922"/>
      <w:bookmarkStart w:id="720" w:name="_Toc492972278"/>
      <w:r w:rsidRPr="0074127E">
        <w:lastRenderedPageBreak/>
        <w:t>B</w:t>
      </w:r>
      <w:bookmarkEnd w:id="719"/>
      <w:r w:rsidRPr="0074127E">
        <w:t>IBLIOGRAPHIE</w:t>
      </w:r>
      <w:bookmarkEnd w:id="720"/>
    </w:p>
    <w:p w:rsidR="00937780" w:rsidRPr="00937780" w:rsidRDefault="00937780" w:rsidP="008D7758">
      <w:pPr>
        <w:numPr>
          <w:ilvl w:val="0"/>
          <w:numId w:val="154"/>
        </w:numPr>
        <w:spacing w:before="120" w:after="120"/>
        <w:jc w:val="both"/>
        <w:rPr>
          <w:rFonts w:ascii="Arial" w:hAnsi="Arial" w:cs="Arial"/>
          <w:b/>
          <w:kern w:val="24"/>
        </w:rPr>
      </w:pPr>
      <w:r w:rsidRPr="00937780">
        <w:rPr>
          <w:rFonts w:ascii="Arial" w:hAnsi="Arial" w:cs="Arial"/>
          <w:b/>
          <w:kern w:val="24"/>
        </w:rPr>
        <w:t>Engagements internationaux en matière de développement</w:t>
      </w:r>
    </w:p>
    <w:p w:rsidR="00937780" w:rsidRPr="00937780" w:rsidRDefault="00937780" w:rsidP="0092475B">
      <w:pPr>
        <w:autoSpaceDE w:val="0"/>
        <w:autoSpaceDN w:val="0"/>
        <w:adjustRightInd w:val="0"/>
        <w:spacing w:before="120" w:after="120" w:line="240" w:lineRule="auto"/>
        <w:ind w:left="708"/>
        <w:jc w:val="both"/>
        <w:rPr>
          <w:rFonts w:ascii="Arial" w:hAnsi="Arial" w:cs="Arial"/>
        </w:rPr>
      </w:pPr>
      <w:r w:rsidRPr="00AD5EC5">
        <w:rPr>
          <w:rFonts w:ascii="Arial" w:hAnsi="Arial" w:cs="Arial"/>
        </w:rPr>
        <w:t>Fonds pour l’Adaptation (2006),</w:t>
      </w:r>
      <w:r w:rsidRPr="00937780">
        <w:rPr>
          <w:rFonts w:ascii="Arial" w:hAnsi="Arial" w:cs="Arial"/>
        </w:rPr>
        <w:t xml:space="preserve"> </w:t>
      </w:r>
      <w:r w:rsidRPr="00937780">
        <w:rPr>
          <w:rFonts w:ascii="Arial" w:hAnsi="Arial" w:cs="Arial"/>
          <w:i/>
        </w:rPr>
        <w:t>« Modalités d’accès aux ressources du Fonds pour l’adaptation »,</w:t>
      </w:r>
      <w:r w:rsidRPr="00937780">
        <w:rPr>
          <w:rFonts w:ascii="Arial" w:hAnsi="Arial" w:cs="Arial"/>
        </w:rPr>
        <w:t xml:space="preserve"> Manuel d’utilisation.</w:t>
      </w:r>
    </w:p>
    <w:p w:rsidR="00937780" w:rsidRPr="00937780" w:rsidRDefault="00937780" w:rsidP="0092475B">
      <w:pPr>
        <w:spacing w:before="120" w:after="120"/>
        <w:ind w:left="708"/>
        <w:jc w:val="both"/>
        <w:rPr>
          <w:rFonts w:ascii="Arial" w:hAnsi="Arial" w:cs="Arial"/>
        </w:rPr>
      </w:pPr>
      <w:r w:rsidRPr="00AD5EC5">
        <w:rPr>
          <w:rFonts w:ascii="Arial" w:hAnsi="Arial" w:cs="Arial"/>
        </w:rPr>
        <w:t>Groupe des pays d’Afrique, des Caraïbes et du Pacifique (2014),</w:t>
      </w:r>
      <w:r w:rsidRPr="00937780">
        <w:rPr>
          <w:rFonts w:ascii="Arial" w:hAnsi="Arial" w:cs="Arial"/>
          <w:b/>
        </w:rPr>
        <w:t xml:space="preserve"> </w:t>
      </w:r>
      <w:r w:rsidRPr="00937780">
        <w:rPr>
          <w:rFonts w:ascii="Arial" w:hAnsi="Arial" w:cs="Arial"/>
          <w:i/>
        </w:rPr>
        <w:t>« L’accord de Cotonou et le cadre financier pluriannuel 2014-2020 »,</w:t>
      </w:r>
      <w:r w:rsidRPr="00937780">
        <w:rPr>
          <w:rFonts w:ascii="Arial" w:hAnsi="Arial" w:cs="Arial"/>
        </w:rPr>
        <w:t xml:space="preserve"> Signé à Cotonou le 23 juin 2000, Révisé à Luxembourg le 25 juin 2005, Révisé à Ouagadougou le 22 juin 2010. Commission européenne.</w:t>
      </w:r>
    </w:p>
    <w:p w:rsidR="00937780" w:rsidRPr="00937780" w:rsidRDefault="00937780" w:rsidP="0092475B">
      <w:pPr>
        <w:spacing w:before="120" w:after="120"/>
        <w:ind w:left="708"/>
        <w:jc w:val="both"/>
        <w:rPr>
          <w:rFonts w:ascii="Arial" w:hAnsi="Arial" w:cs="Arial"/>
        </w:rPr>
      </w:pPr>
      <w:r w:rsidRPr="00AD5EC5">
        <w:rPr>
          <w:rFonts w:ascii="Arial" w:hAnsi="Arial" w:cs="Arial"/>
        </w:rPr>
        <w:t xml:space="preserve">Organisation de Coopération et de Développement Economiques (2016), </w:t>
      </w:r>
      <w:r w:rsidRPr="00937780">
        <w:rPr>
          <w:rFonts w:ascii="Arial" w:hAnsi="Arial" w:cs="Arial"/>
          <w:i/>
        </w:rPr>
        <w:t>« Coopération pour le Développement 2016 : Investir dans les objectifs de développement durable, choisir l’avenir ».</w:t>
      </w:r>
    </w:p>
    <w:p w:rsidR="00937780" w:rsidRPr="00937780" w:rsidRDefault="00937780" w:rsidP="0092475B">
      <w:pPr>
        <w:spacing w:before="120" w:after="120"/>
        <w:ind w:left="708"/>
        <w:jc w:val="both"/>
        <w:rPr>
          <w:rFonts w:ascii="Arial" w:hAnsi="Arial" w:cs="Arial"/>
          <w:i/>
        </w:rPr>
      </w:pPr>
      <w:r w:rsidRPr="00AD5EC5">
        <w:rPr>
          <w:rFonts w:ascii="Arial" w:hAnsi="Arial" w:cs="Arial"/>
        </w:rPr>
        <w:t>Organisation de coopération et de développement économique (2008),</w:t>
      </w:r>
      <w:r w:rsidRPr="00937780">
        <w:rPr>
          <w:rFonts w:ascii="Arial" w:hAnsi="Arial" w:cs="Arial"/>
        </w:rPr>
        <w:t xml:space="preserve"> </w:t>
      </w:r>
      <w:r w:rsidRPr="00937780">
        <w:rPr>
          <w:rFonts w:ascii="Arial" w:hAnsi="Arial" w:cs="Arial"/>
          <w:i/>
        </w:rPr>
        <w:t>« Programme d’Actions d’Accra, Forum sur l’efficacité de l’aide ».</w:t>
      </w:r>
    </w:p>
    <w:p w:rsidR="00937780" w:rsidRPr="00937780" w:rsidRDefault="00937780" w:rsidP="0092475B">
      <w:pPr>
        <w:spacing w:before="120" w:after="120"/>
        <w:ind w:left="708"/>
        <w:jc w:val="both"/>
        <w:rPr>
          <w:rFonts w:ascii="Arial" w:hAnsi="Arial" w:cs="Arial"/>
          <w:i/>
        </w:rPr>
      </w:pPr>
      <w:r w:rsidRPr="0092475B">
        <w:rPr>
          <w:rFonts w:ascii="Arial" w:hAnsi="Arial" w:cs="Arial"/>
        </w:rPr>
        <w:t>Organisation des Nations Unies (2015),</w:t>
      </w:r>
      <w:r w:rsidRPr="00937780">
        <w:rPr>
          <w:rFonts w:ascii="Arial" w:hAnsi="Arial" w:cs="Arial"/>
        </w:rPr>
        <w:t xml:space="preserve"> </w:t>
      </w:r>
      <w:r w:rsidRPr="00937780">
        <w:rPr>
          <w:rFonts w:ascii="Arial" w:hAnsi="Arial" w:cs="Arial"/>
          <w:i/>
        </w:rPr>
        <w:t>« Accord de Paris sur le climat (COP21) ».</w:t>
      </w:r>
    </w:p>
    <w:p w:rsidR="00937780" w:rsidRPr="0092475B" w:rsidRDefault="00937780" w:rsidP="0092475B">
      <w:pPr>
        <w:spacing w:before="120" w:after="120"/>
        <w:ind w:left="708"/>
        <w:jc w:val="both"/>
        <w:rPr>
          <w:rFonts w:ascii="Arial" w:hAnsi="Arial" w:cs="Arial"/>
          <w:i/>
        </w:rPr>
      </w:pPr>
      <w:r w:rsidRPr="0092475B">
        <w:rPr>
          <w:rFonts w:ascii="Arial" w:hAnsi="Arial" w:cs="Arial"/>
        </w:rPr>
        <w:t xml:space="preserve">Organisation des Nations Unies (2015), </w:t>
      </w:r>
      <w:r w:rsidRPr="0092475B">
        <w:rPr>
          <w:rFonts w:ascii="Arial" w:hAnsi="Arial" w:cs="Arial"/>
          <w:i/>
        </w:rPr>
        <w:t>« Communiqué sur les Objectifs de développement durables (ODD), Sommet mondial sur le développement durable ».</w:t>
      </w:r>
    </w:p>
    <w:p w:rsidR="00937780" w:rsidRPr="0092475B" w:rsidRDefault="00937780" w:rsidP="0092475B">
      <w:pPr>
        <w:spacing w:before="120" w:after="120"/>
        <w:ind w:left="708"/>
        <w:jc w:val="both"/>
        <w:rPr>
          <w:rFonts w:ascii="Arial" w:hAnsi="Arial" w:cs="Arial"/>
          <w:i/>
        </w:rPr>
      </w:pPr>
      <w:r w:rsidRPr="0092475B">
        <w:rPr>
          <w:rFonts w:ascii="Arial" w:hAnsi="Arial" w:cs="Arial"/>
        </w:rPr>
        <w:t xml:space="preserve">Organisation des Nations Unies (2015), </w:t>
      </w:r>
      <w:r w:rsidRPr="0092475B">
        <w:rPr>
          <w:rFonts w:ascii="Arial" w:hAnsi="Arial" w:cs="Arial"/>
          <w:i/>
        </w:rPr>
        <w:t>« Programme d’Actions d’Addis-Abeba (PAAA) sur le financement du développement ».</w:t>
      </w:r>
    </w:p>
    <w:p w:rsidR="00937780" w:rsidRPr="0092475B" w:rsidRDefault="00937780" w:rsidP="0092475B">
      <w:pPr>
        <w:spacing w:before="120" w:after="120"/>
        <w:ind w:left="708"/>
        <w:jc w:val="both"/>
        <w:rPr>
          <w:rFonts w:ascii="Arial" w:hAnsi="Arial" w:cs="Arial"/>
          <w:i/>
        </w:rPr>
      </w:pPr>
      <w:r w:rsidRPr="0092475B">
        <w:rPr>
          <w:rFonts w:ascii="Arial" w:hAnsi="Arial" w:cs="Arial"/>
        </w:rPr>
        <w:t xml:space="preserve">Organisation des Nations Unies (2008), </w:t>
      </w:r>
      <w:r w:rsidRPr="0092475B">
        <w:rPr>
          <w:rFonts w:ascii="Arial" w:hAnsi="Arial" w:cs="Arial"/>
          <w:i/>
        </w:rPr>
        <w:t>« Consensus de Doha ».</w:t>
      </w:r>
    </w:p>
    <w:p w:rsidR="00937780" w:rsidRPr="0092475B" w:rsidRDefault="00937780" w:rsidP="0092475B">
      <w:pPr>
        <w:spacing w:before="120" w:after="120"/>
        <w:ind w:left="708"/>
        <w:jc w:val="both"/>
        <w:rPr>
          <w:rFonts w:ascii="Arial" w:hAnsi="Arial" w:cs="Arial"/>
          <w:i/>
        </w:rPr>
      </w:pPr>
      <w:r w:rsidRPr="0092475B">
        <w:rPr>
          <w:rFonts w:ascii="Arial" w:hAnsi="Arial" w:cs="Arial"/>
        </w:rPr>
        <w:t xml:space="preserve">Organisation des Nations Unies (2002), </w:t>
      </w:r>
      <w:r w:rsidRPr="0092475B">
        <w:rPr>
          <w:rFonts w:ascii="Arial" w:hAnsi="Arial" w:cs="Arial"/>
          <w:i/>
        </w:rPr>
        <w:t>« Consensus de Monterrey ».</w:t>
      </w:r>
    </w:p>
    <w:p w:rsidR="00937780" w:rsidRPr="0092475B" w:rsidRDefault="00937780" w:rsidP="0092475B">
      <w:pPr>
        <w:spacing w:before="120" w:after="120"/>
        <w:ind w:left="708"/>
        <w:jc w:val="both"/>
        <w:rPr>
          <w:rFonts w:ascii="Arial" w:hAnsi="Arial" w:cs="Arial"/>
        </w:rPr>
      </w:pPr>
      <w:r w:rsidRPr="0092475B">
        <w:rPr>
          <w:rFonts w:ascii="Arial" w:hAnsi="Arial" w:cs="Arial"/>
        </w:rPr>
        <w:t>Organisation des Nations Unies (1998), </w:t>
      </w:r>
      <w:r w:rsidRPr="0092475B">
        <w:rPr>
          <w:rFonts w:ascii="Arial" w:hAnsi="Arial" w:cs="Arial"/>
          <w:i/>
        </w:rPr>
        <w:t xml:space="preserve">« Protocole de Kyoto à la Convention-Cadre des Nations Unions sur les Changements Climatiques », </w:t>
      </w:r>
      <w:r w:rsidRPr="0092475B">
        <w:rPr>
          <w:rFonts w:ascii="Arial" w:hAnsi="Arial" w:cs="Arial"/>
        </w:rPr>
        <w:t>FCCC/INFORMAL/83. GE.05-61647 (F) 070605  090605.</w:t>
      </w:r>
    </w:p>
    <w:p w:rsidR="00937780" w:rsidRPr="0092475B" w:rsidRDefault="00937780" w:rsidP="0092475B">
      <w:pPr>
        <w:spacing w:before="120" w:after="120"/>
        <w:ind w:left="708"/>
        <w:jc w:val="both"/>
        <w:rPr>
          <w:rFonts w:ascii="Arial" w:hAnsi="Arial" w:cs="Arial"/>
          <w:i/>
        </w:rPr>
      </w:pPr>
      <w:r w:rsidRPr="0092475B">
        <w:rPr>
          <w:rFonts w:ascii="Arial" w:hAnsi="Arial" w:cs="Arial"/>
        </w:rPr>
        <w:t>Union Economique et Monétaire Ouest Africaine (4</w:t>
      </w:r>
      <w:r w:rsidRPr="0092475B">
        <w:rPr>
          <w:rFonts w:ascii="Arial" w:hAnsi="Arial" w:cs="Arial"/>
          <w:vertAlign w:val="superscript"/>
        </w:rPr>
        <w:t>e</w:t>
      </w:r>
      <w:r w:rsidRPr="0092475B">
        <w:rPr>
          <w:rFonts w:ascii="Arial" w:hAnsi="Arial" w:cs="Arial"/>
        </w:rPr>
        <w:t xml:space="preserve"> trimestre 2016), </w:t>
      </w:r>
      <w:r w:rsidRPr="0092475B">
        <w:rPr>
          <w:rFonts w:ascii="Arial" w:hAnsi="Arial" w:cs="Arial"/>
          <w:i/>
        </w:rPr>
        <w:t>« Note de conjoncture économique régionale dans l’UEMOA ».</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Union Européenne-Burkina Faso (2014), </w:t>
      </w:r>
      <w:r w:rsidRPr="0092475B">
        <w:rPr>
          <w:rFonts w:ascii="Arial" w:hAnsi="Arial" w:cs="Arial"/>
          <w:i/>
        </w:rPr>
        <w:t>« Programme Indicatif National 2014-2020 »,</w:t>
      </w:r>
      <w:r w:rsidRPr="0092475B">
        <w:rPr>
          <w:rFonts w:ascii="Arial" w:hAnsi="Arial" w:cs="Arial"/>
        </w:rPr>
        <w:t xml:space="preserve"> Burkina Faso.</w:t>
      </w:r>
    </w:p>
    <w:p w:rsidR="00937780" w:rsidRPr="0092475B" w:rsidRDefault="00937780" w:rsidP="008D7758">
      <w:pPr>
        <w:numPr>
          <w:ilvl w:val="0"/>
          <w:numId w:val="154"/>
        </w:numPr>
        <w:spacing w:before="120" w:after="120"/>
        <w:jc w:val="both"/>
        <w:rPr>
          <w:rFonts w:ascii="Arial" w:hAnsi="Arial" w:cs="Arial"/>
          <w:b/>
          <w:kern w:val="24"/>
        </w:rPr>
      </w:pPr>
      <w:r w:rsidRPr="0092475B">
        <w:rPr>
          <w:rFonts w:ascii="Arial" w:hAnsi="Arial" w:cs="Arial"/>
          <w:b/>
          <w:kern w:val="24"/>
        </w:rPr>
        <w:t>Documents de stratégies nationales de développement</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Burkina Faso (2016), </w:t>
      </w:r>
      <w:r w:rsidRPr="0092475B">
        <w:rPr>
          <w:rFonts w:ascii="Arial" w:hAnsi="Arial" w:cs="Arial"/>
          <w:i/>
        </w:rPr>
        <w:t>« Plan National de Développement Economique et Social (PNDES) 2016-2020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Burkina Faso (2012), </w:t>
      </w:r>
      <w:r w:rsidRPr="0092475B">
        <w:rPr>
          <w:rFonts w:ascii="Arial" w:hAnsi="Arial" w:cs="Arial"/>
          <w:i/>
        </w:rPr>
        <w:t>« Document de Stratégie Pays 2012-2016 »,</w:t>
      </w:r>
      <w:r w:rsidRPr="0092475B">
        <w:rPr>
          <w:rFonts w:ascii="Arial" w:hAnsi="Arial" w:cs="Arial"/>
        </w:rPr>
        <w:t xml:space="preserve"> Banque Africaine de Développement, Département des Opérations pays – Régions Afrique de l’Ouest 1, Burkina Faso.</w:t>
      </w:r>
    </w:p>
    <w:p w:rsidR="00937780" w:rsidRPr="0092475B" w:rsidRDefault="00937780" w:rsidP="0092475B">
      <w:pPr>
        <w:spacing w:before="120" w:after="120"/>
        <w:ind w:left="708"/>
        <w:jc w:val="both"/>
        <w:rPr>
          <w:rFonts w:ascii="Arial" w:hAnsi="Arial" w:cs="Arial"/>
          <w:i/>
        </w:rPr>
      </w:pPr>
      <w:r w:rsidRPr="0092475B">
        <w:rPr>
          <w:rFonts w:ascii="Arial" w:hAnsi="Arial" w:cs="Arial"/>
        </w:rPr>
        <w:t xml:space="preserve">Burkina Faso (2010), </w:t>
      </w:r>
      <w:r w:rsidRPr="0092475B">
        <w:rPr>
          <w:rFonts w:ascii="Arial" w:hAnsi="Arial" w:cs="Arial"/>
          <w:i/>
        </w:rPr>
        <w:t>« Stratégie de Croissance Accélérée et de Développement Durable 2011-2015 ».</w:t>
      </w:r>
    </w:p>
    <w:p w:rsidR="00937780" w:rsidRPr="0092475B" w:rsidRDefault="00937780" w:rsidP="0092475B">
      <w:pPr>
        <w:spacing w:before="120" w:after="120"/>
        <w:ind w:left="708"/>
        <w:jc w:val="both"/>
        <w:rPr>
          <w:rFonts w:ascii="Arial" w:hAnsi="Arial" w:cs="Arial"/>
          <w:i/>
        </w:rPr>
      </w:pPr>
      <w:r w:rsidRPr="0092475B">
        <w:rPr>
          <w:rFonts w:ascii="Arial" w:hAnsi="Arial" w:cs="Arial"/>
        </w:rPr>
        <w:t xml:space="preserve">Burkina Faso (2004), </w:t>
      </w:r>
      <w:r w:rsidRPr="0092475B">
        <w:rPr>
          <w:rFonts w:ascii="Arial" w:hAnsi="Arial" w:cs="Arial"/>
          <w:i/>
        </w:rPr>
        <w:t>« Cadre Stratégique de Lutte contre la Pauvreté ».</w:t>
      </w:r>
    </w:p>
    <w:p w:rsidR="00937780" w:rsidRPr="0092475B" w:rsidRDefault="00937780" w:rsidP="0092475B">
      <w:pPr>
        <w:spacing w:before="120" w:after="120"/>
        <w:ind w:left="708"/>
        <w:jc w:val="both"/>
        <w:rPr>
          <w:rFonts w:ascii="Arial" w:hAnsi="Arial" w:cs="Arial"/>
          <w:i/>
        </w:rPr>
      </w:pPr>
      <w:r w:rsidRPr="0092475B">
        <w:rPr>
          <w:rFonts w:ascii="Arial" w:hAnsi="Arial" w:cs="Arial"/>
        </w:rPr>
        <w:t xml:space="preserve">Burkina Faso (2000), </w:t>
      </w:r>
      <w:r w:rsidRPr="0092475B">
        <w:rPr>
          <w:rFonts w:ascii="Arial" w:hAnsi="Arial" w:cs="Arial"/>
          <w:i/>
        </w:rPr>
        <w:t>« Cadre Stratégique de Lutte contre la Pauvreté ».</w:t>
      </w:r>
    </w:p>
    <w:p w:rsidR="00937780" w:rsidRPr="0092475B" w:rsidRDefault="00937780" w:rsidP="0092475B">
      <w:pPr>
        <w:spacing w:before="120" w:after="120"/>
        <w:ind w:left="708"/>
        <w:jc w:val="both"/>
        <w:rPr>
          <w:rFonts w:ascii="Arial" w:hAnsi="Arial" w:cs="Arial"/>
        </w:rPr>
      </w:pPr>
      <w:r w:rsidRPr="0092475B">
        <w:rPr>
          <w:rFonts w:ascii="Arial" w:hAnsi="Arial" w:cs="Arial"/>
        </w:rPr>
        <w:lastRenderedPageBreak/>
        <w:t xml:space="preserve">Ministère de l’Economie, des Finances et du Développement (2016), </w:t>
      </w:r>
      <w:r w:rsidRPr="0092475B">
        <w:rPr>
          <w:rFonts w:ascii="Arial" w:hAnsi="Arial" w:cs="Arial"/>
          <w:i/>
        </w:rPr>
        <w:t>« Document de Programmation Budgétaire et Economique Pluriannuelle (DPBEP) 2017-2019 »,</w:t>
      </w:r>
      <w:r w:rsidRPr="0092475B">
        <w:rPr>
          <w:rFonts w:ascii="Arial" w:hAnsi="Arial" w:cs="Arial"/>
        </w:rPr>
        <w:t xml:space="preserve"> Gestion 2017, Burkina Faso.</w:t>
      </w:r>
    </w:p>
    <w:p w:rsidR="00937780" w:rsidRPr="0092475B" w:rsidRDefault="00937780" w:rsidP="0092475B">
      <w:pPr>
        <w:spacing w:before="120" w:after="120"/>
        <w:ind w:left="708"/>
        <w:jc w:val="both"/>
        <w:rPr>
          <w:rFonts w:ascii="Arial" w:eastAsia="Times New Roman" w:hAnsi="Arial" w:cs="Arial"/>
        </w:rPr>
      </w:pPr>
      <w:r w:rsidRPr="0092475B">
        <w:rPr>
          <w:rFonts w:ascii="Arial" w:hAnsi="Arial" w:cs="Arial"/>
        </w:rPr>
        <w:t>Ministère de l’Economie, des Finances et du Développement (2016),</w:t>
      </w:r>
      <w:r w:rsidRPr="0092475B">
        <w:rPr>
          <w:rFonts w:ascii="Arial" w:eastAsia="Times New Roman" w:hAnsi="Arial" w:cs="Arial"/>
        </w:rPr>
        <w:t xml:space="preserve"> </w:t>
      </w:r>
      <w:r w:rsidRPr="0092475B">
        <w:rPr>
          <w:rFonts w:ascii="Arial" w:hAnsi="Arial" w:cs="Arial"/>
          <w:i/>
        </w:rPr>
        <w:t>« Stratégie de développement du PPP au Burkina Faso »,</w:t>
      </w:r>
      <w:r w:rsidRPr="0092475B">
        <w:rPr>
          <w:rFonts w:ascii="Arial" w:eastAsia="Times New Roman"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(2011), </w:t>
      </w:r>
      <w:r w:rsidRPr="0092475B">
        <w:rPr>
          <w:rFonts w:ascii="Arial" w:hAnsi="Arial" w:cs="Arial"/>
          <w:i/>
        </w:rPr>
        <w:t>« Stratégie globale de Mobilisation des ressources financières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et des Finances (2014), </w:t>
      </w:r>
      <w:r w:rsidRPr="0092475B">
        <w:rPr>
          <w:rFonts w:ascii="Arial" w:hAnsi="Arial" w:cs="Arial"/>
          <w:i/>
        </w:rPr>
        <w:t>« Plan d’Actions National pour l’Efficacité de la coopération au Développement (PANED) 2014-2015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et des Finances (2008), </w:t>
      </w:r>
      <w:r w:rsidRPr="0092475B">
        <w:rPr>
          <w:rFonts w:ascii="Arial" w:hAnsi="Arial" w:cs="Arial"/>
          <w:i/>
        </w:rPr>
        <w:t>« Stratégie Nationale d’Accélération pour l’atteinte des OMD (SNAO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l’Enseignement Supérieur et de la Recherche Scientifique (2013), </w:t>
      </w:r>
      <w:r w:rsidRPr="0092475B">
        <w:rPr>
          <w:rFonts w:ascii="Arial" w:hAnsi="Arial" w:cs="Arial"/>
          <w:i/>
        </w:rPr>
        <w:t>« Plan d’actions National pour le Développement de l’Enseignement Supérieur (PNADES)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l’Environnement, de l’Economie Verte et du Changement Climatique (2015), </w:t>
      </w:r>
      <w:r w:rsidRPr="0092475B">
        <w:rPr>
          <w:rFonts w:ascii="Arial" w:hAnsi="Arial" w:cs="Arial"/>
          <w:i/>
        </w:rPr>
        <w:t>« Plan National d’Adaptation aux Changements Climatiques (PNA) du Burkina Faso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l’Environnement, de l’Economie Verte et du Changement Climatique (2007), </w:t>
      </w:r>
      <w:r w:rsidRPr="0092475B">
        <w:rPr>
          <w:rFonts w:ascii="Arial" w:hAnsi="Arial" w:cs="Arial"/>
          <w:i/>
        </w:rPr>
        <w:t>« Programme d’Action National d’Adaptation à la Variabilité et aux Changements Climatiques (PANA du Burkina Faso) »,</w:t>
      </w:r>
      <w:r w:rsidRPr="0092475B">
        <w:rPr>
          <w:rFonts w:ascii="Arial" w:hAnsi="Arial" w:cs="Arial"/>
        </w:rPr>
        <w:t xml:space="preserve"> Burkina Faso.</w:t>
      </w:r>
    </w:p>
    <w:p w:rsidR="00937780" w:rsidRPr="0092475B" w:rsidRDefault="00937780" w:rsidP="008D7758">
      <w:pPr>
        <w:numPr>
          <w:ilvl w:val="0"/>
          <w:numId w:val="154"/>
        </w:numPr>
        <w:spacing w:before="120" w:after="120"/>
        <w:jc w:val="both"/>
        <w:rPr>
          <w:rFonts w:ascii="Arial" w:hAnsi="Arial" w:cs="Arial"/>
          <w:b/>
          <w:kern w:val="24"/>
        </w:rPr>
      </w:pPr>
      <w:r w:rsidRPr="0092475B">
        <w:rPr>
          <w:rFonts w:ascii="Arial" w:hAnsi="Arial" w:cs="Arial"/>
          <w:b/>
          <w:kern w:val="24"/>
        </w:rPr>
        <w:t>Rapports de mise en œuvre des référentiels de développement</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(2016), </w:t>
      </w:r>
      <w:r w:rsidRPr="0092475B">
        <w:rPr>
          <w:rFonts w:ascii="Arial" w:hAnsi="Arial" w:cs="Arial"/>
          <w:i/>
        </w:rPr>
        <w:t>« Rapport de performance de l’année 2015 de la Stratégie de croissance accélérée et de développement durable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DGB (2016), </w:t>
      </w:r>
      <w:r w:rsidRPr="0092475B">
        <w:rPr>
          <w:rFonts w:ascii="Arial" w:hAnsi="Arial" w:cs="Arial"/>
          <w:i/>
        </w:rPr>
        <w:t>« Rapport d’exécution financière au 31 décembre 2016 des investissements exécutés par l’Etat »,</w:t>
      </w:r>
      <w:r w:rsidRPr="0092475B">
        <w:rPr>
          <w:rFonts w:ascii="Arial" w:hAnsi="Arial" w:cs="Arial"/>
        </w:rPr>
        <w:t xml:space="preserve"> Gestion 2016, Données budgétaires,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(2017), </w:t>
      </w:r>
      <w:r w:rsidRPr="0092475B">
        <w:rPr>
          <w:rFonts w:ascii="Arial" w:hAnsi="Arial" w:cs="Arial"/>
          <w:i/>
        </w:rPr>
        <w:t>« Mémorandum de Politiques Economiques et Financières pour la Sixième Revue de la Facilité Elargie de Crédit (FEC)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(2016), </w:t>
      </w:r>
      <w:r w:rsidRPr="0092475B">
        <w:rPr>
          <w:rFonts w:ascii="Arial" w:hAnsi="Arial" w:cs="Arial"/>
          <w:i/>
        </w:rPr>
        <w:t>« Contribution des Organisation Non Gouvernementales et Associations au Développement du Burkina Faso »,</w:t>
      </w:r>
      <w:r w:rsidRPr="0092475B">
        <w:rPr>
          <w:rFonts w:ascii="Arial" w:hAnsi="Arial" w:cs="Arial"/>
        </w:rPr>
        <w:t xml:space="preserve"> Rapport 2015 et programmation 2016-2017,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(2016), </w:t>
      </w:r>
      <w:r w:rsidRPr="0092475B">
        <w:rPr>
          <w:rFonts w:ascii="Arial" w:hAnsi="Arial" w:cs="Arial"/>
          <w:i/>
        </w:rPr>
        <w:t>« Programme de projets de partenariat public-prive 2016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(2016), </w:t>
      </w:r>
      <w:r w:rsidRPr="0092475B">
        <w:rPr>
          <w:rFonts w:ascii="Arial" w:hAnsi="Arial" w:cs="Arial"/>
          <w:i/>
        </w:rPr>
        <w:t>« Rapport d’activités 2015 de la Direction générale de la coopération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(2015), </w:t>
      </w:r>
      <w:r w:rsidRPr="0092475B">
        <w:rPr>
          <w:rFonts w:ascii="Arial" w:hAnsi="Arial" w:cs="Arial"/>
          <w:i/>
        </w:rPr>
        <w:t>« Programme de projets de partenariat public-prive 2015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(2015), </w:t>
      </w:r>
      <w:r w:rsidRPr="0092475B">
        <w:rPr>
          <w:rFonts w:ascii="Arial" w:hAnsi="Arial" w:cs="Arial"/>
          <w:i/>
        </w:rPr>
        <w:t>« Rapport sur la Coopération pour le Développement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lastRenderedPageBreak/>
        <w:t xml:space="preserve">Ministère de l’Economie, des Finances et du Développement, DGCOOP (2014), </w:t>
      </w:r>
      <w:r w:rsidRPr="0092475B">
        <w:rPr>
          <w:rFonts w:ascii="Arial" w:hAnsi="Arial" w:cs="Arial"/>
          <w:i/>
        </w:rPr>
        <w:t>« Rapport sur la Coopération pour le Développement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(2014), </w:t>
      </w:r>
      <w:r w:rsidRPr="0092475B">
        <w:rPr>
          <w:rFonts w:ascii="Arial" w:hAnsi="Arial" w:cs="Arial"/>
          <w:i/>
        </w:rPr>
        <w:t>« Programme de projets de partenariat public-prive 2014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(2013), </w:t>
      </w:r>
      <w:r w:rsidRPr="0092475B">
        <w:rPr>
          <w:rFonts w:ascii="Arial" w:hAnsi="Arial" w:cs="Arial"/>
          <w:i/>
        </w:rPr>
        <w:t>« Rapport de l’enquête 2013 du suivi des engagements de l’Accord de partenariat de Busan au Burkina Faso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(2013), </w:t>
      </w:r>
      <w:r w:rsidRPr="0092475B">
        <w:rPr>
          <w:rFonts w:ascii="Arial" w:hAnsi="Arial" w:cs="Arial"/>
          <w:i/>
        </w:rPr>
        <w:t>« Rapport sur la Coopération pour le Développement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(2012), </w:t>
      </w:r>
      <w:r w:rsidRPr="0092475B">
        <w:rPr>
          <w:rFonts w:ascii="Arial" w:hAnsi="Arial" w:cs="Arial"/>
          <w:i/>
        </w:rPr>
        <w:t>« Rapport sur la Coopération pour le Développement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(2011), </w:t>
      </w:r>
      <w:r w:rsidRPr="0092475B">
        <w:rPr>
          <w:rFonts w:ascii="Arial" w:hAnsi="Arial" w:cs="Arial"/>
          <w:i/>
        </w:rPr>
        <w:t>« Rapport sur la Coopération pour le Développement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DGEP (2016), </w:t>
      </w:r>
      <w:r w:rsidRPr="0092475B">
        <w:rPr>
          <w:rFonts w:ascii="Arial" w:hAnsi="Arial" w:cs="Arial"/>
          <w:i/>
        </w:rPr>
        <w:t>« La rationalisation pour plus d’efficacité dans la gestion des projets et programmes de développement »,</w:t>
      </w:r>
      <w:r w:rsidRPr="0092475B">
        <w:rPr>
          <w:rFonts w:ascii="Arial" w:hAnsi="Arial" w:cs="Arial"/>
        </w:rPr>
        <w:t xml:space="preserve"> Septième assise de l’Assemblée Générale des Projets et Programmes de Développement,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DGEP (2016), </w:t>
      </w:r>
      <w:r w:rsidRPr="0092475B">
        <w:rPr>
          <w:rFonts w:ascii="Arial" w:hAnsi="Arial" w:cs="Arial"/>
          <w:i/>
        </w:rPr>
        <w:t>« Note technique sur la situation économique et financière du Burkina Faso en 2016, et perspectives 2017-2020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DGEP (2016), </w:t>
      </w:r>
      <w:r w:rsidRPr="0092475B">
        <w:rPr>
          <w:rFonts w:ascii="Arial" w:hAnsi="Arial" w:cs="Arial"/>
          <w:i/>
        </w:rPr>
        <w:t>« Rapport de suivi des indicateurs de l’économie et du développement du mois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DGEP (2010), </w:t>
      </w:r>
      <w:r w:rsidRPr="0092475B">
        <w:rPr>
          <w:rFonts w:ascii="Arial" w:hAnsi="Arial" w:cs="Arial"/>
          <w:i/>
        </w:rPr>
        <w:t xml:space="preserve">« Programme Triennal d’Investissement Public Glissant 2011-2013 (PTIP-G) », </w:t>
      </w:r>
      <w:r w:rsidRPr="0092475B">
        <w:rPr>
          <w:rFonts w:ascii="Arial" w:hAnsi="Arial" w:cs="Arial"/>
        </w:rPr>
        <w:t>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DGESS (2016), </w:t>
      </w:r>
      <w:r w:rsidRPr="0092475B">
        <w:rPr>
          <w:rFonts w:ascii="Arial" w:hAnsi="Arial" w:cs="Arial"/>
          <w:i/>
        </w:rPr>
        <w:t>« Rapport sur les finances publiques »,</w:t>
      </w:r>
      <w:r w:rsidRPr="0092475B">
        <w:rPr>
          <w:rFonts w:ascii="Arial" w:hAnsi="Arial" w:cs="Arial"/>
        </w:rPr>
        <w:t xml:space="preserve"> Gestion 2015,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DGTCP (2017), </w:t>
      </w:r>
      <w:r w:rsidRPr="0092475B">
        <w:rPr>
          <w:rFonts w:ascii="Arial" w:hAnsi="Arial" w:cs="Arial"/>
          <w:i/>
        </w:rPr>
        <w:t>« Tableaux des opérations financières de l’Etat »,</w:t>
      </w:r>
      <w:r w:rsidRPr="0092475B">
        <w:rPr>
          <w:rFonts w:ascii="Arial" w:hAnsi="Arial" w:cs="Arial"/>
        </w:rPr>
        <w:t xml:space="preserve">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INSD (2015), </w:t>
      </w:r>
      <w:r w:rsidRPr="0092475B">
        <w:rPr>
          <w:rFonts w:ascii="Arial" w:hAnsi="Arial" w:cs="Arial"/>
          <w:i/>
        </w:rPr>
        <w:t>« Profil de pauvreté et d’inégalités »</w:t>
      </w:r>
      <w:r w:rsidRPr="0092475B">
        <w:rPr>
          <w:rFonts w:ascii="Arial" w:hAnsi="Arial" w:cs="Arial"/>
        </w:rPr>
        <w:t>. Rapport : Enquête Multisectorielle continue (EMC) 2014,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et des Finances (2015), </w:t>
      </w:r>
      <w:r w:rsidRPr="0092475B">
        <w:rPr>
          <w:rFonts w:ascii="Arial" w:hAnsi="Arial" w:cs="Arial"/>
          <w:i/>
        </w:rPr>
        <w:t>« Annuaire statistique budgétaire 2014 »</w:t>
      </w:r>
      <w:r w:rsidRPr="0092475B">
        <w:rPr>
          <w:rFonts w:ascii="Arial" w:hAnsi="Arial" w:cs="Arial"/>
        </w:rPr>
        <w:t>,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et des Finances (2015), </w:t>
      </w:r>
      <w:r w:rsidRPr="0092475B">
        <w:rPr>
          <w:rFonts w:ascii="Arial" w:hAnsi="Arial" w:cs="Arial"/>
          <w:i/>
        </w:rPr>
        <w:t>« Rapport sur le Cadre Budgétaire à Moyen Terme (CBMT) 2016-2018 et orientations du budget de l’Etat »,</w:t>
      </w:r>
      <w:r w:rsidRPr="0092475B">
        <w:rPr>
          <w:rFonts w:ascii="Arial" w:hAnsi="Arial" w:cs="Arial"/>
        </w:rPr>
        <w:t xml:space="preserve"> Gestion 2016, Burkina Faso. </w:t>
      </w:r>
    </w:p>
    <w:p w:rsidR="00937780" w:rsidRDefault="00937780" w:rsidP="0092475B">
      <w:pPr>
        <w:spacing w:before="120" w:after="360"/>
        <w:ind w:left="708"/>
        <w:jc w:val="both"/>
        <w:rPr>
          <w:rFonts w:ascii="Arial" w:hAnsi="Arial" w:cs="Arial"/>
        </w:rPr>
      </w:pPr>
      <w:r w:rsidRPr="0092475B">
        <w:rPr>
          <w:rFonts w:ascii="Arial" w:hAnsi="Arial" w:cs="Arial"/>
        </w:rPr>
        <w:t xml:space="preserve">Ministère de l’Economie et des Finances (2008), </w:t>
      </w:r>
      <w:r w:rsidRPr="0092475B">
        <w:rPr>
          <w:rFonts w:ascii="Arial" w:hAnsi="Arial" w:cs="Arial"/>
          <w:i/>
        </w:rPr>
        <w:t>« Etat des lieux de l’Aide Publique au Développement au Burkina Faso »,</w:t>
      </w:r>
      <w:r w:rsidRPr="0092475B">
        <w:rPr>
          <w:rFonts w:ascii="Arial" w:hAnsi="Arial" w:cs="Arial"/>
        </w:rPr>
        <w:t xml:space="preserve"> Burkina Faso.</w:t>
      </w:r>
    </w:p>
    <w:p w:rsidR="0092475B" w:rsidRDefault="0092475B" w:rsidP="0092475B">
      <w:pPr>
        <w:spacing w:before="120" w:after="360"/>
        <w:ind w:left="708"/>
        <w:jc w:val="both"/>
        <w:rPr>
          <w:rFonts w:ascii="Arial" w:hAnsi="Arial" w:cs="Arial"/>
        </w:rPr>
      </w:pPr>
    </w:p>
    <w:p w:rsidR="0092475B" w:rsidRPr="0092475B" w:rsidRDefault="0092475B" w:rsidP="0092475B">
      <w:pPr>
        <w:spacing w:before="120" w:after="360"/>
        <w:ind w:left="708"/>
        <w:jc w:val="both"/>
        <w:rPr>
          <w:rFonts w:ascii="Arial" w:hAnsi="Arial" w:cs="Arial"/>
        </w:rPr>
      </w:pPr>
    </w:p>
    <w:p w:rsidR="00937780" w:rsidRPr="0092475B" w:rsidRDefault="00937780" w:rsidP="008D7758">
      <w:pPr>
        <w:numPr>
          <w:ilvl w:val="0"/>
          <w:numId w:val="154"/>
        </w:numPr>
        <w:spacing w:before="120" w:after="120"/>
        <w:jc w:val="both"/>
        <w:rPr>
          <w:rFonts w:ascii="Arial" w:hAnsi="Arial" w:cs="Arial"/>
          <w:b/>
          <w:kern w:val="24"/>
        </w:rPr>
      </w:pPr>
      <w:r w:rsidRPr="0092475B">
        <w:rPr>
          <w:rFonts w:ascii="Arial" w:hAnsi="Arial" w:cs="Arial"/>
          <w:b/>
          <w:kern w:val="24"/>
        </w:rPr>
        <w:lastRenderedPageBreak/>
        <w:t>Textes juridiques et réglementaires</w:t>
      </w:r>
    </w:p>
    <w:p w:rsidR="00937780" w:rsidRPr="0092475B" w:rsidRDefault="00937780" w:rsidP="0092475B">
      <w:pPr>
        <w:spacing w:before="120" w:after="120"/>
        <w:ind w:left="708"/>
        <w:jc w:val="both"/>
        <w:rPr>
          <w:rFonts w:ascii="Arial" w:hAnsi="Arial" w:cs="Arial"/>
        </w:rPr>
      </w:pPr>
      <w:r w:rsidRPr="0092475B">
        <w:rPr>
          <w:rFonts w:ascii="Arial" w:hAnsi="Arial" w:cs="Arial"/>
        </w:rPr>
        <w:t>Décret n°2014-024/PRES/PM/MEF du 03 février 2014 portant modalités d’application de la loi n°020-2013/AN du 23 mai 2013 portant régime juridique du partenariat public-privé au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Décret N°2007-775/PRES/PM/MEF portant réglementation générale des projets ou programmes de développement exécutés au 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Lois de finances 2000-2015.</w:t>
      </w:r>
    </w:p>
    <w:p w:rsidR="00937780" w:rsidRPr="0092475B" w:rsidRDefault="00937780" w:rsidP="0092475B">
      <w:pPr>
        <w:spacing w:before="120" w:after="120"/>
        <w:ind w:left="708"/>
        <w:jc w:val="both"/>
        <w:rPr>
          <w:rFonts w:ascii="Arial" w:hAnsi="Arial" w:cs="Arial"/>
        </w:rPr>
      </w:pPr>
      <w:r w:rsidRPr="0092475B">
        <w:rPr>
          <w:rFonts w:ascii="Arial" w:hAnsi="Arial" w:cs="Arial"/>
        </w:rPr>
        <w:t>Lois de règlements 2000-2014.</w:t>
      </w:r>
    </w:p>
    <w:p w:rsidR="00937780" w:rsidRPr="0092475B" w:rsidRDefault="00937780" w:rsidP="0092475B">
      <w:pPr>
        <w:spacing w:before="120" w:after="120"/>
        <w:ind w:left="708"/>
        <w:jc w:val="both"/>
        <w:rPr>
          <w:rFonts w:ascii="Arial" w:hAnsi="Arial" w:cs="Arial"/>
        </w:rPr>
      </w:pPr>
      <w:r w:rsidRPr="0092475B">
        <w:rPr>
          <w:rFonts w:ascii="Arial" w:hAnsi="Arial" w:cs="Arial"/>
        </w:rPr>
        <w:t>Loi n°020-2013/AN du 23 mai 2013 portant régime juridique du partenariat public-privé au Burkina Faso.</w:t>
      </w:r>
    </w:p>
    <w:p w:rsidR="00937780" w:rsidRPr="0092475B" w:rsidRDefault="00937780" w:rsidP="008D7758">
      <w:pPr>
        <w:numPr>
          <w:ilvl w:val="0"/>
          <w:numId w:val="154"/>
        </w:numPr>
        <w:spacing w:before="120" w:after="120"/>
        <w:jc w:val="both"/>
        <w:rPr>
          <w:rFonts w:ascii="Arial" w:hAnsi="Arial" w:cs="Arial"/>
          <w:b/>
          <w:kern w:val="24"/>
        </w:rPr>
      </w:pPr>
      <w:r w:rsidRPr="0092475B">
        <w:rPr>
          <w:rFonts w:ascii="Arial" w:hAnsi="Arial" w:cs="Arial"/>
          <w:b/>
          <w:kern w:val="24"/>
        </w:rPr>
        <w:t>Instruments de planification de développement</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DGCOOP (2017), </w:t>
      </w:r>
      <w:r w:rsidRPr="0092475B">
        <w:rPr>
          <w:rFonts w:ascii="Arial" w:hAnsi="Arial" w:cs="Arial"/>
          <w:i/>
        </w:rPr>
        <w:t xml:space="preserve">« Plateforme de la Gestion de l’Aide », </w:t>
      </w:r>
      <w:r w:rsidRPr="0092475B">
        <w:rPr>
          <w:rFonts w:ascii="Arial" w:hAnsi="Arial" w:cs="Arial"/>
        </w:rPr>
        <w:t>Burkina Faso.</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Ministère de l’Economie, des Finances et du Développement, DGEP (2017), </w:t>
      </w:r>
      <w:r w:rsidRPr="0092475B">
        <w:rPr>
          <w:rFonts w:ascii="Arial" w:hAnsi="Arial" w:cs="Arial"/>
          <w:i/>
        </w:rPr>
        <w:t>« Instrument Automatisé de Prévision »,</w:t>
      </w:r>
      <w:r w:rsidRPr="0092475B">
        <w:rPr>
          <w:rFonts w:ascii="Arial" w:hAnsi="Arial" w:cs="Arial"/>
        </w:rPr>
        <w:t xml:space="preserve"> Burkina Faso.</w:t>
      </w:r>
    </w:p>
    <w:p w:rsidR="00937780" w:rsidRPr="0092475B" w:rsidRDefault="00937780" w:rsidP="008D7758">
      <w:pPr>
        <w:numPr>
          <w:ilvl w:val="0"/>
          <w:numId w:val="154"/>
        </w:numPr>
        <w:spacing w:before="120" w:after="120"/>
        <w:jc w:val="both"/>
        <w:rPr>
          <w:rFonts w:ascii="Arial" w:hAnsi="Arial" w:cs="Arial"/>
          <w:b/>
          <w:kern w:val="24"/>
        </w:rPr>
      </w:pPr>
      <w:r w:rsidRPr="0092475B">
        <w:rPr>
          <w:rFonts w:ascii="Arial" w:hAnsi="Arial" w:cs="Arial"/>
          <w:b/>
          <w:kern w:val="24"/>
        </w:rPr>
        <w:t>Autres auteurs</w:t>
      </w:r>
    </w:p>
    <w:p w:rsidR="00937780" w:rsidRPr="0092475B" w:rsidRDefault="00937780" w:rsidP="0092475B">
      <w:pPr>
        <w:spacing w:before="120" w:after="120"/>
        <w:ind w:left="708"/>
        <w:jc w:val="both"/>
        <w:rPr>
          <w:rFonts w:ascii="Arial" w:hAnsi="Arial" w:cs="Arial"/>
        </w:rPr>
      </w:pPr>
      <w:r w:rsidRPr="0092475B">
        <w:rPr>
          <w:rFonts w:ascii="Arial" w:hAnsi="Arial" w:cs="Arial"/>
        </w:rPr>
        <w:t>Anita DROUET (2009), </w:t>
      </w:r>
      <w:r w:rsidRPr="0092475B">
        <w:rPr>
          <w:rFonts w:ascii="Arial" w:hAnsi="Arial" w:cs="Arial"/>
          <w:i/>
        </w:rPr>
        <w:t>« Financer l’adaptation aux changements climatiques. Ce que prévoit la Convention-Cadre des Nations Unions sur les changements climatiques »,</w:t>
      </w:r>
      <w:r w:rsidRPr="0092475B">
        <w:rPr>
          <w:rFonts w:ascii="Arial" w:hAnsi="Arial" w:cs="Arial"/>
        </w:rPr>
        <w:t xml:space="preserve"> Etude climat N°17. Avril 2009. La recherche en économie du changement climatique.</w:t>
      </w:r>
    </w:p>
    <w:p w:rsidR="00937780" w:rsidRPr="0092475B" w:rsidRDefault="00937780" w:rsidP="0092475B">
      <w:pPr>
        <w:spacing w:before="120" w:after="120"/>
        <w:ind w:left="708"/>
        <w:jc w:val="both"/>
        <w:rPr>
          <w:rFonts w:ascii="Arial" w:hAnsi="Arial" w:cs="Arial"/>
        </w:rPr>
      </w:pPr>
      <w:r w:rsidRPr="0092475B">
        <w:rPr>
          <w:rFonts w:ascii="Arial" w:hAnsi="Arial" w:cs="Arial"/>
        </w:rPr>
        <w:t xml:space="preserve">Yahia ZAHARI (2013), </w:t>
      </w:r>
      <w:r w:rsidRPr="0092475B">
        <w:rPr>
          <w:rFonts w:ascii="Arial" w:hAnsi="Arial" w:cs="Arial"/>
          <w:i/>
        </w:rPr>
        <w:t>« Les défis de la finance islamique »,</w:t>
      </w:r>
      <w:r w:rsidRPr="0092475B">
        <w:rPr>
          <w:rFonts w:ascii="Arial" w:hAnsi="Arial" w:cs="Arial"/>
        </w:rPr>
        <w:t xml:space="preserve"> Dossiers de Recherches en Economie et Gestion, Dossier spécial, Juin 2013.</w:t>
      </w:r>
    </w:p>
    <w:p w:rsidR="00937780" w:rsidRPr="0092475B" w:rsidRDefault="00937780" w:rsidP="00937780">
      <w:pPr>
        <w:rPr>
          <w:rFonts w:ascii="Arial" w:hAnsi="Arial" w:cs="Arial"/>
        </w:rPr>
      </w:pPr>
    </w:p>
    <w:p w:rsidR="00937780" w:rsidRPr="00D6048C" w:rsidRDefault="00937780" w:rsidP="0032736F">
      <w:pPr>
        <w:pStyle w:val="Titre"/>
        <w:rPr>
          <w:rFonts w:asciiTheme="majorHAnsi" w:hAnsiTheme="majorHAnsi"/>
          <w:sz w:val="26"/>
          <w:szCs w:val="26"/>
        </w:rPr>
      </w:pPr>
    </w:p>
    <w:p w:rsidR="00A1666B" w:rsidRPr="00D6048C" w:rsidRDefault="00A1666B" w:rsidP="00EC1B72">
      <w:pPr>
        <w:rPr>
          <w:rFonts w:ascii="Arial" w:hAnsi="Arial" w:cs="Arial"/>
        </w:rPr>
      </w:pPr>
    </w:p>
    <w:p w:rsidR="0032736F" w:rsidRPr="00D6048C" w:rsidRDefault="0032736F">
      <w:pPr>
        <w:spacing w:after="0" w:line="240" w:lineRule="auto"/>
        <w:rPr>
          <w:rFonts w:ascii="Arial" w:hAnsi="Arial" w:cs="Arial"/>
        </w:rPr>
      </w:pPr>
      <w:r w:rsidRPr="00D6048C">
        <w:rPr>
          <w:rFonts w:ascii="Arial" w:hAnsi="Arial" w:cs="Arial"/>
        </w:rPr>
        <w:br w:type="page"/>
      </w:r>
    </w:p>
    <w:p w:rsidR="0041674D" w:rsidRPr="00D6048C" w:rsidRDefault="0041674D">
      <w:pPr>
        <w:spacing w:after="0" w:line="240" w:lineRule="auto"/>
        <w:rPr>
          <w:rFonts w:ascii="Arial" w:hAnsi="Arial" w:cs="Arial"/>
        </w:rPr>
      </w:pPr>
    </w:p>
    <w:p w:rsidR="0041674D" w:rsidRPr="00D6048C" w:rsidRDefault="0041674D">
      <w:pPr>
        <w:spacing w:after="0" w:line="240" w:lineRule="auto"/>
        <w:rPr>
          <w:rFonts w:ascii="Arial" w:hAnsi="Arial" w:cs="Arial"/>
        </w:rPr>
      </w:pPr>
    </w:p>
    <w:p w:rsidR="0041674D" w:rsidRPr="00D6048C" w:rsidRDefault="0041674D">
      <w:pPr>
        <w:spacing w:after="0" w:line="240" w:lineRule="auto"/>
        <w:rPr>
          <w:rFonts w:ascii="Arial" w:hAnsi="Arial" w:cs="Arial"/>
        </w:rPr>
      </w:pPr>
    </w:p>
    <w:p w:rsidR="0041674D" w:rsidRPr="00D6048C" w:rsidRDefault="0041674D">
      <w:pPr>
        <w:spacing w:after="0" w:line="240" w:lineRule="auto"/>
        <w:rPr>
          <w:rFonts w:ascii="Arial" w:hAnsi="Arial" w:cs="Arial"/>
        </w:rPr>
      </w:pPr>
    </w:p>
    <w:p w:rsidR="00A1666B" w:rsidRPr="00D6048C" w:rsidRDefault="00A1666B" w:rsidP="00EC1B72">
      <w:pPr>
        <w:rPr>
          <w:rFonts w:ascii="Arial" w:hAnsi="Arial" w:cs="Arial"/>
        </w:rPr>
      </w:pPr>
    </w:p>
    <w:p w:rsidR="0032736F" w:rsidRDefault="0032736F" w:rsidP="00EC1B72">
      <w:pPr>
        <w:rPr>
          <w:rFonts w:ascii="Arial" w:hAnsi="Arial" w:cs="Arial"/>
        </w:rPr>
      </w:pPr>
    </w:p>
    <w:p w:rsidR="0032736F" w:rsidRDefault="0032736F" w:rsidP="00EC1B72">
      <w:pPr>
        <w:rPr>
          <w:rFonts w:ascii="Arial" w:hAnsi="Arial" w:cs="Arial"/>
        </w:rPr>
      </w:pPr>
    </w:p>
    <w:p w:rsidR="0032736F" w:rsidRDefault="0032736F" w:rsidP="00EC1B72">
      <w:pPr>
        <w:rPr>
          <w:rFonts w:ascii="Arial" w:hAnsi="Arial" w:cs="Arial"/>
        </w:rPr>
      </w:pPr>
    </w:p>
    <w:p w:rsidR="0032736F" w:rsidRDefault="0032736F" w:rsidP="00EC1B72">
      <w:pPr>
        <w:rPr>
          <w:rFonts w:ascii="Arial" w:hAnsi="Arial" w:cs="Arial"/>
        </w:rPr>
      </w:pPr>
    </w:p>
    <w:p w:rsidR="00502F1F" w:rsidRDefault="00502F1F" w:rsidP="00EC1B72">
      <w:pPr>
        <w:rPr>
          <w:rFonts w:ascii="Arial" w:hAnsi="Arial" w:cs="Arial"/>
        </w:rPr>
      </w:pPr>
    </w:p>
    <w:p w:rsidR="00502F1F" w:rsidRDefault="00502F1F" w:rsidP="00EC1B72">
      <w:pPr>
        <w:rPr>
          <w:rFonts w:ascii="Arial" w:hAnsi="Arial" w:cs="Arial"/>
        </w:rPr>
      </w:pPr>
    </w:p>
    <w:p w:rsidR="0032736F" w:rsidRDefault="0032736F" w:rsidP="00EC1B72">
      <w:pPr>
        <w:rPr>
          <w:rFonts w:ascii="Arial" w:hAnsi="Arial" w:cs="Arial"/>
        </w:rPr>
      </w:pPr>
    </w:p>
    <w:p w:rsidR="0032736F" w:rsidRDefault="0032736F" w:rsidP="00EC1B72">
      <w:pPr>
        <w:rPr>
          <w:rFonts w:ascii="Arial" w:hAnsi="Arial" w:cs="Arial"/>
        </w:rPr>
      </w:pPr>
    </w:p>
    <w:p w:rsidR="0032736F" w:rsidRDefault="00502F1F" w:rsidP="0032736F">
      <w:pPr>
        <w:jc w:val="center"/>
        <w:rPr>
          <w:rFonts w:ascii="Arial" w:hAnsi="Arial" w:cs="Arial"/>
          <w:b/>
        </w:rPr>
      </w:pPr>
      <w:r>
        <w:rPr>
          <w:rFonts w:ascii="Arial" w:hAnsi="Arial" w:cs="Arial"/>
          <w:b/>
          <w:noProof/>
          <w:lang w:eastAsia="fr-FR"/>
        </w:rPr>
        <mc:AlternateContent>
          <mc:Choice Requires="wps">
            <w:drawing>
              <wp:anchor distT="0" distB="0" distL="114300" distR="114300" simplePos="0" relativeHeight="251660288" behindDoc="1" locked="0" layoutInCell="1" allowOverlap="1" wp14:anchorId="6FA65203" wp14:editId="5AA5392B">
                <wp:simplePos x="0" y="0"/>
                <wp:positionH relativeFrom="column">
                  <wp:posOffset>39035</wp:posOffset>
                </wp:positionH>
                <wp:positionV relativeFrom="paragraph">
                  <wp:posOffset>118745</wp:posOffset>
                </wp:positionV>
                <wp:extent cx="6098875" cy="646981"/>
                <wp:effectExtent l="0" t="0" r="16510" b="20320"/>
                <wp:wrapNone/>
                <wp:docPr id="26" name="Rectangle à coins arrondis 26"/>
                <wp:cNvGraphicFramePr/>
                <a:graphic xmlns:a="http://schemas.openxmlformats.org/drawingml/2006/main">
                  <a:graphicData uri="http://schemas.microsoft.com/office/word/2010/wordprocessingShape">
                    <wps:wsp>
                      <wps:cNvSpPr/>
                      <wps:spPr>
                        <a:xfrm>
                          <a:off x="0" y="0"/>
                          <a:ext cx="6098875" cy="646981"/>
                        </a:xfrm>
                        <a:prstGeom prst="roundRect">
                          <a:avLst/>
                        </a:prstGeom>
                        <a:solidFill>
                          <a:schemeClr val="bg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E712A8C" id="Rectangle à coins arrondis 26" o:spid="_x0000_s1026" style="position:absolute;margin-left:3.05pt;margin-top:9.35pt;width:480.25pt;height:50.95pt;z-index:-25165619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" fillcolor="#bfbfbf [2412]" strokecolor="#243f60 [1604]" strokeweight="2pt"/>
            </w:pict>
          </mc:Fallback>
        </mc:AlternateContent>
      </w:r>
    </w:p>
    <w:p w:rsidR="0032736F" w:rsidRDefault="00502F1F" w:rsidP="00502F1F">
      <w:pPr>
        <w:pStyle w:val="Titre"/>
        <w:rPr>
          <w:rFonts w:ascii="Arial" w:hAnsi="Arial" w:cs="Arial"/>
        </w:rPr>
      </w:pPr>
      <w:bookmarkStart w:id="721" w:name="_Toc492972279"/>
      <w:r>
        <w:t>ANNEXES</w:t>
      </w:r>
      <w:bookmarkEnd w:id="721"/>
    </w:p>
    <w:p w:rsidR="00A1666B" w:rsidRPr="002B4C0A" w:rsidRDefault="00A1666B" w:rsidP="00EC1B72">
      <w:pPr>
        <w:rPr>
          <w:rFonts w:ascii="Arial" w:hAnsi="Arial" w:cs="Arial"/>
        </w:rPr>
      </w:pPr>
    </w:p>
    <w:p w:rsidR="00EC1B72" w:rsidRDefault="00EC1B72" w:rsidP="00EC1B72">
      <w:pPr>
        <w:spacing w:after="160" w:line="259" w:lineRule="auto"/>
        <w:rPr>
          <w:rFonts w:ascii="Arial" w:hAnsi="Arial" w:cs="Arial"/>
        </w:rPr>
      </w:pPr>
      <w:r>
        <w:rPr>
          <w:rFonts w:ascii="Arial" w:hAnsi="Arial" w:cs="Arial"/>
        </w:rPr>
        <w:br w:type="page"/>
      </w:r>
    </w:p>
    <w:p w:rsidR="00EC1B72" w:rsidRPr="002B4C0A" w:rsidRDefault="00EC1B72" w:rsidP="00644A07">
      <w:pPr>
        <w:pStyle w:val="Titre1"/>
        <w:spacing w:after="240"/>
      </w:pPr>
      <w:bookmarkStart w:id="722" w:name="_Toc492972280"/>
      <w:r w:rsidRPr="00BD6917">
        <w:rPr>
          <w:u w:val="single"/>
        </w:rPr>
        <w:lastRenderedPageBreak/>
        <w:t>ANNEXE </w:t>
      </w:r>
      <w:r w:rsidR="00BD6917" w:rsidRPr="00BD6917">
        <w:rPr>
          <w:u w:val="single"/>
        </w:rPr>
        <w:t>1</w:t>
      </w:r>
      <w:r w:rsidRPr="00BD6917">
        <w:rPr>
          <w:u w:val="single"/>
        </w:rPr>
        <w:t>:</w:t>
      </w:r>
      <w:r w:rsidRPr="002B4C0A">
        <w:t xml:space="preserve"> Récapitulatif des annonces des partenaires publics à la conférence de Paris sur le financement du PNDES</w:t>
      </w:r>
      <w:bookmarkEnd w:id="722"/>
      <w:r>
        <w:t xml:space="preserve"> </w:t>
      </w:r>
    </w:p>
    <w:tbl>
      <w:tblPr>
        <w:tblStyle w:val="Grilledutableau"/>
        <w:tblW w:w="0" w:type="auto"/>
        <w:tblLook w:val="04A0" w:firstRow="1" w:lastRow="0" w:firstColumn="1" w:lastColumn="0" w:noHBand="0" w:noVBand="1"/>
      </w:tblPr>
      <w:tblGrid>
        <w:gridCol w:w="2610"/>
        <w:gridCol w:w="1898"/>
        <w:gridCol w:w="1611"/>
        <w:gridCol w:w="1611"/>
        <w:gridCol w:w="1906"/>
      </w:tblGrid>
      <w:tr w:rsidR="005C44F4" w:rsidRPr="00644A07" w:rsidTr="008213AB">
        <w:trPr>
          <w:trHeight w:val="160"/>
        </w:trPr>
        <w:tc>
          <w:tcPr>
            <w:tcW w:w="2610" w:type="dxa"/>
            <w:vMerge w:val="restart"/>
            <w:shd w:val="clear" w:color="auto" w:fill="BFBFBF" w:themeFill="background1" w:themeFillShade="BF"/>
            <w:vAlign w:val="center"/>
            <w:hideMark/>
          </w:tcPr>
          <w:p w:rsidR="005C44F4" w:rsidRPr="00644A07" w:rsidRDefault="005C44F4" w:rsidP="00644A07">
            <w:pPr>
              <w:tabs>
                <w:tab w:val="left" w:pos="540"/>
              </w:tabs>
              <w:spacing w:after="0" w:line="240" w:lineRule="auto"/>
              <w:jc w:val="center"/>
              <w:rPr>
                <w:rFonts w:ascii="Arial" w:hAnsi="Arial" w:cs="Arial"/>
                <w:b/>
                <w:bCs/>
                <w:sz w:val="20"/>
                <w:szCs w:val="20"/>
              </w:rPr>
            </w:pPr>
            <w:r w:rsidRPr="00644A07">
              <w:rPr>
                <w:rFonts w:ascii="Arial" w:hAnsi="Arial" w:cs="Arial"/>
                <w:b/>
                <w:bCs/>
                <w:sz w:val="20"/>
                <w:szCs w:val="20"/>
              </w:rPr>
              <w:t>Partenaires</w:t>
            </w:r>
          </w:p>
        </w:tc>
        <w:tc>
          <w:tcPr>
            <w:tcW w:w="7026" w:type="dxa"/>
            <w:gridSpan w:val="4"/>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center"/>
              <w:rPr>
                <w:rFonts w:ascii="Arial" w:hAnsi="Arial" w:cs="Arial"/>
                <w:b/>
                <w:bCs/>
                <w:sz w:val="20"/>
                <w:szCs w:val="20"/>
              </w:rPr>
            </w:pPr>
            <w:r w:rsidRPr="00644A07">
              <w:rPr>
                <w:rFonts w:ascii="Arial" w:hAnsi="Arial" w:cs="Arial"/>
                <w:b/>
                <w:bCs/>
                <w:sz w:val="20"/>
                <w:szCs w:val="20"/>
              </w:rPr>
              <w:t>Montant total des annonces (millions)</w:t>
            </w:r>
          </w:p>
        </w:tc>
      </w:tr>
      <w:tr w:rsidR="00644A07" w:rsidRPr="00644A07" w:rsidTr="008213AB">
        <w:trPr>
          <w:trHeight w:val="160"/>
        </w:trPr>
        <w:tc>
          <w:tcPr>
            <w:tcW w:w="2610" w:type="dxa"/>
            <w:vMerge/>
            <w:shd w:val="clear" w:color="auto" w:fill="auto"/>
            <w:vAlign w:val="center"/>
            <w:hideMark/>
          </w:tcPr>
          <w:p w:rsidR="005C44F4" w:rsidRPr="00644A07" w:rsidRDefault="005C44F4" w:rsidP="00644A07">
            <w:pPr>
              <w:tabs>
                <w:tab w:val="left" w:pos="540"/>
              </w:tabs>
              <w:spacing w:after="0" w:line="259" w:lineRule="auto"/>
              <w:jc w:val="center"/>
              <w:rPr>
                <w:rFonts w:ascii="Arial" w:hAnsi="Arial" w:cs="Arial"/>
                <w:b/>
                <w:bCs/>
                <w:sz w:val="20"/>
                <w:szCs w:val="20"/>
              </w:rPr>
            </w:pPr>
          </w:p>
        </w:tc>
        <w:tc>
          <w:tcPr>
            <w:tcW w:w="1898"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center"/>
              <w:rPr>
                <w:rFonts w:ascii="Arial" w:hAnsi="Arial" w:cs="Arial"/>
                <w:b/>
                <w:bCs/>
                <w:sz w:val="20"/>
                <w:szCs w:val="20"/>
              </w:rPr>
            </w:pPr>
            <w:r w:rsidRPr="00644A07">
              <w:rPr>
                <w:rFonts w:ascii="Arial" w:hAnsi="Arial" w:cs="Arial"/>
                <w:b/>
                <w:bCs/>
                <w:sz w:val="20"/>
                <w:szCs w:val="20"/>
              </w:rPr>
              <w:t>FCFA</w:t>
            </w:r>
          </w:p>
        </w:tc>
        <w:tc>
          <w:tcPr>
            <w:tcW w:w="1611"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center"/>
              <w:rPr>
                <w:rFonts w:ascii="Arial" w:hAnsi="Arial" w:cs="Arial"/>
                <w:b/>
                <w:bCs/>
                <w:sz w:val="20"/>
                <w:szCs w:val="20"/>
              </w:rPr>
            </w:pPr>
            <w:r w:rsidRPr="00644A07">
              <w:rPr>
                <w:rFonts w:ascii="Arial" w:hAnsi="Arial" w:cs="Arial"/>
                <w:b/>
                <w:bCs/>
                <w:sz w:val="20"/>
                <w:szCs w:val="20"/>
              </w:rPr>
              <w:t>Dollar</w:t>
            </w:r>
          </w:p>
        </w:tc>
        <w:tc>
          <w:tcPr>
            <w:tcW w:w="1611"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center"/>
              <w:rPr>
                <w:rFonts w:ascii="Arial" w:hAnsi="Arial" w:cs="Arial"/>
                <w:b/>
                <w:bCs/>
                <w:sz w:val="20"/>
                <w:szCs w:val="20"/>
              </w:rPr>
            </w:pPr>
            <w:r w:rsidRPr="00644A07">
              <w:rPr>
                <w:rFonts w:ascii="Arial" w:hAnsi="Arial" w:cs="Arial"/>
                <w:b/>
                <w:bCs/>
                <w:sz w:val="20"/>
                <w:szCs w:val="20"/>
              </w:rPr>
              <w:t>Euro</w:t>
            </w:r>
          </w:p>
        </w:tc>
        <w:tc>
          <w:tcPr>
            <w:tcW w:w="1905"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center"/>
              <w:rPr>
                <w:rFonts w:ascii="Arial" w:hAnsi="Arial" w:cs="Arial"/>
                <w:b/>
                <w:bCs/>
                <w:sz w:val="20"/>
                <w:szCs w:val="20"/>
              </w:rPr>
            </w:pPr>
            <w:r w:rsidRPr="00644A07">
              <w:rPr>
                <w:rFonts w:ascii="Arial" w:hAnsi="Arial" w:cs="Arial"/>
                <w:b/>
                <w:bCs/>
                <w:sz w:val="20"/>
                <w:szCs w:val="20"/>
              </w:rPr>
              <w:t>Livre Sterling</w:t>
            </w:r>
          </w:p>
        </w:tc>
      </w:tr>
      <w:tr w:rsidR="005C44F4" w:rsidRPr="00644A07" w:rsidTr="008213AB">
        <w:trPr>
          <w:trHeight w:val="79"/>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Banque Mondiale</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1 800 000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3 000,0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BID</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1 149 000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1 915,0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29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AFREXIMBANK</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900 000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1 500,0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BAD</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639 000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1 065,0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UE</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525 000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800,0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SFI</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480 000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800,0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AFC</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300 000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500,0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OFID</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297 000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495,0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BOAD</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250 000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FVC</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240 000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400,0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BADEA</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156 000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260,0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BEI</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131 000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200,0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BIDC</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120 000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200,0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AFRICA 50</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60 000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FSA</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53 000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89,0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SNU</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170 000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283,0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UEMOA</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19 000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300"/>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WATERAID</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5 000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8,0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644A07" w:rsidRPr="00644A07" w:rsidTr="008213AB">
        <w:trPr>
          <w:trHeight w:val="470"/>
        </w:trPr>
        <w:tc>
          <w:tcPr>
            <w:tcW w:w="2610" w:type="dxa"/>
            <w:shd w:val="clear" w:color="auto" w:fill="BFBFBF" w:themeFill="background1" w:themeFillShade="BF"/>
            <w:vAlign w:val="center"/>
            <w:hideMark/>
          </w:tcPr>
          <w:p w:rsidR="005C44F4" w:rsidRPr="00644A07" w:rsidRDefault="005C44F4" w:rsidP="00644A07">
            <w:pPr>
              <w:tabs>
                <w:tab w:val="left" w:pos="540"/>
              </w:tabs>
              <w:spacing w:after="0" w:line="259" w:lineRule="auto"/>
              <w:rPr>
                <w:rFonts w:ascii="Arial" w:hAnsi="Arial" w:cs="Arial"/>
                <w:b/>
                <w:bCs/>
                <w:i/>
                <w:sz w:val="20"/>
                <w:szCs w:val="20"/>
              </w:rPr>
            </w:pPr>
            <w:r w:rsidRPr="00644A07">
              <w:rPr>
                <w:rFonts w:ascii="Arial" w:hAnsi="Arial" w:cs="Arial"/>
                <w:b/>
                <w:bCs/>
                <w:i/>
                <w:sz w:val="20"/>
                <w:szCs w:val="20"/>
              </w:rPr>
              <w:t>Sous total Multilatéraux</w:t>
            </w:r>
          </w:p>
        </w:tc>
        <w:tc>
          <w:tcPr>
            <w:tcW w:w="1898"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right"/>
              <w:rPr>
                <w:rFonts w:ascii="Arial" w:hAnsi="Arial" w:cs="Arial"/>
                <w:b/>
                <w:bCs/>
                <w:i/>
                <w:sz w:val="20"/>
                <w:szCs w:val="20"/>
              </w:rPr>
            </w:pPr>
            <w:r w:rsidRPr="00644A07">
              <w:rPr>
                <w:rFonts w:ascii="Arial" w:hAnsi="Arial" w:cs="Arial"/>
                <w:b/>
                <w:bCs/>
                <w:i/>
                <w:sz w:val="20"/>
                <w:szCs w:val="20"/>
              </w:rPr>
              <w:t>7 294 400</w:t>
            </w:r>
          </w:p>
        </w:tc>
        <w:tc>
          <w:tcPr>
            <w:tcW w:w="1611"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right"/>
              <w:rPr>
                <w:rFonts w:ascii="Arial" w:hAnsi="Arial" w:cs="Arial"/>
                <w:b/>
                <w:i/>
                <w:sz w:val="20"/>
                <w:szCs w:val="20"/>
              </w:rPr>
            </w:pPr>
            <w:r w:rsidRPr="00644A07">
              <w:rPr>
                <w:rFonts w:ascii="Arial" w:hAnsi="Arial" w:cs="Arial"/>
                <w:b/>
                <w:i/>
                <w:sz w:val="20"/>
                <w:szCs w:val="20"/>
              </w:rPr>
              <w:t>10 507,0</w:t>
            </w:r>
          </w:p>
        </w:tc>
        <w:tc>
          <w:tcPr>
            <w:tcW w:w="1611"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right"/>
              <w:rPr>
                <w:rFonts w:ascii="Arial" w:hAnsi="Arial" w:cs="Arial"/>
                <w:b/>
                <w:i/>
                <w:sz w:val="20"/>
                <w:szCs w:val="20"/>
              </w:rPr>
            </w:pPr>
            <w:r w:rsidRPr="00644A07">
              <w:rPr>
                <w:rFonts w:ascii="Arial" w:hAnsi="Arial" w:cs="Arial"/>
                <w:b/>
                <w:i/>
                <w:sz w:val="20"/>
                <w:szCs w:val="20"/>
              </w:rPr>
              <w:t>1 008,0</w:t>
            </w:r>
          </w:p>
        </w:tc>
        <w:tc>
          <w:tcPr>
            <w:tcW w:w="1905"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right"/>
              <w:rPr>
                <w:rFonts w:ascii="Arial" w:hAnsi="Arial" w:cs="Arial"/>
                <w:b/>
                <w:i/>
                <w:sz w:val="20"/>
                <w:szCs w:val="20"/>
              </w:rPr>
            </w:pPr>
            <w:r w:rsidRPr="00644A07">
              <w:rPr>
                <w:rFonts w:ascii="Arial" w:hAnsi="Arial" w:cs="Arial"/>
                <w:b/>
                <w:i/>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USA</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300 000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500,0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29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AFD/FRANCE</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302 000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461,0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JAPON</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114 000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190,0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29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DANEMARK</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92 000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140,0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SUISSE</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84 000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29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LUXEMBOURG</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54 000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82,0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SUEDE</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50 000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29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BELGIQUE</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26 000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39,0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ITALIE</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17 000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25,8</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5C44F4" w:rsidRPr="00644A07" w:rsidTr="008213AB">
        <w:trPr>
          <w:trHeight w:val="152"/>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CANADA</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10 000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17,0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440"/>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DFID (ANGLETERRE)</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6 000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7,9</w:t>
            </w:r>
          </w:p>
        </w:tc>
      </w:tr>
      <w:tr w:rsidR="005C44F4" w:rsidRPr="00644A07" w:rsidTr="008213AB">
        <w:trPr>
          <w:trHeight w:val="160"/>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sz w:val="20"/>
                <w:szCs w:val="20"/>
              </w:rPr>
            </w:pPr>
            <w:r w:rsidRPr="00644A07">
              <w:rPr>
                <w:rFonts w:ascii="Arial" w:hAnsi="Arial" w:cs="Arial"/>
                <w:bCs/>
                <w:sz w:val="20"/>
                <w:szCs w:val="20"/>
              </w:rPr>
              <w:t>AUTRICHE</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4 000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6,8</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sz w:val="20"/>
                <w:szCs w:val="20"/>
              </w:rPr>
            </w:pPr>
            <w:r w:rsidRPr="00644A07">
              <w:rPr>
                <w:rFonts w:ascii="Arial" w:hAnsi="Arial" w:cs="Arial"/>
                <w:sz w:val="20"/>
                <w:szCs w:val="20"/>
              </w:rPr>
              <w:t>0,0</w:t>
            </w:r>
          </w:p>
        </w:tc>
      </w:tr>
      <w:tr w:rsidR="007916B0" w:rsidRPr="00644A07" w:rsidTr="008213AB">
        <w:trPr>
          <w:trHeight w:val="315"/>
        </w:trPr>
        <w:tc>
          <w:tcPr>
            <w:tcW w:w="2610" w:type="dxa"/>
            <w:shd w:val="clear" w:color="auto" w:fill="BFBFBF" w:themeFill="background1" w:themeFillShade="BF"/>
            <w:vAlign w:val="center"/>
            <w:hideMark/>
          </w:tcPr>
          <w:p w:rsidR="005C44F4" w:rsidRPr="00644A07" w:rsidRDefault="005C44F4" w:rsidP="00644A07">
            <w:pPr>
              <w:tabs>
                <w:tab w:val="left" w:pos="540"/>
              </w:tabs>
              <w:spacing w:after="0" w:line="259" w:lineRule="auto"/>
              <w:rPr>
                <w:rFonts w:ascii="Arial" w:hAnsi="Arial" w:cs="Arial"/>
                <w:b/>
                <w:bCs/>
                <w:i/>
                <w:sz w:val="20"/>
                <w:szCs w:val="20"/>
              </w:rPr>
            </w:pPr>
            <w:r w:rsidRPr="00644A07">
              <w:rPr>
                <w:rFonts w:ascii="Arial" w:hAnsi="Arial" w:cs="Arial"/>
                <w:b/>
                <w:bCs/>
                <w:i/>
                <w:sz w:val="20"/>
                <w:szCs w:val="20"/>
              </w:rPr>
              <w:t>Sous total Bilatéraux</w:t>
            </w:r>
          </w:p>
        </w:tc>
        <w:tc>
          <w:tcPr>
            <w:tcW w:w="1898"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right"/>
              <w:rPr>
                <w:rFonts w:ascii="Arial" w:hAnsi="Arial" w:cs="Arial"/>
                <w:b/>
                <w:bCs/>
                <w:i/>
                <w:sz w:val="20"/>
                <w:szCs w:val="20"/>
              </w:rPr>
            </w:pPr>
            <w:r w:rsidRPr="00644A07">
              <w:rPr>
                <w:rFonts w:ascii="Arial" w:hAnsi="Arial" w:cs="Arial"/>
                <w:b/>
                <w:bCs/>
                <w:i/>
                <w:sz w:val="20"/>
                <w:szCs w:val="20"/>
              </w:rPr>
              <w:t>1 058 658,60</w:t>
            </w:r>
          </w:p>
        </w:tc>
        <w:tc>
          <w:tcPr>
            <w:tcW w:w="1611"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right"/>
              <w:rPr>
                <w:rFonts w:ascii="Arial" w:hAnsi="Arial" w:cs="Arial"/>
                <w:b/>
                <w:i/>
                <w:sz w:val="20"/>
                <w:szCs w:val="20"/>
              </w:rPr>
            </w:pPr>
            <w:r w:rsidRPr="00644A07">
              <w:rPr>
                <w:rFonts w:ascii="Arial" w:hAnsi="Arial" w:cs="Arial"/>
                <w:b/>
                <w:i/>
                <w:sz w:val="20"/>
                <w:szCs w:val="20"/>
              </w:rPr>
              <w:t>707,0</w:t>
            </w:r>
          </w:p>
        </w:tc>
        <w:tc>
          <w:tcPr>
            <w:tcW w:w="1611"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right"/>
              <w:rPr>
                <w:rFonts w:ascii="Arial" w:hAnsi="Arial" w:cs="Arial"/>
                <w:b/>
                <w:i/>
                <w:sz w:val="20"/>
                <w:szCs w:val="20"/>
              </w:rPr>
            </w:pPr>
            <w:r w:rsidRPr="00644A07">
              <w:rPr>
                <w:rFonts w:ascii="Arial" w:hAnsi="Arial" w:cs="Arial"/>
                <w:b/>
                <w:i/>
                <w:sz w:val="20"/>
                <w:szCs w:val="20"/>
              </w:rPr>
              <w:t>754,6</w:t>
            </w:r>
          </w:p>
        </w:tc>
        <w:tc>
          <w:tcPr>
            <w:tcW w:w="1905" w:type="dxa"/>
            <w:shd w:val="clear" w:color="auto" w:fill="BFBFBF" w:themeFill="background1" w:themeFillShade="BF"/>
            <w:noWrap/>
            <w:vAlign w:val="center"/>
            <w:hideMark/>
          </w:tcPr>
          <w:p w:rsidR="005C44F4" w:rsidRPr="00644A07" w:rsidRDefault="005C44F4" w:rsidP="00644A07">
            <w:pPr>
              <w:tabs>
                <w:tab w:val="left" w:pos="540"/>
              </w:tabs>
              <w:spacing w:after="0" w:line="259" w:lineRule="auto"/>
              <w:jc w:val="right"/>
              <w:rPr>
                <w:rFonts w:ascii="Arial" w:hAnsi="Arial" w:cs="Arial"/>
                <w:b/>
                <w:i/>
                <w:sz w:val="20"/>
                <w:szCs w:val="20"/>
              </w:rPr>
            </w:pPr>
            <w:r w:rsidRPr="00644A07">
              <w:rPr>
                <w:rFonts w:ascii="Arial" w:hAnsi="Arial" w:cs="Arial"/>
                <w:b/>
                <w:i/>
                <w:sz w:val="20"/>
                <w:szCs w:val="20"/>
              </w:rPr>
              <w:t>7,9</w:t>
            </w:r>
          </w:p>
        </w:tc>
      </w:tr>
      <w:tr w:rsidR="005C44F4" w:rsidRPr="00644A07" w:rsidTr="008213AB">
        <w:trPr>
          <w:trHeight w:val="160"/>
        </w:trPr>
        <w:tc>
          <w:tcPr>
            <w:tcW w:w="2610" w:type="dxa"/>
            <w:shd w:val="clear" w:color="auto" w:fill="auto"/>
            <w:vAlign w:val="center"/>
            <w:hideMark/>
          </w:tcPr>
          <w:p w:rsidR="005C44F4" w:rsidRPr="00644A07" w:rsidRDefault="005C44F4" w:rsidP="00644A07">
            <w:pPr>
              <w:tabs>
                <w:tab w:val="left" w:pos="540"/>
              </w:tabs>
              <w:spacing w:after="0" w:line="259" w:lineRule="auto"/>
              <w:rPr>
                <w:rFonts w:ascii="Arial" w:hAnsi="Arial" w:cs="Arial"/>
                <w:b/>
                <w:bCs/>
                <w:sz w:val="20"/>
                <w:szCs w:val="20"/>
              </w:rPr>
            </w:pPr>
            <w:r w:rsidRPr="00644A07">
              <w:rPr>
                <w:rFonts w:ascii="Arial" w:hAnsi="Arial" w:cs="Arial"/>
                <w:b/>
                <w:bCs/>
                <w:sz w:val="20"/>
                <w:szCs w:val="20"/>
              </w:rPr>
              <w:t>TOTAL</w:t>
            </w:r>
          </w:p>
        </w:tc>
        <w:tc>
          <w:tcPr>
            <w:tcW w:w="1898" w:type="dxa"/>
            <w:shd w:val="clear" w:color="auto" w:fill="auto"/>
            <w:vAlign w:val="center"/>
            <w:hideMark/>
          </w:tcPr>
          <w:p w:rsidR="005C44F4" w:rsidRPr="00644A07" w:rsidRDefault="005C44F4" w:rsidP="00644A07">
            <w:pPr>
              <w:tabs>
                <w:tab w:val="left" w:pos="540"/>
              </w:tabs>
              <w:spacing w:after="0" w:line="259" w:lineRule="auto"/>
              <w:jc w:val="right"/>
              <w:rPr>
                <w:rFonts w:ascii="Arial" w:hAnsi="Arial" w:cs="Arial"/>
                <w:b/>
                <w:bCs/>
                <w:sz w:val="20"/>
                <w:szCs w:val="20"/>
              </w:rPr>
            </w:pPr>
            <w:r w:rsidRPr="00644A07">
              <w:rPr>
                <w:rFonts w:ascii="Arial" w:hAnsi="Arial" w:cs="Arial"/>
                <w:b/>
                <w:bCs/>
                <w:sz w:val="20"/>
                <w:szCs w:val="20"/>
              </w:rPr>
              <w:t>8 353 059</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b/>
                <w:sz w:val="20"/>
                <w:szCs w:val="20"/>
              </w:rPr>
            </w:pPr>
            <w:r w:rsidRPr="00644A07">
              <w:rPr>
                <w:rFonts w:ascii="Arial" w:hAnsi="Arial" w:cs="Arial"/>
                <w:b/>
                <w:sz w:val="20"/>
                <w:szCs w:val="20"/>
              </w:rPr>
              <w:t>11 214,0</w:t>
            </w:r>
          </w:p>
        </w:tc>
        <w:tc>
          <w:tcPr>
            <w:tcW w:w="1611"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b/>
                <w:sz w:val="20"/>
                <w:szCs w:val="20"/>
              </w:rPr>
            </w:pPr>
            <w:r w:rsidRPr="00644A07">
              <w:rPr>
                <w:rFonts w:ascii="Arial" w:hAnsi="Arial" w:cs="Arial"/>
                <w:b/>
                <w:sz w:val="20"/>
                <w:szCs w:val="20"/>
              </w:rPr>
              <w:t>1 763,0</w:t>
            </w:r>
          </w:p>
        </w:tc>
        <w:tc>
          <w:tcPr>
            <w:tcW w:w="1905" w:type="dxa"/>
            <w:shd w:val="clear" w:color="auto" w:fill="auto"/>
            <w:noWrap/>
            <w:vAlign w:val="center"/>
            <w:hideMark/>
          </w:tcPr>
          <w:p w:rsidR="005C44F4" w:rsidRPr="00644A07" w:rsidRDefault="005C44F4" w:rsidP="00644A07">
            <w:pPr>
              <w:tabs>
                <w:tab w:val="left" w:pos="540"/>
              </w:tabs>
              <w:spacing w:after="0" w:line="259" w:lineRule="auto"/>
              <w:jc w:val="right"/>
              <w:rPr>
                <w:rFonts w:ascii="Arial" w:hAnsi="Arial" w:cs="Arial"/>
                <w:b/>
                <w:sz w:val="20"/>
                <w:szCs w:val="20"/>
              </w:rPr>
            </w:pPr>
            <w:r w:rsidRPr="00644A07">
              <w:rPr>
                <w:rFonts w:ascii="Arial" w:hAnsi="Arial" w:cs="Arial"/>
                <w:b/>
                <w:sz w:val="20"/>
                <w:szCs w:val="20"/>
              </w:rPr>
              <w:t>8,0</w:t>
            </w:r>
          </w:p>
        </w:tc>
      </w:tr>
    </w:tbl>
    <w:p w:rsidR="00EC1B72" w:rsidRPr="002B4C0A" w:rsidRDefault="00EC1B72" w:rsidP="00EC1B72">
      <w:pPr>
        <w:spacing w:after="160" w:line="259" w:lineRule="auto"/>
        <w:rPr>
          <w:rFonts w:ascii="Arial" w:hAnsi="Arial" w:cs="Arial"/>
        </w:rPr>
      </w:pPr>
      <w:r w:rsidRPr="002B4C0A">
        <w:rPr>
          <w:rFonts w:ascii="Arial" w:hAnsi="Arial" w:cs="Arial"/>
        </w:rPr>
        <w:br w:type="page"/>
      </w:r>
    </w:p>
    <w:p w:rsidR="00EC1B72" w:rsidRPr="00644A07" w:rsidRDefault="00EC1B72" w:rsidP="00644A07">
      <w:pPr>
        <w:pStyle w:val="Titre1"/>
        <w:spacing w:after="240"/>
        <w:rPr>
          <w:u w:val="single"/>
        </w:rPr>
      </w:pPr>
      <w:bookmarkStart w:id="723" w:name="_Toc492972281"/>
      <w:r w:rsidRPr="00644A07">
        <w:rPr>
          <w:u w:val="single"/>
        </w:rPr>
        <w:lastRenderedPageBreak/>
        <w:t>ANNEXE </w:t>
      </w:r>
      <w:r w:rsidR="00BD6917" w:rsidRPr="00644A07">
        <w:rPr>
          <w:u w:val="single"/>
        </w:rPr>
        <w:t>2</w:t>
      </w:r>
      <w:r w:rsidRPr="00644A07">
        <w:rPr>
          <w:u w:val="single"/>
        </w:rPr>
        <w:t>: Récapitulatif des annonces des partenaires privés à la conférence de Paris sur le financement PNDES (en milliards de FCFA)</w:t>
      </w:r>
      <w:bookmarkEnd w:id="723"/>
    </w:p>
    <w:tbl>
      <w:tblPr>
        <w:tblW w:w="9668" w:type="dxa"/>
        <w:tblCellMar>
          <w:left w:w="70" w:type="dxa"/>
          <w:right w:w="70" w:type="dxa"/>
        </w:tblCellMar>
        <w:tblLook w:val="04A0" w:firstRow="1" w:lastRow="0" w:firstColumn="1" w:lastColumn="0" w:noHBand="0" w:noVBand="1"/>
      </w:tblPr>
      <w:tblGrid>
        <w:gridCol w:w="710"/>
        <w:gridCol w:w="3228"/>
        <w:gridCol w:w="1719"/>
        <w:gridCol w:w="4011"/>
      </w:tblGrid>
      <w:tr w:rsidR="00EC1B72" w:rsidRPr="008213AB" w:rsidTr="008213AB">
        <w:trPr>
          <w:trHeight w:val="299"/>
          <w:tblHeader/>
        </w:trPr>
        <w:tc>
          <w:tcPr>
            <w:tcW w:w="7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EC1B72" w:rsidRPr="008213AB" w:rsidRDefault="00EC1B72" w:rsidP="008213AB">
            <w:pPr>
              <w:spacing w:after="0" w:line="240" w:lineRule="auto"/>
              <w:jc w:val="center"/>
              <w:rPr>
                <w:rFonts w:asciiTheme="minorHAnsi" w:hAnsiTheme="minorHAnsi" w:cstheme="minorHAnsi"/>
                <w:b/>
                <w:bCs/>
                <w:color w:val="000000"/>
                <w:sz w:val="20"/>
                <w:szCs w:val="20"/>
              </w:rPr>
            </w:pPr>
            <w:r w:rsidRPr="008213AB">
              <w:rPr>
                <w:rFonts w:asciiTheme="minorHAnsi" w:hAnsiTheme="minorHAnsi" w:cstheme="minorHAnsi"/>
                <w:b/>
                <w:bCs/>
                <w:color w:val="000000"/>
                <w:sz w:val="20"/>
                <w:szCs w:val="20"/>
              </w:rPr>
              <w:t>N°</w:t>
            </w:r>
          </w:p>
        </w:tc>
        <w:tc>
          <w:tcPr>
            <w:tcW w:w="3228"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EC1B72" w:rsidRPr="008213AB" w:rsidRDefault="00EC1B72" w:rsidP="008213AB">
            <w:pPr>
              <w:spacing w:after="0" w:line="240" w:lineRule="auto"/>
              <w:jc w:val="center"/>
              <w:rPr>
                <w:rFonts w:asciiTheme="minorHAnsi" w:hAnsiTheme="minorHAnsi" w:cstheme="minorHAnsi"/>
                <w:b/>
                <w:bCs/>
                <w:color w:val="000000"/>
                <w:sz w:val="20"/>
                <w:szCs w:val="20"/>
              </w:rPr>
            </w:pPr>
            <w:r w:rsidRPr="008213AB">
              <w:rPr>
                <w:rFonts w:asciiTheme="minorHAnsi" w:hAnsiTheme="minorHAnsi" w:cstheme="minorHAnsi"/>
                <w:b/>
                <w:bCs/>
                <w:color w:val="000000"/>
                <w:sz w:val="20"/>
                <w:szCs w:val="20"/>
              </w:rPr>
              <w:t>Investisseurs privés</w:t>
            </w:r>
          </w:p>
        </w:tc>
        <w:tc>
          <w:tcPr>
            <w:tcW w:w="1719"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EC1B72" w:rsidRPr="008213AB" w:rsidRDefault="00EC1B72" w:rsidP="008213AB">
            <w:pPr>
              <w:spacing w:after="0" w:line="240" w:lineRule="auto"/>
              <w:jc w:val="center"/>
              <w:rPr>
                <w:rFonts w:asciiTheme="minorHAnsi" w:hAnsiTheme="minorHAnsi" w:cstheme="minorHAnsi"/>
                <w:b/>
                <w:bCs/>
                <w:color w:val="000000"/>
                <w:sz w:val="20"/>
                <w:szCs w:val="20"/>
              </w:rPr>
            </w:pPr>
            <w:r w:rsidRPr="008213AB">
              <w:rPr>
                <w:rFonts w:asciiTheme="minorHAnsi" w:hAnsiTheme="minorHAnsi" w:cstheme="minorHAnsi"/>
                <w:b/>
                <w:bCs/>
                <w:color w:val="000000"/>
                <w:sz w:val="20"/>
                <w:szCs w:val="20"/>
              </w:rPr>
              <w:t>Contribution</w:t>
            </w:r>
          </w:p>
        </w:tc>
        <w:tc>
          <w:tcPr>
            <w:tcW w:w="4011" w:type="dxa"/>
            <w:tcBorders>
              <w:top w:val="single" w:sz="4" w:space="0" w:color="auto"/>
              <w:left w:val="nil"/>
              <w:bottom w:val="single" w:sz="4" w:space="0" w:color="auto"/>
              <w:right w:val="single" w:sz="4" w:space="0" w:color="auto"/>
            </w:tcBorders>
            <w:shd w:val="clear" w:color="auto" w:fill="C2D69B" w:themeFill="accent3" w:themeFillTint="99"/>
            <w:vAlign w:val="center"/>
            <w:hideMark/>
          </w:tcPr>
          <w:p w:rsidR="00EC1B72" w:rsidRPr="008213AB" w:rsidRDefault="00EC1B72" w:rsidP="008213AB">
            <w:pPr>
              <w:spacing w:after="0" w:line="240" w:lineRule="auto"/>
              <w:jc w:val="center"/>
              <w:rPr>
                <w:rFonts w:asciiTheme="minorHAnsi" w:hAnsiTheme="minorHAnsi" w:cstheme="minorHAnsi"/>
                <w:b/>
                <w:bCs/>
                <w:color w:val="000000"/>
                <w:sz w:val="20"/>
                <w:szCs w:val="20"/>
              </w:rPr>
            </w:pPr>
            <w:r w:rsidRPr="008213AB">
              <w:rPr>
                <w:rFonts w:asciiTheme="minorHAnsi" w:hAnsiTheme="minorHAnsi" w:cstheme="minorHAnsi"/>
                <w:b/>
                <w:bCs/>
                <w:color w:val="000000"/>
                <w:sz w:val="20"/>
                <w:szCs w:val="20"/>
              </w:rPr>
              <w:t>Secteurs d’intervention</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BONDA</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600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CORIS BANK</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100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APBF</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1400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4</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GROUPE ATLANTIQUE</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200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Energie</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5</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BIOTHERM</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65,6</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6</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RESEAUX BUREAU D’ETUDES</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250,592</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7</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Turquie</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1500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8</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GROUPE ALL</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1508,8</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9</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AIRTEL</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100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10</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BNP PARIBAS</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48</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11</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AVOCAR/TURC</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137,76</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12</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AVOCAR/TURC</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5</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13</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AFRICA50</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60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14</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COGEB</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15</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PPI- SA</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19,68</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AEP</w:t>
            </w:r>
          </w:p>
        </w:tc>
      </w:tr>
      <w:tr w:rsidR="00EC1B72" w:rsidRPr="008213AB" w:rsidTr="008213AB">
        <w:trPr>
          <w:trHeight w:val="404"/>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16</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AGI AFRIQUE</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1000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Energie,habitat et urbanisme,Transport, agriculture,santé, captital humain</w:t>
            </w:r>
          </w:p>
        </w:tc>
      </w:tr>
      <w:tr w:rsidR="00EC1B72" w:rsidRPr="008213AB" w:rsidTr="008213AB">
        <w:trPr>
          <w:trHeight w:val="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17</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PERTI POWER MAROC</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242,72</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74"/>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18</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lang w:val="en-US"/>
              </w:rPr>
            </w:pPr>
            <w:r w:rsidRPr="008213AB">
              <w:rPr>
                <w:rFonts w:asciiTheme="minorHAnsi" w:hAnsiTheme="minorHAnsi" w:cstheme="minorHAnsi"/>
                <w:color w:val="000000"/>
                <w:sz w:val="20"/>
                <w:szCs w:val="20"/>
                <w:lang w:val="en-US"/>
              </w:rPr>
              <w:t>KABORE HAROUNA /Africa Energy corporation SA</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34,768</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Energie</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19</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ARMOR GREEN</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131,2</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Energie</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20</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TRIBA ENERGIE</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85,28</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Energie</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21</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TAFE</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42</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22</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TAFE</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6</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23</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GPS NARE</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83</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24</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LILIUM CAPITAL</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30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25</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SOFNET</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100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Energie</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26</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NAREVA</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505,12</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Energie</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27</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EZMER/MINI CENTRALES</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28</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BOA BF</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75</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29</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CGE</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120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143"/>
        </w:trPr>
        <w:tc>
          <w:tcPr>
            <w:tcW w:w="71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30</w:t>
            </w:r>
          </w:p>
        </w:tc>
        <w:tc>
          <w:tcPr>
            <w:tcW w:w="3228" w:type="dxa"/>
            <w:vMerge w:val="restart"/>
            <w:tcBorders>
              <w:top w:val="nil"/>
              <w:left w:val="single" w:sz="4" w:space="0" w:color="auto"/>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AFRIQUE MAT ET EQUIPEMENT TURC</w:t>
            </w:r>
          </w:p>
        </w:tc>
        <w:tc>
          <w:tcPr>
            <w:tcW w:w="1719" w:type="dxa"/>
            <w:vMerge w:val="restart"/>
            <w:tcBorders>
              <w:top w:val="nil"/>
              <w:left w:val="single" w:sz="4" w:space="0" w:color="auto"/>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150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Energie</w:t>
            </w:r>
          </w:p>
        </w:tc>
      </w:tr>
      <w:tr w:rsidR="00EC1B72" w:rsidRPr="008213AB" w:rsidTr="008213AB">
        <w:trPr>
          <w:trHeight w:val="70"/>
        </w:trPr>
        <w:tc>
          <w:tcPr>
            <w:tcW w:w="710" w:type="dxa"/>
            <w:vMerge/>
            <w:tcBorders>
              <w:top w:val="nil"/>
              <w:left w:val="single" w:sz="4" w:space="0" w:color="auto"/>
              <w:bottom w:val="single" w:sz="4" w:space="0" w:color="auto"/>
              <w:right w:val="single" w:sz="4" w:space="0" w:color="auto"/>
            </w:tcBorders>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p>
        </w:tc>
        <w:tc>
          <w:tcPr>
            <w:tcW w:w="3228" w:type="dxa"/>
            <w:vMerge/>
            <w:tcBorders>
              <w:top w:val="nil"/>
              <w:left w:val="single" w:sz="4" w:space="0" w:color="auto"/>
              <w:bottom w:val="single" w:sz="4" w:space="0" w:color="auto"/>
              <w:right w:val="single" w:sz="4" w:space="0" w:color="auto"/>
            </w:tcBorders>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c>
          <w:tcPr>
            <w:tcW w:w="1719" w:type="dxa"/>
            <w:vMerge/>
            <w:tcBorders>
              <w:top w:val="nil"/>
              <w:left w:val="single" w:sz="4" w:space="0" w:color="auto"/>
              <w:bottom w:val="single" w:sz="4" w:space="0" w:color="auto"/>
              <w:right w:val="single" w:sz="4" w:space="0" w:color="auto"/>
            </w:tcBorders>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Habitat et urbanisme ; transports, santé,</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31</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FADOUL</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50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32</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GROUPE HMAM</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19,68</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Transport</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33</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CH MINE BF</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110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34</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TERRENGA</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110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35</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WINDIGA ENERGIE</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175</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36</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NEW STAR</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600</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Energie</w:t>
            </w: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37</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CCI-BF</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77</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38</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WINDIGA</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115</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39</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ZINA</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24,925</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40</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Prog RSE-Elec (CANADA)</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8,5</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EC1B72" w:rsidRPr="008213AB" w:rsidRDefault="00EC1B72" w:rsidP="008213AB">
            <w:pPr>
              <w:spacing w:after="0" w:line="240" w:lineRule="auto"/>
              <w:jc w:val="center"/>
              <w:rPr>
                <w:rFonts w:asciiTheme="minorHAnsi" w:hAnsiTheme="minorHAnsi" w:cstheme="minorHAnsi"/>
                <w:color w:val="000000"/>
                <w:sz w:val="20"/>
                <w:szCs w:val="20"/>
              </w:rPr>
            </w:pPr>
            <w:r w:rsidRPr="008213AB">
              <w:rPr>
                <w:rFonts w:asciiTheme="minorHAnsi" w:hAnsiTheme="minorHAnsi" w:cstheme="minorHAnsi"/>
                <w:color w:val="000000"/>
                <w:sz w:val="20"/>
                <w:szCs w:val="20"/>
              </w:rPr>
              <w:t>41</w:t>
            </w:r>
          </w:p>
        </w:tc>
        <w:tc>
          <w:tcPr>
            <w:tcW w:w="3228"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r w:rsidRPr="008213AB">
              <w:rPr>
                <w:rFonts w:asciiTheme="minorHAnsi" w:hAnsiTheme="minorHAnsi" w:cstheme="minorHAnsi"/>
                <w:color w:val="000000"/>
                <w:sz w:val="20"/>
                <w:szCs w:val="20"/>
              </w:rPr>
              <w:t>5000 FORAGES</w:t>
            </w:r>
          </w:p>
        </w:tc>
        <w:tc>
          <w:tcPr>
            <w:tcW w:w="1719"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jc w:val="right"/>
              <w:rPr>
                <w:rFonts w:asciiTheme="minorHAnsi" w:hAnsiTheme="minorHAnsi" w:cstheme="minorHAnsi"/>
                <w:color w:val="000000"/>
                <w:sz w:val="20"/>
                <w:szCs w:val="20"/>
              </w:rPr>
            </w:pPr>
            <w:r w:rsidRPr="008213AB">
              <w:rPr>
                <w:rFonts w:asciiTheme="minorHAnsi" w:hAnsiTheme="minorHAnsi" w:cstheme="minorHAnsi"/>
                <w:color w:val="000000"/>
                <w:sz w:val="20"/>
                <w:szCs w:val="20"/>
              </w:rPr>
              <w:t>55</w:t>
            </w:r>
          </w:p>
        </w:tc>
        <w:tc>
          <w:tcPr>
            <w:tcW w:w="4011" w:type="dxa"/>
            <w:tcBorders>
              <w:top w:val="nil"/>
              <w:left w:val="nil"/>
              <w:bottom w:val="single" w:sz="4" w:space="0" w:color="auto"/>
              <w:right w:val="single" w:sz="4" w:space="0" w:color="auto"/>
            </w:tcBorders>
            <w:shd w:val="clear" w:color="auto" w:fill="auto"/>
            <w:vAlign w:val="center"/>
            <w:hideMark/>
          </w:tcPr>
          <w:p w:rsidR="00EC1B72" w:rsidRPr="008213AB" w:rsidRDefault="00EC1B72" w:rsidP="008213AB">
            <w:pPr>
              <w:spacing w:after="0" w:line="240" w:lineRule="auto"/>
              <w:rPr>
                <w:rFonts w:asciiTheme="minorHAnsi" w:hAnsiTheme="minorHAnsi" w:cstheme="minorHAnsi"/>
                <w:color w:val="000000"/>
                <w:sz w:val="20"/>
                <w:szCs w:val="20"/>
              </w:rPr>
            </w:pPr>
          </w:p>
        </w:tc>
      </w:tr>
      <w:tr w:rsidR="00EC1B72" w:rsidRPr="008213AB" w:rsidTr="008213AB">
        <w:trPr>
          <w:trHeight w:val="202"/>
        </w:trPr>
        <w:tc>
          <w:tcPr>
            <w:tcW w:w="710" w:type="dxa"/>
            <w:tcBorders>
              <w:top w:val="nil"/>
              <w:left w:val="single" w:sz="4" w:space="0" w:color="auto"/>
              <w:bottom w:val="single" w:sz="4" w:space="0" w:color="auto"/>
              <w:right w:val="single" w:sz="4" w:space="0" w:color="auto"/>
            </w:tcBorders>
            <w:shd w:val="clear" w:color="auto" w:fill="C2D69B" w:themeFill="accent3" w:themeFillTint="99"/>
            <w:vAlign w:val="center"/>
            <w:hideMark/>
          </w:tcPr>
          <w:p w:rsidR="00EC1B72" w:rsidRPr="008213AB" w:rsidRDefault="00EC1B72" w:rsidP="008213AB">
            <w:pPr>
              <w:spacing w:after="0" w:line="240" w:lineRule="auto"/>
              <w:jc w:val="center"/>
              <w:rPr>
                <w:rFonts w:asciiTheme="minorHAnsi" w:hAnsiTheme="minorHAnsi" w:cstheme="minorHAnsi"/>
                <w:b/>
                <w:bCs/>
                <w:color w:val="000000"/>
                <w:sz w:val="20"/>
                <w:szCs w:val="20"/>
              </w:rPr>
            </w:pPr>
          </w:p>
        </w:tc>
        <w:tc>
          <w:tcPr>
            <w:tcW w:w="3228" w:type="dxa"/>
            <w:tcBorders>
              <w:top w:val="nil"/>
              <w:left w:val="nil"/>
              <w:bottom w:val="single" w:sz="4" w:space="0" w:color="auto"/>
              <w:right w:val="single" w:sz="4" w:space="0" w:color="auto"/>
            </w:tcBorders>
            <w:shd w:val="clear" w:color="auto" w:fill="C2D69B" w:themeFill="accent3" w:themeFillTint="99"/>
            <w:vAlign w:val="center"/>
            <w:hideMark/>
          </w:tcPr>
          <w:p w:rsidR="00EC1B72" w:rsidRPr="008213AB" w:rsidRDefault="00EC1B72" w:rsidP="008213AB">
            <w:pPr>
              <w:spacing w:after="0" w:line="240" w:lineRule="auto"/>
              <w:rPr>
                <w:rFonts w:asciiTheme="minorHAnsi" w:hAnsiTheme="minorHAnsi" w:cstheme="minorHAnsi"/>
                <w:b/>
                <w:bCs/>
                <w:color w:val="000000"/>
                <w:sz w:val="20"/>
                <w:szCs w:val="20"/>
              </w:rPr>
            </w:pPr>
            <w:r w:rsidRPr="008213AB">
              <w:rPr>
                <w:rFonts w:asciiTheme="minorHAnsi" w:hAnsiTheme="minorHAnsi" w:cstheme="minorHAnsi"/>
                <w:b/>
                <w:bCs/>
                <w:color w:val="000000"/>
                <w:sz w:val="20"/>
                <w:szCs w:val="20"/>
              </w:rPr>
              <w:t>TOTAL</w:t>
            </w:r>
          </w:p>
        </w:tc>
        <w:tc>
          <w:tcPr>
            <w:tcW w:w="1719" w:type="dxa"/>
            <w:tcBorders>
              <w:top w:val="nil"/>
              <w:left w:val="nil"/>
              <w:bottom w:val="single" w:sz="4" w:space="0" w:color="auto"/>
              <w:right w:val="single" w:sz="4" w:space="0" w:color="auto"/>
            </w:tcBorders>
            <w:shd w:val="clear" w:color="auto" w:fill="C2D69B" w:themeFill="accent3" w:themeFillTint="99"/>
            <w:vAlign w:val="center"/>
            <w:hideMark/>
          </w:tcPr>
          <w:p w:rsidR="00EC1B72" w:rsidRPr="008213AB" w:rsidRDefault="00EC1B72" w:rsidP="008213AB">
            <w:pPr>
              <w:spacing w:after="0" w:line="240" w:lineRule="auto"/>
              <w:jc w:val="right"/>
              <w:rPr>
                <w:rFonts w:asciiTheme="minorHAnsi" w:hAnsiTheme="minorHAnsi" w:cstheme="minorHAnsi"/>
                <w:b/>
                <w:bCs/>
                <w:color w:val="000000"/>
                <w:sz w:val="20"/>
                <w:szCs w:val="20"/>
              </w:rPr>
            </w:pPr>
            <w:r w:rsidRPr="008213AB">
              <w:rPr>
                <w:rFonts w:asciiTheme="minorHAnsi" w:hAnsiTheme="minorHAnsi" w:cstheme="minorHAnsi"/>
                <w:b/>
                <w:bCs/>
                <w:color w:val="000000"/>
                <w:sz w:val="20"/>
                <w:szCs w:val="20"/>
              </w:rPr>
              <w:t>9 965,625</w:t>
            </w:r>
          </w:p>
        </w:tc>
        <w:tc>
          <w:tcPr>
            <w:tcW w:w="4011" w:type="dxa"/>
            <w:tcBorders>
              <w:top w:val="nil"/>
              <w:left w:val="nil"/>
              <w:bottom w:val="single" w:sz="4" w:space="0" w:color="auto"/>
              <w:right w:val="single" w:sz="4" w:space="0" w:color="auto"/>
            </w:tcBorders>
            <w:shd w:val="clear" w:color="auto" w:fill="C2D69B" w:themeFill="accent3" w:themeFillTint="99"/>
            <w:vAlign w:val="center"/>
            <w:hideMark/>
          </w:tcPr>
          <w:p w:rsidR="00EC1B72" w:rsidRPr="008213AB" w:rsidRDefault="00EC1B72" w:rsidP="008213AB">
            <w:pPr>
              <w:spacing w:after="0" w:line="240" w:lineRule="auto"/>
              <w:rPr>
                <w:rFonts w:asciiTheme="minorHAnsi" w:hAnsiTheme="minorHAnsi" w:cstheme="minorHAnsi"/>
                <w:b/>
                <w:bCs/>
                <w:color w:val="000000"/>
                <w:sz w:val="20"/>
                <w:szCs w:val="20"/>
              </w:rPr>
            </w:pPr>
          </w:p>
        </w:tc>
      </w:tr>
    </w:tbl>
    <w:p w:rsidR="00EC1B72" w:rsidRDefault="00EC1B72" w:rsidP="00EC1B72">
      <w:pPr>
        <w:rPr>
          <w:rFonts w:ascii="Arial" w:hAnsi="Arial" w:cs="Arial"/>
        </w:rPr>
      </w:pPr>
    </w:p>
    <w:p w:rsidR="0032736F" w:rsidRDefault="0032736F" w:rsidP="00EC1B72">
      <w:pPr>
        <w:spacing w:after="160" w:line="259" w:lineRule="auto"/>
        <w:rPr>
          <w:rFonts w:ascii="Arial" w:hAnsi="Arial" w:cs="Arial"/>
        </w:rPr>
        <w:sectPr w:rsidR="0032736F" w:rsidSect="0058752A">
          <w:headerReference w:type="even" r:id="rId43"/>
          <w:headerReference w:type="default" r:id="rId44"/>
          <w:footerReference w:type="even" r:id="rId45"/>
          <w:footerReference w:type="default" r:id="rId46"/>
          <w:headerReference w:type="first" r:id="rId47"/>
          <w:footerReference w:type="first" r:id="rId48"/>
          <w:pgSz w:w="11906" w:h="16838"/>
          <w:pgMar w:top="993" w:right="991" w:bottom="993" w:left="1134" w:header="708" w:footer="708" w:gutter="0"/>
          <w:cols w:space="708"/>
          <w:docGrid w:linePitch="360"/>
        </w:sectPr>
      </w:pPr>
    </w:p>
    <w:p w:rsidR="00EC1B72" w:rsidRPr="00644A07" w:rsidRDefault="00644A07" w:rsidP="00644A07">
      <w:pPr>
        <w:pStyle w:val="Titre1"/>
        <w:spacing w:after="240"/>
        <w:rPr>
          <w:u w:val="single"/>
        </w:rPr>
      </w:pPr>
      <w:r>
        <w:rPr>
          <w:u w:val="single"/>
        </w:rPr>
        <w:lastRenderedPageBreak/>
        <w:t xml:space="preserve"> </w:t>
      </w:r>
      <w:bookmarkStart w:id="724" w:name="_Toc492972282"/>
      <w:r w:rsidR="006162F3" w:rsidRPr="00644A07">
        <w:rPr>
          <w:u w:val="single"/>
        </w:rPr>
        <w:t xml:space="preserve">ANNEXE 3 : </w:t>
      </w:r>
      <w:r w:rsidR="00A139BD" w:rsidRPr="00644A07">
        <w:rPr>
          <w:u w:val="single"/>
        </w:rPr>
        <w:t>CONTRATS SIGNES EN MODE PPP</w:t>
      </w:r>
      <w:r w:rsidR="00F96F49" w:rsidRPr="00644A07">
        <w:rPr>
          <w:u w:val="single"/>
        </w:rPr>
        <w:t xml:space="preserve"> jusqu’en 2016</w:t>
      </w:r>
      <w:bookmarkEnd w:id="724"/>
    </w:p>
    <w:tbl>
      <w:tblPr>
        <w:tblW w:w="14687"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9"/>
        <w:gridCol w:w="5160"/>
        <w:gridCol w:w="4997"/>
        <w:gridCol w:w="3971"/>
      </w:tblGrid>
      <w:tr w:rsidR="00A139BD" w:rsidRPr="008213AB" w:rsidTr="00A139BD">
        <w:trPr>
          <w:trHeight w:val="537"/>
          <w:tblHeader/>
        </w:trPr>
        <w:tc>
          <w:tcPr>
            <w:tcW w:w="559" w:type="dxa"/>
            <w:shd w:val="clear" w:color="auto" w:fill="C2D69B" w:themeFill="accent3" w:themeFillTint="99"/>
          </w:tcPr>
          <w:p w:rsidR="00A139BD" w:rsidRPr="008213AB" w:rsidRDefault="00A139BD" w:rsidP="00D70F98">
            <w:pPr>
              <w:spacing w:after="0" w:line="240" w:lineRule="auto"/>
              <w:jc w:val="center"/>
              <w:rPr>
                <w:rFonts w:asciiTheme="minorHAnsi" w:hAnsiTheme="minorHAnsi" w:cstheme="minorHAnsi"/>
                <w:b/>
                <w:sz w:val="20"/>
                <w:szCs w:val="20"/>
              </w:rPr>
            </w:pPr>
            <w:r w:rsidRPr="008213AB">
              <w:rPr>
                <w:rFonts w:asciiTheme="minorHAnsi" w:hAnsiTheme="minorHAnsi" w:cstheme="minorHAnsi"/>
                <w:b/>
                <w:sz w:val="20"/>
                <w:szCs w:val="20"/>
              </w:rPr>
              <w:t>N°</w:t>
            </w:r>
          </w:p>
        </w:tc>
        <w:tc>
          <w:tcPr>
            <w:tcW w:w="5160" w:type="dxa"/>
            <w:shd w:val="clear" w:color="auto" w:fill="C2D69B" w:themeFill="accent3" w:themeFillTint="99"/>
          </w:tcPr>
          <w:p w:rsidR="00A139BD" w:rsidRPr="008213AB" w:rsidRDefault="00A139BD" w:rsidP="00D70F98">
            <w:pPr>
              <w:spacing w:after="0" w:line="240" w:lineRule="auto"/>
              <w:jc w:val="center"/>
              <w:rPr>
                <w:rFonts w:asciiTheme="minorHAnsi" w:hAnsiTheme="minorHAnsi" w:cstheme="minorHAnsi"/>
                <w:b/>
                <w:sz w:val="20"/>
                <w:szCs w:val="20"/>
              </w:rPr>
            </w:pPr>
            <w:r w:rsidRPr="008213AB">
              <w:rPr>
                <w:rFonts w:asciiTheme="minorHAnsi" w:hAnsiTheme="minorHAnsi" w:cstheme="minorHAnsi"/>
                <w:b/>
                <w:sz w:val="20"/>
                <w:szCs w:val="20"/>
              </w:rPr>
              <w:t>Intitulé du contrat</w:t>
            </w:r>
          </w:p>
        </w:tc>
        <w:tc>
          <w:tcPr>
            <w:tcW w:w="4997" w:type="dxa"/>
            <w:shd w:val="clear" w:color="auto" w:fill="C2D69B" w:themeFill="accent3" w:themeFillTint="99"/>
          </w:tcPr>
          <w:p w:rsidR="00A139BD" w:rsidRPr="008213AB" w:rsidRDefault="00A139BD" w:rsidP="00D70F98">
            <w:pPr>
              <w:spacing w:after="0" w:line="240" w:lineRule="auto"/>
              <w:jc w:val="center"/>
              <w:rPr>
                <w:rFonts w:asciiTheme="minorHAnsi" w:hAnsiTheme="minorHAnsi" w:cstheme="minorHAnsi"/>
                <w:b/>
                <w:sz w:val="20"/>
                <w:szCs w:val="20"/>
              </w:rPr>
            </w:pPr>
            <w:r w:rsidRPr="008213AB">
              <w:rPr>
                <w:rFonts w:asciiTheme="minorHAnsi" w:hAnsiTheme="minorHAnsi" w:cstheme="minorHAnsi"/>
                <w:b/>
                <w:sz w:val="20"/>
                <w:szCs w:val="20"/>
              </w:rPr>
              <w:t>Montant</w:t>
            </w:r>
          </w:p>
        </w:tc>
        <w:tc>
          <w:tcPr>
            <w:tcW w:w="3971" w:type="dxa"/>
            <w:shd w:val="clear" w:color="auto" w:fill="C2D69B" w:themeFill="accent3" w:themeFillTint="99"/>
          </w:tcPr>
          <w:p w:rsidR="00A139BD" w:rsidRPr="008213AB" w:rsidRDefault="00A139BD" w:rsidP="00D70F98">
            <w:pPr>
              <w:spacing w:after="0" w:line="240" w:lineRule="auto"/>
              <w:jc w:val="center"/>
              <w:rPr>
                <w:rFonts w:asciiTheme="minorHAnsi" w:hAnsiTheme="minorHAnsi" w:cstheme="minorHAnsi"/>
                <w:b/>
                <w:sz w:val="20"/>
                <w:szCs w:val="20"/>
              </w:rPr>
            </w:pPr>
            <w:r w:rsidRPr="008213AB">
              <w:rPr>
                <w:rFonts w:asciiTheme="minorHAnsi" w:hAnsiTheme="minorHAnsi" w:cstheme="minorHAnsi"/>
                <w:b/>
                <w:sz w:val="20"/>
                <w:szCs w:val="20"/>
              </w:rPr>
              <w:t>Date de signature/ Durée</w:t>
            </w:r>
          </w:p>
        </w:tc>
      </w:tr>
      <w:tr w:rsidR="00A139BD" w:rsidRPr="008213AB" w:rsidTr="00D70F98">
        <w:trPr>
          <w:trHeight w:val="295"/>
        </w:trPr>
        <w:tc>
          <w:tcPr>
            <w:tcW w:w="559"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1</w:t>
            </w:r>
          </w:p>
        </w:tc>
        <w:tc>
          <w:tcPr>
            <w:tcW w:w="5160"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Production des cartes consulaires sécurisées pour les ressortissants du Burkina Faso en Côte d’Ivoire</w:t>
            </w:r>
          </w:p>
        </w:tc>
        <w:tc>
          <w:tcPr>
            <w:tcW w:w="4997"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Redevances à percevoir (</w:t>
            </w:r>
            <w:r w:rsidRPr="008213AB">
              <w:rPr>
                <w:rFonts w:asciiTheme="minorHAnsi" w:hAnsiTheme="minorHAnsi" w:cstheme="minorHAnsi"/>
                <w:b/>
                <w:sz w:val="20"/>
                <w:szCs w:val="20"/>
              </w:rPr>
              <w:t>3 050 000</w:t>
            </w:r>
            <w:r w:rsidRPr="008213AB">
              <w:rPr>
                <w:rFonts w:asciiTheme="minorHAnsi" w:hAnsiTheme="minorHAnsi" w:cstheme="minorHAnsi"/>
                <w:sz w:val="20"/>
                <w:szCs w:val="20"/>
              </w:rPr>
              <w:t xml:space="preserve"> cartes consulaires à fournir) </w:t>
            </w:r>
          </w:p>
        </w:tc>
        <w:tc>
          <w:tcPr>
            <w:tcW w:w="3971"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Date 11-09-2013</w:t>
            </w:r>
          </w:p>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Durée : 10 ans</w:t>
            </w:r>
          </w:p>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(1</w:t>
            </w:r>
            <w:r w:rsidRPr="008213AB">
              <w:rPr>
                <w:rFonts w:asciiTheme="minorHAnsi" w:hAnsiTheme="minorHAnsi" w:cstheme="minorHAnsi"/>
                <w:sz w:val="20"/>
                <w:szCs w:val="20"/>
                <w:vertAlign w:val="superscript"/>
              </w:rPr>
              <w:t>ère</w:t>
            </w:r>
            <w:r w:rsidRPr="008213AB">
              <w:rPr>
                <w:rFonts w:asciiTheme="minorHAnsi" w:hAnsiTheme="minorHAnsi" w:cstheme="minorHAnsi"/>
                <w:sz w:val="20"/>
                <w:szCs w:val="20"/>
              </w:rPr>
              <w:t xml:space="preserve"> phase de fin 2013 à 2015)</w:t>
            </w:r>
          </w:p>
        </w:tc>
      </w:tr>
      <w:tr w:rsidR="00A139BD" w:rsidRPr="008213AB" w:rsidTr="00D70F98">
        <w:trPr>
          <w:trHeight w:val="503"/>
        </w:trPr>
        <w:tc>
          <w:tcPr>
            <w:tcW w:w="559"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2</w:t>
            </w:r>
          </w:p>
        </w:tc>
        <w:tc>
          <w:tcPr>
            <w:tcW w:w="5160"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Construction de l’échangeur du Nord et de la voie de délestage de tampouy</w:t>
            </w:r>
          </w:p>
        </w:tc>
        <w:tc>
          <w:tcPr>
            <w:tcW w:w="4997"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70 000 000 000 FCFA</w:t>
            </w:r>
          </w:p>
        </w:tc>
        <w:tc>
          <w:tcPr>
            <w:tcW w:w="3971"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Date 20 mai 2015</w:t>
            </w:r>
          </w:p>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Durée : 36 mois</w:t>
            </w:r>
          </w:p>
        </w:tc>
      </w:tr>
      <w:tr w:rsidR="00A139BD" w:rsidRPr="008213AB" w:rsidTr="00D70F98">
        <w:trPr>
          <w:trHeight w:val="286"/>
        </w:trPr>
        <w:tc>
          <w:tcPr>
            <w:tcW w:w="559"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3</w:t>
            </w:r>
          </w:p>
        </w:tc>
        <w:tc>
          <w:tcPr>
            <w:tcW w:w="5160"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Construction de la maison du Burkina à Abidjan</w:t>
            </w:r>
          </w:p>
        </w:tc>
        <w:tc>
          <w:tcPr>
            <w:tcW w:w="4997"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Avance de démarrage (</w:t>
            </w:r>
            <w:r w:rsidRPr="008213AB">
              <w:rPr>
                <w:rFonts w:asciiTheme="minorHAnsi" w:hAnsiTheme="minorHAnsi" w:cstheme="minorHAnsi"/>
                <w:b/>
                <w:sz w:val="20"/>
                <w:szCs w:val="20"/>
              </w:rPr>
              <w:t>6 000 000</w:t>
            </w:r>
            <w:r w:rsidRPr="008213AB">
              <w:rPr>
                <w:rFonts w:asciiTheme="minorHAnsi" w:hAnsiTheme="minorHAnsi" w:cstheme="minorHAnsi"/>
                <w:sz w:val="20"/>
                <w:szCs w:val="20"/>
              </w:rPr>
              <w:t xml:space="preserve"> $) + 5 versements/an d’un total </w:t>
            </w:r>
            <w:r w:rsidR="002E12F6" w:rsidRPr="008213AB">
              <w:rPr>
                <w:rFonts w:asciiTheme="minorHAnsi" w:hAnsiTheme="minorHAnsi" w:cstheme="minorHAnsi"/>
                <w:b/>
                <w:sz w:val="20"/>
                <w:szCs w:val="20"/>
              </w:rPr>
              <w:t xml:space="preserve">de   </w:t>
            </w:r>
            <w:r w:rsidRPr="008213AB">
              <w:rPr>
                <w:rFonts w:asciiTheme="minorHAnsi" w:hAnsiTheme="minorHAnsi" w:cstheme="minorHAnsi"/>
                <w:b/>
                <w:sz w:val="20"/>
                <w:szCs w:val="20"/>
              </w:rPr>
              <w:t>44 000 000 $</w:t>
            </w:r>
          </w:p>
        </w:tc>
        <w:tc>
          <w:tcPr>
            <w:tcW w:w="3971"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Janvier 2014</w:t>
            </w:r>
          </w:p>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 xml:space="preserve">Durée : 06 ans </w:t>
            </w:r>
          </w:p>
        </w:tc>
      </w:tr>
      <w:tr w:rsidR="00A139BD" w:rsidRPr="008213AB" w:rsidTr="00D70F98">
        <w:trPr>
          <w:trHeight w:val="283"/>
        </w:trPr>
        <w:tc>
          <w:tcPr>
            <w:tcW w:w="559"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4</w:t>
            </w:r>
          </w:p>
        </w:tc>
        <w:tc>
          <w:tcPr>
            <w:tcW w:w="5160" w:type="dxa"/>
            <w:shd w:val="clear" w:color="auto" w:fill="auto"/>
          </w:tcPr>
          <w:p w:rsidR="00A139BD" w:rsidRPr="008213AB" w:rsidRDefault="00A139BD" w:rsidP="00D70F98">
            <w:pPr>
              <w:numPr>
                <w:ilvl w:val="0"/>
                <w:numId w:val="83"/>
              </w:numPr>
              <w:spacing w:after="0" w:line="240" w:lineRule="auto"/>
              <w:ind w:left="-108" w:firstLine="0"/>
              <w:contextualSpacing/>
              <w:jc w:val="both"/>
              <w:rPr>
                <w:rFonts w:asciiTheme="minorHAnsi" w:hAnsiTheme="minorHAnsi" w:cstheme="minorHAnsi"/>
                <w:sz w:val="20"/>
                <w:szCs w:val="20"/>
              </w:rPr>
            </w:pPr>
            <w:r w:rsidRPr="008213AB">
              <w:rPr>
                <w:rFonts w:asciiTheme="minorHAnsi" w:hAnsiTheme="minorHAnsi" w:cstheme="minorHAnsi"/>
                <w:sz w:val="20"/>
                <w:szCs w:val="20"/>
              </w:rPr>
              <w:t>Mise en valeur du gisement de Tambao</w:t>
            </w:r>
          </w:p>
          <w:p w:rsidR="00A139BD" w:rsidRPr="008213AB" w:rsidRDefault="00A139BD" w:rsidP="00D70F98">
            <w:pPr>
              <w:spacing w:after="0" w:line="240" w:lineRule="auto"/>
              <w:ind w:left="-108"/>
              <w:contextualSpacing/>
              <w:jc w:val="both"/>
              <w:rPr>
                <w:rFonts w:asciiTheme="minorHAnsi" w:hAnsiTheme="minorHAnsi" w:cstheme="minorHAnsi"/>
                <w:sz w:val="20"/>
                <w:szCs w:val="20"/>
              </w:rPr>
            </w:pPr>
            <w:r w:rsidRPr="008213AB">
              <w:rPr>
                <w:rFonts w:asciiTheme="minorHAnsi" w:hAnsiTheme="minorHAnsi" w:cstheme="minorHAnsi"/>
                <w:sz w:val="20"/>
                <w:szCs w:val="20"/>
              </w:rPr>
              <w:t>*Réhabilitation du chemin de fer Ouagadougou-Kaya et construction du chemin de fer Kaya-Dori-Gorom-Gorom –Tambao ;</w:t>
            </w:r>
          </w:p>
          <w:p w:rsidR="00A139BD" w:rsidRPr="008213AB" w:rsidRDefault="00A139BD" w:rsidP="00D70F98">
            <w:pPr>
              <w:spacing w:after="0" w:line="240" w:lineRule="auto"/>
              <w:ind w:left="-108"/>
              <w:contextualSpacing/>
              <w:jc w:val="both"/>
              <w:rPr>
                <w:rFonts w:asciiTheme="minorHAnsi" w:hAnsiTheme="minorHAnsi" w:cstheme="minorHAnsi"/>
                <w:sz w:val="20"/>
                <w:szCs w:val="20"/>
                <w:lang w:val="en-US"/>
              </w:rPr>
            </w:pPr>
            <w:r w:rsidRPr="008213AB">
              <w:rPr>
                <w:rFonts w:asciiTheme="minorHAnsi" w:hAnsiTheme="minorHAnsi" w:cstheme="minorHAnsi"/>
                <w:sz w:val="20"/>
                <w:szCs w:val="20"/>
                <w:lang w:val="en-US"/>
              </w:rPr>
              <w:t>*Bitumage route Dori-Gorom-Gorom –Tambao ;</w:t>
            </w:r>
          </w:p>
          <w:p w:rsidR="00A139BD" w:rsidRPr="008213AB" w:rsidRDefault="00A139BD" w:rsidP="00D70F98">
            <w:pPr>
              <w:spacing w:after="0" w:line="240" w:lineRule="auto"/>
              <w:ind w:left="-108"/>
              <w:contextualSpacing/>
              <w:jc w:val="both"/>
              <w:rPr>
                <w:rFonts w:asciiTheme="minorHAnsi" w:hAnsiTheme="minorHAnsi" w:cstheme="minorHAnsi"/>
                <w:sz w:val="20"/>
                <w:szCs w:val="20"/>
              </w:rPr>
            </w:pPr>
            <w:r w:rsidRPr="008213AB">
              <w:rPr>
                <w:rFonts w:asciiTheme="minorHAnsi" w:hAnsiTheme="minorHAnsi" w:cstheme="minorHAnsi"/>
                <w:sz w:val="20"/>
                <w:szCs w:val="20"/>
              </w:rPr>
              <w:t>*Construction et exploitation de la mine de manganèse de Tambao</w:t>
            </w:r>
          </w:p>
        </w:tc>
        <w:tc>
          <w:tcPr>
            <w:tcW w:w="4997"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 xml:space="preserve">Exploitation minière </w:t>
            </w:r>
          </w:p>
          <w:p w:rsidR="00A139BD" w:rsidRPr="008213AB" w:rsidRDefault="00A139BD" w:rsidP="00D70F98">
            <w:pPr>
              <w:spacing w:after="0" w:line="240" w:lineRule="auto"/>
              <w:jc w:val="both"/>
              <w:rPr>
                <w:rFonts w:asciiTheme="minorHAnsi" w:hAnsiTheme="minorHAnsi" w:cstheme="minorHAnsi"/>
                <w:sz w:val="20"/>
                <w:szCs w:val="20"/>
              </w:rPr>
            </w:pPr>
          </w:p>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 xml:space="preserve">         NP</w:t>
            </w:r>
          </w:p>
        </w:tc>
        <w:tc>
          <w:tcPr>
            <w:tcW w:w="3971" w:type="dxa"/>
            <w:shd w:val="clear" w:color="auto" w:fill="auto"/>
          </w:tcPr>
          <w:p w:rsidR="00A139BD" w:rsidRPr="008213AB" w:rsidRDefault="00A139BD" w:rsidP="00D70F98">
            <w:pPr>
              <w:spacing w:after="0" w:line="240" w:lineRule="auto"/>
              <w:ind w:left="-108"/>
              <w:jc w:val="both"/>
              <w:rPr>
                <w:rFonts w:asciiTheme="minorHAnsi" w:hAnsiTheme="minorHAnsi" w:cstheme="minorHAnsi"/>
                <w:sz w:val="20"/>
                <w:szCs w:val="20"/>
              </w:rPr>
            </w:pPr>
            <w:r w:rsidRPr="008213AB">
              <w:rPr>
                <w:rFonts w:asciiTheme="minorHAnsi" w:hAnsiTheme="minorHAnsi" w:cstheme="minorHAnsi"/>
                <w:sz w:val="20"/>
                <w:szCs w:val="20"/>
              </w:rPr>
              <w:t>Date : 11-08- 2012</w:t>
            </w:r>
          </w:p>
          <w:p w:rsidR="00A139BD" w:rsidRPr="008213AB" w:rsidRDefault="00A139BD" w:rsidP="00D70F98">
            <w:pPr>
              <w:spacing w:after="0" w:line="240" w:lineRule="auto"/>
              <w:ind w:left="-108"/>
              <w:contextualSpacing/>
              <w:jc w:val="both"/>
              <w:rPr>
                <w:rFonts w:asciiTheme="minorHAnsi" w:hAnsiTheme="minorHAnsi" w:cstheme="minorHAnsi"/>
                <w:sz w:val="20"/>
                <w:szCs w:val="20"/>
              </w:rPr>
            </w:pPr>
            <w:r w:rsidRPr="008213AB">
              <w:rPr>
                <w:rFonts w:asciiTheme="minorHAnsi" w:hAnsiTheme="minorHAnsi" w:cstheme="minorHAnsi"/>
                <w:sz w:val="20"/>
                <w:szCs w:val="20"/>
              </w:rPr>
              <w:t>Durée : 20 ans renouvelable par période de 10 ans</w:t>
            </w:r>
          </w:p>
        </w:tc>
      </w:tr>
      <w:tr w:rsidR="00A139BD" w:rsidRPr="008213AB" w:rsidTr="00D70F98">
        <w:trPr>
          <w:trHeight w:val="280"/>
        </w:trPr>
        <w:tc>
          <w:tcPr>
            <w:tcW w:w="559"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5</w:t>
            </w:r>
          </w:p>
        </w:tc>
        <w:tc>
          <w:tcPr>
            <w:tcW w:w="5160"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Centrale solaire de 20MW de WINDIGA SA</w:t>
            </w:r>
          </w:p>
        </w:tc>
        <w:tc>
          <w:tcPr>
            <w:tcW w:w="4997"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25 000 000 000 FCFA</w:t>
            </w:r>
          </w:p>
        </w:tc>
        <w:tc>
          <w:tcPr>
            <w:tcW w:w="3971"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Juin 2014/2017</w:t>
            </w:r>
          </w:p>
        </w:tc>
      </w:tr>
      <w:tr w:rsidR="00A139BD" w:rsidRPr="008213AB" w:rsidTr="00D70F98">
        <w:trPr>
          <w:trHeight w:val="768"/>
        </w:trPr>
        <w:tc>
          <w:tcPr>
            <w:tcW w:w="559"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6</w:t>
            </w:r>
          </w:p>
        </w:tc>
        <w:tc>
          <w:tcPr>
            <w:tcW w:w="5160"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Construction d’une centrale solaire photovoltaïque de la patte d’oie. en BOOT (buildownoperate and transfer)</w:t>
            </w:r>
          </w:p>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-capacité de la Centrale de 6.24 MWc</w:t>
            </w:r>
          </w:p>
        </w:tc>
        <w:tc>
          <w:tcPr>
            <w:tcW w:w="4997"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79FCFA/KWh</w:t>
            </w:r>
          </w:p>
          <w:p w:rsidR="00A139BD" w:rsidRPr="008213AB" w:rsidRDefault="00A139BD" w:rsidP="00D70F98">
            <w:pPr>
              <w:spacing w:after="0" w:line="240" w:lineRule="auto"/>
              <w:jc w:val="both"/>
              <w:rPr>
                <w:rFonts w:asciiTheme="minorHAnsi" w:hAnsiTheme="minorHAnsi" w:cstheme="minorHAnsi"/>
                <w:b/>
                <w:sz w:val="20"/>
                <w:szCs w:val="20"/>
              </w:rPr>
            </w:pPr>
          </w:p>
        </w:tc>
        <w:tc>
          <w:tcPr>
            <w:tcW w:w="3971"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octobre 2015</w:t>
            </w:r>
          </w:p>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25 ans</w:t>
            </w:r>
          </w:p>
        </w:tc>
      </w:tr>
      <w:tr w:rsidR="00A139BD" w:rsidRPr="008213AB" w:rsidTr="00D70F98">
        <w:trPr>
          <w:trHeight w:val="434"/>
        </w:trPr>
        <w:tc>
          <w:tcPr>
            <w:tcW w:w="559"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7</w:t>
            </w:r>
          </w:p>
        </w:tc>
        <w:tc>
          <w:tcPr>
            <w:tcW w:w="5160"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Construction d’une centrale solaire photovoltaïque de la patte d’oie. en BOOT (buildownoperate and transfer) de Zano – capacité de la Centrale de 17,5 MWc</w:t>
            </w:r>
          </w:p>
        </w:tc>
        <w:tc>
          <w:tcPr>
            <w:tcW w:w="4997"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79FCFA/KWh</w:t>
            </w:r>
          </w:p>
        </w:tc>
        <w:tc>
          <w:tcPr>
            <w:tcW w:w="3971"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décembre 2015 </w:t>
            </w:r>
          </w:p>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vingt cinq (25) ans</w:t>
            </w:r>
          </w:p>
        </w:tc>
      </w:tr>
      <w:tr w:rsidR="00A139BD" w:rsidRPr="008213AB" w:rsidTr="00D70F98">
        <w:trPr>
          <w:trHeight w:val="747"/>
        </w:trPr>
        <w:tc>
          <w:tcPr>
            <w:tcW w:w="559" w:type="dxa"/>
            <w:shd w:val="clear" w:color="auto" w:fill="auto"/>
          </w:tcPr>
          <w:p w:rsidR="00A139BD" w:rsidRPr="008213AB" w:rsidRDefault="00A139BD" w:rsidP="00D70F98">
            <w:pPr>
              <w:spacing w:after="0" w:line="240" w:lineRule="auto"/>
              <w:rPr>
                <w:rFonts w:asciiTheme="minorHAnsi" w:hAnsiTheme="minorHAnsi" w:cstheme="minorHAnsi"/>
                <w:sz w:val="20"/>
                <w:szCs w:val="20"/>
              </w:rPr>
            </w:pPr>
            <w:r w:rsidRPr="008213AB">
              <w:rPr>
                <w:rFonts w:asciiTheme="minorHAnsi" w:hAnsiTheme="minorHAnsi" w:cstheme="minorHAnsi"/>
                <w:sz w:val="20"/>
                <w:szCs w:val="20"/>
              </w:rPr>
              <w:t>8</w:t>
            </w:r>
          </w:p>
        </w:tc>
        <w:tc>
          <w:tcPr>
            <w:tcW w:w="5160"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 xml:space="preserve">le projet Modernisation, sécurisation des titres de transports et ré immatriculation des véhicules </w:t>
            </w:r>
          </w:p>
        </w:tc>
        <w:tc>
          <w:tcPr>
            <w:tcW w:w="4997" w:type="dxa"/>
            <w:shd w:val="clear" w:color="auto" w:fill="auto"/>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15 319 133 695 F CFA</w:t>
            </w:r>
          </w:p>
        </w:tc>
        <w:tc>
          <w:tcPr>
            <w:tcW w:w="3971" w:type="dxa"/>
            <w:shd w:val="clear" w:color="auto" w:fill="auto"/>
          </w:tcPr>
          <w:p w:rsidR="00A139BD" w:rsidRPr="008213AB" w:rsidRDefault="00A139BD" w:rsidP="00D70F98">
            <w:pPr>
              <w:spacing w:after="0" w:line="240" w:lineRule="auto"/>
              <w:jc w:val="both"/>
              <w:rPr>
                <w:rFonts w:asciiTheme="minorHAnsi" w:hAnsiTheme="minorHAnsi" w:cstheme="minorHAnsi"/>
                <w:sz w:val="20"/>
                <w:szCs w:val="20"/>
                <w:u w:val="single"/>
              </w:rPr>
            </w:pPr>
            <w:r w:rsidRPr="008213AB">
              <w:rPr>
                <w:rFonts w:asciiTheme="minorHAnsi" w:hAnsiTheme="minorHAnsi" w:cstheme="minorHAnsi"/>
                <w:sz w:val="20"/>
                <w:szCs w:val="20"/>
                <w:u w:val="single"/>
              </w:rPr>
              <w:t>Signée août  2016</w:t>
            </w:r>
          </w:p>
          <w:p w:rsidR="00A139BD" w:rsidRPr="008213AB" w:rsidRDefault="00A139BD" w:rsidP="00D70F98">
            <w:pPr>
              <w:spacing w:after="0" w:line="240" w:lineRule="auto"/>
              <w:jc w:val="both"/>
              <w:rPr>
                <w:rFonts w:asciiTheme="minorHAnsi" w:hAnsiTheme="minorHAnsi" w:cstheme="minorHAnsi"/>
                <w:sz w:val="20"/>
                <w:szCs w:val="20"/>
              </w:rPr>
            </w:pPr>
            <w:r w:rsidRPr="008213AB">
              <w:rPr>
                <w:rFonts w:asciiTheme="minorHAnsi" w:hAnsiTheme="minorHAnsi" w:cstheme="minorHAnsi"/>
                <w:sz w:val="20"/>
                <w:szCs w:val="20"/>
              </w:rPr>
              <w:t>cinq (05) ans, à compter de la date de début d’exécution précisée dans l’ordre de service.</w:t>
            </w:r>
          </w:p>
        </w:tc>
      </w:tr>
      <w:tr w:rsidR="00A139BD" w:rsidRPr="008213AB" w:rsidTr="00A139BD">
        <w:trPr>
          <w:trHeight w:val="377"/>
        </w:trPr>
        <w:tc>
          <w:tcPr>
            <w:tcW w:w="559" w:type="dxa"/>
            <w:shd w:val="clear" w:color="auto" w:fill="C2D69B" w:themeFill="accent3" w:themeFillTint="99"/>
          </w:tcPr>
          <w:p w:rsidR="00A139BD" w:rsidRPr="008213AB" w:rsidRDefault="00A139BD" w:rsidP="00D70F98">
            <w:pPr>
              <w:spacing w:after="0" w:line="240" w:lineRule="auto"/>
              <w:rPr>
                <w:rFonts w:asciiTheme="minorHAnsi" w:hAnsiTheme="minorHAnsi" w:cstheme="minorHAnsi"/>
                <w:sz w:val="20"/>
                <w:szCs w:val="20"/>
              </w:rPr>
            </w:pPr>
          </w:p>
        </w:tc>
        <w:tc>
          <w:tcPr>
            <w:tcW w:w="5160" w:type="dxa"/>
            <w:shd w:val="clear" w:color="auto" w:fill="C2D69B" w:themeFill="accent3" w:themeFillTint="99"/>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 xml:space="preserve">Total </w:t>
            </w:r>
          </w:p>
        </w:tc>
        <w:tc>
          <w:tcPr>
            <w:tcW w:w="4997" w:type="dxa"/>
            <w:shd w:val="clear" w:color="auto" w:fill="C2D69B" w:themeFill="accent3" w:themeFillTint="99"/>
          </w:tcPr>
          <w:p w:rsidR="00A139BD" w:rsidRPr="008213AB" w:rsidRDefault="00A139BD" w:rsidP="00D70F98">
            <w:pPr>
              <w:spacing w:after="0" w:line="240" w:lineRule="auto"/>
              <w:jc w:val="both"/>
              <w:rPr>
                <w:rFonts w:asciiTheme="minorHAnsi" w:hAnsiTheme="minorHAnsi" w:cstheme="minorHAnsi"/>
                <w:b/>
                <w:sz w:val="20"/>
                <w:szCs w:val="20"/>
              </w:rPr>
            </w:pPr>
            <w:r w:rsidRPr="008213AB">
              <w:rPr>
                <w:rFonts w:asciiTheme="minorHAnsi" w:hAnsiTheme="minorHAnsi" w:cstheme="minorHAnsi"/>
                <w:b/>
                <w:sz w:val="20"/>
                <w:szCs w:val="20"/>
              </w:rPr>
              <w:t>120 000 000 000</w:t>
            </w:r>
          </w:p>
        </w:tc>
        <w:tc>
          <w:tcPr>
            <w:tcW w:w="3971" w:type="dxa"/>
            <w:shd w:val="clear" w:color="auto" w:fill="C2D69B" w:themeFill="accent3" w:themeFillTint="99"/>
          </w:tcPr>
          <w:p w:rsidR="00A139BD" w:rsidRPr="008213AB" w:rsidRDefault="00A139BD" w:rsidP="00D70F98">
            <w:pPr>
              <w:spacing w:after="0" w:line="240" w:lineRule="auto"/>
              <w:jc w:val="both"/>
              <w:rPr>
                <w:rFonts w:asciiTheme="minorHAnsi" w:hAnsiTheme="minorHAnsi" w:cstheme="minorHAnsi"/>
                <w:sz w:val="20"/>
                <w:szCs w:val="20"/>
                <w:u w:val="single"/>
              </w:rPr>
            </w:pPr>
          </w:p>
        </w:tc>
      </w:tr>
    </w:tbl>
    <w:p w:rsidR="00A139BD" w:rsidRPr="00CB5ACB" w:rsidRDefault="00A139BD" w:rsidP="00A139BD">
      <w:pPr>
        <w:rPr>
          <w:rFonts w:ascii="Arial" w:hAnsi="Arial" w:cs="Arial"/>
          <w:b/>
          <w:i/>
          <w:sz w:val="20"/>
          <w:szCs w:val="20"/>
        </w:rPr>
      </w:pPr>
      <w:r w:rsidRPr="00CB5ACB">
        <w:rPr>
          <w:rFonts w:ascii="Arial" w:hAnsi="Arial" w:cs="Arial"/>
          <w:b/>
          <w:i/>
          <w:sz w:val="20"/>
          <w:szCs w:val="20"/>
          <w:u w:val="single"/>
        </w:rPr>
        <w:t>Source :</w:t>
      </w:r>
      <w:r w:rsidRPr="00CB5ACB">
        <w:rPr>
          <w:rFonts w:ascii="Arial" w:hAnsi="Arial" w:cs="Arial"/>
          <w:b/>
          <w:i/>
          <w:sz w:val="20"/>
          <w:szCs w:val="20"/>
        </w:rPr>
        <w:t xml:space="preserve"> DPPP/DGCOOP/MINEFID, juillet 2017</w:t>
      </w:r>
    </w:p>
    <w:p w:rsidR="0032736F" w:rsidRDefault="0032736F" w:rsidP="00B21821">
      <w:pPr>
        <w:jc w:val="center"/>
        <w:rPr>
          <w:rFonts w:ascii="Arial" w:hAnsi="Arial" w:cs="Arial"/>
          <w:b/>
        </w:rPr>
        <w:sectPr w:rsidR="0032736F" w:rsidSect="0032736F">
          <w:pgSz w:w="16838" w:h="11906" w:orient="landscape"/>
          <w:pgMar w:top="1134" w:right="1417" w:bottom="991" w:left="993" w:header="708" w:footer="708" w:gutter="0"/>
          <w:cols w:space="708"/>
          <w:docGrid w:linePitch="360"/>
        </w:sectPr>
      </w:pPr>
    </w:p>
    <w:p w:rsidR="003549B2" w:rsidRPr="00644A07" w:rsidRDefault="003549B2" w:rsidP="00644A07">
      <w:pPr>
        <w:pStyle w:val="Titre1"/>
        <w:spacing w:after="240"/>
        <w:rPr>
          <w:u w:val="single"/>
        </w:rPr>
      </w:pPr>
      <w:bookmarkStart w:id="725" w:name="_MON_1529932715"/>
      <w:bookmarkStart w:id="726" w:name="_Toc492972283"/>
      <w:bookmarkEnd w:id="725"/>
      <w:r w:rsidRPr="00644A07">
        <w:rPr>
          <w:u w:val="single"/>
        </w:rPr>
        <w:lastRenderedPageBreak/>
        <w:t xml:space="preserve">ANNEXE </w:t>
      </w:r>
      <w:r w:rsidR="006504CC" w:rsidRPr="00644A07">
        <w:rPr>
          <w:u w:val="single"/>
        </w:rPr>
        <w:t>4</w:t>
      </w:r>
      <w:r w:rsidRPr="00644A07">
        <w:rPr>
          <w:u w:val="single"/>
        </w:rPr>
        <w:t> : Résumé de l’aide extérieure par source de financement (en millions USD)</w:t>
      </w:r>
      <w:bookmarkEnd w:id="726"/>
    </w:p>
    <w:tbl>
      <w:tblPr>
        <w:tblW w:w="14061" w:type="dxa"/>
        <w:tblInd w:w="55" w:type="dxa"/>
        <w:tblCellMar>
          <w:left w:w="70" w:type="dxa"/>
          <w:right w:w="70" w:type="dxa"/>
        </w:tblCellMar>
        <w:tblLook w:val="04A0" w:firstRow="1" w:lastRow="0" w:firstColumn="1" w:lastColumn="0" w:noHBand="0" w:noVBand="1"/>
      </w:tblPr>
      <w:tblGrid>
        <w:gridCol w:w="6226"/>
        <w:gridCol w:w="2672"/>
        <w:gridCol w:w="2491"/>
        <w:gridCol w:w="2672"/>
      </w:tblGrid>
      <w:tr w:rsidR="008213AB" w:rsidRPr="008213AB" w:rsidTr="008213AB">
        <w:trPr>
          <w:trHeight w:val="518"/>
          <w:tblHeader/>
        </w:trPr>
        <w:tc>
          <w:tcPr>
            <w:tcW w:w="62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49B2" w:rsidRPr="008213AB" w:rsidRDefault="003549B2" w:rsidP="00496903">
            <w:pPr>
              <w:spacing w:after="0" w:line="240" w:lineRule="auto"/>
              <w:jc w:val="center"/>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Groupe de donateurs et agences</w:t>
            </w:r>
          </w:p>
        </w:tc>
        <w:tc>
          <w:tcPr>
            <w:tcW w:w="2672" w:type="dxa"/>
            <w:tcBorders>
              <w:top w:val="single" w:sz="4" w:space="0" w:color="auto"/>
              <w:left w:val="nil"/>
              <w:bottom w:val="single" w:sz="4" w:space="0" w:color="auto"/>
              <w:right w:val="single" w:sz="4" w:space="0" w:color="auto"/>
            </w:tcBorders>
            <w:shd w:val="clear" w:color="000000" w:fill="FFFFFF"/>
            <w:vAlign w:val="center"/>
            <w:hideMark/>
          </w:tcPr>
          <w:p w:rsidR="003549B2" w:rsidRPr="008213AB" w:rsidRDefault="003549B2" w:rsidP="00496903">
            <w:pPr>
              <w:spacing w:after="0" w:line="240" w:lineRule="auto"/>
              <w:jc w:val="center"/>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Décaissement 2015</w:t>
            </w:r>
          </w:p>
        </w:tc>
        <w:tc>
          <w:tcPr>
            <w:tcW w:w="2491" w:type="dxa"/>
            <w:tcBorders>
              <w:top w:val="single" w:sz="4" w:space="0" w:color="auto"/>
              <w:left w:val="nil"/>
              <w:bottom w:val="single" w:sz="4" w:space="0" w:color="auto"/>
              <w:right w:val="single" w:sz="4" w:space="0" w:color="auto"/>
            </w:tcBorders>
            <w:shd w:val="clear" w:color="000000" w:fill="FFFFFF"/>
            <w:vAlign w:val="center"/>
            <w:hideMark/>
          </w:tcPr>
          <w:p w:rsidR="003549B2" w:rsidRPr="008213AB" w:rsidRDefault="003549B2" w:rsidP="00496903">
            <w:pPr>
              <w:spacing w:after="0" w:line="240" w:lineRule="auto"/>
              <w:jc w:val="center"/>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Décaissement 2016</w:t>
            </w:r>
          </w:p>
        </w:tc>
        <w:tc>
          <w:tcPr>
            <w:tcW w:w="2672" w:type="dxa"/>
            <w:tcBorders>
              <w:top w:val="single" w:sz="4" w:space="0" w:color="auto"/>
              <w:left w:val="nil"/>
              <w:bottom w:val="single" w:sz="4" w:space="0" w:color="auto"/>
              <w:right w:val="single" w:sz="4" w:space="0" w:color="auto"/>
            </w:tcBorders>
            <w:shd w:val="clear" w:color="000000" w:fill="FFFFFF"/>
            <w:vAlign w:val="center"/>
            <w:hideMark/>
          </w:tcPr>
          <w:p w:rsidR="003549B2" w:rsidRPr="008213AB" w:rsidRDefault="003549B2" w:rsidP="00496903">
            <w:pPr>
              <w:spacing w:after="0" w:line="240" w:lineRule="auto"/>
              <w:jc w:val="center"/>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Var. 2016-2015 en %</w:t>
            </w:r>
          </w:p>
        </w:tc>
      </w:tr>
      <w:tr w:rsidR="008213AB" w:rsidRPr="008213AB" w:rsidTr="008213AB">
        <w:trPr>
          <w:trHeight w:val="259"/>
        </w:trPr>
        <w:tc>
          <w:tcPr>
            <w:tcW w:w="6226" w:type="dxa"/>
            <w:tcBorders>
              <w:top w:val="nil"/>
              <w:left w:val="single" w:sz="4" w:space="0" w:color="auto"/>
              <w:bottom w:val="single" w:sz="4" w:space="0" w:color="auto"/>
              <w:right w:val="single" w:sz="4" w:space="0" w:color="auto"/>
            </w:tcBorders>
            <w:shd w:val="clear" w:color="auto" w:fill="C2D69B" w:themeFill="accent3" w:themeFillTint="99"/>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Bilatéral</w:t>
            </w:r>
          </w:p>
        </w:tc>
        <w:tc>
          <w:tcPr>
            <w:tcW w:w="2672"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407,72</w:t>
            </w:r>
          </w:p>
        </w:tc>
        <w:tc>
          <w:tcPr>
            <w:tcW w:w="2491"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445,47</w:t>
            </w:r>
          </w:p>
        </w:tc>
        <w:tc>
          <w:tcPr>
            <w:tcW w:w="2672"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9,26</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Abu Dhabi</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Abu Dhabi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Allemagne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49,31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45,58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-7,56</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Allemande</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GIZ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18,01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15,88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-11,85</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KFW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31,30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29,70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-5,10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Service Allemand de Développement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Arabie Saoudite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5,92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Saoudien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5,92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Autriche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4,45</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5,36</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20,32</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autrichienne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4,45</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5,36</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20,32</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Belgique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Technique Belge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Royaume de Belgique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Brésil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0,06</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-100,00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Brésil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0,06</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-100,00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Canada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22,33</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27,32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22,38</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Agence Canadienne pour le Développement International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22,33</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27,32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22,38</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Chine-Taïwan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15,14</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26,86</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77,48</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Chinoise-Taïwanaise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15,14</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26,86</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77,48</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Corée du Sud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Corée du Sud</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Danemark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36,31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28,42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-21,73</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Agence Danoise pour le Développement International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36,31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28,42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-21,73</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Espagne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Espagnole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Etats Unis d'Amérique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83,27</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46,23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-44,49</w:t>
            </w:r>
          </w:p>
        </w:tc>
      </w:tr>
      <w:tr w:rsidR="008213AB" w:rsidRPr="008213AB" w:rsidTr="008213AB">
        <w:trPr>
          <w:trHeight w:val="259"/>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val="en-US" w:eastAsia="fr-FR"/>
              </w:rPr>
            </w:pPr>
            <w:r w:rsidRPr="008213AB">
              <w:rPr>
                <w:rFonts w:asciiTheme="minorHAnsi" w:eastAsia="Times New Roman" w:hAnsiTheme="minorHAnsi" w:cstheme="minorHAnsi"/>
                <w:sz w:val="20"/>
                <w:szCs w:val="20"/>
                <w:lang w:val="en-US" w:eastAsia="fr-FR"/>
              </w:rPr>
              <w:t xml:space="preserve">    Millennium Challenge Account- Burkina Faso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0,18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val="en-US" w:eastAsia="fr-FR"/>
              </w:rPr>
            </w:pPr>
            <w:r w:rsidRPr="008213AB">
              <w:rPr>
                <w:rFonts w:asciiTheme="minorHAnsi" w:eastAsia="Times New Roman" w:hAnsiTheme="minorHAnsi" w:cstheme="minorHAnsi"/>
                <w:sz w:val="20"/>
                <w:szCs w:val="20"/>
                <w:lang w:val="en-US" w:eastAsia="fr-FR"/>
              </w:rPr>
              <w:t xml:space="preserve">    United States Agency for International Development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83,27</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46,05</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-44,70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France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87,16</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156,91</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80,01</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lastRenderedPageBreak/>
              <w:t xml:space="preserve">    Agence Française de Développement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72,08</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149,55</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107,49</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Française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2,36</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Français pour l'Environnement Mondial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Service de Coopération et d'Action Culturelle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15,09</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4,99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-66,90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Inde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1,49</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0,13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-91,31</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Inde</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1,49</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0,13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-91,31</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Italie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12,56</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6,64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-47,09</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Italienne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12,56</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6,64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-47,09</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Japon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26,61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15,03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-43,52</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Japonaise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26,61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15,03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-43,52</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Koweït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2,13</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0,89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-58,24</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Koweitien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2,13</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0,89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-58,24</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Luxembourg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21,01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23,50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11,85</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Grand Duché du Luxembourg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13,91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19,53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40,41</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Lux-développement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7,11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3,98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-44,04</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Norvège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Norvégienne</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Pays-Bas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3,62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Néerlandaise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Organisation Néerlandaise de Développement</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3,62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Principauté de Monaco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0,77</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0,79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2,99</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Principauté de Monaco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0,77</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0,79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2,99</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Suisse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32,28</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27,73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-14,08</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Direction du Développement et de la Coopération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32,28</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27,73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-14,08</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Suède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12,84</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24,44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90,35</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Agence suédoise de Développement International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5,45</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7,21</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32,40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Coopération suédoise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7,39</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17,22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133,06</w:t>
            </w:r>
          </w:p>
        </w:tc>
      </w:tr>
      <w:tr w:rsidR="008213AB" w:rsidRPr="008213AB" w:rsidTr="008213AB">
        <w:trPr>
          <w:trHeight w:val="259"/>
        </w:trPr>
        <w:tc>
          <w:tcPr>
            <w:tcW w:w="6226" w:type="dxa"/>
            <w:tcBorders>
              <w:top w:val="nil"/>
              <w:left w:val="single" w:sz="4" w:space="0" w:color="auto"/>
              <w:bottom w:val="single" w:sz="4" w:space="0" w:color="auto"/>
              <w:right w:val="single" w:sz="4" w:space="0" w:color="auto"/>
            </w:tcBorders>
            <w:shd w:val="clear" w:color="auto" w:fill="C2D69B" w:themeFill="accent3" w:themeFillTint="99"/>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Multilatéral</w:t>
            </w:r>
          </w:p>
        </w:tc>
        <w:tc>
          <w:tcPr>
            <w:tcW w:w="2672"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636,21</w:t>
            </w:r>
          </w:p>
        </w:tc>
        <w:tc>
          <w:tcPr>
            <w:tcW w:w="2491"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660,66</w:t>
            </w:r>
          </w:p>
        </w:tc>
        <w:tc>
          <w:tcPr>
            <w:tcW w:w="2672"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3,84</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Banque Africaine de Développement (BAD/FAD)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71,84</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51,88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-27,78</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FAD/BAD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0,08</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14,50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18492,31</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Africain de Développement</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71,76</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37,38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-47,91</w:t>
            </w:r>
          </w:p>
        </w:tc>
      </w:tr>
      <w:tr w:rsidR="008213AB" w:rsidRPr="008213AB" w:rsidTr="008213AB">
        <w:trPr>
          <w:trHeight w:val="217"/>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Banque Arabe pour le Développement Economique en Afrique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1,15</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3,14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171,90</w:t>
            </w:r>
          </w:p>
        </w:tc>
      </w:tr>
      <w:tr w:rsidR="008213AB" w:rsidRPr="008213AB" w:rsidTr="008213AB">
        <w:trPr>
          <w:trHeight w:val="162"/>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Banque Arabe pour le Développement Economique en Afrique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1,15</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3,14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171,90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lastRenderedPageBreak/>
              <w:t xml:space="preserve">  Banque Islamique de Développement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3,61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19,60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442,61</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Banque Islamique de Développement</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3,61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19,60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442,61</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Banque Mondiale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199,35</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296,79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48,88</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Association Internationale de Développement</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199,35</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296,79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48,88</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Banque Ouest-Africaine de Développement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18,09</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30,54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68,81</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Banque Ouest-Africaine de Développement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18,09</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30,54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68,81</w:t>
            </w:r>
          </w:p>
        </w:tc>
      </w:tr>
      <w:tr w:rsidR="008213AB" w:rsidRPr="008213AB" w:rsidTr="00DC630E">
        <w:trPr>
          <w:trHeight w:val="212"/>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Banque d'Investissements et de Développement de la CEDEAO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DC630E">
        <w:trPr>
          <w:trHeight w:val="243"/>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Banque d'Investissements et de Développement de la CEDEAO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Fonds Monétaire International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37,60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32,04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-14,77</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Monétaire International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37,60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32,04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-14,77</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Fonds OPEP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1,44</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0,75</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-47,67</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OPEP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1,44</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0,75</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-47,67</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Indépendant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DC630E">
        <w:trPr>
          <w:trHeight w:val="265"/>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 Mondial de lutte contre le SIDA, la Tuberculose et la Malaria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GAVI Alliance</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Système des Nations Unies (SNU)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108,61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97,43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-10,29</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International de Développement Agricole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6,18</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6,21</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0,40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d'équipement des nations unies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de l`Environnement Mondial</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des Nations Unies pour l'enfance</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41,78</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26,43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-36,73</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des Nations Unies pour la population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7,04</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13,09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85,85</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Organisation Mondiale de la Santé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7,99</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5,64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-29,38</w:t>
            </w:r>
          </w:p>
        </w:tc>
      </w:tr>
      <w:tr w:rsidR="008213AB" w:rsidRPr="008213AB" w:rsidTr="00DC630E">
        <w:trPr>
          <w:trHeight w:val="227"/>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Organisation des Nations unies pour l’alimentation et l’agriculture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9,80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6,23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-36,39</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Programme Alimentaire Mondial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21,71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28,54</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31,47</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Programme des Nations Unies pour le Développement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14,12</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11,29</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-20,05</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  Union Européenne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194,51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128,48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-33,95</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Banque Europpéenne d'Investissements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Commission Européenne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Européen de Développement</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194,51</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128,48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-33,95</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C2D69B" w:themeFill="accent3" w:themeFillTint="99"/>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ONG Internationale </w:t>
            </w:r>
          </w:p>
        </w:tc>
        <w:tc>
          <w:tcPr>
            <w:tcW w:w="2672"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55,06</w:t>
            </w:r>
          </w:p>
        </w:tc>
        <w:tc>
          <w:tcPr>
            <w:tcW w:w="2491"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34,10</w:t>
            </w:r>
          </w:p>
        </w:tc>
        <w:tc>
          <w:tcPr>
            <w:tcW w:w="2672"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-38,07</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ACDI/VOCA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Africare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1,12</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-100,00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Association Solidarité Afrique de l'Ouest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lastRenderedPageBreak/>
              <w:t xml:space="preserve">    Autres ONG</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Bornefonden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1,82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Catholic Relief Services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20,59</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12,11</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-41,16</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Centre Italien d’Aide à l’Enfance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Compassion Internationale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1,23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Diakonia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Fondation Nouvelle Planète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Fonds Mondial Pour la Nature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Helen Keller International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1,18</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1,93</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63,34</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Helvetas Burkina Faso</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1,02</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2,01</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97,54</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Hunger Project Burkina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Lutheran World Relief</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0,28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Marie Stopes International Burkina Faso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OCADES</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Oxfam Belgique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Oxfam Intermon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2,74</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-100,00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Oxfam Québec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0,94</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0,06</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-94,16</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Plan Burkina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18,49</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9,22</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-50,13</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RES PUBLICA</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2,42</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-100,00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SOS Sahel International France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3,20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-100,00</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Save The Children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Self Help Africa - Programme de l'Afrique de l'Ouest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Water Aid</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3,36</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2,36</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-29,79</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auto"/>
            <w:vAlign w:val="bottom"/>
            <w:hideMark/>
          </w:tcPr>
          <w:p w:rsidR="003549B2" w:rsidRPr="008213AB" w:rsidRDefault="003549B2" w:rsidP="00496903">
            <w:pPr>
              <w:spacing w:after="0" w:line="240" w:lineRule="auto"/>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 xml:space="preserve">    Welt hunger hilfe </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0,00</w:t>
            </w:r>
          </w:p>
        </w:tc>
        <w:tc>
          <w:tcPr>
            <w:tcW w:w="2491"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3,08</w:t>
            </w:r>
          </w:p>
        </w:tc>
        <w:tc>
          <w:tcPr>
            <w:tcW w:w="2672" w:type="dxa"/>
            <w:tcBorders>
              <w:top w:val="nil"/>
              <w:left w:val="nil"/>
              <w:bottom w:val="single" w:sz="4" w:space="0" w:color="auto"/>
              <w:right w:val="single" w:sz="4" w:space="0" w:color="auto"/>
            </w:tcBorders>
            <w:shd w:val="clear" w:color="auto" w:fill="auto"/>
            <w:vAlign w:val="center"/>
            <w:hideMark/>
          </w:tcPr>
          <w:p w:rsidR="003549B2" w:rsidRPr="008213AB" w:rsidRDefault="003549B2" w:rsidP="00496903">
            <w:pPr>
              <w:spacing w:after="0" w:line="240" w:lineRule="auto"/>
              <w:jc w:val="center"/>
              <w:rPr>
                <w:rFonts w:asciiTheme="minorHAnsi" w:eastAsia="Times New Roman" w:hAnsiTheme="minorHAnsi" w:cstheme="minorHAnsi"/>
                <w:sz w:val="20"/>
                <w:szCs w:val="20"/>
                <w:lang w:eastAsia="fr-FR"/>
              </w:rPr>
            </w:pPr>
            <w:r w:rsidRPr="008213AB">
              <w:rPr>
                <w:rFonts w:asciiTheme="minorHAnsi" w:eastAsia="Times New Roman" w:hAnsiTheme="minorHAnsi" w:cstheme="minorHAnsi"/>
                <w:sz w:val="20"/>
                <w:szCs w:val="20"/>
                <w:lang w:eastAsia="fr-FR"/>
              </w:rPr>
              <w:t>-</w:t>
            </w:r>
          </w:p>
        </w:tc>
      </w:tr>
      <w:tr w:rsidR="008213AB" w:rsidRPr="008213AB" w:rsidTr="008213AB">
        <w:trPr>
          <w:trHeight w:val="220"/>
        </w:trPr>
        <w:tc>
          <w:tcPr>
            <w:tcW w:w="6226" w:type="dxa"/>
            <w:tcBorders>
              <w:top w:val="nil"/>
              <w:left w:val="single" w:sz="4" w:space="0" w:color="auto"/>
              <w:bottom w:val="single" w:sz="4" w:space="0" w:color="auto"/>
              <w:right w:val="single" w:sz="4" w:space="0" w:color="auto"/>
            </w:tcBorders>
            <w:shd w:val="clear" w:color="auto" w:fill="C2D69B" w:themeFill="accent3" w:themeFillTint="99"/>
            <w:vAlign w:val="bottom"/>
            <w:hideMark/>
          </w:tcPr>
          <w:p w:rsidR="003549B2" w:rsidRPr="008213AB" w:rsidRDefault="003549B2" w:rsidP="00496903">
            <w:pPr>
              <w:spacing w:after="0" w:line="240" w:lineRule="auto"/>
              <w:rPr>
                <w:rFonts w:asciiTheme="minorHAnsi" w:eastAsia="Times New Roman" w:hAnsiTheme="minorHAnsi" w:cstheme="minorHAnsi"/>
                <w:b/>
                <w:bCs/>
                <w:sz w:val="20"/>
                <w:szCs w:val="20"/>
                <w:lang w:eastAsia="fr-FR"/>
              </w:rPr>
            </w:pPr>
            <w:r w:rsidRPr="008213AB">
              <w:rPr>
                <w:rFonts w:asciiTheme="minorHAnsi" w:eastAsia="Times New Roman" w:hAnsiTheme="minorHAnsi" w:cstheme="minorHAnsi"/>
                <w:b/>
                <w:bCs/>
                <w:sz w:val="20"/>
                <w:szCs w:val="20"/>
                <w:lang w:eastAsia="fr-FR"/>
              </w:rPr>
              <w:t xml:space="preserve">TOTAL  </w:t>
            </w:r>
          </w:p>
        </w:tc>
        <w:tc>
          <w:tcPr>
            <w:tcW w:w="2672"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b/>
                <w:sz w:val="20"/>
                <w:szCs w:val="20"/>
                <w:lang w:eastAsia="fr-FR"/>
              </w:rPr>
            </w:pPr>
            <w:r w:rsidRPr="008213AB">
              <w:rPr>
                <w:rFonts w:asciiTheme="minorHAnsi" w:eastAsia="Times New Roman" w:hAnsiTheme="minorHAnsi" w:cstheme="minorHAnsi"/>
                <w:b/>
                <w:sz w:val="20"/>
                <w:szCs w:val="20"/>
                <w:lang w:eastAsia="fr-FR"/>
              </w:rPr>
              <w:t>1100,34</w:t>
            </w:r>
          </w:p>
        </w:tc>
        <w:tc>
          <w:tcPr>
            <w:tcW w:w="2491"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b/>
                <w:sz w:val="20"/>
                <w:szCs w:val="20"/>
                <w:lang w:eastAsia="fr-FR"/>
              </w:rPr>
            </w:pPr>
            <w:r w:rsidRPr="008213AB">
              <w:rPr>
                <w:rFonts w:asciiTheme="minorHAnsi" w:eastAsia="Times New Roman" w:hAnsiTheme="minorHAnsi" w:cstheme="minorHAnsi"/>
                <w:b/>
                <w:sz w:val="20"/>
                <w:szCs w:val="20"/>
                <w:lang w:eastAsia="fr-FR"/>
              </w:rPr>
              <w:t>1140,23</w:t>
            </w:r>
          </w:p>
        </w:tc>
        <w:tc>
          <w:tcPr>
            <w:tcW w:w="2672" w:type="dxa"/>
            <w:tcBorders>
              <w:top w:val="nil"/>
              <w:left w:val="nil"/>
              <w:bottom w:val="single" w:sz="4" w:space="0" w:color="auto"/>
              <w:right w:val="single" w:sz="4" w:space="0" w:color="auto"/>
            </w:tcBorders>
            <w:shd w:val="clear" w:color="auto" w:fill="C2D69B" w:themeFill="accent3" w:themeFillTint="99"/>
            <w:vAlign w:val="center"/>
            <w:hideMark/>
          </w:tcPr>
          <w:p w:rsidR="003549B2" w:rsidRPr="008213AB" w:rsidRDefault="003549B2" w:rsidP="00496903">
            <w:pPr>
              <w:spacing w:after="0" w:line="240" w:lineRule="auto"/>
              <w:jc w:val="center"/>
              <w:rPr>
                <w:rFonts w:asciiTheme="minorHAnsi" w:eastAsia="Times New Roman" w:hAnsiTheme="minorHAnsi" w:cstheme="minorHAnsi"/>
                <w:b/>
                <w:sz w:val="20"/>
                <w:szCs w:val="20"/>
                <w:lang w:eastAsia="fr-FR"/>
              </w:rPr>
            </w:pPr>
            <w:r w:rsidRPr="008213AB">
              <w:rPr>
                <w:rFonts w:asciiTheme="minorHAnsi" w:eastAsia="Times New Roman" w:hAnsiTheme="minorHAnsi" w:cstheme="minorHAnsi"/>
                <w:b/>
                <w:sz w:val="20"/>
                <w:szCs w:val="20"/>
                <w:lang w:eastAsia="fr-FR"/>
              </w:rPr>
              <w:t>3,62</w:t>
            </w:r>
          </w:p>
        </w:tc>
      </w:tr>
    </w:tbl>
    <w:p w:rsidR="003549B2" w:rsidRPr="002E12F6" w:rsidRDefault="003549B2" w:rsidP="003549B2">
      <w:pPr>
        <w:spacing w:after="160" w:line="259" w:lineRule="auto"/>
        <w:rPr>
          <w:rFonts w:ascii="Arial" w:hAnsi="Arial" w:cs="Arial"/>
          <w:b/>
        </w:rPr>
      </w:pPr>
    </w:p>
    <w:p w:rsidR="00644A07" w:rsidRDefault="00644A07">
      <w:pPr>
        <w:spacing w:after="0" w:line="240" w:lineRule="auto"/>
        <w:rPr>
          <w:rFonts w:ascii="Arial" w:hAnsi="Arial" w:cs="Arial"/>
          <w:b/>
        </w:rPr>
      </w:pPr>
      <w:r>
        <w:rPr>
          <w:rFonts w:ascii="Arial" w:hAnsi="Arial" w:cs="Arial"/>
          <w:b/>
        </w:rPr>
        <w:br w:type="page"/>
      </w:r>
    </w:p>
    <w:p w:rsidR="003549B2" w:rsidRPr="00644A07" w:rsidRDefault="003549B2" w:rsidP="00644A07">
      <w:pPr>
        <w:pStyle w:val="Titre1"/>
        <w:spacing w:after="240"/>
        <w:rPr>
          <w:u w:val="single"/>
        </w:rPr>
      </w:pPr>
      <w:bookmarkStart w:id="727" w:name="_Toc492972284"/>
      <w:r w:rsidRPr="00644A07">
        <w:rPr>
          <w:u w:val="single"/>
        </w:rPr>
        <w:lastRenderedPageBreak/>
        <w:t>Annexe</w:t>
      </w:r>
      <w:r w:rsidR="00BE3BA5" w:rsidRPr="00644A07">
        <w:rPr>
          <w:u w:val="single"/>
        </w:rPr>
        <w:t xml:space="preserve"> 5</w:t>
      </w:r>
      <w:r w:rsidRPr="00644A07">
        <w:rPr>
          <w:u w:val="single"/>
        </w:rPr>
        <w:t> : Résumé de l’aide extérieure par instrument de financement (en millions USD)</w:t>
      </w:r>
      <w:bookmarkEnd w:id="727"/>
    </w:p>
    <w:tbl>
      <w:tblPr>
        <w:tblW w:w="14089" w:type="dxa"/>
        <w:tblInd w:w="55" w:type="dxa"/>
        <w:tblCellMar>
          <w:left w:w="70" w:type="dxa"/>
          <w:right w:w="70" w:type="dxa"/>
        </w:tblCellMar>
        <w:tblLook w:val="04A0" w:firstRow="1" w:lastRow="0" w:firstColumn="1" w:lastColumn="0" w:noHBand="0" w:noVBand="1"/>
      </w:tblPr>
      <w:tblGrid>
        <w:gridCol w:w="3239"/>
        <w:gridCol w:w="1452"/>
        <w:gridCol w:w="2047"/>
        <w:gridCol w:w="1805"/>
        <w:gridCol w:w="1340"/>
        <w:gridCol w:w="1414"/>
        <w:gridCol w:w="1266"/>
        <w:gridCol w:w="1526"/>
      </w:tblGrid>
      <w:tr w:rsidR="003549B2" w:rsidRPr="00DC630E" w:rsidTr="00DC630E">
        <w:trPr>
          <w:trHeight w:val="828"/>
          <w:tblHeader/>
        </w:trPr>
        <w:tc>
          <w:tcPr>
            <w:tcW w:w="3239" w:type="dxa"/>
            <w:tcBorders>
              <w:top w:val="single" w:sz="8" w:space="0" w:color="auto"/>
              <w:left w:val="single" w:sz="8" w:space="0" w:color="auto"/>
              <w:bottom w:val="nil"/>
              <w:right w:val="single" w:sz="8" w:space="0" w:color="auto"/>
            </w:tcBorders>
            <w:shd w:val="clear" w:color="auto" w:fill="C2D69B" w:themeFill="accent3" w:themeFillTint="99"/>
            <w:noWrap/>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Bailleurs</w:t>
            </w:r>
          </w:p>
        </w:tc>
        <w:tc>
          <w:tcPr>
            <w:tcW w:w="1452" w:type="dxa"/>
            <w:tcBorders>
              <w:top w:val="single" w:sz="8" w:space="0" w:color="auto"/>
              <w:left w:val="nil"/>
              <w:bottom w:val="nil"/>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Aide Projet - Avec fonds commun et/ou CAST</w:t>
            </w:r>
          </w:p>
        </w:tc>
        <w:tc>
          <w:tcPr>
            <w:tcW w:w="2047" w:type="dxa"/>
            <w:tcBorders>
              <w:top w:val="single" w:sz="8" w:space="0" w:color="auto"/>
              <w:left w:val="nil"/>
              <w:bottom w:val="nil"/>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Aide projet - Sans fonds commun et/ou CAST</w:t>
            </w:r>
          </w:p>
        </w:tc>
        <w:tc>
          <w:tcPr>
            <w:tcW w:w="1805" w:type="dxa"/>
            <w:tcBorders>
              <w:top w:val="single" w:sz="8" w:space="0" w:color="auto"/>
              <w:left w:val="nil"/>
              <w:bottom w:val="nil"/>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Appui Budgétaire Général</w:t>
            </w:r>
          </w:p>
        </w:tc>
        <w:tc>
          <w:tcPr>
            <w:tcW w:w="1340" w:type="dxa"/>
            <w:tcBorders>
              <w:top w:val="single" w:sz="8" w:space="0" w:color="auto"/>
              <w:left w:val="nil"/>
              <w:bottom w:val="nil"/>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Appui budgétaire sectoriel</w:t>
            </w:r>
          </w:p>
        </w:tc>
        <w:tc>
          <w:tcPr>
            <w:tcW w:w="1414" w:type="dxa"/>
            <w:tcBorders>
              <w:top w:val="single" w:sz="8" w:space="0" w:color="auto"/>
              <w:left w:val="nil"/>
              <w:bottom w:val="nil"/>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Aide alimentaire</w:t>
            </w:r>
          </w:p>
        </w:tc>
        <w:tc>
          <w:tcPr>
            <w:tcW w:w="1266" w:type="dxa"/>
            <w:tcBorders>
              <w:top w:val="single" w:sz="8" w:space="0" w:color="auto"/>
              <w:left w:val="nil"/>
              <w:bottom w:val="nil"/>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Assistance et secours d'urgence</w:t>
            </w:r>
          </w:p>
        </w:tc>
        <w:tc>
          <w:tcPr>
            <w:tcW w:w="1526" w:type="dxa"/>
            <w:tcBorders>
              <w:top w:val="single" w:sz="8" w:space="0" w:color="auto"/>
              <w:left w:val="nil"/>
              <w:bottom w:val="single" w:sz="8" w:space="0" w:color="auto"/>
              <w:right w:val="single" w:sz="8" w:space="0" w:color="auto"/>
            </w:tcBorders>
            <w:shd w:val="clear" w:color="auto" w:fill="C2D69B" w:themeFill="accent3" w:themeFillTint="99"/>
            <w:noWrap/>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Total</w:t>
            </w:r>
          </w:p>
        </w:tc>
      </w:tr>
      <w:tr w:rsidR="003549B2" w:rsidRPr="00DC630E" w:rsidTr="0032736F">
        <w:trPr>
          <w:trHeight w:val="216"/>
        </w:trPr>
        <w:tc>
          <w:tcPr>
            <w:tcW w:w="3239"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3549B2" w:rsidRPr="00DC630E" w:rsidRDefault="0041674D"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Allemagne</w:t>
            </w:r>
          </w:p>
        </w:tc>
        <w:tc>
          <w:tcPr>
            <w:tcW w:w="1452" w:type="dxa"/>
            <w:tcBorders>
              <w:top w:val="single" w:sz="8" w:space="0" w:color="auto"/>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single" w:sz="8" w:space="0" w:color="auto"/>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45,58</w:t>
            </w:r>
          </w:p>
        </w:tc>
        <w:tc>
          <w:tcPr>
            <w:tcW w:w="1805" w:type="dxa"/>
            <w:tcBorders>
              <w:top w:val="single" w:sz="8" w:space="0" w:color="auto"/>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single" w:sz="8" w:space="0" w:color="auto"/>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single" w:sz="8" w:space="0" w:color="auto"/>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single" w:sz="8" w:space="0" w:color="auto"/>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45,58</w:t>
            </w:r>
          </w:p>
        </w:tc>
      </w:tr>
      <w:tr w:rsidR="003549B2" w:rsidRPr="00DC630E" w:rsidTr="0032736F">
        <w:trPr>
          <w:trHeight w:val="216"/>
        </w:trPr>
        <w:tc>
          <w:tcPr>
            <w:tcW w:w="3239" w:type="dxa"/>
            <w:tcBorders>
              <w:top w:val="nil"/>
              <w:left w:val="single" w:sz="8" w:space="0" w:color="auto"/>
              <w:bottom w:val="single" w:sz="8" w:space="0" w:color="auto"/>
              <w:right w:val="single" w:sz="8" w:space="0" w:color="auto"/>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Arabie Saoudite</w:t>
            </w:r>
          </w:p>
        </w:tc>
        <w:tc>
          <w:tcPr>
            <w:tcW w:w="1452"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5,92</w:t>
            </w:r>
          </w:p>
        </w:tc>
        <w:tc>
          <w:tcPr>
            <w:tcW w:w="180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5,92</w:t>
            </w:r>
          </w:p>
        </w:tc>
      </w:tr>
      <w:tr w:rsidR="003549B2" w:rsidRPr="00DC630E" w:rsidTr="0032736F">
        <w:trPr>
          <w:trHeight w:val="216"/>
        </w:trPr>
        <w:tc>
          <w:tcPr>
            <w:tcW w:w="3239" w:type="dxa"/>
            <w:tcBorders>
              <w:top w:val="nil"/>
              <w:left w:val="single" w:sz="8" w:space="0" w:color="auto"/>
              <w:bottom w:val="single" w:sz="8" w:space="0" w:color="auto"/>
              <w:right w:val="single" w:sz="8" w:space="0" w:color="auto"/>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Autriche</w:t>
            </w:r>
          </w:p>
        </w:tc>
        <w:tc>
          <w:tcPr>
            <w:tcW w:w="1452"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0,75</w:t>
            </w:r>
          </w:p>
        </w:tc>
        <w:tc>
          <w:tcPr>
            <w:tcW w:w="204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4,61</w:t>
            </w:r>
          </w:p>
        </w:tc>
        <w:tc>
          <w:tcPr>
            <w:tcW w:w="1805"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5,36</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Banque Mondiale</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144,10</w:t>
            </w:r>
          </w:p>
        </w:tc>
        <w:tc>
          <w:tcPr>
            <w:tcW w:w="1805" w:type="dxa"/>
            <w:tcBorders>
              <w:top w:val="nil"/>
              <w:left w:val="single" w:sz="8" w:space="0" w:color="000000"/>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152,69</w:t>
            </w:r>
          </w:p>
        </w:tc>
        <w:tc>
          <w:tcPr>
            <w:tcW w:w="1340"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296,79</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Canada</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10,13</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17,19</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27,32</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Danemark</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7,22</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14,35</w:t>
            </w:r>
          </w:p>
        </w:tc>
        <w:tc>
          <w:tcPr>
            <w:tcW w:w="1805" w:type="dxa"/>
            <w:tcBorders>
              <w:top w:val="nil"/>
              <w:left w:val="single" w:sz="8" w:space="0" w:color="000000"/>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single" w:sz="8" w:space="0" w:color="000000"/>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6,85</w:t>
            </w:r>
          </w:p>
        </w:tc>
        <w:tc>
          <w:tcPr>
            <w:tcW w:w="1414"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28,42</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France</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11,62</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136,93</w:t>
            </w:r>
          </w:p>
        </w:tc>
        <w:tc>
          <w:tcPr>
            <w:tcW w:w="1805" w:type="dxa"/>
            <w:tcBorders>
              <w:top w:val="nil"/>
              <w:left w:val="single" w:sz="8" w:space="0" w:color="000000"/>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8,35</w:t>
            </w:r>
          </w:p>
        </w:tc>
        <w:tc>
          <w:tcPr>
            <w:tcW w:w="1340" w:type="dxa"/>
            <w:tcBorders>
              <w:top w:val="nil"/>
              <w:left w:val="single" w:sz="8" w:space="0" w:color="000000"/>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156,91</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Indépendant</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0,00</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Luxembourg</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7,55</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15,96</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23,51</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Pays-Bas</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3,62</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3,62</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Principauté de Monaco</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0,11</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0,68</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0,79</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Suisse</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2,18</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17,39</w:t>
            </w:r>
          </w:p>
        </w:tc>
        <w:tc>
          <w:tcPr>
            <w:tcW w:w="1805" w:type="dxa"/>
            <w:tcBorders>
              <w:top w:val="nil"/>
              <w:left w:val="single" w:sz="8" w:space="0" w:color="000000"/>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8,17</w:t>
            </w:r>
          </w:p>
        </w:tc>
        <w:tc>
          <w:tcPr>
            <w:tcW w:w="1340"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27,74</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Suède</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18,86</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5,58</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24,44</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Système des Nations Unies</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4,98</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61,99</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28,54</w:t>
            </w:r>
          </w:p>
        </w:tc>
        <w:tc>
          <w:tcPr>
            <w:tcW w:w="1266"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1,93</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97,43</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Etats Unis d'Amérique</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46,19</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46,23</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Japon</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11,91</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3,12</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15,03</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ONG internationales</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34,10</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34,10</w:t>
            </w:r>
          </w:p>
        </w:tc>
      </w:tr>
      <w:tr w:rsidR="003549B2" w:rsidRPr="00DC630E" w:rsidTr="0032736F">
        <w:trPr>
          <w:trHeight w:val="420"/>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Banque Africaine de Développement (BAD/FAD</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51,89</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51,89</w:t>
            </w:r>
          </w:p>
        </w:tc>
      </w:tr>
      <w:tr w:rsidR="003549B2" w:rsidRPr="00DC630E" w:rsidTr="0032736F">
        <w:trPr>
          <w:trHeight w:val="408"/>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Banque Arabe pour le Développement Economique en Afrique</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3,14</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3,14</w:t>
            </w:r>
          </w:p>
        </w:tc>
      </w:tr>
      <w:tr w:rsidR="003549B2" w:rsidRPr="00DC630E" w:rsidTr="0032736F">
        <w:trPr>
          <w:trHeight w:val="240"/>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Banque Islamique de Développement</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19,60</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19,60</w:t>
            </w:r>
          </w:p>
        </w:tc>
      </w:tr>
      <w:tr w:rsidR="003549B2" w:rsidRPr="00DC630E" w:rsidTr="0032736F">
        <w:trPr>
          <w:trHeight w:val="420"/>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Banque Ouest-Africaine de Développement</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30,54</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30,54</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Brésil</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0,00</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Chine-Taïwan</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22,49</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4,37</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26,86</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lastRenderedPageBreak/>
              <w:t>Corée du Sud</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0,09</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0,09</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Fonds OPEP</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0,75</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0,75</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Inde</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0,13</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Italie</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6,64</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6,64</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Koweït</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0,89</w:t>
            </w:r>
          </w:p>
        </w:tc>
        <w:tc>
          <w:tcPr>
            <w:tcW w:w="1805"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40"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0,89</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Union Européenne</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60,39</w:t>
            </w:r>
          </w:p>
        </w:tc>
        <w:tc>
          <w:tcPr>
            <w:tcW w:w="1805" w:type="dxa"/>
            <w:tcBorders>
              <w:top w:val="nil"/>
              <w:left w:val="single" w:sz="8" w:space="0" w:color="000000"/>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64,27</w:t>
            </w:r>
          </w:p>
        </w:tc>
        <w:tc>
          <w:tcPr>
            <w:tcW w:w="1340" w:type="dxa"/>
            <w:tcBorders>
              <w:top w:val="nil"/>
              <w:left w:val="single" w:sz="8" w:space="0" w:color="000000"/>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3,82</w:t>
            </w:r>
          </w:p>
        </w:tc>
        <w:tc>
          <w:tcPr>
            <w:tcW w:w="1414"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128,48</w:t>
            </w:r>
          </w:p>
        </w:tc>
      </w:tr>
      <w:tr w:rsidR="003549B2" w:rsidRPr="00DC630E" w:rsidTr="0032736F">
        <w:trPr>
          <w:trHeight w:val="216"/>
        </w:trPr>
        <w:tc>
          <w:tcPr>
            <w:tcW w:w="3239"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Fonds Monétaire International</w:t>
            </w:r>
          </w:p>
        </w:tc>
        <w:tc>
          <w:tcPr>
            <w:tcW w:w="1452" w:type="dxa"/>
            <w:tcBorders>
              <w:top w:val="nil"/>
              <w:left w:val="nil"/>
              <w:bottom w:val="single" w:sz="8" w:space="0" w:color="000000"/>
              <w:right w:val="single" w:sz="8" w:space="0" w:color="000000"/>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2047" w:type="dxa"/>
            <w:tcBorders>
              <w:top w:val="nil"/>
              <w:left w:val="nil"/>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05" w:type="dxa"/>
            <w:tcBorders>
              <w:top w:val="nil"/>
              <w:left w:val="single" w:sz="8" w:space="0" w:color="000000"/>
              <w:bottom w:val="single" w:sz="8" w:space="0" w:color="000000"/>
              <w:right w:val="nil"/>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32,04</w:t>
            </w:r>
          </w:p>
        </w:tc>
        <w:tc>
          <w:tcPr>
            <w:tcW w:w="1340"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414"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26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526"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32,04</w:t>
            </w:r>
          </w:p>
        </w:tc>
      </w:tr>
      <w:tr w:rsidR="003549B2" w:rsidRPr="00DC630E" w:rsidTr="00DC630E">
        <w:trPr>
          <w:trHeight w:val="216"/>
        </w:trPr>
        <w:tc>
          <w:tcPr>
            <w:tcW w:w="3239" w:type="dxa"/>
            <w:tcBorders>
              <w:top w:val="nil"/>
              <w:left w:val="single" w:sz="8" w:space="0" w:color="000000"/>
              <w:bottom w:val="single" w:sz="8" w:space="0" w:color="000000"/>
              <w:right w:val="single" w:sz="8" w:space="0" w:color="000000"/>
            </w:tcBorders>
            <w:shd w:val="clear" w:color="auto" w:fill="C2D69B" w:themeFill="accent3" w:themeFillTint="99"/>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Total</w:t>
            </w:r>
          </w:p>
        </w:tc>
        <w:tc>
          <w:tcPr>
            <w:tcW w:w="1452" w:type="dxa"/>
            <w:tcBorders>
              <w:top w:val="nil"/>
              <w:left w:val="nil"/>
              <w:bottom w:val="single" w:sz="8" w:space="0" w:color="000000"/>
              <w:right w:val="single" w:sz="8" w:space="0" w:color="000000"/>
            </w:tcBorders>
            <w:shd w:val="clear" w:color="auto" w:fill="C2D69B" w:themeFill="accent3" w:themeFillTint="99"/>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63,39</w:t>
            </w:r>
          </w:p>
        </w:tc>
        <w:tc>
          <w:tcPr>
            <w:tcW w:w="2047" w:type="dxa"/>
            <w:tcBorders>
              <w:top w:val="nil"/>
              <w:left w:val="nil"/>
              <w:bottom w:val="single" w:sz="8" w:space="0" w:color="000000"/>
              <w:right w:val="single" w:sz="8" w:space="0" w:color="000000"/>
            </w:tcBorders>
            <w:shd w:val="clear" w:color="auto" w:fill="C2D69B" w:themeFill="accent3" w:themeFillTint="99"/>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762,64</w:t>
            </w:r>
          </w:p>
        </w:tc>
        <w:tc>
          <w:tcPr>
            <w:tcW w:w="1805" w:type="dxa"/>
            <w:tcBorders>
              <w:top w:val="nil"/>
              <w:left w:val="nil"/>
              <w:bottom w:val="single" w:sz="8" w:space="0" w:color="000000"/>
              <w:right w:val="single" w:sz="8" w:space="0" w:color="000000"/>
            </w:tcBorders>
            <w:shd w:val="clear" w:color="auto" w:fill="C2D69B" w:themeFill="accent3" w:themeFillTint="99"/>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265,52</w:t>
            </w:r>
          </w:p>
        </w:tc>
        <w:tc>
          <w:tcPr>
            <w:tcW w:w="1340" w:type="dxa"/>
            <w:tcBorders>
              <w:top w:val="nil"/>
              <w:left w:val="nil"/>
              <w:bottom w:val="single" w:sz="8" w:space="0" w:color="000000"/>
              <w:right w:val="single" w:sz="8" w:space="0" w:color="000000"/>
            </w:tcBorders>
            <w:shd w:val="clear" w:color="auto" w:fill="C2D69B" w:themeFill="accent3" w:themeFillTint="99"/>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10,68</w:t>
            </w:r>
          </w:p>
        </w:tc>
        <w:tc>
          <w:tcPr>
            <w:tcW w:w="1414" w:type="dxa"/>
            <w:tcBorders>
              <w:top w:val="nil"/>
              <w:left w:val="nil"/>
              <w:bottom w:val="single" w:sz="8" w:space="0" w:color="000000"/>
              <w:right w:val="single" w:sz="8" w:space="0" w:color="000000"/>
            </w:tcBorders>
            <w:shd w:val="clear" w:color="auto" w:fill="C2D69B" w:themeFill="accent3" w:themeFillTint="99"/>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31,66</w:t>
            </w:r>
          </w:p>
        </w:tc>
        <w:tc>
          <w:tcPr>
            <w:tcW w:w="1266" w:type="dxa"/>
            <w:tcBorders>
              <w:top w:val="nil"/>
              <w:left w:val="nil"/>
              <w:bottom w:val="single" w:sz="8" w:space="0" w:color="000000"/>
              <w:right w:val="single" w:sz="8" w:space="0" w:color="000000"/>
            </w:tcBorders>
            <w:shd w:val="clear" w:color="auto" w:fill="C2D69B" w:themeFill="accent3" w:themeFillTint="99"/>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6,34</w:t>
            </w:r>
          </w:p>
        </w:tc>
        <w:tc>
          <w:tcPr>
            <w:tcW w:w="1526" w:type="dxa"/>
            <w:tcBorders>
              <w:top w:val="nil"/>
              <w:left w:val="nil"/>
              <w:bottom w:val="single" w:sz="8" w:space="0" w:color="auto"/>
              <w:right w:val="single" w:sz="8" w:space="0" w:color="auto"/>
            </w:tcBorders>
            <w:shd w:val="clear" w:color="auto" w:fill="C2D69B" w:themeFill="accent3" w:themeFillTint="99"/>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1140,23</w:t>
            </w:r>
          </w:p>
        </w:tc>
      </w:tr>
    </w:tbl>
    <w:p w:rsidR="00644A07" w:rsidRDefault="00644A07" w:rsidP="003549B2"/>
    <w:p w:rsidR="00644A07" w:rsidRDefault="00644A07" w:rsidP="00644A07">
      <w:r>
        <w:br w:type="page"/>
      </w:r>
    </w:p>
    <w:p w:rsidR="003549B2" w:rsidRPr="00644A07" w:rsidRDefault="003549B2" w:rsidP="00644A07">
      <w:pPr>
        <w:pStyle w:val="Titre1"/>
        <w:spacing w:after="240"/>
        <w:rPr>
          <w:u w:val="single"/>
        </w:rPr>
      </w:pPr>
      <w:bookmarkStart w:id="728" w:name="_Toc492972285"/>
      <w:r w:rsidRPr="00644A07">
        <w:rPr>
          <w:u w:val="single"/>
        </w:rPr>
        <w:lastRenderedPageBreak/>
        <w:t xml:space="preserve">Annexe </w:t>
      </w:r>
      <w:r w:rsidR="00A96755" w:rsidRPr="00644A07">
        <w:rPr>
          <w:u w:val="single"/>
        </w:rPr>
        <w:t>6</w:t>
      </w:r>
      <w:r w:rsidRPr="00644A07">
        <w:rPr>
          <w:u w:val="single"/>
        </w:rPr>
        <w:t> : Résumé de l’aide extérieure par source et par type de financement (en millions USD)</w:t>
      </w:r>
      <w:bookmarkEnd w:id="728"/>
    </w:p>
    <w:tbl>
      <w:tblPr>
        <w:tblW w:w="13916" w:type="dxa"/>
        <w:tblInd w:w="55" w:type="dxa"/>
        <w:tblCellMar>
          <w:left w:w="70" w:type="dxa"/>
          <w:right w:w="70" w:type="dxa"/>
        </w:tblCellMar>
        <w:tblLook w:val="04A0" w:firstRow="1" w:lastRow="0" w:firstColumn="1" w:lastColumn="0" w:noHBand="0" w:noVBand="1"/>
      </w:tblPr>
      <w:tblGrid>
        <w:gridCol w:w="3762"/>
        <w:gridCol w:w="1564"/>
        <w:gridCol w:w="1655"/>
        <w:gridCol w:w="1677"/>
        <w:gridCol w:w="1768"/>
        <w:gridCol w:w="1881"/>
        <w:gridCol w:w="1609"/>
      </w:tblGrid>
      <w:tr w:rsidR="003549B2" w:rsidRPr="00DC630E" w:rsidTr="00DC630E">
        <w:trPr>
          <w:trHeight w:val="265"/>
          <w:tblHeader/>
        </w:trPr>
        <w:tc>
          <w:tcPr>
            <w:tcW w:w="3762" w:type="dxa"/>
            <w:vMerge w:val="restart"/>
            <w:tcBorders>
              <w:top w:val="single" w:sz="8" w:space="0" w:color="auto"/>
              <w:left w:val="single" w:sz="8" w:space="0" w:color="auto"/>
              <w:bottom w:val="single" w:sz="8" w:space="0" w:color="000000"/>
              <w:right w:val="nil"/>
            </w:tcBorders>
            <w:shd w:val="clear" w:color="auto" w:fill="C2D69B" w:themeFill="accent3" w:themeFillTint="99"/>
            <w:noWrap/>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Type de financement</w:t>
            </w:r>
          </w:p>
        </w:tc>
        <w:tc>
          <w:tcPr>
            <w:tcW w:w="3218" w:type="dxa"/>
            <w:gridSpan w:val="2"/>
            <w:tcBorders>
              <w:top w:val="single" w:sz="8" w:space="0" w:color="auto"/>
              <w:left w:val="single" w:sz="8" w:space="0" w:color="auto"/>
              <w:bottom w:val="single" w:sz="8" w:space="0" w:color="auto"/>
              <w:right w:val="single" w:sz="8" w:space="0" w:color="auto"/>
            </w:tcBorders>
            <w:shd w:val="clear" w:color="auto" w:fill="C2D69B" w:themeFill="accent3" w:themeFillTint="99"/>
            <w:noWrap/>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2015</w:t>
            </w:r>
          </w:p>
        </w:tc>
        <w:tc>
          <w:tcPr>
            <w:tcW w:w="1677" w:type="dxa"/>
            <w:vMerge w:val="restart"/>
            <w:tcBorders>
              <w:top w:val="single" w:sz="8" w:space="0" w:color="auto"/>
              <w:left w:val="single" w:sz="8" w:space="0" w:color="auto"/>
              <w:bottom w:val="single" w:sz="8" w:space="0" w:color="auto"/>
              <w:right w:val="single" w:sz="8" w:space="0" w:color="auto"/>
            </w:tcBorders>
            <w:shd w:val="clear" w:color="auto" w:fill="C2D69B" w:themeFill="accent3" w:themeFillTint="99"/>
            <w:noWrap/>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Total</w:t>
            </w:r>
          </w:p>
        </w:tc>
        <w:tc>
          <w:tcPr>
            <w:tcW w:w="3649" w:type="dxa"/>
            <w:gridSpan w:val="2"/>
            <w:tcBorders>
              <w:top w:val="single" w:sz="8" w:space="0" w:color="auto"/>
              <w:left w:val="nil"/>
              <w:bottom w:val="single" w:sz="8" w:space="0" w:color="auto"/>
              <w:right w:val="single" w:sz="8" w:space="0" w:color="auto"/>
            </w:tcBorders>
            <w:shd w:val="clear" w:color="auto" w:fill="C2D69B" w:themeFill="accent3" w:themeFillTint="99"/>
            <w:noWrap/>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2016</w:t>
            </w:r>
          </w:p>
        </w:tc>
        <w:tc>
          <w:tcPr>
            <w:tcW w:w="1609" w:type="dxa"/>
            <w:vMerge w:val="restart"/>
            <w:tcBorders>
              <w:top w:val="single" w:sz="8" w:space="0" w:color="auto"/>
              <w:left w:val="single" w:sz="8" w:space="0" w:color="auto"/>
              <w:bottom w:val="single" w:sz="8" w:space="0" w:color="auto"/>
              <w:right w:val="single" w:sz="8" w:space="0" w:color="auto"/>
            </w:tcBorders>
            <w:shd w:val="clear" w:color="auto" w:fill="C2D69B" w:themeFill="accent3" w:themeFillTint="99"/>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Total</w:t>
            </w:r>
          </w:p>
        </w:tc>
      </w:tr>
      <w:tr w:rsidR="003549B2" w:rsidRPr="00DC630E" w:rsidTr="00DC630E">
        <w:trPr>
          <w:trHeight w:val="265"/>
          <w:tblHeader/>
        </w:trPr>
        <w:tc>
          <w:tcPr>
            <w:tcW w:w="3762" w:type="dxa"/>
            <w:vMerge/>
            <w:tcBorders>
              <w:top w:val="single" w:sz="8" w:space="0" w:color="auto"/>
              <w:left w:val="single" w:sz="8" w:space="0" w:color="auto"/>
              <w:bottom w:val="single" w:sz="8" w:space="0" w:color="000000"/>
              <w:right w:val="nil"/>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p>
        </w:tc>
        <w:tc>
          <w:tcPr>
            <w:tcW w:w="1564" w:type="dxa"/>
            <w:tcBorders>
              <w:top w:val="nil"/>
              <w:left w:val="single" w:sz="8" w:space="0" w:color="auto"/>
              <w:bottom w:val="single" w:sz="8" w:space="0" w:color="auto"/>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Prêts</w:t>
            </w:r>
          </w:p>
        </w:tc>
        <w:tc>
          <w:tcPr>
            <w:tcW w:w="1655" w:type="dxa"/>
            <w:tcBorders>
              <w:top w:val="nil"/>
              <w:left w:val="nil"/>
              <w:bottom w:val="single" w:sz="8" w:space="0" w:color="auto"/>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Dons</w:t>
            </w:r>
          </w:p>
        </w:tc>
        <w:tc>
          <w:tcPr>
            <w:tcW w:w="1677" w:type="dxa"/>
            <w:vMerge/>
            <w:tcBorders>
              <w:top w:val="single" w:sz="8" w:space="0" w:color="auto"/>
              <w:left w:val="single" w:sz="8" w:space="0" w:color="auto"/>
              <w:bottom w:val="single" w:sz="8" w:space="0" w:color="auto"/>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p>
        </w:tc>
        <w:tc>
          <w:tcPr>
            <w:tcW w:w="1768" w:type="dxa"/>
            <w:tcBorders>
              <w:top w:val="nil"/>
              <w:left w:val="nil"/>
              <w:bottom w:val="single" w:sz="8" w:space="0" w:color="auto"/>
              <w:right w:val="single" w:sz="8" w:space="0" w:color="auto"/>
            </w:tcBorders>
            <w:shd w:val="clear" w:color="auto" w:fill="C2D69B" w:themeFill="accent3" w:themeFillTint="99"/>
            <w:noWrap/>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Prêts</w:t>
            </w:r>
          </w:p>
        </w:tc>
        <w:tc>
          <w:tcPr>
            <w:tcW w:w="1881" w:type="dxa"/>
            <w:tcBorders>
              <w:top w:val="nil"/>
              <w:left w:val="nil"/>
              <w:bottom w:val="single" w:sz="8" w:space="0" w:color="auto"/>
              <w:right w:val="single" w:sz="8" w:space="0" w:color="auto"/>
            </w:tcBorders>
            <w:shd w:val="clear" w:color="auto" w:fill="C2D69B" w:themeFill="accent3" w:themeFillTint="99"/>
            <w:noWrap/>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Dons</w:t>
            </w:r>
          </w:p>
        </w:tc>
        <w:tc>
          <w:tcPr>
            <w:tcW w:w="1609" w:type="dxa"/>
            <w:vMerge/>
            <w:tcBorders>
              <w:top w:val="single" w:sz="8" w:space="0" w:color="auto"/>
              <w:left w:val="single" w:sz="8" w:space="0" w:color="auto"/>
              <w:bottom w:val="single" w:sz="8" w:space="0" w:color="auto"/>
              <w:right w:val="single" w:sz="8" w:space="0" w:color="auto"/>
            </w:tcBorders>
            <w:vAlign w:val="center"/>
            <w:hideMark/>
          </w:tcPr>
          <w:p w:rsidR="003549B2" w:rsidRPr="00DC630E" w:rsidRDefault="003549B2" w:rsidP="00496903">
            <w:pPr>
              <w:spacing w:after="0" w:line="240" w:lineRule="auto"/>
              <w:rPr>
                <w:rFonts w:asciiTheme="minorHAnsi" w:eastAsia="Times New Roman" w:hAnsiTheme="minorHAnsi" w:cstheme="minorHAnsi"/>
                <w:b/>
                <w:bCs/>
                <w:sz w:val="20"/>
                <w:szCs w:val="20"/>
                <w:lang w:eastAsia="fr-FR"/>
              </w:rPr>
            </w:pP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  Bilatéraux</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46,18</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361,53</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407,71</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52,69</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392,773</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445,46</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Arabie Saoudite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5,92</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5,92</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Belgique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0,00</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France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42,57</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44,6</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87,16</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44,72</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112,19</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156,91</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Inde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1,49</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1,49</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0,13</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Koweït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2,13</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2,13</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0,89</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0,89</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Allemagne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49,55</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49,55</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45,58</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45,58</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Autriche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4,45</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4,45</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5,36</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5,36</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Brésil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0,00</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Canada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22,33</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22,33</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27,32</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27,32</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Chine-Taïwan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15,14</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15,14</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1,03</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25,83</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26,86</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Corée du Sud</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0,09</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0,09</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Danemark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36,58</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36,58</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28,42</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28,42</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Etats Unis d'Amérique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83,27</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83,27</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46,23</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46,23</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Italie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11,14</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11,14</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6,64</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6,64</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Japon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26,61</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26,61</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15,03</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15,03</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Luxembourg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21,01</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21,01</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23,50</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23,50</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Pays-Bas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3,62</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3,62</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Principauté de Monaco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0,77</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0,77</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0,79</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0,79</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Suisse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32,28</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32,28</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27,73</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27,73</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Suède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13,75</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13,75</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24,44</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24,44</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  Multilatéraux</w:t>
            </w:r>
          </w:p>
        </w:tc>
        <w:tc>
          <w:tcPr>
            <w:tcW w:w="1564" w:type="dxa"/>
            <w:tcBorders>
              <w:top w:val="nil"/>
              <w:left w:val="single" w:sz="8" w:space="0" w:color="auto"/>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231,79</w:t>
            </w:r>
          </w:p>
        </w:tc>
        <w:tc>
          <w:tcPr>
            <w:tcW w:w="1655" w:type="dxa"/>
            <w:tcBorders>
              <w:top w:val="nil"/>
              <w:left w:val="nil"/>
              <w:bottom w:val="single" w:sz="8" w:space="0" w:color="auto"/>
              <w:right w:val="single" w:sz="8" w:space="0" w:color="auto"/>
            </w:tcBorders>
            <w:shd w:val="clear" w:color="auto" w:fill="auto"/>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405,78</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637,57</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274,77</w:t>
            </w:r>
          </w:p>
        </w:tc>
        <w:tc>
          <w:tcPr>
            <w:tcW w:w="1881"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419,99</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DB762B"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660,66</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Banque Africaine de Développement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40,25</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31,59</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71,84</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23,50</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28,38</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51,88</w:t>
            </w:r>
          </w:p>
        </w:tc>
      </w:tr>
      <w:tr w:rsidR="003549B2" w:rsidRPr="00DC630E" w:rsidTr="00ED2383">
        <w:trPr>
          <w:trHeight w:val="516"/>
        </w:trPr>
        <w:tc>
          <w:tcPr>
            <w:tcW w:w="3762" w:type="dxa"/>
            <w:tcBorders>
              <w:top w:val="nil"/>
              <w:left w:val="single" w:sz="8" w:space="0" w:color="000000"/>
              <w:bottom w:val="single" w:sz="8" w:space="0" w:color="auto"/>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Banque Arabe pour le Développement Economique en Afrique</w:t>
            </w:r>
          </w:p>
        </w:tc>
        <w:tc>
          <w:tcPr>
            <w:tcW w:w="1564" w:type="dxa"/>
            <w:tcBorders>
              <w:top w:val="nil"/>
              <w:left w:val="single" w:sz="8" w:space="0" w:color="auto"/>
              <w:bottom w:val="single" w:sz="8" w:space="0" w:color="auto"/>
              <w:right w:val="single" w:sz="8" w:space="0" w:color="auto"/>
            </w:tcBorders>
            <w:shd w:val="clear" w:color="auto" w:fill="auto"/>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1,15</w:t>
            </w:r>
          </w:p>
        </w:tc>
        <w:tc>
          <w:tcPr>
            <w:tcW w:w="1655" w:type="dxa"/>
            <w:tcBorders>
              <w:top w:val="nil"/>
              <w:left w:val="nil"/>
              <w:bottom w:val="single" w:sz="8" w:space="0" w:color="auto"/>
              <w:right w:val="single" w:sz="8" w:space="0" w:color="auto"/>
            </w:tcBorders>
            <w:shd w:val="clear" w:color="auto" w:fill="auto"/>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1,15</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3,14</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3,14</w:t>
            </w:r>
          </w:p>
        </w:tc>
      </w:tr>
      <w:tr w:rsidR="003549B2" w:rsidRPr="00DC630E" w:rsidTr="00ED2383">
        <w:trPr>
          <w:trHeight w:val="265"/>
        </w:trPr>
        <w:tc>
          <w:tcPr>
            <w:tcW w:w="3762" w:type="dxa"/>
            <w:tcBorders>
              <w:top w:val="nil"/>
              <w:left w:val="single" w:sz="8" w:space="0" w:color="auto"/>
              <w:bottom w:val="single" w:sz="8" w:space="0" w:color="auto"/>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BID</w:t>
            </w:r>
          </w:p>
        </w:tc>
        <w:tc>
          <w:tcPr>
            <w:tcW w:w="1564" w:type="dxa"/>
            <w:tcBorders>
              <w:top w:val="nil"/>
              <w:left w:val="single" w:sz="8" w:space="0" w:color="auto"/>
              <w:bottom w:val="single" w:sz="8" w:space="0" w:color="auto"/>
              <w:right w:val="single" w:sz="8" w:space="0" w:color="auto"/>
            </w:tcBorders>
            <w:shd w:val="clear" w:color="auto" w:fill="auto"/>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3,61</w:t>
            </w:r>
          </w:p>
        </w:tc>
        <w:tc>
          <w:tcPr>
            <w:tcW w:w="1655" w:type="dxa"/>
            <w:tcBorders>
              <w:top w:val="nil"/>
              <w:left w:val="nil"/>
              <w:bottom w:val="single" w:sz="8" w:space="0" w:color="auto"/>
              <w:right w:val="single" w:sz="8" w:space="0" w:color="auto"/>
            </w:tcBorders>
            <w:shd w:val="clear" w:color="auto" w:fill="auto"/>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1,42</w:t>
            </w:r>
          </w:p>
        </w:tc>
        <w:tc>
          <w:tcPr>
            <w:tcW w:w="1677" w:type="dxa"/>
            <w:tcBorders>
              <w:top w:val="nil"/>
              <w:left w:val="nil"/>
              <w:bottom w:val="single" w:sz="8" w:space="0" w:color="auto"/>
              <w:right w:val="single" w:sz="8" w:space="0" w:color="auto"/>
            </w:tcBorders>
            <w:shd w:val="clear" w:color="auto" w:fill="auto"/>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5,03</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19,60</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19,60</w:t>
            </w:r>
          </w:p>
        </w:tc>
      </w:tr>
      <w:tr w:rsidR="003549B2" w:rsidRPr="00DC630E" w:rsidTr="00ED2383">
        <w:trPr>
          <w:trHeight w:val="265"/>
        </w:trPr>
        <w:tc>
          <w:tcPr>
            <w:tcW w:w="3762" w:type="dxa"/>
            <w:tcBorders>
              <w:top w:val="nil"/>
              <w:left w:val="single" w:sz="8" w:space="0" w:color="auto"/>
              <w:bottom w:val="single" w:sz="8" w:space="0" w:color="auto"/>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Banque Mondiale</w:t>
            </w:r>
          </w:p>
        </w:tc>
        <w:tc>
          <w:tcPr>
            <w:tcW w:w="1564" w:type="dxa"/>
            <w:tcBorders>
              <w:top w:val="nil"/>
              <w:left w:val="single" w:sz="8" w:space="0" w:color="auto"/>
              <w:bottom w:val="single" w:sz="8" w:space="0" w:color="auto"/>
              <w:right w:val="single" w:sz="8" w:space="0" w:color="auto"/>
            </w:tcBorders>
            <w:shd w:val="clear" w:color="000000" w:fill="FFFFFF"/>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125,66</w:t>
            </w:r>
          </w:p>
        </w:tc>
        <w:tc>
          <w:tcPr>
            <w:tcW w:w="1655" w:type="dxa"/>
            <w:tcBorders>
              <w:top w:val="nil"/>
              <w:left w:val="nil"/>
              <w:bottom w:val="single" w:sz="8" w:space="0" w:color="auto"/>
              <w:right w:val="single" w:sz="8" w:space="0" w:color="auto"/>
            </w:tcBorders>
            <w:shd w:val="clear" w:color="000000" w:fill="FFFFFF"/>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73,69</w:t>
            </w:r>
          </w:p>
        </w:tc>
        <w:tc>
          <w:tcPr>
            <w:tcW w:w="1677" w:type="dxa"/>
            <w:tcBorders>
              <w:top w:val="nil"/>
              <w:left w:val="nil"/>
              <w:bottom w:val="single" w:sz="8" w:space="0" w:color="auto"/>
              <w:right w:val="single" w:sz="8" w:space="0" w:color="auto"/>
            </w:tcBorders>
            <w:shd w:val="clear" w:color="000000" w:fill="FFFFFF"/>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199,35</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162,28</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134,51</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296,79</w:t>
            </w:r>
          </w:p>
        </w:tc>
      </w:tr>
      <w:tr w:rsidR="003549B2" w:rsidRPr="00DC630E" w:rsidTr="00ED2383">
        <w:trPr>
          <w:trHeight w:val="516"/>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 xml:space="preserve">    Banque Ouest-Africaine de Développement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18,09</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18,09</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30,54</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30,54</w:t>
            </w:r>
          </w:p>
        </w:tc>
      </w:tr>
      <w:tr w:rsidR="003549B2" w:rsidRPr="00DC630E" w:rsidTr="00ED2383">
        <w:trPr>
          <w:trHeight w:val="516"/>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Banque d'Investissements et de Développement de la CEDEAO</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0,00</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Fonds Monétaire International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37,6</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37,6</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32,04</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32,04</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Fonds OPEP</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1,44</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1,44</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0,75</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0,75</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Système des Nations Unies (SNU)</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3,98</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104,63</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108,61</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2,92</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94,51</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97,43</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Union Européenne </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194,46</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194,46</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128,49</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128,49</w:t>
            </w:r>
          </w:p>
        </w:tc>
      </w:tr>
      <w:tr w:rsidR="003549B2" w:rsidRPr="00DC630E" w:rsidTr="00ED2383">
        <w:trPr>
          <w:trHeight w:val="265"/>
        </w:trPr>
        <w:tc>
          <w:tcPr>
            <w:tcW w:w="3762" w:type="dxa"/>
            <w:tcBorders>
              <w:top w:val="nil"/>
              <w:left w:val="single" w:sz="8" w:space="0" w:color="000000"/>
              <w:bottom w:val="single" w:sz="8" w:space="0" w:color="000000"/>
              <w:right w:val="nil"/>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  ONG Internationales</w:t>
            </w:r>
          </w:p>
        </w:tc>
        <w:tc>
          <w:tcPr>
            <w:tcW w:w="1564" w:type="dxa"/>
            <w:tcBorders>
              <w:top w:val="nil"/>
              <w:left w:val="single" w:sz="8" w:space="0" w:color="auto"/>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0</w:t>
            </w:r>
          </w:p>
        </w:tc>
        <w:tc>
          <w:tcPr>
            <w:tcW w:w="1655"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55,06</w:t>
            </w:r>
          </w:p>
        </w:tc>
        <w:tc>
          <w:tcPr>
            <w:tcW w:w="1677"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55,06</w:t>
            </w:r>
          </w:p>
        </w:tc>
        <w:tc>
          <w:tcPr>
            <w:tcW w:w="1768"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1881"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34,10</w:t>
            </w:r>
          </w:p>
        </w:tc>
        <w:tc>
          <w:tcPr>
            <w:tcW w:w="1609" w:type="dxa"/>
            <w:tcBorders>
              <w:top w:val="nil"/>
              <w:left w:val="nil"/>
              <w:bottom w:val="single" w:sz="8" w:space="0" w:color="auto"/>
              <w:right w:val="single" w:sz="8" w:space="0" w:color="auto"/>
            </w:tcBorders>
            <w:shd w:val="clear" w:color="auto" w:fill="auto"/>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34,10</w:t>
            </w:r>
          </w:p>
        </w:tc>
      </w:tr>
      <w:tr w:rsidR="003549B2" w:rsidRPr="00DC630E" w:rsidTr="00DC630E">
        <w:trPr>
          <w:trHeight w:val="363"/>
        </w:trPr>
        <w:tc>
          <w:tcPr>
            <w:tcW w:w="3762" w:type="dxa"/>
            <w:tcBorders>
              <w:top w:val="nil"/>
              <w:left w:val="single" w:sz="8" w:space="0" w:color="000000"/>
              <w:bottom w:val="single" w:sz="8" w:space="0" w:color="000000"/>
              <w:right w:val="nil"/>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TOTAL</w:t>
            </w:r>
          </w:p>
        </w:tc>
        <w:tc>
          <w:tcPr>
            <w:tcW w:w="1564" w:type="dxa"/>
            <w:tcBorders>
              <w:top w:val="nil"/>
              <w:left w:val="single" w:sz="8" w:space="0" w:color="auto"/>
              <w:bottom w:val="single" w:sz="8" w:space="0" w:color="auto"/>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277,97</w:t>
            </w:r>
          </w:p>
        </w:tc>
        <w:tc>
          <w:tcPr>
            <w:tcW w:w="1655" w:type="dxa"/>
            <w:tcBorders>
              <w:top w:val="nil"/>
              <w:left w:val="nil"/>
              <w:bottom w:val="single" w:sz="8" w:space="0" w:color="auto"/>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822,37</w:t>
            </w:r>
          </w:p>
        </w:tc>
        <w:tc>
          <w:tcPr>
            <w:tcW w:w="1677" w:type="dxa"/>
            <w:tcBorders>
              <w:top w:val="nil"/>
              <w:left w:val="nil"/>
              <w:bottom w:val="single" w:sz="8" w:space="0" w:color="auto"/>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1 100,34</w:t>
            </w:r>
          </w:p>
        </w:tc>
        <w:tc>
          <w:tcPr>
            <w:tcW w:w="1768" w:type="dxa"/>
            <w:tcBorders>
              <w:top w:val="nil"/>
              <w:left w:val="nil"/>
              <w:bottom w:val="single" w:sz="8" w:space="0" w:color="auto"/>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327,46</w:t>
            </w:r>
          </w:p>
        </w:tc>
        <w:tc>
          <w:tcPr>
            <w:tcW w:w="1881" w:type="dxa"/>
            <w:tcBorders>
              <w:top w:val="nil"/>
              <w:left w:val="nil"/>
              <w:bottom w:val="single" w:sz="8" w:space="0" w:color="auto"/>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812,77</w:t>
            </w:r>
          </w:p>
        </w:tc>
        <w:tc>
          <w:tcPr>
            <w:tcW w:w="1609" w:type="dxa"/>
            <w:tcBorders>
              <w:top w:val="nil"/>
              <w:left w:val="nil"/>
              <w:bottom w:val="single" w:sz="8" w:space="0" w:color="auto"/>
              <w:right w:val="single" w:sz="8" w:space="0" w:color="auto"/>
            </w:tcBorders>
            <w:shd w:val="clear" w:color="auto" w:fill="C2D69B" w:themeFill="accent3" w:themeFillTint="99"/>
            <w:vAlign w:val="center"/>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1140,23</w:t>
            </w:r>
          </w:p>
        </w:tc>
      </w:tr>
    </w:tbl>
    <w:p w:rsidR="003549B2" w:rsidRDefault="003549B2" w:rsidP="003549B2"/>
    <w:p w:rsidR="0032736F" w:rsidRDefault="0032736F">
      <w:pPr>
        <w:spacing w:after="0" w:line="240" w:lineRule="auto"/>
      </w:pPr>
      <w:r>
        <w:br w:type="page"/>
      </w:r>
    </w:p>
    <w:p w:rsidR="003549B2" w:rsidRPr="00644A07" w:rsidRDefault="003549B2" w:rsidP="00644A07">
      <w:pPr>
        <w:pStyle w:val="Titre1"/>
        <w:spacing w:after="240"/>
        <w:rPr>
          <w:u w:val="single"/>
        </w:rPr>
      </w:pPr>
      <w:bookmarkStart w:id="729" w:name="_Toc492972286"/>
      <w:r w:rsidRPr="00644A07">
        <w:rPr>
          <w:u w:val="single"/>
        </w:rPr>
        <w:lastRenderedPageBreak/>
        <w:t xml:space="preserve">Annexe </w:t>
      </w:r>
      <w:r w:rsidR="007C7325" w:rsidRPr="00644A07">
        <w:rPr>
          <w:u w:val="single"/>
        </w:rPr>
        <w:t>7</w:t>
      </w:r>
      <w:r w:rsidRPr="00644A07">
        <w:rPr>
          <w:u w:val="single"/>
        </w:rPr>
        <w:t>: Résumé de l'aide extérieure par instrument et par type de financement (millions USD)</w:t>
      </w:r>
      <w:bookmarkEnd w:id="729"/>
    </w:p>
    <w:tbl>
      <w:tblPr>
        <w:tblW w:w="13478" w:type="dxa"/>
        <w:tblInd w:w="55" w:type="dxa"/>
        <w:tblCellMar>
          <w:left w:w="70" w:type="dxa"/>
          <w:right w:w="70" w:type="dxa"/>
        </w:tblCellMar>
        <w:tblLook w:val="04A0" w:firstRow="1" w:lastRow="0" w:firstColumn="1" w:lastColumn="0" w:noHBand="0" w:noVBand="1"/>
      </w:tblPr>
      <w:tblGrid>
        <w:gridCol w:w="3964"/>
        <w:gridCol w:w="1512"/>
        <w:gridCol w:w="1353"/>
        <w:gridCol w:w="1414"/>
        <w:gridCol w:w="1333"/>
        <w:gridCol w:w="1313"/>
        <w:gridCol w:w="1395"/>
        <w:gridCol w:w="1194"/>
      </w:tblGrid>
      <w:tr w:rsidR="003549B2" w:rsidRPr="00DC630E" w:rsidTr="002E12F6">
        <w:trPr>
          <w:trHeight w:val="273"/>
        </w:trPr>
        <w:tc>
          <w:tcPr>
            <w:tcW w:w="3964" w:type="dxa"/>
            <w:vMerge w:val="restart"/>
            <w:tcBorders>
              <w:top w:val="single" w:sz="8" w:space="0" w:color="auto"/>
              <w:left w:val="single" w:sz="8" w:space="0" w:color="auto"/>
              <w:bottom w:val="single" w:sz="8" w:space="0" w:color="000000"/>
              <w:right w:val="single" w:sz="8" w:space="0" w:color="auto"/>
            </w:tcBorders>
            <w:shd w:val="clear" w:color="auto" w:fill="C2D69B" w:themeFill="accent3" w:themeFillTint="99"/>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Désignation</w:t>
            </w:r>
          </w:p>
        </w:tc>
        <w:tc>
          <w:tcPr>
            <w:tcW w:w="4279" w:type="dxa"/>
            <w:gridSpan w:val="3"/>
            <w:tcBorders>
              <w:top w:val="single" w:sz="8" w:space="0" w:color="auto"/>
              <w:left w:val="nil"/>
              <w:bottom w:val="single" w:sz="8" w:space="0" w:color="auto"/>
              <w:right w:val="single" w:sz="8" w:space="0" w:color="000000"/>
            </w:tcBorders>
            <w:shd w:val="clear" w:color="auto" w:fill="C2D69B" w:themeFill="accent3" w:themeFillTint="99"/>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Décaissements 2015</w:t>
            </w:r>
          </w:p>
        </w:tc>
        <w:tc>
          <w:tcPr>
            <w:tcW w:w="4040" w:type="dxa"/>
            <w:gridSpan w:val="3"/>
            <w:tcBorders>
              <w:top w:val="single" w:sz="8" w:space="0" w:color="auto"/>
              <w:left w:val="nil"/>
              <w:bottom w:val="single" w:sz="8" w:space="0" w:color="auto"/>
              <w:right w:val="single" w:sz="8" w:space="0" w:color="000000"/>
            </w:tcBorders>
            <w:shd w:val="clear" w:color="auto" w:fill="C2D69B" w:themeFill="accent3" w:themeFillTint="99"/>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Décaissements 2016</w:t>
            </w:r>
          </w:p>
        </w:tc>
        <w:tc>
          <w:tcPr>
            <w:tcW w:w="1194" w:type="dxa"/>
            <w:vMerge w:val="restart"/>
            <w:tcBorders>
              <w:top w:val="single" w:sz="8" w:space="0" w:color="auto"/>
              <w:left w:val="nil"/>
              <w:bottom w:val="nil"/>
              <w:right w:val="single" w:sz="8" w:space="0" w:color="auto"/>
            </w:tcBorders>
            <w:shd w:val="clear" w:color="auto" w:fill="C2D69B" w:themeFill="accent3" w:themeFillTint="99"/>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Var- 2016-2015 en %</w:t>
            </w:r>
          </w:p>
        </w:tc>
      </w:tr>
      <w:tr w:rsidR="003549B2" w:rsidRPr="00DC630E" w:rsidTr="00DC630E">
        <w:trPr>
          <w:trHeight w:val="273"/>
        </w:trPr>
        <w:tc>
          <w:tcPr>
            <w:tcW w:w="3964" w:type="dxa"/>
            <w:vMerge/>
            <w:tcBorders>
              <w:top w:val="single" w:sz="8" w:space="0" w:color="auto"/>
              <w:left w:val="single" w:sz="8" w:space="0" w:color="auto"/>
              <w:bottom w:val="single" w:sz="8" w:space="0" w:color="000000"/>
              <w:right w:val="single" w:sz="8" w:space="0" w:color="auto"/>
            </w:tcBorders>
            <w:shd w:val="clear" w:color="auto" w:fill="C2D69B" w:themeFill="accent3" w:themeFillTint="99"/>
            <w:vAlign w:val="center"/>
            <w:hideMark/>
          </w:tcPr>
          <w:p w:rsidR="003549B2" w:rsidRPr="00DC630E" w:rsidRDefault="003549B2" w:rsidP="00496903">
            <w:pPr>
              <w:spacing w:after="0" w:line="240" w:lineRule="auto"/>
              <w:rPr>
                <w:rFonts w:asciiTheme="minorHAnsi" w:eastAsia="Times New Roman" w:hAnsiTheme="minorHAnsi" w:cstheme="minorHAnsi"/>
                <w:b/>
                <w:bCs/>
                <w:sz w:val="20"/>
                <w:szCs w:val="20"/>
                <w:lang w:eastAsia="fr-FR"/>
              </w:rPr>
            </w:pPr>
          </w:p>
        </w:tc>
        <w:tc>
          <w:tcPr>
            <w:tcW w:w="1512" w:type="dxa"/>
            <w:tcBorders>
              <w:top w:val="nil"/>
              <w:left w:val="nil"/>
              <w:bottom w:val="single" w:sz="8" w:space="0" w:color="000000"/>
              <w:right w:val="single" w:sz="8" w:space="0" w:color="000000"/>
            </w:tcBorders>
            <w:shd w:val="clear" w:color="auto" w:fill="C2D69B" w:themeFill="accent3" w:themeFillTint="99"/>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Prêts</w:t>
            </w:r>
          </w:p>
        </w:tc>
        <w:tc>
          <w:tcPr>
            <w:tcW w:w="1353" w:type="dxa"/>
            <w:tcBorders>
              <w:top w:val="nil"/>
              <w:left w:val="nil"/>
              <w:bottom w:val="single" w:sz="8" w:space="0" w:color="000000"/>
              <w:right w:val="nil"/>
            </w:tcBorders>
            <w:shd w:val="clear" w:color="auto" w:fill="C2D69B" w:themeFill="accent3" w:themeFillTint="99"/>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Dons</w:t>
            </w:r>
          </w:p>
        </w:tc>
        <w:tc>
          <w:tcPr>
            <w:tcW w:w="1414" w:type="dxa"/>
            <w:tcBorders>
              <w:top w:val="nil"/>
              <w:left w:val="single" w:sz="8" w:space="0" w:color="auto"/>
              <w:bottom w:val="single" w:sz="8" w:space="0" w:color="auto"/>
              <w:right w:val="single" w:sz="8" w:space="0" w:color="auto"/>
            </w:tcBorders>
            <w:shd w:val="clear" w:color="auto" w:fill="C2D69B" w:themeFill="accent3" w:themeFillTint="99"/>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Total</w:t>
            </w:r>
          </w:p>
        </w:tc>
        <w:tc>
          <w:tcPr>
            <w:tcW w:w="1333" w:type="dxa"/>
            <w:tcBorders>
              <w:top w:val="nil"/>
              <w:left w:val="nil"/>
              <w:bottom w:val="nil"/>
              <w:right w:val="single" w:sz="8" w:space="0" w:color="000000"/>
            </w:tcBorders>
            <w:shd w:val="clear" w:color="auto" w:fill="C2D69B" w:themeFill="accent3" w:themeFillTint="99"/>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Prêts</w:t>
            </w:r>
          </w:p>
        </w:tc>
        <w:tc>
          <w:tcPr>
            <w:tcW w:w="1313" w:type="dxa"/>
            <w:tcBorders>
              <w:top w:val="nil"/>
              <w:left w:val="nil"/>
              <w:bottom w:val="nil"/>
              <w:right w:val="nil"/>
            </w:tcBorders>
            <w:shd w:val="clear" w:color="auto" w:fill="C2D69B" w:themeFill="accent3" w:themeFillTint="99"/>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Dons</w:t>
            </w:r>
          </w:p>
        </w:tc>
        <w:tc>
          <w:tcPr>
            <w:tcW w:w="1395" w:type="dxa"/>
            <w:tcBorders>
              <w:top w:val="nil"/>
              <w:left w:val="single" w:sz="8" w:space="0" w:color="auto"/>
              <w:bottom w:val="nil"/>
              <w:right w:val="single" w:sz="8" w:space="0" w:color="auto"/>
            </w:tcBorders>
            <w:shd w:val="clear" w:color="auto" w:fill="C2D69B" w:themeFill="accent3" w:themeFillTint="99"/>
            <w:noWrap/>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Total</w:t>
            </w:r>
          </w:p>
        </w:tc>
        <w:tc>
          <w:tcPr>
            <w:tcW w:w="1194" w:type="dxa"/>
            <w:vMerge/>
            <w:tcBorders>
              <w:top w:val="single" w:sz="8" w:space="0" w:color="auto"/>
              <w:left w:val="nil"/>
              <w:bottom w:val="nil"/>
              <w:right w:val="single" w:sz="8" w:space="0" w:color="auto"/>
            </w:tcBorders>
            <w:shd w:val="clear" w:color="auto" w:fill="C2D69B" w:themeFill="accent3" w:themeFillTint="99"/>
            <w:vAlign w:val="center"/>
            <w:hideMark/>
          </w:tcPr>
          <w:p w:rsidR="003549B2" w:rsidRPr="00DC630E" w:rsidRDefault="003549B2" w:rsidP="00496903">
            <w:pPr>
              <w:spacing w:after="0" w:line="240" w:lineRule="auto"/>
              <w:rPr>
                <w:rFonts w:asciiTheme="minorHAnsi" w:eastAsia="Times New Roman" w:hAnsiTheme="minorHAnsi" w:cstheme="minorHAnsi"/>
                <w:b/>
                <w:bCs/>
                <w:sz w:val="20"/>
                <w:szCs w:val="20"/>
                <w:lang w:eastAsia="fr-FR"/>
              </w:rPr>
            </w:pPr>
          </w:p>
        </w:tc>
      </w:tr>
      <w:tr w:rsidR="003549B2" w:rsidRPr="00DC630E" w:rsidTr="007C7325">
        <w:trPr>
          <w:trHeight w:val="530"/>
        </w:trPr>
        <w:tc>
          <w:tcPr>
            <w:tcW w:w="3964"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Aide Projet - Avec fonds commun et/ou CAST</w:t>
            </w:r>
          </w:p>
        </w:tc>
        <w:tc>
          <w:tcPr>
            <w:tcW w:w="1512"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353" w:type="dxa"/>
            <w:tcBorders>
              <w:top w:val="nil"/>
              <w:left w:val="nil"/>
              <w:bottom w:val="single" w:sz="8" w:space="0" w:color="000000"/>
              <w:right w:val="nil"/>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38,08</w:t>
            </w:r>
          </w:p>
        </w:tc>
        <w:tc>
          <w:tcPr>
            <w:tcW w:w="1414" w:type="dxa"/>
            <w:tcBorders>
              <w:top w:val="nil"/>
              <w:left w:val="single" w:sz="8" w:space="0" w:color="auto"/>
              <w:bottom w:val="single" w:sz="8" w:space="0" w:color="auto"/>
              <w:right w:val="single" w:sz="8" w:space="0" w:color="auto"/>
            </w:tcBorders>
            <w:shd w:val="clear" w:color="auto" w:fill="auto"/>
            <w:noWrap/>
            <w:vAlign w:val="center"/>
            <w:hideMark/>
          </w:tcPr>
          <w:p w:rsidR="003549B2" w:rsidRPr="00DC630E" w:rsidRDefault="003549B2" w:rsidP="00EF3D9D">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w:t>
            </w:r>
            <w:r w:rsidR="00EF3D9D">
              <w:rPr>
                <w:rFonts w:asciiTheme="minorHAnsi" w:eastAsia="Times New Roman" w:hAnsiTheme="minorHAnsi" w:cstheme="minorHAnsi"/>
                <w:sz w:val="20"/>
                <w:szCs w:val="20"/>
                <w:lang w:eastAsia="fr-FR"/>
              </w:rPr>
              <w:t>8</w:t>
            </w:r>
            <w:r w:rsidRPr="00DC630E">
              <w:rPr>
                <w:rFonts w:asciiTheme="minorHAnsi" w:eastAsia="Times New Roman" w:hAnsiTheme="minorHAnsi" w:cstheme="minorHAnsi"/>
                <w:sz w:val="20"/>
                <w:szCs w:val="20"/>
                <w:lang w:eastAsia="fr-FR"/>
              </w:rPr>
              <w:t>,08</w:t>
            </w:r>
          </w:p>
        </w:tc>
        <w:tc>
          <w:tcPr>
            <w:tcW w:w="1333" w:type="dxa"/>
            <w:tcBorders>
              <w:top w:val="single" w:sz="8" w:space="0" w:color="auto"/>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13" w:type="dxa"/>
            <w:tcBorders>
              <w:top w:val="single" w:sz="8" w:space="0" w:color="auto"/>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63,39</w:t>
            </w:r>
          </w:p>
        </w:tc>
        <w:tc>
          <w:tcPr>
            <w:tcW w:w="1395" w:type="dxa"/>
            <w:tcBorders>
              <w:top w:val="single" w:sz="8" w:space="0" w:color="auto"/>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63,39</w:t>
            </w:r>
          </w:p>
        </w:tc>
        <w:tc>
          <w:tcPr>
            <w:tcW w:w="1194" w:type="dxa"/>
            <w:tcBorders>
              <w:top w:val="single" w:sz="8" w:space="0" w:color="auto"/>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110,74</w:t>
            </w:r>
          </w:p>
        </w:tc>
      </w:tr>
      <w:tr w:rsidR="003549B2" w:rsidRPr="00DC630E" w:rsidTr="007C7325">
        <w:trPr>
          <w:trHeight w:val="530"/>
        </w:trPr>
        <w:tc>
          <w:tcPr>
            <w:tcW w:w="3964"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Aide projet - Sans fonds commun et/ou CAST </w:t>
            </w:r>
          </w:p>
        </w:tc>
        <w:tc>
          <w:tcPr>
            <w:tcW w:w="1512" w:type="dxa"/>
            <w:tcBorders>
              <w:top w:val="nil"/>
              <w:left w:val="nil"/>
              <w:bottom w:val="single" w:sz="8" w:space="0" w:color="000000"/>
              <w:right w:val="nil"/>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109,35</w:t>
            </w:r>
          </w:p>
        </w:tc>
        <w:tc>
          <w:tcPr>
            <w:tcW w:w="1353" w:type="dxa"/>
            <w:tcBorders>
              <w:top w:val="nil"/>
              <w:left w:val="single" w:sz="8" w:space="0" w:color="000000"/>
              <w:bottom w:val="single" w:sz="8" w:space="0" w:color="000000"/>
              <w:right w:val="nil"/>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517,45</w:t>
            </w:r>
          </w:p>
        </w:tc>
        <w:tc>
          <w:tcPr>
            <w:tcW w:w="1414" w:type="dxa"/>
            <w:tcBorders>
              <w:top w:val="nil"/>
              <w:left w:val="single" w:sz="8" w:space="0" w:color="auto"/>
              <w:bottom w:val="single" w:sz="8" w:space="0" w:color="auto"/>
              <w:right w:val="single" w:sz="8" w:space="0" w:color="auto"/>
            </w:tcBorders>
            <w:shd w:val="clear" w:color="auto" w:fill="auto"/>
            <w:noWrap/>
            <w:vAlign w:val="center"/>
            <w:hideMark/>
          </w:tcPr>
          <w:p w:rsidR="003549B2" w:rsidRPr="00DC630E" w:rsidRDefault="00EF3D9D" w:rsidP="00496903">
            <w:pPr>
              <w:spacing w:after="0" w:line="240" w:lineRule="auto"/>
              <w:jc w:val="center"/>
              <w:rPr>
                <w:rFonts w:asciiTheme="minorHAnsi" w:eastAsia="Times New Roman" w:hAnsiTheme="minorHAnsi" w:cstheme="minorHAnsi"/>
                <w:sz w:val="20"/>
                <w:szCs w:val="20"/>
                <w:lang w:eastAsia="fr-FR"/>
              </w:rPr>
            </w:pPr>
            <w:r>
              <w:rPr>
                <w:rFonts w:asciiTheme="minorHAnsi" w:eastAsia="Times New Roman" w:hAnsiTheme="minorHAnsi" w:cstheme="minorHAnsi"/>
                <w:sz w:val="20"/>
                <w:szCs w:val="20"/>
                <w:lang w:eastAsia="fr-FR"/>
              </w:rPr>
              <w:t>626,8</w:t>
            </w:r>
          </w:p>
        </w:tc>
        <w:tc>
          <w:tcPr>
            <w:tcW w:w="1333"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188,21</w:t>
            </w:r>
          </w:p>
        </w:tc>
        <w:tc>
          <w:tcPr>
            <w:tcW w:w="1313"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574,43</w:t>
            </w:r>
          </w:p>
        </w:tc>
        <w:tc>
          <w:tcPr>
            <w:tcW w:w="1395"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762,64</w:t>
            </w:r>
          </w:p>
        </w:tc>
        <w:tc>
          <w:tcPr>
            <w:tcW w:w="1194"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16,73</w:t>
            </w:r>
          </w:p>
        </w:tc>
      </w:tr>
      <w:tr w:rsidR="003549B2" w:rsidRPr="00DC630E" w:rsidTr="007C7325">
        <w:trPr>
          <w:trHeight w:val="273"/>
        </w:trPr>
        <w:tc>
          <w:tcPr>
            <w:tcW w:w="3964" w:type="dxa"/>
            <w:tcBorders>
              <w:top w:val="nil"/>
              <w:left w:val="single" w:sz="8" w:space="0" w:color="000000"/>
              <w:bottom w:val="nil"/>
              <w:right w:val="single" w:sz="8" w:space="0" w:color="000000"/>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Appui Budgétaire Général </w:t>
            </w:r>
          </w:p>
        </w:tc>
        <w:tc>
          <w:tcPr>
            <w:tcW w:w="1512" w:type="dxa"/>
            <w:tcBorders>
              <w:top w:val="nil"/>
              <w:left w:val="nil"/>
              <w:bottom w:val="nil"/>
              <w:right w:val="nil"/>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137,6</w:t>
            </w:r>
          </w:p>
        </w:tc>
        <w:tc>
          <w:tcPr>
            <w:tcW w:w="1353" w:type="dxa"/>
            <w:tcBorders>
              <w:top w:val="nil"/>
              <w:left w:val="single" w:sz="8" w:space="0" w:color="000000"/>
              <w:bottom w:val="nil"/>
              <w:right w:val="nil"/>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175,93</w:t>
            </w:r>
          </w:p>
        </w:tc>
        <w:tc>
          <w:tcPr>
            <w:tcW w:w="1414" w:type="dxa"/>
            <w:tcBorders>
              <w:top w:val="nil"/>
              <w:left w:val="single" w:sz="8" w:space="0" w:color="auto"/>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316,07</w:t>
            </w:r>
          </w:p>
        </w:tc>
        <w:tc>
          <w:tcPr>
            <w:tcW w:w="1333"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138,22</w:t>
            </w:r>
          </w:p>
        </w:tc>
        <w:tc>
          <w:tcPr>
            <w:tcW w:w="1313"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127,30</w:t>
            </w:r>
          </w:p>
        </w:tc>
        <w:tc>
          <w:tcPr>
            <w:tcW w:w="1395"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265,52</w:t>
            </w:r>
          </w:p>
        </w:tc>
        <w:tc>
          <w:tcPr>
            <w:tcW w:w="1194"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-15,99</w:t>
            </w:r>
          </w:p>
        </w:tc>
      </w:tr>
      <w:tr w:rsidR="003549B2" w:rsidRPr="00DC630E" w:rsidTr="007C7325">
        <w:trPr>
          <w:trHeight w:val="273"/>
        </w:trPr>
        <w:tc>
          <w:tcPr>
            <w:tcW w:w="3964"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Appui budgétaire sectoriel </w:t>
            </w:r>
          </w:p>
        </w:tc>
        <w:tc>
          <w:tcPr>
            <w:tcW w:w="1512" w:type="dxa"/>
            <w:tcBorders>
              <w:top w:val="single" w:sz="8" w:space="0" w:color="000000"/>
              <w:left w:val="nil"/>
              <w:bottom w:val="single" w:sz="8" w:space="0" w:color="000000"/>
              <w:right w:val="nil"/>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31,02</w:t>
            </w:r>
          </w:p>
        </w:tc>
        <w:tc>
          <w:tcPr>
            <w:tcW w:w="1353" w:type="dxa"/>
            <w:tcBorders>
              <w:top w:val="single" w:sz="8" w:space="0" w:color="000000"/>
              <w:left w:val="single" w:sz="8" w:space="0" w:color="000000"/>
              <w:bottom w:val="single" w:sz="8" w:space="0" w:color="000000"/>
              <w:right w:val="nil"/>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57,95</w:t>
            </w:r>
          </w:p>
        </w:tc>
        <w:tc>
          <w:tcPr>
            <w:tcW w:w="1414" w:type="dxa"/>
            <w:tcBorders>
              <w:top w:val="nil"/>
              <w:left w:val="single" w:sz="8" w:space="0" w:color="auto"/>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88,97</w:t>
            </w:r>
          </w:p>
        </w:tc>
        <w:tc>
          <w:tcPr>
            <w:tcW w:w="1333"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13"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10,68</w:t>
            </w:r>
          </w:p>
        </w:tc>
        <w:tc>
          <w:tcPr>
            <w:tcW w:w="1395"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10,68</w:t>
            </w:r>
          </w:p>
        </w:tc>
        <w:tc>
          <w:tcPr>
            <w:tcW w:w="1194"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-88,00</w:t>
            </w:r>
          </w:p>
        </w:tc>
      </w:tr>
      <w:tr w:rsidR="003549B2" w:rsidRPr="00DC630E" w:rsidTr="007C7325">
        <w:trPr>
          <w:trHeight w:val="273"/>
        </w:trPr>
        <w:tc>
          <w:tcPr>
            <w:tcW w:w="3964"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Aide alimentaire</w:t>
            </w:r>
          </w:p>
        </w:tc>
        <w:tc>
          <w:tcPr>
            <w:tcW w:w="1512" w:type="dxa"/>
            <w:tcBorders>
              <w:top w:val="nil"/>
              <w:left w:val="nil"/>
              <w:bottom w:val="single" w:sz="8" w:space="0" w:color="000000"/>
              <w:right w:val="single" w:sz="8" w:space="0" w:color="000000"/>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353" w:type="dxa"/>
            <w:tcBorders>
              <w:top w:val="nil"/>
              <w:left w:val="nil"/>
              <w:bottom w:val="single" w:sz="8" w:space="0" w:color="000000"/>
              <w:right w:val="nil"/>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25,79</w:t>
            </w:r>
          </w:p>
        </w:tc>
        <w:tc>
          <w:tcPr>
            <w:tcW w:w="1414" w:type="dxa"/>
            <w:tcBorders>
              <w:top w:val="nil"/>
              <w:left w:val="single" w:sz="8" w:space="0" w:color="auto"/>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25,79</w:t>
            </w:r>
          </w:p>
        </w:tc>
        <w:tc>
          <w:tcPr>
            <w:tcW w:w="1333"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w:t>
            </w:r>
          </w:p>
        </w:tc>
        <w:tc>
          <w:tcPr>
            <w:tcW w:w="1313"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31,66</w:t>
            </w:r>
          </w:p>
        </w:tc>
        <w:tc>
          <w:tcPr>
            <w:tcW w:w="1395"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31,66</w:t>
            </w:r>
          </w:p>
        </w:tc>
        <w:tc>
          <w:tcPr>
            <w:tcW w:w="1194"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22,77</w:t>
            </w:r>
          </w:p>
        </w:tc>
      </w:tr>
      <w:tr w:rsidR="003549B2" w:rsidRPr="00DC630E" w:rsidTr="007C7325">
        <w:trPr>
          <w:trHeight w:val="273"/>
        </w:trPr>
        <w:tc>
          <w:tcPr>
            <w:tcW w:w="3964" w:type="dxa"/>
            <w:tcBorders>
              <w:top w:val="nil"/>
              <w:left w:val="single" w:sz="8" w:space="0" w:color="000000"/>
              <w:bottom w:val="single" w:sz="8" w:space="0" w:color="000000"/>
              <w:right w:val="single" w:sz="8" w:space="0" w:color="000000"/>
            </w:tcBorders>
            <w:shd w:val="clear" w:color="auto" w:fill="auto"/>
            <w:vAlign w:val="bottom"/>
            <w:hideMark/>
          </w:tcPr>
          <w:p w:rsidR="003549B2" w:rsidRPr="00DC630E" w:rsidRDefault="003549B2" w:rsidP="00496903">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Assistance et secours d'urgence </w:t>
            </w:r>
          </w:p>
        </w:tc>
        <w:tc>
          <w:tcPr>
            <w:tcW w:w="1512" w:type="dxa"/>
            <w:tcBorders>
              <w:top w:val="nil"/>
              <w:left w:val="nil"/>
              <w:bottom w:val="single" w:sz="8" w:space="0" w:color="000000"/>
              <w:right w:val="single" w:sz="8" w:space="0" w:color="000000"/>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c>
          <w:tcPr>
            <w:tcW w:w="1353" w:type="dxa"/>
            <w:tcBorders>
              <w:top w:val="nil"/>
              <w:left w:val="nil"/>
              <w:bottom w:val="single" w:sz="8" w:space="0" w:color="000000"/>
              <w:right w:val="single" w:sz="8" w:space="0" w:color="000000"/>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7,17</w:t>
            </w:r>
          </w:p>
        </w:tc>
        <w:tc>
          <w:tcPr>
            <w:tcW w:w="1414"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7,16</w:t>
            </w:r>
          </w:p>
        </w:tc>
        <w:tc>
          <w:tcPr>
            <w:tcW w:w="1333" w:type="dxa"/>
            <w:tcBorders>
              <w:top w:val="nil"/>
              <w:left w:val="nil"/>
              <w:bottom w:val="single" w:sz="8" w:space="0" w:color="auto"/>
              <w:right w:val="single" w:sz="8" w:space="0" w:color="auto"/>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1,03</w:t>
            </w:r>
          </w:p>
        </w:tc>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5,31</w:t>
            </w:r>
          </w:p>
        </w:tc>
        <w:tc>
          <w:tcPr>
            <w:tcW w:w="1395" w:type="dxa"/>
            <w:tcBorders>
              <w:top w:val="nil"/>
              <w:left w:val="single" w:sz="8" w:space="0" w:color="auto"/>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6,34</w:t>
            </w:r>
          </w:p>
        </w:tc>
        <w:tc>
          <w:tcPr>
            <w:tcW w:w="1194" w:type="dxa"/>
            <w:tcBorders>
              <w:top w:val="nil"/>
              <w:left w:val="nil"/>
              <w:bottom w:val="single" w:sz="8" w:space="0" w:color="auto"/>
              <w:right w:val="single" w:sz="8" w:space="0" w:color="auto"/>
            </w:tcBorders>
            <w:shd w:val="clear" w:color="auto" w:fill="auto"/>
            <w:noWrap/>
            <w:vAlign w:val="center"/>
            <w:hideMark/>
          </w:tcPr>
          <w:p w:rsidR="003549B2" w:rsidRPr="00DC630E" w:rsidRDefault="003549B2" w:rsidP="00496903">
            <w:pPr>
              <w:spacing w:after="0" w:line="240" w:lineRule="auto"/>
              <w:jc w:val="center"/>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-11,49</w:t>
            </w:r>
          </w:p>
        </w:tc>
      </w:tr>
      <w:tr w:rsidR="003549B2" w:rsidRPr="00DC630E" w:rsidTr="002E12F6">
        <w:trPr>
          <w:trHeight w:val="273"/>
        </w:trPr>
        <w:tc>
          <w:tcPr>
            <w:tcW w:w="3964" w:type="dxa"/>
            <w:tcBorders>
              <w:top w:val="nil"/>
              <w:left w:val="single" w:sz="8" w:space="0" w:color="000000"/>
              <w:bottom w:val="single" w:sz="8" w:space="0" w:color="000000"/>
              <w:right w:val="single" w:sz="8" w:space="0" w:color="000000"/>
            </w:tcBorders>
            <w:shd w:val="clear" w:color="auto" w:fill="C2D69B" w:themeFill="accent3" w:themeFillTint="99"/>
            <w:vAlign w:val="bottom"/>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TOTAL</w:t>
            </w:r>
          </w:p>
        </w:tc>
        <w:tc>
          <w:tcPr>
            <w:tcW w:w="1512" w:type="dxa"/>
            <w:tcBorders>
              <w:top w:val="nil"/>
              <w:left w:val="nil"/>
              <w:bottom w:val="single" w:sz="8" w:space="0" w:color="000000"/>
              <w:right w:val="single" w:sz="8" w:space="0" w:color="000000"/>
            </w:tcBorders>
            <w:shd w:val="clear" w:color="auto" w:fill="C2D69B" w:themeFill="accent3" w:themeFillTint="99"/>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277,97</w:t>
            </w:r>
          </w:p>
        </w:tc>
        <w:tc>
          <w:tcPr>
            <w:tcW w:w="1353" w:type="dxa"/>
            <w:tcBorders>
              <w:top w:val="nil"/>
              <w:left w:val="nil"/>
              <w:bottom w:val="single" w:sz="8" w:space="0" w:color="000000"/>
              <w:right w:val="single" w:sz="8" w:space="0" w:color="000000"/>
            </w:tcBorders>
            <w:shd w:val="clear" w:color="auto" w:fill="C2D69B" w:themeFill="accent3" w:themeFillTint="99"/>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822,37</w:t>
            </w:r>
          </w:p>
        </w:tc>
        <w:tc>
          <w:tcPr>
            <w:tcW w:w="1414" w:type="dxa"/>
            <w:tcBorders>
              <w:top w:val="nil"/>
              <w:left w:val="nil"/>
              <w:bottom w:val="single" w:sz="8" w:space="0" w:color="000000"/>
              <w:right w:val="single" w:sz="8" w:space="0" w:color="000000"/>
            </w:tcBorders>
            <w:shd w:val="clear" w:color="auto" w:fill="C2D69B" w:themeFill="accent3" w:themeFillTint="99"/>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1100,34</w:t>
            </w:r>
          </w:p>
        </w:tc>
        <w:tc>
          <w:tcPr>
            <w:tcW w:w="1333" w:type="dxa"/>
            <w:tcBorders>
              <w:top w:val="nil"/>
              <w:left w:val="nil"/>
              <w:bottom w:val="single" w:sz="8" w:space="0" w:color="000000"/>
              <w:right w:val="single" w:sz="8" w:space="0" w:color="000000"/>
            </w:tcBorders>
            <w:shd w:val="clear" w:color="auto" w:fill="C2D69B" w:themeFill="accent3" w:themeFillTint="99"/>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327,46</w:t>
            </w:r>
          </w:p>
        </w:tc>
        <w:tc>
          <w:tcPr>
            <w:tcW w:w="1313" w:type="dxa"/>
            <w:tcBorders>
              <w:top w:val="nil"/>
              <w:left w:val="nil"/>
              <w:bottom w:val="single" w:sz="8" w:space="0" w:color="000000"/>
              <w:right w:val="single" w:sz="8" w:space="0" w:color="000000"/>
            </w:tcBorders>
            <w:shd w:val="clear" w:color="auto" w:fill="C2D69B" w:themeFill="accent3" w:themeFillTint="99"/>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812,77</w:t>
            </w:r>
          </w:p>
        </w:tc>
        <w:tc>
          <w:tcPr>
            <w:tcW w:w="1395" w:type="dxa"/>
            <w:tcBorders>
              <w:top w:val="nil"/>
              <w:left w:val="nil"/>
              <w:bottom w:val="single" w:sz="8" w:space="0" w:color="auto"/>
              <w:right w:val="single" w:sz="8" w:space="0" w:color="auto"/>
            </w:tcBorders>
            <w:shd w:val="clear" w:color="auto" w:fill="C2D69B" w:themeFill="accent3" w:themeFillTint="99"/>
            <w:noWrap/>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1140,23</w:t>
            </w:r>
          </w:p>
        </w:tc>
        <w:tc>
          <w:tcPr>
            <w:tcW w:w="1194" w:type="dxa"/>
            <w:tcBorders>
              <w:top w:val="nil"/>
              <w:left w:val="nil"/>
              <w:bottom w:val="single" w:sz="8" w:space="0" w:color="auto"/>
              <w:right w:val="single" w:sz="8" w:space="0" w:color="auto"/>
            </w:tcBorders>
            <w:shd w:val="clear" w:color="auto" w:fill="C2D69B" w:themeFill="accent3" w:themeFillTint="99"/>
            <w:noWrap/>
            <w:vAlign w:val="center"/>
            <w:hideMark/>
          </w:tcPr>
          <w:p w:rsidR="003549B2" w:rsidRPr="00DC630E" w:rsidRDefault="003549B2" w:rsidP="00496903">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3,63</w:t>
            </w:r>
          </w:p>
        </w:tc>
      </w:tr>
    </w:tbl>
    <w:p w:rsidR="003549B2" w:rsidRDefault="003549B2" w:rsidP="003549B2"/>
    <w:p w:rsidR="00DC630E" w:rsidRDefault="00DC630E">
      <w:pPr>
        <w:spacing w:after="0" w:line="240" w:lineRule="auto"/>
      </w:pPr>
      <w:r>
        <w:br w:type="page"/>
      </w:r>
    </w:p>
    <w:p w:rsidR="00644A07" w:rsidRPr="00DC630E" w:rsidRDefault="00DC630E" w:rsidP="00DC630E">
      <w:pPr>
        <w:pStyle w:val="Titre1"/>
        <w:spacing w:after="240"/>
        <w:rPr>
          <w:u w:val="single"/>
        </w:rPr>
      </w:pPr>
      <w:bookmarkStart w:id="730" w:name="_Toc492972287"/>
      <w:r w:rsidRPr="00644A07">
        <w:rPr>
          <w:u w:val="single"/>
        </w:rPr>
        <w:lastRenderedPageBreak/>
        <w:t>Annexe 8: Résumé de l'aide extérieure par secteurs du PNDES</w:t>
      </w:r>
      <w:bookmarkEnd w:id="730"/>
    </w:p>
    <w:tbl>
      <w:tblPr>
        <w:tblW w:w="13986" w:type="dxa"/>
        <w:tblInd w:w="55" w:type="dxa"/>
        <w:tblCellMar>
          <w:left w:w="70" w:type="dxa"/>
          <w:right w:w="70" w:type="dxa"/>
        </w:tblCellMar>
        <w:tblLook w:val="04A0" w:firstRow="1" w:lastRow="0" w:firstColumn="1" w:lastColumn="0" w:noHBand="0" w:noVBand="1"/>
      </w:tblPr>
      <w:tblGrid>
        <w:gridCol w:w="6889"/>
        <w:gridCol w:w="2401"/>
        <w:gridCol w:w="2401"/>
        <w:gridCol w:w="2295"/>
      </w:tblGrid>
      <w:tr w:rsidR="003549B2" w:rsidRPr="00DC630E" w:rsidTr="00DC630E">
        <w:trPr>
          <w:trHeight w:val="305"/>
        </w:trPr>
        <w:tc>
          <w:tcPr>
            <w:tcW w:w="6889" w:type="dxa"/>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bottom"/>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Secteurs</w:t>
            </w:r>
          </w:p>
        </w:tc>
        <w:tc>
          <w:tcPr>
            <w:tcW w:w="2401" w:type="dxa"/>
            <w:tcBorders>
              <w:top w:val="single" w:sz="4" w:space="0" w:color="auto"/>
              <w:left w:val="nil"/>
              <w:bottom w:val="single" w:sz="4" w:space="0" w:color="auto"/>
              <w:right w:val="single" w:sz="4" w:space="0" w:color="auto"/>
            </w:tcBorders>
            <w:shd w:val="clear" w:color="auto" w:fill="C2D69B" w:themeFill="accent3" w:themeFillTint="99"/>
            <w:noWrap/>
            <w:vAlign w:val="bottom"/>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Décaissements 2015</w:t>
            </w:r>
          </w:p>
        </w:tc>
        <w:tc>
          <w:tcPr>
            <w:tcW w:w="2401" w:type="dxa"/>
            <w:tcBorders>
              <w:top w:val="single" w:sz="4" w:space="0" w:color="auto"/>
              <w:left w:val="nil"/>
              <w:bottom w:val="single" w:sz="4" w:space="0" w:color="auto"/>
              <w:right w:val="single" w:sz="4" w:space="0" w:color="auto"/>
            </w:tcBorders>
            <w:shd w:val="clear" w:color="auto" w:fill="C2D69B" w:themeFill="accent3" w:themeFillTint="99"/>
            <w:noWrap/>
            <w:vAlign w:val="bottom"/>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Décaissements 2016</w:t>
            </w:r>
          </w:p>
        </w:tc>
        <w:tc>
          <w:tcPr>
            <w:tcW w:w="2295" w:type="dxa"/>
            <w:tcBorders>
              <w:top w:val="single" w:sz="4" w:space="0" w:color="auto"/>
              <w:left w:val="nil"/>
              <w:bottom w:val="single" w:sz="4" w:space="0" w:color="auto"/>
              <w:right w:val="single" w:sz="4" w:space="0" w:color="auto"/>
            </w:tcBorders>
            <w:shd w:val="clear" w:color="auto" w:fill="C2D69B" w:themeFill="accent3" w:themeFillTint="99"/>
            <w:noWrap/>
            <w:vAlign w:val="bottom"/>
            <w:hideMark/>
          </w:tcPr>
          <w:p w:rsidR="003549B2" w:rsidRPr="00DC630E" w:rsidRDefault="003549B2" w:rsidP="00DC630E">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Var-2016-2015 en %</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auto" w:fill="auto"/>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Production agro-sylvo-pastorale</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5344C6">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1</w:t>
            </w:r>
            <w:r w:rsidR="005344C6" w:rsidRPr="00FB415F">
              <w:rPr>
                <w:rFonts w:asciiTheme="minorHAnsi" w:eastAsia="Times New Roman" w:hAnsiTheme="minorHAnsi" w:cstheme="minorHAnsi"/>
                <w:sz w:val="20"/>
                <w:szCs w:val="20"/>
                <w:lang w:eastAsia="fr-FR"/>
              </w:rPr>
              <w:t>14</w:t>
            </w:r>
            <w:r w:rsidRPr="00FB415F">
              <w:rPr>
                <w:rFonts w:asciiTheme="minorHAnsi" w:eastAsia="Times New Roman" w:hAnsiTheme="minorHAnsi" w:cstheme="minorHAnsi"/>
                <w:sz w:val="20"/>
                <w:szCs w:val="20"/>
                <w:lang w:eastAsia="fr-FR"/>
              </w:rPr>
              <w:t>,</w:t>
            </w:r>
            <w:r w:rsidR="005344C6" w:rsidRPr="00FB415F">
              <w:rPr>
                <w:rFonts w:asciiTheme="minorHAnsi" w:eastAsia="Times New Roman" w:hAnsiTheme="minorHAnsi" w:cstheme="minorHAnsi"/>
                <w:sz w:val="20"/>
                <w:szCs w:val="20"/>
                <w:lang w:eastAsia="fr-FR"/>
              </w:rPr>
              <w:t>52</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115,33</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5344C6"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0.71</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Travail, emploi et protection sociale</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52,58</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56,04</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6,58</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Gouvernance économique</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305,75</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276,21</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-9,66</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Commerce et services marchands</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91,14</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28,29</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-68,96</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Infrastructures de transport, de communication et d'habitat</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31,12</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77,69</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149,64</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Environnement eau et assainissement</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34663D">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16</w:t>
            </w:r>
            <w:r w:rsidR="0034663D" w:rsidRPr="00FB415F">
              <w:rPr>
                <w:rFonts w:asciiTheme="minorHAnsi" w:eastAsia="Times New Roman" w:hAnsiTheme="minorHAnsi" w:cstheme="minorHAnsi"/>
                <w:sz w:val="20"/>
                <w:szCs w:val="20"/>
                <w:lang w:eastAsia="fr-FR"/>
              </w:rPr>
              <w:t>7,63</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174,09</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34663D"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3,86</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Education et formation</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90,28</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106,44</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17,90</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Gouvernance administrative et locale</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61,05</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61,58</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0,87</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Transformations industrielles et artisanales</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6B7C6D">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6</w:t>
            </w:r>
            <w:r w:rsidR="006B7C6D" w:rsidRPr="00FB415F">
              <w:rPr>
                <w:rFonts w:asciiTheme="minorHAnsi" w:eastAsia="Times New Roman" w:hAnsiTheme="minorHAnsi" w:cstheme="minorHAnsi"/>
                <w:sz w:val="20"/>
                <w:szCs w:val="20"/>
                <w:lang w:eastAsia="fr-FR"/>
              </w:rPr>
              <w:t>5</w:t>
            </w:r>
            <w:r w:rsidRPr="00FB415F">
              <w:rPr>
                <w:rFonts w:asciiTheme="minorHAnsi" w:eastAsia="Times New Roman" w:hAnsiTheme="minorHAnsi" w:cstheme="minorHAnsi"/>
                <w:sz w:val="20"/>
                <w:szCs w:val="20"/>
                <w:lang w:eastAsia="fr-FR"/>
              </w:rPr>
              <w:t>,</w:t>
            </w:r>
            <w:r w:rsidR="006B7C6D" w:rsidRPr="00FB415F">
              <w:rPr>
                <w:rFonts w:asciiTheme="minorHAnsi" w:eastAsia="Times New Roman" w:hAnsiTheme="minorHAnsi" w:cstheme="minorHAnsi"/>
                <w:sz w:val="20"/>
                <w:szCs w:val="20"/>
                <w:lang w:eastAsia="fr-FR"/>
              </w:rPr>
              <w:t>83</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92,83</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6B7C6D" w:rsidP="006B7C6D">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4</w:t>
            </w:r>
            <w:r w:rsidR="003549B2" w:rsidRPr="00FB415F">
              <w:rPr>
                <w:rFonts w:asciiTheme="minorHAnsi" w:eastAsia="Times New Roman" w:hAnsiTheme="minorHAnsi" w:cstheme="minorHAnsi"/>
                <w:sz w:val="20"/>
                <w:szCs w:val="20"/>
                <w:lang w:eastAsia="fr-FR"/>
              </w:rPr>
              <w:t>1,</w:t>
            </w:r>
            <w:r w:rsidRPr="00FB415F">
              <w:rPr>
                <w:rFonts w:asciiTheme="minorHAnsi" w:eastAsia="Times New Roman" w:hAnsiTheme="minorHAnsi" w:cstheme="minorHAnsi"/>
                <w:sz w:val="20"/>
                <w:szCs w:val="20"/>
                <w:lang w:eastAsia="fr-FR"/>
              </w:rPr>
              <w:t>01</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Santé</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79,21</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81,46</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2,83</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000000" w:fill="FFFFFF"/>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Culture, sports et loisirs</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0,07</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0,04</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3549B2"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-46,48</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auto" w:fill="auto"/>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Non affecté/ Non spécifié </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971224"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43,23</w:t>
            </w:r>
          </w:p>
        </w:tc>
        <w:tc>
          <w:tcPr>
            <w:tcW w:w="2401" w:type="dxa"/>
            <w:tcBorders>
              <w:top w:val="nil"/>
              <w:left w:val="nil"/>
              <w:bottom w:val="single" w:sz="4" w:space="0" w:color="auto"/>
              <w:right w:val="single" w:sz="4" w:space="0" w:color="auto"/>
            </w:tcBorders>
            <w:shd w:val="clear" w:color="auto" w:fill="auto"/>
            <w:noWrap/>
            <w:vAlign w:val="bottom"/>
            <w:hideMark/>
          </w:tcPr>
          <w:p w:rsidR="003549B2" w:rsidRPr="00FB415F" w:rsidRDefault="00971224"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70,22</w:t>
            </w:r>
          </w:p>
        </w:tc>
        <w:tc>
          <w:tcPr>
            <w:tcW w:w="2295" w:type="dxa"/>
            <w:tcBorders>
              <w:top w:val="nil"/>
              <w:left w:val="nil"/>
              <w:bottom w:val="single" w:sz="4" w:space="0" w:color="auto"/>
              <w:right w:val="single" w:sz="4" w:space="0" w:color="auto"/>
            </w:tcBorders>
            <w:shd w:val="clear" w:color="auto" w:fill="auto"/>
            <w:noWrap/>
            <w:vAlign w:val="bottom"/>
            <w:hideMark/>
          </w:tcPr>
          <w:p w:rsidR="003549B2" w:rsidRPr="00FB415F" w:rsidRDefault="00971224" w:rsidP="00DC630E">
            <w:pPr>
              <w:spacing w:after="0" w:line="240" w:lineRule="auto"/>
              <w:jc w:val="center"/>
              <w:rPr>
                <w:rFonts w:asciiTheme="minorHAnsi" w:eastAsia="Times New Roman" w:hAnsiTheme="minorHAnsi" w:cstheme="minorHAnsi"/>
                <w:sz w:val="20"/>
                <w:szCs w:val="20"/>
                <w:lang w:eastAsia="fr-FR"/>
              </w:rPr>
            </w:pPr>
            <w:r w:rsidRPr="00FB415F">
              <w:rPr>
                <w:rFonts w:asciiTheme="minorHAnsi" w:eastAsia="Times New Roman" w:hAnsiTheme="minorHAnsi" w:cstheme="minorHAnsi"/>
                <w:sz w:val="20"/>
                <w:szCs w:val="20"/>
                <w:lang w:eastAsia="fr-FR"/>
              </w:rPr>
              <w:t>84,88</w:t>
            </w:r>
          </w:p>
        </w:tc>
      </w:tr>
      <w:tr w:rsidR="003549B2" w:rsidRPr="00DC630E" w:rsidTr="00DC630E">
        <w:trPr>
          <w:trHeight w:val="305"/>
        </w:trPr>
        <w:tc>
          <w:tcPr>
            <w:tcW w:w="6889" w:type="dxa"/>
            <w:tcBorders>
              <w:top w:val="nil"/>
              <w:left w:val="single" w:sz="4" w:space="0" w:color="auto"/>
              <w:bottom w:val="single" w:sz="4" w:space="0" w:color="auto"/>
              <w:right w:val="single" w:sz="4" w:space="0" w:color="auto"/>
            </w:tcBorders>
            <w:shd w:val="clear" w:color="auto" w:fill="C2D69B" w:themeFill="accent3" w:themeFillTint="99"/>
            <w:noWrap/>
            <w:vAlign w:val="bottom"/>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Total</w:t>
            </w:r>
          </w:p>
        </w:tc>
        <w:tc>
          <w:tcPr>
            <w:tcW w:w="2401" w:type="dxa"/>
            <w:tcBorders>
              <w:top w:val="nil"/>
              <w:left w:val="nil"/>
              <w:bottom w:val="single" w:sz="4" w:space="0" w:color="auto"/>
              <w:right w:val="single" w:sz="4" w:space="0" w:color="auto"/>
            </w:tcBorders>
            <w:shd w:val="clear" w:color="auto" w:fill="C2D69B" w:themeFill="accent3" w:themeFillTint="99"/>
            <w:noWrap/>
            <w:vAlign w:val="bottom"/>
            <w:hideMark/>
          </w:tcPr>
          <w:p w:rsidR="003549B2" w:rsidRPr="00FB415F" w:rsidRDefault="002E12F6" w:rsidP="00DC630E">
            <w:pPr>
              <w:spacing w:after="0" w:line="240" w:lineRule="auto"/>
              <w:jc w:val="center"/>
              <w:rPr>
                <w:rFonts w:asciiTheme="minorHAnsi" w:eastAsia="Times New Roman" w:hAnsiTheme="minorHAnsi" w:cstheme="minorHAnsi"/>
                <w:b/>
                <w:sz w:val="20"/>
                <w:szCs w:val="20"/>
                <w:lang w:eastAsia="fr-FR"/>
              </w:rPr>
            </w:pPr>
            <w:r w:rsidRPr="00FB415F">
              <w:rPr>
                <w:rFonts w:asciiTheme="minorHAnsi" w:eastAsia="Times New Roman" w:hAnsiTheme="minorHAnsi" w:cstheme="minorHAnsi"/>
                <w:b/>
                <w:sz w:val="20"/>
                <w:szCs w:val="20"/>
                <w:lang w:eastAsia="fr-FR"/>
              </w:rPr>
              <w:t>1100</w:t>
            </w:r>
            <w:r w:rsidR="003549B2" w:rsidRPr="00FB415F">
              <w:rPr>
                <w:rFonts w:asciiTheme="minorHAnsi" w:eastAsia="Times New Roman" w:hAnsiTheme="minorHAnsi" w:cstheme="minorHAnsi"/>
                <w:b/>
                <w:sz w:val="20"/>
                <w:szCs w:val="20"/>
                <w:lang w:eastAsia="fr-FR"/>
              </w:rPr>
              <w:t>,</w:t>
            </w:r>
            <w:r w:rsidRPr="00FB415F">
              <w:rPr>
                <w:rFonts w:asciiTheme="minorHAnsi" w:eastAsia="Times New Roman" w:hAnsiTheme="minorHAnsi" w:cstheme="minorHAnsi"/>
                <w:b/>
                <w:sz w:val="20"/>
                <w:szCs w:val="20"/>
                <w:lang w:eastAsia="fr-FR"/>
              </w:rPr>
              <w:t>34</w:t>
            </w:r>
          </w:p>
        </w:tc>
        <w:tc>
          <w:tcPr>
            <w:tcW w:w="2401" w:type="dxa"/>
            <w:tcBorders>
              <w:top w:val="nil"/>
              <w:left w:val="nil"/>
              <w:bottom w:val="single" w:sz="4" w:space="0" w:color="auto"/>
              <w:right w:val="single" w:sz="4" w:space="0" w:color="auto"/>
            </w:tcBorders>
            <w:shd w:val="clear" w:color="auto" w:fill="C2D69B" w:themeFill="accent3" w:themeFillTint="99"/>
            <w:noWrap/>
            <w:vAlign w:val="bottom"/>
            <w:hideMark/>
          </w:tcPr>
          <w:p w:rsidR="003549B2" w:rsidRPr="00FB415F" w:rsidRDefault="003549B2" w:rsidP="00DC630E">
            <w:pPr>
              <w:spacing w:after="0" w:line="240" w:lineRule="auto"/>
              <w:jc w:val="center"/>
              <w:rPr>
                <w:rFonts w:asciiTheme="minorHAnsi" w:eastAsia="Times New Roman" w:hAnsiTheme="minorHAnsi" w:cstheme="minorHAnsi"/>
                <w:b/>
                <w:sz w:val="20"/>
                <w:szCs w:val="20"/>
                <w:lang w:eastAsia="fr-FR"/>
              </w:rPr>
            </w:pPr>
            <w:r w:rsidRPr="00FB415F">
              <w:rPr>
                <w:rFonts w:asciiTheme="minorHAnsi" w:eastAsia="Times New Roman" w:hAnsiTheme="minorHAnsi" w:cstheme="minorHAnsi"/>
                <w:b/>
                <w:sz w:val="20"/>
                <w:szCs w:val="20"/>
                <w:lang w:eastAsia="fr-FR"/>
              </w:rPr>
              <w:t>1140,2</w:t>
            </w:r>
            <w:r w:rsidR="002E12F6" w:rsidRPr="00FB415F">
              <w:rPr>
                <w:rFonts w:asciiTheme="minorHAnsi" w:eastAsia="Times New Roman" w:hAnsiTheme="minorHAnsi" w:cstheme="minorHAnsi"/>
                <w:b/>
                <w:sz w:val="20"/>
                <w:szCs w:val="20"/>
                <w:lang w:eastAsia="fr-FR"/>
              </w:rPr>
              <w:t>3</w:t>
            </w:r>
          </w:p>
        </w:tc>
        <w:tc>
          <w:tcPr>
            <w:tcW w:w="2295" w:type="dxa"/>
            <w:tcBorders>
              <w:top w:val="nil"/>
              <w:left w:val="nil"/>
              <w:bottom w:val="single" w:sz="4" w:space="0" w:color="auto"/>
              <w:right w:val="single" w:sz="4" w:space="0" w:color="auto"/>
            </w:tcBorders>
            <w:shd w:val="clear" w:color="auto" w:fill="C2D69B" w:themeFill="accent3" w:themeFillTint="99"/>
            <w:noWrap/>
            <w:vAlign w:val="bottom"/>
            <w:hideMark/>
          </w:tcPr>
          <w:p w:rsidR="003549B2" w:rsidRPr="00FB415F" w:rsidRDefault="003549B2" w:rsidP="00DC630E">
            <w:pPr>
              <w:spacing w:after="0" w:line="240" w:lineRule="auto"/>
              <w:jc w:val="center"/>
              <w:rPr>
                <w:rFonts w:asciiTheme="minorHAnsi" w:eastAsia="Times New Roman" w:hAnsiTheme="minorHAnsi" w:cstheme="minorHAnsi"/>
                <w:b/>
                <w:sz w:val="20"/>
                <w:szCs w:val="20"/>
                <w:lang w:eastAsia="fr-FR"/>
              </w:rPr>
            </w:pPr>
            <w:r w:rsidRPr="00FB415F">
              <w:rPr>
                <w:rFonts w:asciiTheme="minorHAnsi" w:eastAsia="Times New Roman" w:hAnsiTheme="minorHAnsi" w:cstheme="minorHAnsi"/>
                <w:b/>
                <w:sz w:val="20"/>
                <w:szCs w:val="20"/>
                <w:lang w:eastAsia="fr-FR"/>
              </w:rPr>
              <w:t>3,38</w:t>
            </w:r>
          </w:p>
        </w:tc>
      </w:tr>
    </w:tbl>
    <w:p w:rsidR="003549B2" w:rsidRDefault="003549B2" w:rsidP="003549B2"/>
    <w:p w:rsidR="00644A07" w:rsidRDefault="00644A07">
      <w:pPr>
        <w:spacing w:after="0" w:line="240" w:lineRule="auto"/>
      </w:pPr>
      <w:r>
        <w:br w:type="page"/>
      </w:r>
    </w:p>
    <w:p w:rsidR="00644A07" w:rsidRPr="009D7CC1" w:rsidRDefault="00644A07" w:rsidP="009D7CC1">
      <w:pPr>
        <w:pStyle w:val="Titre1"/>
        <w:pBdr>
          <w:bottom w:val="none" w:sz="0" w:space="0" w:color="auto"/>
        </w:pBdr>
        <w:spacing w:after="240"/>
        <w:rPr>
          <w:u w:val="single"/>
        </w:rPr>
      </w:pPr>
      <w:bookmarkStart w:id="731" w:name="_Toc492972288"/>
      <w:r w:rsidRPr="00644A07">
        <w:rPr>
          <w:u w:val="single"/>
        </w:rPr>
        <w:lastRenderedPageBreak/>
        <w:t>Annexe 9: Inventaire des projets en cours d'exécution par secteur (en millions USD)</w:t>
      </w:r>
      <w:bookmarkEnd w:id="731"/>
    </w:p>
    <w:tbl>
      <w:tblPr>
        <w:tblW w:w="13461" w:type="dxa"/>
        <w:tblInd w:w="55" w:type="dxa"/>
        <w:tblCellMar>
          <w:left w:w="70" w:type="dxa"/>
          <w:right w:w="70" w:type="dxa"/>
        </w:tblCellMar>
        <w:tblLook w:val="04A0" w:firstRow="1" w:lastRow="0" w:firstColumn="1" w:lastColumn="0" w:noHBand="0" w:noVBand="1"/>
      </w:tblPr>
      <w:tblGrid>
        <w:gridCol w:w="6663"/>
        <w:gridCol w:w="4277"/>
        <w:gridCol w:w="2521"/>
      </w:tblGrid>
      <w:tr w:rsidR="002E12F6" w:rsidRPr="00DC630E" w:rsidTr="001C1E36">
        <w:trPr>
          <w:trHeight w:val="318"/>
          <w:tblHeader/>
        </w:trPr>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3549B2" w:rsidRPr="00DC630E" w:rsidRDefault="003549B2" w:rsidP="00CB45CC">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Désignation</w:t>
            </w:r>
          </w:p>
        </w:tc>
        <w:tc>
          <w:tcPr>
            <w:tcW w:w="4277" w:type="dxa"/>
            <w:tcBorders>
              <w:top w:val="single" w:sz="4" w:space="0" w:color="000000"/>
              <w:left w:val="nil"/>
              <w:bottom w:val="nil"/>
              <w:right w:val="single" w:sz="4" w:space="0" w:color="000000"/>
            </w:tcBorders>
            <w:shd w:val="clear" w:color="auto" w:fill="C2D69B" w:themeFill="accent3" w:themeFillTint="99"/>
            <w:vAlign w:val="center"/>
            <w:hideMark/>
          </w:tcPr>
          <w:p w:rsidR="003549B2" w:rsidRPr="00DC630E" w:rsidRDefault="003549B2" w:rsidP="00CB45CC">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Secteurs du PNDES</w:t>
            </w:r>
          </w:p>
        </w:tc>
        <w:tc>
          <w:tcPr>
            <w:tcW w:w="2521" w:type="dxa"/>
            <w:tcBorders>
              <w:top w:val="single" w:sz="4" w:space="0" w:color="000000"/>
              <w:left w:val="nil"/>
              <w:bottom w:val="nil"/>
              <w:right w:val="single" w:sz="4" w:space="0" w:color="000000"/>
            </w:tcBorders>
            <w:shd w:val="clear" w:color="auto" w:fill="C2D69B" w:themeFill="accent3" w:themeFillTint="99"/>
            <w:vAlign w:val="center"/>
            <w:hideMark/>
          </w:tcPr>
          <w:p w:rsidR="003549B2" w:rsidRPr="00DC630E" w:rsidRDefault="003549B2" w:rsidP="00CB45CC">
            <w:pPr>
              <w:spacing w:after="0" w:line="240" w:lineRule="auto"/>
              <w:jc w:val="center"/>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Décaissement 2016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Agence Canadienne pour le Développement International </w:t>
            </w:r>
          </w:p>
        </w:tc>
        <w:tc>
          <w:tcPr>
            <w:tcW w:w="4277" w:type="dxa"/>
            <w:tcBorders>
              <w:top w:val="single" w:sz="4" w:space="0" w:color="000000"/>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single" w:sz="4" w:space="0" w:color="000000"/>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27,323</w:t>
            </w:r>
          </w:p>
        </w:tc>
      </w:tr>
      <w:tr w:rsidR="002E12F6" w:rsidRPr="00DC630E" w:rsidTr="001C1E36">
        <w:trPr>
          <w:trHeight w:val="17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Innovation et Mobilisation pour la Sécurité Alimentaire (IMSA)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Production agro-sylvo-pastorale</w:t>
            </w:r>
            <w:r w:rsidRPr="00DC630E">
              <w:rPr>
                <w:rFonts w:asciiTheme="minorHAnsi" w:eastAsia="Times New Roman" w:hAnsiTheme="minorHAnsi" w:cstheme="minorHAnsi"/>
                <w:sz w:val="20"/>
                <w:szCs w:val="20"/>
                <w:lang w:eastAsia="fr-FR"/>
              </w:rPr>
              <w:br/>
              <w:t xml:space="preserve"> - 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1,598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Preventing Torture in La Francophonie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0,24</w:t>
            </w:r>
          </w:p>
        </w:tc>
      </w:tr>
      <w:tr w:rsidR="002E12F6" w:rsidRPr="00DC630E" w:rsidTr="001C1E36">
        <w:trPr>
          <w:trHeight w:val="28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Partenariats pour l'innovation municipale et le développement économique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0,549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Autochtones à la découvertes du monde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Culture, sports et loisirs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0,038</w:t>
            </w:r>
          </w:p>
        </w:tc>
      </w:tr>
      <w:tr w:rsidR="002E12F6" w:rsidRPr="00DC630E" w:rsidTr="001C1E36">
        <w:trPr>
          <w:trHeight w:val="27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Améliorer la santé des mères et des enfants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0,102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SUCO - Coopération volontaire 2015 - 2020</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w:t>
            </w:r>
          </w:p>
        </w:tc>
      </w:tr>
      <w:tr w:rsidR="002E12F6" w:rsidRPr="00DC630E" w:rsidTr="001C1E36">
        <w:trPr>
          <w:trHeight w:val="29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Ingénieurs sans frontières-Envoi de volontaires 2015-2020</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0,314</w:t>
            </w:r>
          </w:p>
        </w:tc>
      </w:tr>
      <w:tr w:rsidR="002E12F6" w:rsidRPr="00DC630E" w:rsidTr="001C1E36">
        <w:trPr>
          <w:trHeight w:val="27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Accroitre les capacités pour une croissance économique et sociale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1,346</w:t>
            </w:r>
          </w:p>
        </w:tc>
      </w:tr>
      <w:tr w:rsidR="002E12F6" w:rsidRPr="00DC630E" w:rsidTr="001C1E36">
        <w:trPr>
          <w:trHeight w:val="26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Uniterra-CECI 2015-2020 et EUMC-CECI(Uniterra)envoi de volontaires 2015-2020</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0,746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Compétences pour le changement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Non affecté/ non spécifié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0,142</w:t>
            </w:r>
          </w:p>
        </w:tc>
      </w:tr>
      <w:tr w:rsidR="002E12F6" w:rsidRPr="00DC630E" w:rsidTr="001C1E36">
        <w:trPr>
          <w:trHeight w:val="21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Service d'assistance canadienne aux organismes (SACO)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0,425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UPADI-Envoi de volontaires 2015-2020</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Les enfants nous montrent le chemin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0,186</w:t>
            </w:r>
          </w:p>
        </w:tc>
      </w:tr>
      <w:tr w:rsidR="002E12F6" w:rsidRPr="00DC630E" w:rsidTr="001C1E36">
        <w:trPr>
          <w:trHeight w:val="28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d'amélioration de la santé des mères et des enfants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0,482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World Neighbours Canada - Initiative sur la santé des mères et des enfants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Développer les capacités des jeunes pour faire croitre l'économie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0,898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Jeunes stagiaires solidaires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w:t>
            </w:r>
          </w:p>
        </w:tc>
      </w:tr>
      <w:tr w:rsidR="002E12F6" w:rsidRPr="00DC630E" w:rsidTr="00CB45CC">
        <w:trPr>
          <w:trHeight w:val="56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Technologie solaire pour l'Union économique et monétaire ouest-africaine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0,663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Assistance alimentaire d'urgence en Afrique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0,498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Meilleure nutrition pour une vie meilleure (femmes, nouveaux nés, enfants)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1,668</w:t>
            </w:r>
          </w:p>
        </w:tc>
      </w:tr>
      <w:tr w:rsidR="002E12F6" w:rsidRPr="00DC630E" w:rsidTr="00CB45CC">
        <w:trPr>
          <w:trHeight w:val="56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et développement économique durable dans les régions extractives de l'Afrique de l'Ouest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Surveillance renforcée de l'industrie extractive en Afrique francophone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0,64</w:t>
            </w:r>
          </w:p>
        </w:tc>
      </w:tr>
      <w:tr w:rsidR="002E12F6" w:rsidRPr="00DC630E" w:rsidTr="00CB45CC">
        <w:trPr>
          <w:trHeight w:val="40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Améliorer le marché des haricots en Afrique (Panafricain)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Planification appui au PDSEB</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Eau et croissance économique dans la région sahélienne-Burkina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1,278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Renforcement des capacités des policiers, gendarmes, magistrats et travailleurs sociaux.</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1,357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Prévention de la propagation de la maladie à virus Ebola (MVE)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0,239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Fonds canadien d'initiatives locales (FCIL)- OUAGA -</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D000060001 Projet d'appui aux étuveuses de riz</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démocratie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0,613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l'éducation de base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10,003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Unité d'appui au programme - Bénin/Burkina Faso 2011-2015</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0,634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Agence Danoise pour le Développement International</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28,419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sectoriel eau et assainissement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6,852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Croissance Économique dans le Secteur Agricole - PCESA 2013-2018</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14,004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LAG : appui petits projets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0,345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à la Bonne Gouvernance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7,217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Agence Française de Développement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149,552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coopération SCAC sur crédits d'intervention (P185 et P209)</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5,141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aux instituts de recherche au Burkina Faso(IRD, CIRAD)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5,141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Aide Alimentaire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1,285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Plan Décennal de Développement de l'Education de Base (PDDEB) Phase 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Programme de sécurité alimentaire à l'Est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0,953</w:t>
            </w:r>
          </w:p>
        </w:tc>
      </w:tr>
      <w:tr w:rsidR="002E12F6" w:rsidRPr="00DC630E" w:rsidTr="00CB45CC">
        <w:trPr>
          <w:trHeight w:val="35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Fonds d'Etudes et de Renforcement de capacité FERC III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0,204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CZZ1791 01 F Renforcement de capacité de l'Autorité du bassin de la volta (ABV)</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Partenariat mondial pour l'éducation (PME)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30,212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à la couverture du risque maladie Mutuelles santé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UICN-PACO / gestion des terroirs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Sécurisation foncière à l'Ouest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2,124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Renforcement de capacité de la DDRE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0,101</w:t>
            </w:r>
          </w:p>
        </w:tc>
      </w:tr>
      <w:tr w:rsidR="002E12F6" w:rsidRPr="00DC630E" w:rsidTr="00CB45CC">
        <w:trPr>
          <w:trHeight w:val="32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Mise en sécurité du barrage de ZIGA (Nouveau)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19,061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SONABEL amélioration de l'offre et de la demande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19,061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développement durable de Ouagadougou (PDDO)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9,254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aux politiques de santé et de population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4,233</w:t>
            </w:r>
          </w:p>
        </w:tc>
      </w:tr>
      <w:tr w:rsidR="002E12F6" w:rsidRPr="00DC630E" w:rsidTr="00CB45CC">
        <w:trPr>
          <w:trHeight w:val="58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budgétaire du programme économique régional PER UEMOA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25,706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Budgétaire Général (ABG) 2012-2014</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8,354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ACEP Programme d'assistance technique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d'amélioration de la mobilité à Ouagadougou - PAMO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0,106</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à la politique sectorielle d'enseignement et de formation techniques et professionnels au Burkina Faso (PAPS-EFTP)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1,272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raccordement au réseau électrique principale des centres secondaires du Burkina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16,401</w:t>
            </w:r>
          </w:p>
        </w:tc>
      </w:tr>
      <w:tr w:rsidR="002E12F6" w:rsidRPr="00DC630E" w:rsidTr="00CB45CC">
        <w:trPr>
          <w:trHeight w:val="37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Appuis aux ONG françaises intervenant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Agence suédoise de Développement International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7,212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au Secteur Forestier du Burkina (PASF BKF/019)</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Gouvernance économique</w:t>
            </w:r>
            <w:r w:rsidRPr="00DC630E">
              <w:rPr>
                <w:rFonts w:asciiTheme="minorHAnsi" w:eastAsia="Times New Roman" w:hAnsiTheme="minorHAnsi" w:cstheme="minorHAnsi"/>
                <w:sz w:val="20"/>
                <w:szCs w:val="20"/>
                <w:lang w:eastAsia="fr-FR"/>
              </w:rPr>
              <w:br/>
              <w:t xml:space="preserve"> - 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2,073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Appui au plan d'action 2013-2015 de mise en œuvre de la "politique nationale des projets et programmes"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Plan d'Action pour la Gestion Intégrée des Ressources en Eau (PAGIRE)pour la période 2010-2015</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Association Internationale de Développement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296,785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Quatrième Crédit d'Appui à la Croissance et à la Compétitivité (ABG)</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152,685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Pôle de Croissance de Bagré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santé de la reproduction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BF-Regional training Ctr 2IE SIL (FY08)</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aux Filières Agro-Sylvo-Pastorales (PAFASP)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21,6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Sector Support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7,3</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d'Investissement Forestier (PIF)</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Production agro-sylvo-pastorale</w:t>
            </w:r>
            <w:r w:rsidRPr="00DC630E">
              <w:rPr>
                <w:rFonts w:asciiTheme="minorHAnsi" w:eastAsia="Times New Roman" w:hAnsiTheme="minorHAnsi" w:cstheme="minorHAnsi"/>
                <w:sz w:val="20"/>
                <w:szCs w:val="20"/>
                <w:lang w:eastAsia="fr-FR"/>
              </w:rPr>
              <w:br/>
              <w:t xml:space="preserve"> - 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"Emploi des jeunes et développement des compétences"(PEJDC)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Community based rural Developpement 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16,8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 développement du secteur minier</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filets sociaux</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d'amélioration de la productivité Agricole et la Sécurité Alimentaire (PAPSA)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8,2</w:t>
            </w:r>
          </w:p>
        </w:tc>
      </w:tr>
      <w:tr w:rsidR="002E12F6" w:rsidRPr="00DC630E" w:rsidTr="00CB45CC">
        <w:trPr>
          <w:trHeight w:val="32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 secteur de l'électricité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w:t>
            </w:r>
          </w:p>
        </w:tc>
      </w:tr>
      <w:tr w:rsidR="002E12F6" w:rsidRPr="00DC630E" w:rsidTr="00CB45CC">
        <w:trPr>
          <w:trHeight w:val="61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d'infrastructures aéroport de Donsin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aux Collectivités locales (PACT)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Sectoriel eau en milieu urbain (Urban Secteur Water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29,3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Modernisation de l'Administration Publique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lastRenderedPageBreak/>
              <w:t>Banque Arabe pour le Développement Economique en Afrique</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3,135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développement intégré de la vallée de Samendéni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1,462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AEP Ouagadougou-Ziga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0,438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du CHR de Ziniaré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1,234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Banque Islamique de Développement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développement rural intégré plateau central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d'électrification solaire rurale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Ouagadougou suburban areas development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de cité universitaire cplt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à l'Enseignement Primaire Bilingue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w:t>
            </w:r>
          </w:p>
        </w:tc>
      </w:tr>
      <w:tr w:rsidR="002E12F6" w:rsidRPr="00DC630E" w:rsidTr="00CB45CC">
        <w:trPr>
          <w:trHeight w:val="59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route Dédougou-Tougan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BUILDING RESILIENCE TO RECURRING FOOD INSECURITY PROGRAM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National de Renforcement des Services Santé de Base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développement de l'éducation de base (phase 4)</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Développement de l'Elevage Laitier dans la zone Périurbaine dansla ville de Ouagadougou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développement intégré de la vallée de Samendéni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Banque Ouest-Africaine de Développement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30,537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développement intégré de la vallée de Samendéni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0,264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d'Investissement Communautaire en Fertilité Agricole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0,217</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Valorisation de l'eau dans le nord par l'aménagement de périmètres irrigués autour des barrages d'Andekanda, Pensa et liptougou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2,013</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Adaptation aux changement climatiques par l’aménagement des bas fonds dans les provinces du Ziro, du Sanguié, du Boulkieèmdé et des Balés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0,293</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réhabilitation et d'extension des installations de traitement d'eau potable de Paspanga et de sa zone d'influence à Ouagadougou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2,81</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d'aménagement de la section urbaine de la RN04 allant du croisement RN04/RN03 à l'échangeur de l'est de Ouagadougou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5,341</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d'implantation d'une unité de production de farine et de son blé à bobo-Dioulasso par la sociétés Moulins du Sahel Burkina Faso (MDS SA)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2,952</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Importation de matières premières par la société Ciments de l'Afrique Burkina Faso pour la production de ciment à commercialiser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2,041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Free limit-LCB 5ème ligne refinancement en faveur de Fidélis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4,046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ACR 5ème ligne refinancement en faveur de Fidélis Finance BF</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2,697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Etudes prospectives barrages, périmètres irrigués à Ganzourgou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Renforcement de la capacité de production de la centrale de Bobo 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renforcement du réseau assainissement ouaga et reconstruction infrastructures routières.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DE LA ROUTE YEGUERESSO - DIEBOUGOU et bretelle de HAMELE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renforcement des capacités de la centrale de Komsilga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0,782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de la route Ouahigouya Thiou frontière du Mali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3,233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D'AMENAGEMENT HYDRO AGRICOLE DE SOUM / BOULKIEMDE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0,342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Aménégement Hydrau-Agricole dans la Région du Liptako NGourma Phase III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3,346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Bornefonden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1,817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 et Nutrition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0,184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Wash in school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Grandir Sans Violence (GSV)</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à l'entreprenariat des jeunes (PADEJ)</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Projet Improvement of girls Education (PIGE)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Bissongo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sécurité alimentaire et activités génératrices de revenus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promotion des droits des enfants et protection des enfants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Education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0,375</w:t>
            </w:r>
          </w:p>
        </w:tc>
      </w:tr>
      <w:tr w:rsidR="002E12F6" w:rsidRPr="00DC630E" w:rsidTr="00CB45CC">
        <w:trPr>
          <w:trHeight w:val="31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DIPE (Développement Intégré de la Petite enfance)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Projet Community Involvement for the Quality of Education (CIQUE)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0,296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Catholic Relief Services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12,114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FOOD FOR PROGRESS-MONETIZATION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-1,547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Community Development Fund (CDF)</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Families Achieving Sustainable Outcomes (Extention)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5,109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REGIS AG</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Fonctionnement CRS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0,609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Alisteqlal in-hanan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0,505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Burkina Faso survey fees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Recolte L. Brands contribution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0,119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Helping hands phase IV</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Kom Yilma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1,264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GAVI CSO HSFP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MCF Expanding Financial Inclu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0,513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FOOD FOR PROGRESS-CASH AWARD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TOMS 1 CASH - TOMS Choes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0,345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BF-Malian Refugee Response 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0,604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Burkina Faso SDF FY 00</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Helping hands phase III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Burkina Faso helping hands pro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0,513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General Operating fund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0,369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Compassion Internationale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1,231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Fonds d'équipement des CDE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0,314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alimentation en énergie solaire du forage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forage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0,101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Construction de toilette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Distribution de filtre à eau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Sensibilisation des parents et enfants sur le cas d'abus faits aux enfants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d'une bibliothèque,d'une salle d'informatique et mise en place d'un ciber centre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Frais d'évacuation sanitaire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Organisation d'un camps d'adolescent au cluster</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Sensibilisation et distribution de moustiquaires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0,091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et commercialisation de soumbala et de patte d'arrachide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Installation de moulin à grain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et vente de savon IGP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Embouche ovine IGP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0,012</w:t>
            </w:r>
          </w:p>
        </w:tc>
      </w:tr>
      <w:tr w:rsidR="002E12F6" w:rsidRPr="00DC630E" w:rsidTr="00CB45CC">
        <w:trPr>
          <w:trHeight w:val="29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d'énergie solaire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Construction de salles de classes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Vaccination contre la méningite HH</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0,119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en matière de VIH/HIV 105</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Complément frais de scolarité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0,274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Coopération Chinoise-Taïwanaise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26,861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Renforcement des capacités logistiques du 25 ème RPC et des forces Armées Nationales(FAN)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0,514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santé/nutrition, jardinage et lutte contre le trachome en milieu scolaire (Chine Taïwan)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Production agro-sylvo-pastorale</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CPECI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0,546</w:t>
            </w:r>
          </w:p>
        </w:tc>
      </w:tr>
      <w:tr w:rsidR="002E12F6" w:rsidRPr="00DC630E" w:rsidTr="005F607F">
        <w:trPr>
          <w:trHeight w:val="8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AEI / RFN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1,156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à l'éducation et à l'alphabétisation par l'éclairage PV-LFP-Led (une lampe pour l'Afrique)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développement durable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0,642</w:t>
            </w:r>
          </w:p>
        </w:tc>
      </w:tr>
      <w:tr w:rsidR="002E12F6" w:rsidRPr="00DC630E" w:rsidTr="005F607F">
        <w:trPr>
          <w:trHeight w:val="23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à l'éducation et à l'alphabétisation (PAEBA)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0,642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promotion de l'enseignement de la langue chinoise (PPLC)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0,385</w:t>
            </w:r>
          </w:p>
        </w:tc>
      </w:tr>
      <w:tr w:rsidR="002E12F6" w:rsidRPr="00DC630E" w:rsidTr="005F607F">
        <w:trPr>
          <w:trHeight w:val="34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Renforcement de Capacités de suivi et d'évaluation de l'Ambassade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0,321</w:t>
            </w:r>
          </w:p>
        </w:tc>
      </w:tr>
      <w:tr w:rsidR="002E12F6" w:rsidRPr="00DC630E" w:rsidTr="005F607F">
        <w:trPr>
          <w:trHeight w:val="55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Renforcement des capacités du suivi-évaluation du secrétariat permanent des engagements nationaux (SPEN)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0,514</w:t>
            </w:r>
          </w:p>
        </w:tc>
      </w:tr>
      <w:tr w:rsidR="002E12F6" w:rsidRPr="00DC630E" w:rsidTr="005F607F">
        <w:trPr>
          <w:trHeight w:val="43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consolidation des acquis et à la valorisation de la production dans le cadre des Engagements nationaux (CA/EN)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renforcement de la sécurité informatique et de la communication (PRSIC)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0,257</w:t>
            </w:r>
          </w:p>
        </w:tc>
      </w:tr>
      <w:tr w:rsidR="002E12F6" w:rsidRPr="00DC630E" w:rsidTr="005F607F">
        <w:trPr>
          <w:trHeight w:val="2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EPS/CSP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1,285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Projets à l'initiative de l'ambassade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1,542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Bourses d'études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0,202</w:t>
            </w:r>
          </w:p>
        </w:tc>
      </w:tr>
      <w:tr w:rsidR="002E12F6" w:rsidRPr="00DC630E" w:rsidTr="005F607F">
        <w:trPr>
          <w:trHeight w:val="31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de centres de santé et de promotion sociale (CSPS) et centres médicaux</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1,285</w:t>
            </w:r>
          </w:p>
        </w:tc>
      </w:tr>
      <w:tr w:rsidR="002E12F6" w:rsidRPr="00DC630E" w:rsidTr="005F607F">
        <w:trPr>
          <w:trHeight w:val="23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Assistance technique à la gestion de l'hôpital national blaise compaoré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0,771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Arrangement particulier relatif à la subvention médicale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0,642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Mission Médicale Chinoise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1,028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PRP III/MA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5,141</w:t>
            </w:r>
          </w:p>
        </w:tc>
      </w:tr>
      <w:tr w:rsidR="002E12F6" w:rsidRPr="00DC630E" w:rsidTr="005F607F">
        <w:trPr>
          <w:trHeight w:val="32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Renforcement de la Formation Professionnelle(PRFP)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4,498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Assistance Technique au MAH pour la gestion des réseaux d'irrigation et de l'exploitation rizicole à Bagré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0,308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Coopération Française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2,359</w:t>
            </w:r>
          </w:p>
        </w:tc>
      </w:tr>
      <w:tr w:rsidR="002E12F6" w:rsidRPr="00DC630E" w:rsidTr="005F607F">
        <w:trPr>
          <w:trHeight w:val="35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mobilité étudiante, renforcement des capacités des cadres de l'administration et des OSC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0,817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FONDS DE SOLIDARITE PRIORITAIRE (FSP)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1,542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lastRenderedPageBreak/>
              <w:t xml:space="preserve">Coopération Italienne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6,643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dragage, assainissement et développement du bassin hydrographique de Dori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Production agro-sylvo-pastorale</w:t>
            </w:r>
            <w:r w:rsidRPr="00DC630E">
              <w:rPr>
                <w:rFonts w:asciiTheme="minorHAnsi" w:eastAsia="Times New Roman" w:hAnsiTheme="minorHAnsi" w:cstheme="minorHAnsi"/>
                <w:sz w:val="20"/>
                <w:szCs w:val="20"/>
                <w:lang w:eastAsia="fr-FR"/>
              </w:rPr>
              <w:br/>
              <w:t xml:space="preserve"> - 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1,247</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Amélioration de l'apiculture pour la sécurité alimentaire dans les provinces de Gna Gna, Komondjari, Tapoa, Kénédougou et Léraba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1,104</w:t>
            </w:r>
          </w:p>
        </w:tc>
      </w:tr>
      <w:tr w:rsidR="002E12F6" w:rsidRPr="00DC630E" w:rsidTr="005F607F">
        <w:trPr>
          <w:trHeight w:val="53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Renforcement de la justice des mineurs au Burkina Faso. Projet en appui au Tribunal des mineurs de Bobo Dioulasso.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0,203</w:t>
            </w:r>
          </w:p>
        </w:tc>
      </w:tr>
      <w:tr w:rsidR="002E12F6" w:rsidRPr="00DC630E" w:rsidTr="005F607F">
        <w:trPr>
          <w:trHeight w:val="40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Sur les chemins de la santé : projet de lutte contre la malnutrition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0,719</w:t>
            </w:r>
          </w:p>
        </w:tc>
      </w:tr>
      <w:tr w:rsidR="002E12F6" w:rsidRPr="00DC630E" w:rsidTr="005F607F">
        <w:trPr>
          <w:trHeight w:val="32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 et nutrition de la mère et de l'enfant dans la région du Centre Ouest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0,413</w:t>
            </w:r>
          </w:p>
        </w:tc>
      </w:tr>
      <w:tr w:rsidR="002E12F6" w:rsidRPr="00DC630E" w:rsidTr="005F607F">
        <w:trPr>
          <w:trHeight w:val="24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Semer l'Avenir. La connaissance au profit de la sécurité alimentaire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0,539</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Amélioration de la sécurité alimentaire et empowerment de la femme au Boulgou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0,131</w:t>
            </w:r>
          </w:p>
        </w:tc>
      </w:tr>
      <w:tr w:rsidR="002E12F6" w:rsidRPr="00DC630E" w:rsidTr="005F607F">
        <w:trPr>
          <w:trHeight w:val="30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BanFGM : pour l'élimination des Mutilations Génitales Fémininines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0,747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Aide-moi à exister. Soutenir la modernisation de l'état civil au Burkina Faso à travers le programme Bravo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L'éducation et l'hygiène-stratégie pour une croissance adéquate des enfants en milieu rural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Femmes et développement rural inclusif comme moyen pour parvenir à la sécurité alimentaire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0,679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Coopération Japonaise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15,031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Aide Alimentaire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3,119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Autre Programme de stage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1,087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Autre Programme de Volontaires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0,074</w:t>
            </w:r>
          </w:p>
        </w:tc>
      </w:tr>
      <w:tr w:rsidR="002E12F6" w:rsidRPr="00DC630E" w:rsidTr="005F607F">
        <w:trPr>
          <w:trHeight w:val="49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Conseillère à la coordination des projets TICAD pour le développement des Infrastructures du Transport et de l'Energie à l'UEMOA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Conseiller Technique auprès du Ministère de l'Education Nationale et de l'Alphabétisation (MENA)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Conseiller Technique auprès du Ministère de l'Agriculture et de la Sécurité Alimentaire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0,104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du centre de formation pour les filles et femmes non scolarisées et/ou déscolarisées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Projet d'aménagement de l'équipement médical du centre médical Béthanie à Fada N'gourma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d’extension du centre médical Sakina dans le quartier Nagrin à Ouagadougou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w:t>
            </w:r>
          </w:p>
        </w:tc>
      </w:tr>
      <w:tr w:rsidR="002E12F6" w:rsidRPr="00DC630E" w:rsidTr="005F607F">
        <w:trPr>
          <w:trHeight w:val="47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Le Projet de réalisation de forages dans 4 villages de la commune de Boussé, Province du Kourwéogo, Région du Plateau-Central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w:t>
            </w:r>
          </w:p>
        </w:tc>
      </w:tr>
      <w:tr w:rsidR="002E12F6" w:rsidRPr="00DC630E" w:rsidTr="005F607F">
        <w:trPr>
          <w:trHeight w:val="4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d'interconnexion des systèmes douaniers entre Togo et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1,82</w:t>
            </w:r>
          </w:p>
        </w:tc>
      </w:tr>
      <w:tr w:rsidR="002E12F6" w:rsidRPr="00DC630E" w:rsidTr="005F607F">
        <w:trPr>
          <w:trHeight w:val="69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renforcement de la gestion des infrastructures d'approvisionnement en eau potable et de promotion de l'hygiène et l'assainissement en milieu rural Phase II (PROGEA 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1,512</w:t>
            </w:r>
          </w:p>
        </w:tc>
      </w:tr>
      <w:tr w:rsidR="002E12F6" w:rsidRPr="00DC630E" w:rsidTr="005F607F">
        <w:trPr>
          <w:trHeight w:val="52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Plan Directeur de l'Aménagement des Réseaux Logistiques pour l'Anneau de Croissance en Afrique de l'Ouest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1,965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à l'amélioration de la Gestion des établissements scolaires à travers le COGES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0,753</w:t>
            </w:r>
          </w:p>
        </w:tc>
      </w:tr>
      <w:tr w:rsidR="002E12F6" w:rsidRPr="00DC630E" w:rsidTr="005F607F">
        <w:trPr>
          <w:trHeight w:val="60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renforcement des stratégies et des pratiques de l'enseignement dans les centres de formation des Elèves-Maîtres (PROSPECT)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0,472</w:t>
            </w:r>
          </w:p>
        </w:tc>
      </w:tr>
      <w:tr w:rsidR="002E12F6" w:rsidRPr="00DC630E" w:rsidTr="005F607F">
        <w:trPr>
          <w:trHeight w:val="83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d'un centre de formation et de promotion agro-sylvo-pastorale dans la commune de Dapelogo, province de l'Oubritenga,région du Plateau-centrale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0,078</w:t>
            </w:r>
          </w:p>
        </w:tc>
      </w:tr>
      <w:tr w:rsidR="002E12F6" w:rsidRPr="00DC630E" w:rsidTr="005F607F">
        <w:trPr>
          <w:trHeight w:val="55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Amélioration de la productivité alimentaire et des revenus des ménages à travers la création et la promotion des sites de référence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0,178</w:t>
            </w:r>
          </w:p>
        </w:tc>
      </w:tr>
      <w:tr w:rsidR="002E12F6" w:rsidRPr="00DC630E" w:rsidTr="005F607F">
        <w:trPr>
          <w:trHeight w:val="55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pour la mise en place d'un modèle de promotion des cultures par l'utilisation du phosphate naturel du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d'étude pour l'élaboration du programme national de développement de bas-fonds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0,856</w:t>
            </w:r>
          </w:p>
        </w:tc>
      </w:tr>
      <w:tr w:rsidR="002E12F6" w:rsidRPr="00DC630E" w:rsidTr="005F607F">
        <w:trPr>
          <w:trHeight w:val="32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renforcement de la production du sésame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2,513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Coopération autrichienne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5,358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Burkina Faso inclusif: inclusion des personnes handicapés pour le développement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0,284</w:t>
            </w:r>
          </w:p>
        </w:tc>
      </w:tr>
      <w:tr w:rsidR="002E12F6" w:rsidRPr="00DC630E" w:rsidTr="005F607F">
        <w:trPr>
          <w:trHeight w:val="51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20807-00/2016 Programme d'appui à la politique sectorielle/Enseignement et Formation Techniques et Professionnels (PAPS/EFTP)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0,639</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2465-00/2013- Projet Éducation et Formation pour un Développement Endogène (EFORD III)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0,751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2682-00/2016</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1,563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2675-01/2013</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0,139</w:t>
            </w:r>
          </w:p>
        </w:tc>
      </w:tr>
      <w:tr w:rsidR="002E12F6" w:rsidRPr="00DC630E" w:rsidTr="005F607F">
        <w:trPr>
          <w:trHeight w:val="31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promotion de l'irrigation goutte à goutte (PPIG)</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5F607F">
        <w:trPr>
          <w:trHeight w:val="29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strengthening the evidence base on social norms and gender equality in Burkina Faso (SIGI-OCDE)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0,426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Développement Régional dans la Boucle du Mouhoun, phase (III) (2013-2016)</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0,852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Amélioration de la sécurité alimentaire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autrichien d'éducation supérieure et de recherche pour le développement (APPEAR)</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0,216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strengthening the honey and beeswax value chain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Next level organic dried mango production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0,062</w:t>
            </w:r>
          </w:p>
        </w:tc>
      </w:tr>
      <w:tr w:rsidR="002E12F6" w:rsidRPr="00DC630E" w:rsidTr="005F607F">
        <w:trPr>
          <w:trHeight w:val="33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sécurité alimentaire et génération de revenus dans les régions péri-urbaines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0,045</w:t>
            </w:r>
          </w:p>
        </w:tc>
      </w:tr>
      <w:tr w:rsidR="002E12F6" w:rsidRPr="00DC630E" w:rsidTr="001C1E36">
        <w:trPr>
          <w:trHeight w:val="17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solidarité et mobilisation des communautés pour améliorer la santé, la nutrition et les chances de survie (SOLI-SAN)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Coopération suédoise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17,223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au Secteur Forestier du Burkina (PASF BKF/019)</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Gouvernance économique</w:t>
            </w:r>
            <w:r w:rsidRPr="00DC630E">
              <w:rPr>
                <w:rFonts w:asciiTheme="minorHAnsi" w:eastAsia="Times New Roman" w:hAnsiTheme="minorHAnsi" w:cstheme="minorHAnsi"/>
                <w:sz w:val="20"/>
                <w:szCs w:val="20"/>
                <w:lang w:eastAsia="fr-FR"/>
              </w:rPr>
              <w:br/>
              <w:t xml:space="preserve"> - 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2,073</w:t>
            </w:r>
          </w:p>
        </w:tc>
      </w:tr>
      <w:tr w:rsidR="002E12F6" w:rsidRPr="00DC630E" w:rsidTr="005F607F">
        <w:trPr>
          <w:trHeight w:val="5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Plan d'action 2013-2015 de mise en œuvre de la Politique Nationale des Droits Humains et de la Promotion Civique (MDHPC)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0,738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"Plan d'action pour la Gestion Intégrée des Ressources en Eau-PAGIRE pour la période 2010-2015</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Plan d'Action pour la Gestion Intégrée des Ressources en Eau (PAGIRE) (Nouveau)2016-2030</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11,476</w:t>
            </w:r>
          </w:p>
        </w:tc>
      </w:tr>
      <w:tr w:rsidR="002E12F6" w:rsidRPr="00DC630E" w:rsidTr="005F607F">
        <w:trPr>
          <w:trHeight w:val="51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Statistique à travers le projet &lt;&lt;Enquete Multisectorielle Continue au Burkina Faso(EMC-BF)/ 51200020</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0,295</w:t>
            </w:r>
          </w:p>
        </w:tc>
      </w:tr>
      <w:tr w:rsidR="002E12F6" w:rsidRPr="00DC630E" w:rsidTr="005F607F">
        <w:trPr>
          <w:trHeight w:val="65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"projet de Réduction de la vulnérabilité des petits barrages aux changements climatiques en vue d'optimiser leur contribution à la sécurité alimentaire pour la période 2010-2012"</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0,284</w:t>
            </w:r>
          </w:p>
        </w:tc>
      </w:tr>
      <w:tr w:rsidR="002E12F6" w:rsidRPr="00DC630E" w:rsidTr="005F607F">
        <w:trPr>
          <w:trHeight w:val="51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Projet de réalisation du 5eme Recensement de l'Habitat et de la Population au Burkina Faso 2016 (RGPH)2016</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2,215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lastRenderedPageBreak/>
              <w:t>Corée du Sud</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institutionnel de la Corée du Sud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Direction du Développement et de la Coopération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27,733</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Micro actions/Crédit global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Education et formation</w:t>
            </w:r>
            <w:r w:rsidRPr="00DC630E">
              <w:rPr>
                <w:rFonts w:asciiTheme="minorHAnsi" w:eastAsia="Times New Roman" w:hAnsiTheme="minorHAnsi" w:cstheme="minorHAnsi"/>
                <w:sz w:val="20"/>
                <w:szCs w:val="20"/>
                <w:lang w:eastAsia="fr-FR"/>
              </w:rPr>
              <w:br/>
              <w:t xml:space="preserve"> - Gouvernance administrative et locale</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0,197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ÉDUCATION ET FORMATION PROFESSIONNELLE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1,747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Aide budgétaire général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budgétaire général Autres SECO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8,788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Gestion de Bureau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1,317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Culture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0,665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et Démocratie (décentralisation)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9,587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Genre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0,526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société civile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Développement économique local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4,355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Valorisation des compétences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0,546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FAD/BAD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14,502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Projets de routes de désenclavement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8,907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appui filière coton-B-FASO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ETUDE DE REHABILITATION BS NARE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0,048</w:t>
            </w:r>
          </w:p>
        </w:tc>
      </w:tr>
      <w:tr w:rsidR="002E12F6" w:rsidRPr="00DC630E" w:rsidTr="005F607F">
        <w:trPr>
          <w:trHeight w:val="4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BURKINA FASO RENFORCEMENT RESILIENCE INSECURITE ALIMENTAIRE ET NUTRITIONNELLE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0,951</w:t>
            </w:r>
          </w:p>
        </w:tc>
      </w:tr>
      <w:tr w:rsidR="002E12F6" w:rsidRPr="00DC630E" w:rsidTr="005F607F">
        <w:trPr>
          <w:trHeight w:val="24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APPUI AU POLE DE CROISSANCE DE BAGRE (PAPCB)</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4,587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Fonds Africain de Développement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37,381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PREPARATION PPG PGFC/REDD+ FIP BURKINA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0,128</w:t>
            </w:r>
          </w:p>
        </w:tc>
      </w:tr>
      <w:tr w:rsidR="002E12F6" w:rsidRPr="00DC630E" w:rsidTr="005F607F">
        <w:trPr>
          <w:trHeight w:val="65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D'APPROVISIONNEMENT EN EAU POTABLE ET D'ASSAINISSEMENT EN MILIEU RURAL DANS LES RÉGIONS DES CASCADES, DU CENTRE-OUEST, DU CENTRE-SUD ET DU SAHEL (4R)</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3,803</w:t>
            </w:r>
          </w:p>
        </w:tc>
      </w:tr>
      <w:tr w:rsidR="002E12F6" w:rsidRPr="00DC630E" w:rsidTr="005F607F">
        <w:trPr>
          <w:trHeight w:val="18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Facilitation Corridor (PFC)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9,972</w:t>
            </w:r>
          </w:p>
        </w:tc>
      </w:tr>
      <w:tr w:rsidR="002E12F6" w:rsidRPr="00DC630E" w:rsidTr="005F607F">
        <w:trPr>
          <w:trHeight w:val="59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RENFORCEMENT DES INFRASTRUCTURES ELECTRIQUES ET D'ELECTRIFICATION RURALE (PRIELER)</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1,363</w:t>
            </w:r>
          </w:p>
        </w:tc>
      </w:tr>
      <w:tr w:rsidR="002E12F6" w:rsidRPr="00DC630E" w:rsidTr="005F607F">
        <w:trPr>
          <w:trHeight w:val="8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Assainissement des quartiers périphériques de Ouagadougou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20,953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Gestion Participative Forêts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1,159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Fonds Européen de Développement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128,484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Technical cooperation facility II-PIR 10ème FED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1,155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Support to regional economic integration and trade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1,285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aux commissions de la CEDEAO et de l'UEMOA pour la facilitation des transports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1,814</w:t>
            </w:r>
          </w:p>
        </w:tc>
      </w:tr>
      <w:tr w:rsidR="002E12F6" w:rsidRPr="00DC630E" w:rsidTr="005F607F">
        <w:trPr>
          <w:trHeight w:val="24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Protection des mineurs migrants non accompagnés en Afrique de l'Ouest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0,203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Assistance technique liée aux projets (UE)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5,115</w:t>
            </w:r>
          </w:p>
        </w:tc>
      </w:tr>
      <w:tr w:rsidR="002E12F6" w:rsidRPr="00DC630E" w:rsidTr="005F607F">
        <w:trPr>
          <w:trHeight w:val="30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stockage de sécurité alimentaire en Afrique de l'Ouest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0,199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aux parcs de l'Entente (PAPE)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3,909</w:t>
            </w:r>
          </w:p>
        </w:tc>
      </w:tr>
      <w:tr w:rsidR="002E12F6" w:rsidRPr="00DC630E" w:rsidTr="005F607F">
        <w:trPr>
          <w:trHeight w:val="42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régional de gestion durable des terres d'adaptation aux changements climatiques au Sahel et en Afrique de l'Ouest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1,153</w:t>
            </w:r>
          </w:p>
        </w:tc>
      </w:tr>
      <w:tr w:rsidR="002E12F6" w:rsidRPr="00DC630E" w:rsidTr="005F607F">
        <w:trPr>
          <w:trHeight w:val="22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Lignes budgétaires thématiques: Acteurs non Étatiques et Autorités locales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0,289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Lignes budgétaires thématiques: droits humains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0,814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Lignes budgétaires thématiques: Sécurité alimentaire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3,597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Lignes budgétaires thématiques: Environnement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0,038</w:t>
            </w:r>
          </w:p>
        </w:tc>
      </w:tr>
      <w:tr w:rsidR="002E12F6" w:rsidRPr="00DC630E" w:rsidTr="005F607F">
        <w:trPr>
          <w:trHeight w:val="73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Global allocation to support communication and visibility activities on the impact and results of EU development cooperation in Africa, Caribbean and Pacific (ACP) countries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Study facility</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0,038</w:t>
            </w:r>
          </w:p>
        </w:tc>
      </w:tr>
      <w:tr w:rsidR="002E12F6" w:rsidRPr="00DC630E" w:rsidTr="005F607F">
        <w:trPr>
          <w:trHeight w:val="15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Intra ACP EC energy facility</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0,266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Mise en place de mesures de sécurité du patients dans les centres hospitaliers régionaux du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1C1E36">
        <w:trPr>
          <w:trHeight w:val="28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10th EDF Water Facility Sanitation projects (CfP) and Pooling Mechanism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0,723</w:t>
            </w:r>
          </w:p>
        </w:tc>
      </w:tr>
      <w:tr w:rsidR="002E12F6" w:rsidRPr="00DC630E" w:rsidTr="001C1E36">
        <w:trPr>
          <w:trHeight w:val="5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Partnerships for Capacity Development in the ACP Water and Sanitation Sector Project Grants under 10th EDF ACP-EU Water Facility</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Water Facility 10ème FED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1,221</w:t>
            </w:r>
          </w:p>
        </w:tc>
      </w:tr>
      <w:tr w:rsidR="002E12F6" w:rsidRPr="00DC630E" w:rsidTr="001C1E36">
        <w:trPr>
          <w:trHeight w:val="28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Facilité Energie 10ème FED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Support to the global climate change alliance Under the 10th EDF intra-ACP Financial framework</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1C1E36">
        <w:trPr>
          <w:trHeight w:val="24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INTRA-ACP/ACP-UE Energy facility II budget increase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0,907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Facilité de coopération technique du 11ième FED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0,037</w:t>
            </w:r>
          </w:p>
        </w:tc>
      </w:tr>
      <w:tr w:rsidR="002E12F6" w:rsidRPr="00DC630E" w:rsidTr="001C1E36">
        <w:trPr>
          <w:trHeight w:val="31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Programme de sécurité alimentaire et nutritionnelle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6,01</w:t>
            </w:r>
          </w:p>
        </w:tc>
      </w:tr>
      <w:tr w:rsidR="002E12F6" w:rsidRPr="00DC630E" w:rsidTr="001C1E36">
        <w:trPr>
          <w:trHeight w:val="22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Mise en place d'un laboratoire P4 au sein du centre Muraz</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2,267</w:t>
            </w:r>
          </w:p>
        </w:tc>
      </w:tr>
      <w:tr w:rsidR="002E12F6" w:rsidRPr="00DC630E" w:rsidTr="001C1E36">
        <w:trPr>
          <w:trHeight w:val="12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à la politique sectorielle (PAPS) santé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aux services de l'Ordonnateur national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2,405</w:t>
            </w:r>
          </w:p>
        </w:tc>
      </w:tr>
      <w:tr w:rsidR="002E12F6" w:rsidRPr="00DC630E" w:rsidTr="001C1E36">
        <w:trPr>
          <w:trHeight w:val="26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au développement du secteur privé (PADSP)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2,276</w:t>
            </w:r>
          </w:p>
        </w:tc>
      </w:tr>
      <w:tr w:rsidR="002E12F6" w:rsidRPr="00DC630E" w:rsidTr="001C1E36">
        <w:trPr>
          <w:trHeight w:val="24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à la Décentralisation et aux investissements communaux (PADIC)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1,205</w:t>
            </w:r>
          </w:p>
        </w:tc>
      </w:tr>
      <w:tr w:rsidR="002E12F6" w:rsidRPr="00DC630E" w:rsidTr="001C1E36">
        <w:trPr>
          <w:trHeight w:val="45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sectoriel infrastructures et transports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Travail, emploi et protection sociale</w:t>
            </w:r>
            <w:r w:rsidRPr="00DC630E">
              <w:rPr>
                <w:rFonts w:asciiTheme="minorHAnsi" w:eastAsia="Times New Roman" w:hAnsiTheme="minorHAnsi" w:cstheme="minorHAnsi"/>
                <w:sz w:val="20"/>
                <w:szCs w:val="20"/>
                <w:lang w:eastAsia="fr-FR"/>
              </w:rPr>
              <w:br/>
              <w:t xml:space="preserve"> - 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5,609</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au Renforcement de la Gestion des Finances Publiques et des Statistiques (PAR-GS)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1,193</w:t>
            </w:r>
          </w:p>
        </w:tc>
      </w:tr>
      <w:tr w:rsidR="002E12F6" w:rsidRPr="00DC630E" w:rsidTr="001C1E36">
        <w:trPr>
          <w:trHeight w:val="14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Production solaire Photovoltaïque de Zagtouli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7,416</w:t>
            </w:r>
          </w:p>
        </w:tc>
      </w:tr>
      <w:tr w:rsidR="002E12F6" w:rsidRPr="00DC630E" w:rsidTr="001C1E36">
        <w:trPr>
          <w:trHeight w:val="8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à la Politique Nationale de Justice au Burkina Faso (PAPNJ)</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2,389</w:t>
            </w:r>
          </w:p>
        </w:tc>
      </w:tr>
      <w:tr w:rsidR="002E12F6" w:rsidRPr="00DC630E" w:rsidTr="001C1E36">
        <w:trPr>
          <w:trHeight w:val="42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festival Panafricain du Cinéma de Ouagadougou (FESPACO): organisation des éditions 2013 et 2015 et renforcement des capacités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0,215</w:t>
            </w:r>
          </w:p>
        </w:tc>
      </w:tr>
      <w:tr w:rsidR="002E12F6" w:rsidRPr="00DC630E" w:rsidTr="001C1E36">
        <w:trPr>
          <w:trHeight w:val="3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à la politique sectorielle- Approvisionnement en eau potable et assainissement (PAPS-AEPA 2009-2014)</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6,935</w:t>
            </w:r>
          </w:p>
        </w:tc>
      </w:tr>
      <w:tr w:rsidR="002E12F6" w:rsidRPr="00DC630E" w:rsidTr="001C1E36">
        <w:trPr>
          <w:trHeight w:val="42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institutionnel infrastructures - transports et achèvement des travaux engagés dans le cadre du 9ème FED.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0,109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State building contract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64,267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Fonds International de Développement Agricole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6,208</w:t>
            </w:r>
          </w:p>
        </w:tc>
      </w:tr>
      <w:tr w:rsidR="002E12F6" w:rsidRPr="00DC630E" w:rsidTr="001C1E36">
        <w:trPr>
          <w:trHeight w:val="56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gestion participative des ressources naturelles et de développement rural centre nord et est (NEERCAMBA)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Production agro-sylvo-pastorale</w:t>
            </w:r>
            <w:r w:rsidRPr="00DC630E">
              <w:rPr>
                <w:rFonts w:asciiTheme="minorHAnsi" w:eastAsia="Times New Roman" w:hAnsiTheme="minorHAnsi" w:cstheme="minorHAnsi"/>
                <w:sz w:val="20"/>
                <w:szCs w:val="20"/>
                <w:lang w:eastAsia="fr-FR"/>
              </w:rPr>
              <w:br/>
              <w:t xml:space="preserve"> - 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2,259</w:t>
            </w:r>
          </w:p>
        </w:tc>
      </w:tr>
      <w:tr w:rsidR="002E12F6" w:rsidRPr="00DC630E" w:rsidTr="001C1E36">
        <w:trPr>
          <w:trHeight w:val="27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et de promotion du secteur privé en milieu rural (PASPRU)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2,577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aux filières agricoles (PROFIL)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1,371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Fonds Koweitien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0,89</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DE LA ROUTE YEGUERESSO - DIEBOUGOU et bretelle de HAMELE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Fonds Monétaire International</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32,044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43ème convention FMI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6,357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42ème convention FMI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25,686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Fonds OPEP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0,753</w:t>
            </w:r>
          </w:p>
        </w:tc>
      </w:tr>
      <w:tr w:rsidR="002E12F6" w:rsidRPr="00DC630E" w:rsidTr="001C1E36">
        <w:trPr>
          <w:trHeight w:val="28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Programme de développement intégré de la vallée de Samendéni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Ziniare Regional Health Centre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0,672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Fonds Saoudien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5,923</w:t>
            </w:r>
          </w:p>
        </w:tc>
      </w:tr>
      <w:tr w:rsidR="002E12F6" w:rsidRPr="00DC630E" w:rsidTr="001C1E36">
        <w:trPr>
          <w:trHeight w:val="22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développement intégré de la vallée de Samendéni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3,555</w:t>
            </w:r>
          </w:p>
        </w:tc>
      </w:tr>
      <w:tr w:rsidR="002E12F6" w:rsidRPr="00DC630E" w:rsidTr="001C1E36">
        <w:trPr>
          <w:trHeight w:val="25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construction de route Koudougou-Dédougou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2,368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Fonds des Nations Unies pour l'enfance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26,43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WC BF WASH MENAGE REGION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5,21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PROTECTION DE L'ENFANCE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3,853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éducation de base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5,443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 et Nutrition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11,922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Fonds des Nations Unies pour la population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13,091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coordination du programme. (BFA7A11A)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Non affecté/ non spécifié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3,266</w:t>
            </w:r>
          </w:p>
        </w:tc>
      </w:tr>
      <w:tr w:rsidR="002E12F6" w:rsidRPr="00DC630E" w:rsidTr="001C1E36">
        <w:trPr>
          <w:trHeight w:val="70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Produit 3. Les capacités nationales en matière de soins obstétricaux et néonataux d'urgence (SONU) y compris dans les situations d'urgences humanitaires sont renforcées (BFA7R21A)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1,257</w:t>
            </w:r>
          </w:p>
        </w:tc>
      </w:tr>
      <w:tr w:rsidR="002E12F6" w:rsidRPr="00DC630E" w:rsidTr="001C1E36">
        <w:trPr>
          <w:trHeight w:val="81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BFA7P11A Produit 5 Renforcement des capacités nationales et régionales en intégration de la dynamique de populations en lien avec la santé de la reproduction,l'égalité de genre dans les politiques de développement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1,395</w:t>
            </w:r>
          </w:p>
        </w:tc>
      </w:tr>
      <w:tr w:rsidR="002E12F6" w:rsidRPr="00DC630E" w:rsidTr="001C1E36">
        <w:trPr>
          <w:trHeight w:val="80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Produit 2: L'accès et la demande pour les contraceptifs modernes et des services de planification familiale de qualité pour les femmes et les jeunes vulnérables, y compris dans les situations humanitaires sont améliorées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4,12</w:t>
            </w:r>
          </w:p>
        </w:tc>
      </w:tr>
      <w:tr w:rsidR="002E12F6" w:rsidRPr="00DC630E" w:rsidTr="001C1E36">
        <w:trPr>
          <w:trHeight w:val="79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Produit 3: Les capacités nationales pour l'offre des services de santé reproductive et la prévention du VIH/IST pour les jeunes et les adolescents y compris les populations clés (personnes vivant avec un handicap) sont renforcées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0,575</w:t>
            </w:r>
          </w:p>
        </w:tc>
      </w:tr>
      <w:tr w:rsidR="002E12F6" w:rsidRPr="00DC630E" w:rsidTr="001C1E36">
        <w:trPr>
          <w:trHeight w:val="65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BFA7U608les capacités nationales pour renforcées pour l'offre de services de santé de la reproduction et de prévention du VIH aux jeunes et aux adolescents y inclus les groupes vulnérables et les groupes marginalisés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0,575</w:t>
            </w:r>
          </w:p>
        </w:tc>
      </w:tr>
      <w:tr w:rsidR="002E12F6" w:rsidRPr="00DC630E" w:rsidTr="001C1E36">
        <w:trPr>
          <w:trHeight w:val="65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Produit 4: Le cadre juridique national et les capacités opérationnelles en faveur de l'égalité des sexes, droits sexuels et reproductifs et de la promotion de l'abandon des violences basées sur le genre sont renforcés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1,902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GIZ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15,877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Programme de Développement de l'Agriculture (PDA)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4,864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Santé Sexuelle, Droits Humains (PROSAD)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Gouvernance administrative</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1,257</w:t>
            </w:r>
          </w:p>
        </w:tc>
      </w:tr>
      <w:tr w:rsidR="002E12F6" w:rsidRPr="00DC630E" w:rsidTr="001C1E36">
        <w:trPr>
          <w:trHeight w:val="28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Décentralisation et de Développement Communal (PDDC)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2,678</w:t>
            </w:r>
          </w:p>
        </w:tc>
      </w:tr>
      <w:tr w:rsidR="002E12F6" w:rsidRPr="00DC630E" w:rsidTr="001C1E36">
        <w:trPr>
          <w:trHeight w:val="19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Fonds pour Etudes et Expertise (Studien- und Fachkräftefonds - SFF)</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0,223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conseiller technique auprès du ministère de l'économie et des finances (PMEF)</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0,759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Foyer Amélioré au Faso (FAFASO)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0,852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frontière de l'Union Africaine (PFUA)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Initiative spéciale "un monde sans faim"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4,811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Grand Duché du Luxembourg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19,527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Mandat SOS faim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0,281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d'Autonomisation du Dispositif d'Alphabétisation des Hauts-Bassins(BKF/014)cloture en 03/2014</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0,315</w:t>
            </w:r>
          </w:p>
        </w:tc>
      </w:tr>
      <w:tr w:rsidR="002E12F6" w:rsidRPr="00DC630E" w:rsidTr="001C1E36">
        <w:trPr>
          <w:trHeight w:val="24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Appuis à des projets proposés par des ONG et Associations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4,485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BKF/021 Projet d'appui au développement des technologie de l'information et de la communication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0,378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 plan stratégique de renforcement de la transfusion sanguine au Burkina (BKF/020)</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1,539</w:t>
            </w:r>
          </w:p>
        </w:tc>
      </w:tr>
      <w:tr w:rsidR="002E12F6" w:rsidRPr="00DC630E" w:rsidTr="001C1E36">
        <w:trPr>
          <w:trHeight w:val="47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mise en œuvre de la Politique Nationale en matière d'Enseignement Technique et de Formation Professionnelle ( BKF/018) 2009-2013</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12,048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d'amélioration de l’élevage des Zébu Azawak et de gestion durable des ressources pastorales BKF/017</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0,459</w:t>
            </w:r>
          </w:p>
        </w:tc>
      </w:tr>
      <w:tr w:rsidR="002E12F6" w:rsidRPr="00DC630E" w:rsidTr="001C1E36">
        <w:trPr>
          <w:trHeight w:val="23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second inventaire Forestier National (2009-2012)-BKF/015</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Helen Keller International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1,929</w:t>
            </w:r>
          </w:p>
        </w:tc>
      </w:tr>
      <w:tr w:rsidR="002E12F6" w:rsidRPr="00DC630E" w:rsidTr="001C1E36">
        <w:trPr>
          <w:trHeight w:val="59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La Patate Douce à Chair Orange pour améliorer la santé de l'enfant (AGRANDIS: Agriculture and Nutrition for Improved Child Survival) (Fondation M. A. Cargill)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Production agro-sylvo-pastorale</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0,191</w:t>
            </w:r>
          </w:p>
        </w:tc>
      </w:tr>
      <w:tr w:rsidR="002E12F6" w:rsidRPr="00DC630E" w:rsidTr="001C1E36">
        <w:trPr>
          <w:trHeight w:val="23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gestion des morbidités liées à la filariose lymphatique et au trachome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0,518</w:t>
            </w:r>
          </w:p>
        </w:tc>
      </w:tr>
      <w:tr w:rsidR="002E12F6" w:rsidRPr="00DC630E" w:rsidTr="001C1E36">
        <w:trPr>
          <w:trHeight w:val="71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Prévention de la Malnutrition à travers des stratégies intégrées (PROMIS: Prevention of malnutrition trough innovative approaches)(DFATD/Coopération canadiènne via IFPRI)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0,355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à la supplémentation en vitamine 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Promotion des légumes traditionnels africain (TAV)</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w:t>
            </w:r>
          </w:p>
        </w:tc>
      </w:tr>
      <w:tr w:rsidR="002E12F6" w:rsidRPr="00DC630E" w:rsidTr="001C1E36">
        <w:trPr>
          <w:trHeight w:val="43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à la production vivrière amélioré (CHANGE: Creating homestead agriculture for nutrition and gender equity)</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Production agro-sylvo-pastorale</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0,344</w:t>
            </w:r>
          </w:p>
        </w:tc>
      </w:tr>
      <w:tr w:rsidR="002E12F6" w:rsidRPr="00DC630E" w:rsidTr="001C1E36">
        <w:trPr>
          <w:trHeight w:val="23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à la fortification de l'huile et de la farine de blé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0,347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Helvetas Burkina Faso</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Assainissement Gnagna /IRC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0,181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DBVAC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Programmes Eau et Assainissement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0,158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Promotion de l'Education non formelle (PENF)</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0,194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Djigui FIP Formation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0,105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DEPAC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1,038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Coton Bio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0,291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Inde</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ligne de crédit en dollars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KFW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29,703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Hydraulique Villageoise- Est( PHV 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4,823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Assainissement de Bobo Dioulasso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5,568</w:t>
            </w:r>
          </w:p>
        </w:tc>
      </w:tr>
      <w:tr w:rsidR="002E12F6" w:rsidRPr="00DC630E" w:rsidTr="001C1E36">
        <w:trPr>
          <w:trHeight w:val="8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Réhabilitation de la RN16 Koupela-Grenze Togo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Infrastructures de transport, de communication et d'habitat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3,109</w:t>
            </w:r>
          </w:p>
        </w:tc>
      </w:tr>
      <w:tr w:rsidR="002E12F6" w:rsidRPr="00DC630E" w:rsidTr="001C1E36">
        <w:trPr>
          <w:trHeight w:val="28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2007 70 230 Programme d'eau potable et d'assainissement en milieu urbain et semi urbain (BM)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2011 65 315 Agriculture durable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1,6</w:t>
            </w:r>
          </w:p>
        </w:tc>
      </w:tr>
      <w:tr w:rsidR="002E12F6" w:rsidRPr="00DC630E" w:rsidTr="001C1E36">
        <w:trPr>
          <w:trHeight w:val="48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2008 66 400 Programme d'eau potable et d'assainissement en milieu urbain et semi urbain II (VPT)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0,633</w:t>
            </w:r>
          </w:p>
        </w:tc>
      </w:tr>
      <w:tr w:rsidR="002E12F6" w:rsidRPr="00DC630E" w:rsidTr="001C1E36">
        <w:trPr>
          <w:trHeight w:val="28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2004 66 334 Assainissement collectif Bobo Dioulasso Phase 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0,013</w:t>
            </w:r>
          </w:p>
        </w:tc>
      </w:tr>
      <w:tr w:rsidR="002E12F6" w:rsidRPr="00DC630E" w:rsidTr="001C1E36">
        <w:trPr>
          <w:trHeight w:val="33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2009 65 315 Appui à l'assainissement de base en milieu urbain et semi urbain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0,708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1998 66 534 AEP - FADA N'GOURMA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1999 70 021 AEP Fada N'Gourma, BM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0,102</w:t>
            </w:r>
          </w:p>
        </w:tc>
      </w:tr>
      <w:tr w:rsidR="002E12F6" w:rsidRPr="00DC630E" w:rsidTr="001C1E36">
        <w:trPr>
          <w:trHeight w:val="29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Budgétaire Sectoriel Eau potable et Assainissement BM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Fonds enfants IV</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3,764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Fonds Enfants III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0,377</w:t>
            </w:r>
          </w:p>
        </w:tc>
      </w:tr>
      <w:tr w:rsidR="002E12F6" w:rsidRPr="00DC630E" w:rsidTr="001C1E36">
        <w:trPr>
          <w:trHeight w:val="23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Décentralisation et Développement communal (FICOD VI/FPDCT)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5,778</w:t>
            </w:r>
          </w:p>
        </w:tc>
      </w:tr>
      <w:tr w:rsidR="002E12F6" w:rsidRPr="00DC630E" w:rsidTr="001C1E36">
        <w:trPr>
          <w:trHeight w:val="27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Aménagement des bas- fonds au Sud-Ouest et dans la Sissili(PABSO 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Développement Agricole Durable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2,582</w:t>
            </w:r>
          </w:p>
        </w:tc>
      </w:tr>
      <w:tr w:rsidR="002E12F6" w:rsidRPr="00DC630E" w:rsidTr="001C1E36">
        <w:trPr>
          <w:trHeight w:val="34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d'eau potable et d'assainissement en milieu urbain et semi urbain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0,332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Lutheran World Relief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0,277</w:t>
            </w:r>
          </w:p>
        </w:tc>
      </w:tr>
      <w:tr w:rsidR="002E12F6" w:rsidRPr="00DC630E" w:rsidTr="001C1E36">
        <w:trPr>
          <w:trHeight w:val="69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 renforcement des capacités techniques et institutionnelles de l'union des groupements Naam de Koumbri et de ses démembrements pour une meilleure productivité agricole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0,081</w:t>
            </w:r>
          </w:p>
        </w:tc>
      </w:tr>
      <w:tr w:rsidR="002E12F6" w:rsidRPr="00DC630E" w:rsidTr="001C1E36">
        <w:trPr>
          <w:trHeight w:val="23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renforcement des capacités techniques et organisationnelles de l'Union Départementales des Groupement de Producteurs de Maïs (UDGPM) de Zabré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0,082</w:t>
            </w:r>
          </w:p>
        </w:tc>
      </w:tr>
      <w:tr w:rsidR="002E12F6" w:rsidRPr="00DC630E" w:rsidTr="001C1E36">
        <w:trPr>
          <w:trHeight w:val="54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résilience plus pilote:"les communautés conduisent le relèvement à la crise alimentaire au Sahel" en partenariat avec la Fédération des Diéma Tin Tua (FDTT) dans l'est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0,113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Lux-développement</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3,976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BKF/022 Appui au PDSEB</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2,45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au Secteur Forestier du Burkina (PASF BKF/019)</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Gouvernance économique</w:t>
            </w:r>
            <w:r w:rsidRPr="00DC630E">
              <w:rPr>
                <w:rFonts w:asciiTheme="minorHAnsi" w:eastAsia="Times New Roman" w:hAnsiTheme="minorHAnsi" w:cstheme="minorHAnsi"/>
                <w:sz w:val="20"/>
                <w:szCs w:val="20"/>
                <w:lang w:eastAsia="fr-FR"/>
              </w:rPr>
              <w:br/>
              <w:t xml:space="preserve"> - 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1,525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val="en-US" w:eastAsia="fr-FR"/>
              </w:rPr>
            </w:pPr>
            <w:r w:rsidRPr="00DC630E">
              <w:rPr>
                <w:rFonts w:asciiTheme="minorHAnsi" w:eastAsia="Times New Roman" w:hAnsiTheme="minorHAnsi" w:cstheme="minorHAnsi"/>
                <w:b/>
                <w:bCs/>
                <w:sz w:val="20"/>
                <w:szCs w:val="20"/>
                <w:lang w:val="en-US" w:eastAsia="fr-FR"/>
              </w:rPr>
              <w:t>Millennium Challenge Account- Burkina Faso</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val="en-US" w:eastAsia="fr-FR"/>
              </w:rPr>
            </w:pPr>
            <w:r w:rsidRPr="00DC630E">
              <w:rPr>
                <w:rFonts w:asciiTheme="minorHAnsi" w:eastAsia="Times New Roman" w:hAnsiTheme="minorHAnsi" w:cstheme="minorHAnsi"/>
                <w:b/>
                <w:bCs/>
                <w:sz w:val="20"/>
                <w:szCs w:val="20"/>
                <w:lang w:val="en-US"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0,179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MCC Infrastructure and Roads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0,113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MCC Monitoring and Evaluation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Groupement ASELA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Organisation Mondiale de la Santé</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5,639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santé/Plan de travail annuel OMS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5,639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Organisation Néerlandaise de Développement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3,616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WC BF WASH MENAGE REGION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0,363</w:t>
            </w:r>
          </w:p>
        </w:tc>
      </w:tr>
      <w:tr w:rsidR="002E12F6" w:rsidRPr="00DC630E" w:rsidTr="00CB45CC">
        <w:trPr>
          <w:trHeight w:val="32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WC BF RE GIZ NAMA PROPOSAL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0,026</w:t>
            </w:r>
          </w:p>
        </w:tc>
      </w:tr>
      <w:tr w:rsidR="002E12F6" w:rsidRPr="00DC630E" w:rsidTr="00CB45CC">
        <w:trPr>
          <w:trHeight w:val="29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SE 4 ALL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0,134</w:t>
            </w:r>
          </w:p>
        </w:tc>
      </w:tr>
      <w:tr w:rsidR="002E12F6" w:rsidRPr="00DC630E" w:rsidTr="00CB45CC">
        <w:trPr>
          <w:trHeight w:val="32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BF SUB OFID GAZORIZ</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0,045</w:t>
            </w:r>
          </w:p>
        </w:tc>
      </w:tr>
      <w:tr w:rsidR="002E12F6" w:rsidRPr="00DC630E" w:rsidTr="00CB45CC">
        <w:trPr>
          <w:trHeight w:val="298"/>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SUB WC BF ABPP II Biogaz</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0,274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SUB BF AGRI DGIS EBA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0,325</w:t>
            </w:r>
          </w:p>
        </w:tc>
      </w:tr>
      <w:tr w:rsidR="002E12F6" w:rsidRPr="00DC630E" w:rsidTr="00CB45CC">
        <w:trPr>
          <w:trHeight w:val="31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Lighting Africa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0,061</w:t>
            </w:r>
          </w:p>
        </w:tc>
      </w:tr>
      <w:tr w:rsidR="002E12F6" w:rsidRPr="00DC630E" w:rsidTr="00CB45CC">
        <w:trPr>
          <w:trHeight w:val="80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Projet d'appui à l'amélioration de la mobilité du bétail et des revenus des agro-pasteurs par l'utilisation de la téléphonie mobile et de l'imagerie satellitaire - MODHEM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0,504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DRYDEV (développement des zone arides)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0,297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BF BMGF Sub Grp Realizing Agri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0,243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WC BF AGRI-COWI-ETUDE PCES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WC BF TAI WP LEADERS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BF ILRI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BF AGRI-CR-HORTICULTURE-AG</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0,532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BF Taïwan GAZORIZ BAMA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BF AGRI PAVI COWI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WC BF Sub WAP/PAPE BFVK</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0,176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WCA BF ONEA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WC BF AGRI-REGIS-AG</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0,236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Organisation des Nations unies pour l’alimentation et l’agriculture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6,233</w:t>
            </w:r>
          </w:p>
        </w:tc>
      </w:tr>
      <w:tr w:rsidR="002E12F6" w:rsidRPr="00DC630E" w:rsidTr="001C1E36">
        <w:trPr>
          <w:trHeight w:val="72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GCP/BKF/054/LDF : Integrating climate resilience into agricultural and pastoral production for food security in vulnerable rural areas through the Farmers Field School approach (FSP)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0,797</w:t>
            </w:r>
          </w:p>
        </w:tc>
      </w:tr>
      <w:tr w:rsidR="002E12F6" w:rsidRPr="00DC630E" w:rsidTr="001C1E36">
        <w:trPr>
          <w:trHeight w:val="40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OSRO/RAF/605/BEL : Réduire la vulnérabilité des moyens d'existance agricoles à travers l'approche "Caisses de Résilience" au Sahel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0,072</w:t>
            </w:r>
          </w:p>
        </w:tc>
      </w:tr>
      <w:tr w:rsidR="002E12F6" w:rsidRPr="00DC630E" w:rsidTr="001C1E36">
        <w:trPr>
          <w:trHeight w:val="76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GCP/BKF/055/EC : Programme de Sécurité Alimentaire et Nutritionnelle au Burkina Faso (PSANBF) compasante 1 : « Amélioration des disponibilités et de l’accessibilité alimentaire et monétaire »</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1,959</w:t>
            </w:r>
          </w:p>
        </w:tc>
      </w:tr>
      <w:tr w:rsidR="002E12F6" w:rsidRPr="00DC630E" w:rsidTr="001C1E36">
        <w:trPr>
          <w:trHeight w:val="26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GFEE/BKF/001/LDF GEF-LDCF Fees for « FAO Burkina Faso »</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GCP/RAF/461/SPA : « Building Capacity of ECOWAS for effectiveCAADP Implementation in West Africa »</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GCP/GLO/626/EC BABY 03 : Capacity Developpement for Agricultural Innovation Systems (CDAIS)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0,068</w:t>
            </w:r>
          </w:p>
        </w:tc>
      </w:tr>
      <w:tr w:rsidR="002E12F6" w:rsidRPr="00DC630E" w:rsidTr="001C1E36">
        <w:trPr>
          <w:trHeight w:val="78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OSRO/RAF/606/EC / Analyse des dispositifs locaux de Réduction de risques de catastrophe (RRC) pour la promotion et la mise à l'échelle d'initiatives locales innovantes en faveur de la résilience des communautés vulnérables au Sahel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Production agro-sylvo-pastorale</w:t>
            </w:r>
            <w:r w:rsidRPr="00DC630E">
              <w:rPr>
                <w:rFonts w:asciiTheme="minorHAnsi" w:eastAsia="Times New Roman" w:hAnsiTheme="minorHAnsi" w:cstheme="minorHAnsi"/>
                <w:sz w:val="20"/>
                <w:szCs w:val="20"/>
                <w:lang w:eastAsia="fr-FR"/>
              </w:rPr>
              <w:br/>
              <w:t xml:space="preserve"> - 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0,035</w:t>
            </w:r>
          </w:p>
        </w:tc>
      </w:tr>
      <w:tr w:rsidR="002E12F6" w:rsidRPr="00DC630E" w:rsidTr="001C1E36">
        <w:trPr>
          <w:trHeight w:val="51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lastRenderedPageBreak/>
              <w:t>OSRO/GLO/501/USA : Emergency assistance for prevention and control of H5N1 HPAI in West and Central Africa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0,124</w:t>
            </w:r>
          </w:p>
        </w:tc>
      </w:tr>
      <w:tr w:rsidR="002E12F6" w:rsidRPr="00DC630E" w:rsidTr="001C1E36">
        <w:trPr>
          <w:trHeight w:val="70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FMM/GLO/113/MUL/: FMM support to SO3 - Reduce Rural Poverty through information, participatory communication and social mobilization for rural women, men and youth</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0,141</w:t>
            </w:r>
          </w:p>
        </w:tc>
      </w:tr>
      <w:tr w:rsidR="002E12F6" w:rsidRPr="00DC630E" w:rsidTr="001C1E36">
        <w:trPr>
          <w:trHeight w:val="70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FMM/GLO/112/MUL:Appui à l'objectif stratégique 2 </w:t>
            </w:r>
            <w:r w:rsidRPr="00DC630E">
              <w:rPr>
                <w:rFonts w:asciiTheme="minorHAnsi" w:eastAsia="MS Gothic" w:hAnsiTheme="minorHAnsi" w:cstheme="minorHAnsi"/>
                <w:sz w:val="20"/>
                <w:szCs w:val="20"/>
                <w:lang w:eastAsia="fr-FR"/>
              </w:rPr>
              <w:t>《</w:t>
            </w:r>
            <w:r w:rsidRPr="00DC630E">
              <w:rPr>
                <w:rFonts w:asciiTheme="minorHAnsi" w:eastAsia="Times New Roman" w:hAnsiTheme="minorHAnsi" w:cstheme="minorHAnsi"/>
                <w:sz w:val="20"/>
                <w:szCs w:val="20"/>
                <w:lang w:eastAsia="fr-FR"/>
              </w:rPr>
              <w:t>intensifier et améliorer la fourniture de bienset services provenant de l'agriculture, de la foresterie et des pêches de manière durable</w:t>
            </w:r>
            <w:r w:rsidRPr="00DC630E">
              <w:rPr>
                <w:rFonts w:asciiTheme="minorHAnsi" w:eastAsia="MS Gothic" w:hAnsiTheme="minorHAnsi" w:cstheme="minorHAnsi"/>
                <w:sz w:val="20"/>
                <w:szCs w:val="20"/>
                <w:lang w:eastAsia="fr-FR"/>
              </w:rPr>
              <w: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0,335</w:t>
            </w:r>
          </w:p>
        </w:tc>
      </w:tr>
      <w:tr w:rsidR="002E12F6" w:rsidRPr="00DC630E" w:rsidTr="001C1E36">
        <w:trPr>
          <w:trHeight w:val="49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TCP/RAF/3602: Assistance technique pour le renforcement du système alimentaire du quinoa - Phase II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1C1E36">
        <w:trPr>
          <w:trHeight w:val="55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TCP/INT/3604: Appui pour une meilleure planification de l'irrigation dans le cadre de l'Initiative pour l'Irrigation au Sahel (SIIP)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TCP/RAF/3507: Support to the regional initiative on resilience in the Sahel and Horn of Africa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0,014</w:t>
            </w:r>
          </w:p>
        </w:tc>
      </w:tr>
      <w:tr w:rsidR="002E12F6" w:rsidRPr="00DC630E" w:rsidTr="001C1E36">
        <w:trPr>
          <w:trHeight w:val="61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TCP/BKF/3604: Appui au développement des légumineuses dans les régions du Centre-Nord et du Nord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1C1E36">
        <w:trPr>
          <w:trHeight w:val="55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TCP/BKF/3602/C1: TCPF: Elaboration du Cadre de Programmation Pays 2017-2020 de la FAO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TCP/BKF/3601: Assistance préparatoire au Recensement Général de l'Agriculture (RGA)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0,019</w:t>
            </w:r>
          </w:p>
        </w:tc>
      </w:tr>
      <w:tr w:rsidR="002E12F6" w:rsidRPr="00DC630E" w:rsidTr="001C1E36">
        <w:trPr>
          <w:trHeight w:val="75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TCP/BKF/3501 Validation et dissémination de systèmes intégrées d'aquaculture- agriculture (rizipisciculture et autres) à travers l'approche"champs-écoles des producteurs)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0,152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TFD-16/BKF/003 - Projet d'appui à la production animale dans la commune de Mané (PAPA/M)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TFD-16/BKF/002 - Projet d'appui à la production animale dans la commune de Koupéla (PAPA/K)</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TFD-16/BKF/001 - Projet d'appui à la production animale dans la commune de Bissiga (PAPA/BSG)</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0,008</w:t>
            </w:r>
          </w:p>
        </w:tc>
      </w:tr>
      <w:tr w:rsidR="002E12F6" w:rsidRPr="00DC630E" w:rsidTr="00CB45CC">
        <w:trPr>
          <w:trHeight w:val="101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OSRO/BKF/203/SWI - Assistance aux ménages vulnérables victimes de malnutrition et de chocs climatiques et économiques à travers la valorisation des produits forestiers non ligneux au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1,449</w:t>
            </w:r>
          </w:p>
        </w:tc>
      </w:tr>
      <w:tr w:rsidR="002E12F6" w:rsidRPr="00DC630E" w:rsidTr="001C1E36">
        <w:trPr>
          <w:trHeight w:val="57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lastRenderedPageBreak/>
              <w:t>GCP/RAF/254/MUL BABY01 : Creating Agribusiness Employement Opportunities for Youth through Sustainable Aquaculture Systems and Cassava Value Chains in West Africa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0,302</w:t>
            </w:r>
          </w:p>
        </w:tc>
      </w:tr>
      <w:tr w:rsidR="002E12F6" w:rsidRPr="00DC630E" w:rsidTr="001C1E36">
        <w:trPr>
          <w:trHeight w:val="54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GCP/INT/232/FRA : Projet d’appui à la mise en œuvre de la Phase II du programme EMPRES (Criquet pèlerin) en Région occidentale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0,036</w:t>
            </w:r>
          </w:p>
        </w:tc>
      </w:tr>
      <w:tr w:rsidR="002E12F6" w:rsidRPr="00DC630E" w:rsidTr="001C1E36">
        <w:trPr>
          <w:trHeight w:val="3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GCP/INT/231/SWI : Strengthening Agricultural Water Efficiency and Productivity on the African and Global Level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0,388</w:t>
            </w:r>
          </w:p>
        </w:tc>
      </w:tr>
      <w:tr w:rsidR="002E12F6" w:rsidRPr="00DC630E" w:rsidTr="001C1E36">
        <w:trPr>
          <w:trHeight w:val="56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GCP/INT/147/Gff : Regionalpests and pesticides management and capacity building of the Comité Permanent Inter-Etats de Lutte contre la Sécheresse dans le Sahel (CILSS) Member States (FSP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0,051</w:t>
            </w:r>
          </w:p>
        </w:tc>
      </w:tr>
      <w:tr w:rsidR="002E12F6" w:rsidRPr="00DC630E" w:rsidTr="001C1E36">
        <w:trPr>
          <w:trHeight w:val="25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OSRO/GLO/507/USA : Surveillance for Ebola Virus in Livestock in Africa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0,193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Oxfam Québec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Moyens innovants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Autonomisation des femmes restauratrices de rue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Plan Burkina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9,219</w:t>
            </w:r>
          </w:p>
        </w:tc>
      </w:tr>
      <w:tr w:rsidR="002E12F6" w:rsidRPr="00DC630E" w:rsidTr="001C1E36">
        <w:trPr>
          <w:trHeight w:val="23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24 - Appui au fonctionnement et charge du Sponsorship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5,063</w:t>
            </w:r>
          </w:p>
        </w:tc>
      </w:tr>
      <w:tr w:rsidR="002E12F6" w:rsidRPr="00DC630E" w:rsidTr="001C1E36">
        <w:trPr>
          <w:trHeight w:val="29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Plaidoyer, renforcement des capacités de la société civile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0,065</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MGF, Mariage précoce, lutte contre les violences faites aux enfants, la traite /trafic des enfants, enregistrement des naissances, assistance en situation d'urgence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0,363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sécurité économique des ménages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0,625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Droit à une éducation de qualité</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1,915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21 - Droit au service de santé sexuelle et reproductives des adolescents et des jeunes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Eau et Assainissement-plan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1,031</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Santé maternelle, néonatale et infantile intégrée, paludisme, PTME, nutrition, éveil et apprentissage précoces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Education et formation </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Principauté de Monaco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0,792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projet de création d'un centre de formation professionnel à Loumbila (Croix rouge Monégasque)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0,055</w:t>
            </w:r>
          </w:p>
        </w:tc>
      </w:tr>
      <w:tr w:rsidR="002E12F6" w:rsidRPr="00DC630E" w:rsidTr="001C1E36">
        <w:trPr>
          <w:trHeight w:val="28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d'action en faveur des enfants et jeunes de la rue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0,235</w:t>
            </w:r>
          </w:p>
        </w:tc>
      </w:tr>
      <w:tr w:rsidR="002E12F6" w:rsidRPr="00DC630E" w:rsidTr="001C1E36">
        <w:trPr>
          <w:trHeight w:val="69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Appui au développement de filières économiques locales pour leur impact positif sur la santé et l'environnement des familles les plus démunies (ONG Entrepreneurs Du Monde)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0,138</w:t>
            </w:r>
          </w:p>
        </w:tc>
      </w:tr>
      <w:tr w:rsidR="002E12F6" w:rsidRPr="00DC630E" w:rsidTr="001C1E36">
        <w:trPr>
          <w:trHeight w:val="82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développement d'un habitat villageois durable conjugué à la lutte contre la déforestation en zone soudano-sahélienne au Burkina Faso (Association des jeunes pour la terre)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0,021</w:t>
            </w:r>
          </w:p>
        </w:tc>
      </w:tr>
      <w:tr w:rsidR="002E12F6" w:rsidRPr="00DC630E" w:rsidTr="001C1E36">
        <w:trPr>
          <w:trHeight w:val="26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dans le domaine de la protection civile (Brigarde Nationale de Sapeurs-Pompiers)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0,077</w:t>
            </w:r>
          </w:p>
        </w:tc>
      </w:tr>
      <w:tr w:rsidR="002E12F6" w:rsidRPr="00DC630E" w:rsidTr="001C1E36">
        <w:trPr>
          <w:trHeight w:val="32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au projet d'Institut supérieur d'Etudes en protection Civile (ISEPC)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0,033</w:t>
            </w:r>
          </w:p>
        </w:tc>
      </w:tr>
      <w:tr w:rsidR="002E12F6" w:rsidRPr="00DC630E" w:rsidTr="001C1E36">
        <w:trPr>
          <w:trHeight w:val="54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à la politique sectorielle d'enseignement et de formation technique et professionnelle au Burkina Faso (PAPS/EFTP)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0,11</w:t>
            </w:r>
          </w:p>
        </w:tc>
      </w:tr>
      <w:tr w:rsidR="002E12F6" w:rsidRPr="00DC630E" w:rsidTr="001C1E36">
        <w:trPr>
          <w:trHeight w:val="230"/>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Surveillance du paludisme grave chez les enfants en milieu hospitalier pédiatrique du Burkina Faso (Université la Sapienza de Rome-Centre National de Recherche et Formation sur le Paludisme)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Programme Alimentaire Mondial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28,543</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Pays 200163 (2011-2015)</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 Production agro-sylvo-pastorale</w:t>
            </w:r>
            <w:r w:rsidRPr="00DC630E">
              <w:rPr>
                <w:rFonts w:asciiTheme="minorHAnsi" w:eastAsia="Times New Roman" w:hAnsiTheme="minorHAnsi" w:cstheme="minorHAnsi"/>
                <w:sz w:val="20"/>
                <w:szCs w:val="20"/>
                <w:lang w:eastAsia="fr-FR"/>
              </w:rPr>
              <w:br/>
              <w:t xml:space="preserve"> - Education et formation</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5,282</w:t>
            </w:r>
          </w:p>
        </w:tc>
      </w:tr>
      <w:tr w:rsidR="002E12F6" w:rsidRPr="00DC630E" w:rsidTr="001C1E36">
        <w:trPr>
          <w:trHeight w:val="28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Intervention Prolongée de Secours et de Redressement 200793</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23,261</w:t>
            </w:r>
          </w:p>
        </w:tc>
      </w:tr>
      <w:tr w:rsidR="002E12F6" w:rsidRPr="00DC630E" w:rsidTr="001C1E36">
        <w:trPr>
          <w:trHeight w:val="351"/>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Programme des Nations Unies pour le Développement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11,285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00081923 Programme Augmentation de Revenus et Promotion Emplois Décents PARPED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0,223</w:t>
            </w:r>
          </w:p>
        </w:tc>
      </w:tr>
      <w:tr w:rsidR="002E12F6" w:rsidRPr="00DC630E" w:rsidTr="001C1E36">
        <w:trPr>
          <w:trHeight w:val="24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 renforcement de la Gouvernance locale et administrative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0,439</w:t>
            </w:r>
          </w:p>
        </w:tc>
      </w:tr>
      <w:tr w:rsidR="002E12F6" w:rsidRPr="00DC630E" w:rsidTr="001C1E36">
        <w:trPr>
          <w:trHeight w:val="26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 monde associatif et communautaire (PAMAC)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0,112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Appui Parcs Entente-PAPE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2,111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Border managment &amp; border com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0,347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PEI-BURKINA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Non affecté/ non spécifié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0,413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institutionnel au PNLS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0,248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 élection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PRC Parlement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0,064</w:t>
            </w:r>
          </w:p>
        </w:tc>
      </w:tr>
      <w:tr w:rsidR="002E12F6" w:rsidRPr="00DC630E" w:rsidTr="001C1E36">
        <w:trPr>
          <w:trHeight w:val="32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d'appui au renforcement de la gouvernance politique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0,614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Economique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0,88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Projet AgriFinance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0,173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Renforcement des capa résilience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Adaptation des écosystèmes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1,298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Gestion des conventions RIO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0,357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Système alerte precose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0,94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Output 1: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National Plateforme Multifonctionnelle (BKF/016)</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Transformations industrielles et artisanales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-0,467</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Consolidation de la Gouvernance environnementale (COGEL)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0,203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CC JATROPHA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0,159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PIMS 3970 LD Centre Ouest CP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0,575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PIMS 3969 LD Boucle du Mouhoun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0,578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PIMS 4298 BD Burkina zones tampon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0,185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PIMS 3968 LD National coordination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Unité de Coordination Nationale PTF (Programme national Plateforme multifonctionnelle)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0,094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Service de Coopération et d'Action Culturelle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4,994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Evaluation ex post de projets AFD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0,025</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régionale de gestion des terroirs PRGDT CILSS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0,428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COP 21 - Changement climatique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0,428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Coopération Décentralisée (Jumelage)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4,113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val="en-US" w:eastAsia="fr-FR"/>
              </w:rPr>
            </w:pPr>
            <w:r w:rsidRPr="00DC630E">
              <w:rPr>
                <w:rFonts w:asciiTheme="minorHAnsi" w:eastAsia="Times New Roman" w:hAnsiTheme="minorHAnsi" w:cstheme="minorHAnsi"/>
                <w:b/>
                <w:bCs/>
                <w:sz w:val="20"/>
                <w:szCs w:val="20"/>
                <w:lang w:val="en-US" w:eastAsia="fr-FR"/>
              </w:rPr>
              <w:t xml:space="preserve">United States Agency for International Development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val="en-US" w:eastAsia="fr-FR"/>
              </w:rPr>
            </w:pPr>
            <w:r w:rsidRPr="00DC630E">
              <w:rPr>
                <w:rFonts w:asciiTheme="minorHAnsi" w:eastAsia="Times New Roman" w:hAnsiTheme="minorHAnsi" w:cstheme="minorHAnsi"/>
                <w:b/>
                <w:bCs/>
                <w:sz w:val="20"/>
                <w:szCs w:val="20"/>
                <w:lang w:val="en-US"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46,047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Rlwend Womens Production Capacity Building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Reacting to Early Warining and Response Data in West Africa (REWARD)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Rapid Assistance to Pastoralists, Sahel Region, Phase 3 (RAPS-3)</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1,42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Crisis Assistance and Recovery</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0,189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Promoting the Quality of Medicines (PQM)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Preparedness and Response (P&amp;R)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lastRenderedPageBreak/>
              <w:t>Ponsomtenga Women Weavers Expansion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Onion and Cabbage Producers Expansion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OFDA-2014-ALIMA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0,126</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Cowpea Producers Capacity Building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NEERWAYA organic sesame producers'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Civic Participation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Media Freedom and Freedom of Information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0,201</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Cabinet dIngnierie et de Conseil en Dveloppement dEnterprises (ICDE)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Non affecté/ non spécifié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0,098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McGovern-Dole Program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4,133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Burkina Faso Partner CA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0,165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Bani Seed Production and Marketing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Malaria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BADENYA Onion Production and Marketing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Legislative Function and Processes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0,573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Korsimoro Onion Expansion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Avian Influenza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3,04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ITSH Freight Cost of USAID Title II Emergency Program for Protection, Assistance and Solutions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0,728</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Association Relwend des Producteurs Agricoles de Rissiam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Indini Cereal Producers Capacity Building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0,063</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Association Nong-Taaba - Nabadogo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Association Delwend pour le Dveloppement Communautaire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Improving Malaria Care (IMC)</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2,112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ASPMY Onion &amp; Potato Expansion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0,118</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Higher Education for Development (HED)</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0,972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Groupement Pr-Coopratif Fminin Tounounou-Madjacleni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Victory against malnutrition programme (VIM) MYAP</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7,094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Alawone Capacity Building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Commerce et services marchands</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Groupement ASELA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Groupement Fminin Vinnem</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lastRenderedPageBreak/>
              <w:t>Groupement Nong Taaba de Bougtorogo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UPFN Cowpea Capacity Building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0,035</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U.S. Peace Corps Volunteer Safety and Security</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val="en-US" w:eastAsia="fr-FR"/>
              </w:rPr>
              <w:t xml:space="preserve"> </w:t>
            </w:r>
            <w:r w:rsidRPr="00DC630E">
              <w:rPr>
                <w:rFonts w:asciiTheme="minorHAnsi" w:eastAsia="Times New Roman" w:hAnsiTheme="minorHAnsi" w:cstheme="minorHAnsi"/>
                <w:sz w:val="20"/>
                <w:szCs w:val="20"/>
                <w:lang w:eastAsia="fr-FR"/>
              </w:rPr>
              <w:t>- Education et formation</w:t>
            </w:r>
            <w:r w:rsidRPr="00DC630E">
              <w:rPr>
                <w:rFonts w:asciiTheme="minorHAnsi" w:eastAsia="Times New Roman" w:hAnsiTheme="minorHAnsi" w:cstheme="minorHAnsi"/>
                <w:sz w:val="20"/>
                <w:szCs w:val="20"/>
                <w:lang w:eastAsia="fr-FR"/>
              </w:rPr>
              <w:br/>
              <w:t xml:space="preserve"> - Gouvernance administrative et locale</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0,27</w:t>
            </w:r>
          </w:p>
        </w:tc>
      </w:tr>
      <w:tr w:rsidR="002E12F6" w:rsidRPr="00DC630E" w:rsidTr="001C1E36">
        <w:trPr>
          <w:trHeight w:val="372"/>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U.S. Peace Corps Volunteer In-Service Training</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val="en-US" w:eastAsia="fr-FR"/>
              </w:rPr>
              <w:t xml:space="preserve"> </w:t>
            </w:r>
            <w:r w:rsidRPr="00DC630E">
              <w:rPr>
                <w:rFonts w:asciiTheme="minorHAnsi" w:eastAsia="Times New Roman" w:hAnsiTheme="minorHAnsi" w:cstheme="minorHAnsi"/>
                <w:sz w:val="20"/>
                <w:szCs w:val="20"/>
                <w:lang w:eastAsia="fr-FR"/>
              </w:rPr>
              <w:t>- Education et formation</w:t>
            </w:r>
            <w:r w:rsidRPr="00DC630E">
              <w:rPr>
                <w:rFonts w:asciiTheme="minorHAnsi" w:eastAsia="Times New Roman" w:hAnsiTheme="minorHAnsi" w:cstheme="minorHAnsi"/>
                <w:sz w:val="20"/>
                <w:szCs w:val="20"/>
                <w:lang w:eastAsia="fr-FR"/>
              </w:rPr>
              <w:br/>
              <w:t xml:space="preserve"> - Gouvernance administrative et locale</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0,611</w:t>
            </w:r>
          </w:p>
        </w:tc>
      </w:tr>
      <w:tr w:rsidR="002E12F6" w:rsidRPr="00DC630E" w:rsidTr="00CB45CC">
        <w:trPr>
          <w:trHeight w:val="76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U.S. Peace Corps Direct Volunteer Support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val="en-US" w:eastAsia="fr-FR"/>
              </w:rPr>
              <w:t xml:space="preserve"> </w:t>
            </w:r>
            <w:r w:rsidRPr="00DC630E">
              <w:rPr>
                <w:rFonts w:asciiTheme="minorHAnsi" w:eastAsia="Times New Roman" w:hAnsiTheme="minorHAnsi" w:cstheme="minorHAnsi"/>
                <w:sz w:val="20"/>
                <w:szCs w:val="20"/>
                <w:lang w:eastAsia="fr-FR"/>
              </w:rPr>
              <w:t>- Education et formation</w:t>
            </w:r>
            <w:r w:rsidRPr="00DC630E">
              <w:rPr>
                <w:rFonts w:asciiTheme="minorHAnsi" w:eastAsia="Times New Roman" w:hAnsiTheme="minorHAnsi" w:cstheme="minorHAnsi"/>
                <w:sz w:val="20"/>
                <w:szCs w:val="20"/>
                <w:lang w:eastAsia="fr-FR"/>
              </w:rPr>
              <w:br/>
              <w:t xml:space="preserve"> - Gouvernance administrative et locale</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0,54</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Global Health Supply Chain - Procurement and Supply Management (GSHC-PSM) IDIQ - Malaria Task Order</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0,603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Ginger Producers Group (Groupement de Producteurs de Gingembre -Akili Ten Ni Saaba)</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Agricultural Sector Productivity</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Food for Progress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3,025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Faso Yeelen Onion &amp; Tomato Capacity Building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0,021</w:t>
            </w:r>
          </w:p>
        </w:tc>
      </w:tr>
      <w:tr w:rsidR="002E12F6" w:rsidRPr="00DC630E" w:rsidTr="001C1E36">
        <w:trPr>
          <w:trHeight w:val="29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U.S. Peace Corps Overseas Program Support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val="en-US" w:eastAsia="fr-FR"/>
              </w:rPr>
              <w:t xml:space="preserve"> </w:t>
            </w:r>
            <w:r w:rsidRPr="00DC630E">
              <w:rPr>
                <w:rFonts w:asciiTheme="minorHAnsi" w:eastAsia="Times New Roman" w:hAnsiTheme="minorHAnsi" w:cstheme="minorHAnsi"/>
                <w:sz w:val="20"/>
                <w:szCs w:val="20"/>
                <w:lang w:eastAsia="fr-FR"/>
              </w:rPr>
              <w:t>- Education et formation</w:t>
            </w:r>
            <w:r w:rsidRPr="00DC630E">
              <w:rPr>
                <w:rFonts w:asciiTheme="minorHAnsi" w:eastAsia="Times New Roman" w:hAnsiTheme="minorHAnsi" w:cstheme="minorHAnsi"/>
                <w:sz w:val="20"/>
                <w:szCs w:val="20"/>
                <w:lang w:eastAsia="fr-FR"/>
              </w:rPr>
              <w:br/>
              <w:t xml:space="preserve"> - Gouvernance administrative et locale</w:t>
            </w:r>
            <w:r w:rsidRPr="00DC630E">
              <w:rPr>
                <w:rFonts w:asciiTheme="minorHAnsi" w:eastAsia="Times New Roman" w:hAnsiTheme="minorHAnsi" w:cstheme="minorHAnsi"/>
                <w:sz w:val="20"/>
                <w:szCs w:val="20"/>
                <w:lang w:eastAsia="fr-FR"/>
              </w:rPr>
              <w:br/>
              <w:t xml:space="preserve"> - 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2,064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Demographic and Health Surveys Phase 7 (DHS-7)</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ADSR-V Cowpea Production and Marketing Expansion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0,007</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Administration and Oversight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0,711</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Di Onion Capacity Building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 xml:space="preserve"> </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0,065</w:t>
            </w:r>
          </w:p>
        </w:tc>
      </w:tr>
      <w:tr w:rsidR="002E12F6" w:rsidRPr="00DC630E" w:rsidTr="001C1E36">
        <w:trPr>
          <w:trHeight w:val="33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Tenkodogo Cowpea Producers and Processors Marketing and Production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0,034</w:t>
            </w:r>
          </w:p>
        </w:tc>
      </w:tr>
      <w:tr w:rsidR="002E12F6" w:rsidRPr="00DC630E" w:rsidTr="001C1E36">
        <w:trPr>
          <w:trHeight w:val="25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Supply Chain Management System (SCMS) - Task Order 3</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Sesame Producers' Expansion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0,125</w:t>
            </w:r>
          </w:p>
        </w:tc>
      </w:tr>
      <w:tr w:rsidR="002E12F6" w:rsidRPr="00DC630E" w:rsidTr="001C1E36">
        <w:trPr>
          <w:trHeight w:val="31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SOGCAM Producers and Processors Marketing and Production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Social Assistance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0,041</w:t>
            </w:r>
          </w:p>
        </w:tc>
      </w:tr>
      <w:tr w:rsidR="002E12F6" w:rsidRPr="00DC630E" w:rsidTr="001C1E36">
        <w:trPr>
          <w:trHeight w:val="525"/>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Programmes de démocratie et gouvernance (décentralisation, appui au processus électoral, gouvernance locale)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Action pour le Développement en Milieu Rural</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0,004</w:t>
            </w:r>
          </w:p>
        </w:tc>
      </w:tr>
      <w:tr w:rsidR="002E12F6" w:rsidRPr="00DC630E" w:rsidTr="001C1E36">
        <w:trPr>
          <w:trHeight w:val="2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lastRenderedPageBreak/>
              <w:t>Sindo Potato and Onion Farmers' Capacity Building Project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0,063</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Section 202e Cost of USAID Title II Emergency Program for Protection, Assistance and Solutions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Travail, emploi et protection sociale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0,19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President Malaria Initiative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13,206</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Projet de lutte contre les maladies tropicales négligées (End NTDs in Africa) (HKI)</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Santé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1,712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Water Aid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2,362</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de gestion des ressources en eau</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d'appui à la recherche et aux innovations</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0,023</w:t>
            </w:r>
          </w:p>
        </w:tc>
      </w:tr>
      <w:tr w:rsidR="002E12F6" w:rsidRPr="00DC630E" w:rsidTr="001C1E36">
        <w:trPr>
          <w:trHeight w:val="191"/>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amélioration de la gouvernance du secteur eau et assainissement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0,079</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Programme d'amélioration de l'accès aux services durables d'eau potable, d'hygiène et assainissement</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2,209</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000000" w:fill="00FFFF"/>
            <w:vAlign w:val="center"/>
            <w:hideMark/>
          </w:tcPr>
          <w:p w:rsidR="003549B2" w:rsidRPr="00DC630E" w:rsidRDefault="003549B2" w:rsidP="00DC630E">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xml:space="preserve">Welt hunger hilfe </w:t>
            </w:r>
          </w:p>
        </w:tc>
        <w:tc>
          <w:tcPr>
            <w:tcW w:w="4277"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rPr>
                <w:rFonts w:asciiTheme="minorHAnsi" w:eastAsia="Times New Roman" w:hAnsiTheme="minorHAnsi" w:cstheme="minorHAnsi"/>
                <w:b/>
                <w:bCs/>
                <w:sz w:val="20"/>
                <w:szCs w:val="20"/>
                <w:lang w:eastAsia="fr-FR"/>
              </w:rPr>
            </w:pPr>
            <w:r w:rsidRPr="00DC630E">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00FFFF"/>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3,082</w:t>
            </w:r>
          </w:p>
        </w:tc>
      </w:tr>
      <w:tr w:rsidR="002E12F6" w:rsidRPr="00DC630E" w:rsidTr="00CB45CC">
        <w:trPr>
          <w:trHeight w:val="50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Mainstreaming the CHS Commitments in the project countries of welthungerhilfe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Non affecté/ non spécifié</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w:t>
            </w:r>
          </w:p>
        </w:tc>
      </w:tr>
      <w:tr w:rsidR="002E12F6" w:rsidRPr="00DC630E" w:rsidTr="001C1E36">
        <w:trPr>
          <w:trHeight w:val="483"/>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RENEVAL: Reinvestment in Welthungerhilfe to build political will for agricultural development and nutrition sensitive financing in Germany</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 xml:space="preserve"> </w:t>
            </w:r>
          </w:p>
        </w:tc>
      </w:tr>
      <w:tr w:rsidR="002E12F6" w:rsidRPr="00DC630E" w:rsidTr="001C1E36">
        <w:trPr>
          <w:trHeight w:val="27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Building public and political will for agriculture ODA in Germany</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administrative et locale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0,015</w:t>
            </w:r>
          </w:p>
        </w:tc>
      </w:tr>
      <w:tr w:rsidR="002E12F6" w:rsidRPr="00DC630E" w:rsidTr="001C1E36">
        <w:trPr>
          <w:trHeight w:val="706"/>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Appui à la professionnalisation et à l'amélioration de la production et la commercialisation de la production agricole des exploitations familiales dans la région de l'Est du Burkina Faso</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Production agro-sylvo-pastorale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0,015</w:t>
            </w:r>
          </w:p>
        </w:tc>
      </w:tr>
      <w:tr w:rsidR="002E12F6" w:rsidRPr="00DC630E" w:rsidTr="00CB45CC">
        <w:trPr>
          <w:trHeight w:val="254"/>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YamPukri 2</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Education et formation</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0,043</w:t>
            </w:r>
          </w:p>
        </w:tc>
      </w:tr>
      <w:tr w:rsidR="002E12F6" w:rsidRPr="00DC630E" w:rsidTr="001C1E36">
        <w:trPr>
          <w:trHeight w:val="537"/>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val="en-US" w:eastAsia="fr-FR"/>
              </w:rPr>
            </w:pPr>
            <w:r w:rsidRPr="00DC630E">
              <w:rPr>
                <w:rFonts w:asciiTheme="minorHAnsi" w:eastAsia="Times New Roman" w:hAnsiTheme="minorHAnsi" w:cstheme="minorHAnsi"/>
                <w:sz w:val="20"/>
                <w:szCs w:val="20"/>
                <w:lang w:val="en-US" w:eastAsia="fr-FR"/>
              </w:rPr>
              <w:t>BRACED:Buiding the resilience of 620,000 women, children and men in Burkina Faso to climate extremes and improving household food serity and income</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Gouvernance économique</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1,847</w:t>
            </w:r>
          </w:p>
        </w:tc>
      </w:tr>
      <w:tr w:rsidR="002E12F6" w:rsidRPr="00DC630E" w:rsidTr="001C1E36">
        <w:trPr>
          <w:trHeight w:val="559"/>
        </w:trPr>
        <w:tc>
          <w:tcPr>
            <w:tcW w:w="6663" w:type="dxa"/>
            <w:tcBorders>
              <w:top w:val="nil"/>
              <w:left w:val="single" w:sz="4" w:space="0" w:color="000000"/>
              <w:bottom w:val="single" w:sz="4" w:space="0" w:color="000000"/>
              <w:right w:val="single" w:sz="4" w:space="0" w:color="000000"/>
            </w:tcBorders>
            <w:shd w:val="clear" w:color="auto" w:fill="auto"/>
            <w:vAlign w:val="center"/>
            <w:hideMark/>
          </w:tcPr>
          <w:p w:rsidR="003549B2" w:rsidRPr="00DC630E" w:rsidRDefault="003549B2" w:rsidP="00DC630E">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Intensification de l'assainissement familiale dans 12 communes rurales des régions des Hauts bassins et de la Boucles du Mouhoun</w:t>
            </w:r>
          </w:p>
        </w:tc>
        <w:tc>
          <w:tcPr>
            <w:tcW w:w="4277"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Environnement eau et assainissement</w:t>
            </w:r>
          </w:p>
        </w:tc>
        <w:tc>
          <w:tcPr>
            <w:tcW w:w="2521" w:type="dxa"/>
            <w:tcBorders>
              <w:top w:val="nil"/>
              <w:left w:val="nil"/>
              <w:bottom w:val="single" w:sz="4" w:space="0" w:color="000000"/>
              <w:right w:val="single" w:sz="4" w:space="0" w:color="000000"/>
            </w:tcBorders>
            <w:shd w:val="clear" w:color="auto" w:fill="auto"/>
            <w:vAlign w:val="center"/>
            <w:hideMark/>
          </w:tcPr>
          <w:p w:rsidR="003549B2" w:rsidRPr="00DC630E" w:rsidRDefault="003549B2" w:rsidP="00CB45CC">
            <w:pPr>
              <w:spacing w:after="0" w:line="240" w:lineRule="auto"/>
              <w:jc w:val="right"/>
              <w:rPr>
                <w:rFonts w:asciiTheme="minorHAnsi" w:eastAsia="Times New Roman" w:hAnsiTheme="minorHAnsi" w:cstheme="minorHAnsi"/>
                <w:sz w:val="20"/>
                <w:szCs w:val="20"/>
                <w:lang w:eastAsia="fr-FR"/>
              </w:rPr>
            </w:pPr>
            <w:r w:rsidRPr="00DC630E">
              <w:rPr>
                <w:rFonts w:asciiTheme="minorHAnsi" w:eastAsia="Times New Roman" w:hAnsiTheme="minorHAnsi" w:cstheme="minorHAnsi"/>
                <w:sz w:val="20"/>
                <w:szCs w:val="20"/>
                <w:lang w:eastAsia="fr-FR"/>
              </w:rPr>
              <w:t>1,15</w:t>
            </w:r>
          </w:p>
        </w:tc>
      </w:tr>
      <w:tr w:rsidR="002E12F6" w:rsidRPr="00CB45CC" w:rsidTr="00CB45CC">
        <w:trPr>
          <w:trHeight w:val="254"/>
        </w:trPr>
        <w:tc>
          <w:tcPr>
            <w:tcW w:w="6663" w:type="dxa"/>
            <w:tcBorders>
              <w:top w:val="nil"/>
              <w:left w:val="single" w:sz="4" w:space="0" w:color="000000"/>
              <w:bottom w:val="single" w:sz="4" w:space="0" w:color="000000"/>
              <w:right w:val="single" w:sz="4" w:space="0" w:color="000000"/>
            </w:tcBorders>
            <w:shd w:val="clear" w:color="000000" w:fill="FFFF99"/>
            <w:vAlign w:val="center"/>
            <w:hideMark/>
          </w:tcPr>
          <w:p w:rsidR="003549B2" w:rsidRPr="00CB45CC" w:rsidRDefault="003549B2" w:rsidP="00DC630E">
            <w:pPr>
              <w:spacing w:after="0" w:line="240" w:lineRule="auto"/>
              <w:rPr>
                <w:rFonts w:asciiTheme="minorHAnsi" w:eastAsia="Times New Roman" w:hAnsiTheme="minorHAnsi" w:cstheme="minorHAnsi"/>
                <w:b/>
                <w:bCs/>
                <w:sz w:val="20"/>
                <w:szCs w:val="20"/>
                <w:lang w:eastAsia="fr-FR"/>
              </w:rPr>
            </w:pPr>
            <w:r w:rsidRPr="00CB45CC">
              <w:rPr>
                <w:rFonts w:asciiTheme="minorHAnsi" w:eastAsia="Times New Roman" w:hAnsiTheme="minorHAnsi" w:cstheme="minorHAnsi"/>
                <w:b/>
                <w:bCs/>
                <w:sz w:val="20"/>
                <w:szCs w:val="20"/>
                <w:lang w:eastAsia="fr-FR"/>
              </w:rPr>
              <w:t> </w:t>
            </w:r>
            <w:r w:rsidR="00971224" w:rsidRPr="00CB45CC">
              <w:rPr>
                <w:rFonts w:asciiTheme="minorHAnsi" w:eastAsia="Times New Roman" w:hAnsiTheme="minorHAnsi" w:cstheme="minorHAnsi"/>
                <w:b/>
                <w:bCs/>
                <w:sz w:val="20"/>
                <w:szCs w:val="20"/>
                <w:lang w:eastAsia="fr-FR"/>
              </w:rPr>
              <w:t>TOTAL</w:t>
            </w:r>
          </w:p>
        </w:tc>
        <w:tc>
          <w:tcPr>
            <w:tcW w:w="4277" w:type="dxa"/>
            <w:tcBorders>
              <w:top w:val="nil"/>
              <w:left w:val="nil"/>
              <w:bottom w:val="single" w:sz="4" w:space="0" w:color="000000"/>
              <w:right w:val="single" w:sz="4" w:space="0" w:color="000000"/>
            </w:tcBorders>
            <w:shd w:val="clear" w:color="000000" w:fill="FFFF99"/>
            <w:vAlign w:val="center"/>
            <w:hideMark/>
          </w:tcPr>
          <w:p w:rsidR="003549B2" w:rsidRPr="00CB45CC" w:rsidRDefault="003549B2" w:rsidP="00CB45CC">
            <w:pPr>
              <w:spacing w:after="0" w:line="240" w:lineRule="auto"/>
              <w:rPr>
                <w:rFonts w:asciiTheme="minorHAnsi" w:eastAsia="Times New Roman" w:hAnsiTheme="minorHAnsi" w:cstheme="minorHAnsi"/>
                <w:b/>
                <w:bCs/>
                <w:sz w:val="20"/>
                <w:szCs w:val="20"/>
                <w:lang w:eastAsia="fr-FR"/>
              </w:rPr>
            </w:pPr>
            <w:r w:rsidRPr="00CB45CC">
              <w:rPr>
                <w:rFonts w:asciiTheme="minorHAnsi" w:eastAsia="Times New Roman" w:hAnsiTheme="minorHAnsi" w:cstheme="minorHAnsi"/>
                <w:b/>
                <w:bCs/>
                <w:sz w:val="20"/>
                <w:szCs w:val="20"/>
                <w:lang w:eastAsia="fr-FR"/>
              </w:rPr>
              <w:t> </w:t>
            </w:r>
          </w:p>
        </w:tc>
        <w:tc>
          <w:tcPr>
            <w:tcW w:w="2521" w:type="dxa"/>
            <w:tcBorders>
              <w:top w:val="nil"/>
              <w:left w:val="nil"/>
              <w:bottom w:val="single" w:sz="4" w:space="0" w:color="000000"/>
              <w:right w:val="single" w:sz="4" w:space="0" w:color="000000"/>
            </w:tcBorders>
            <w:shd w:val="clear" w:color="000000" w:fill="FFFF99"/>
            <w:vAlign w:val="center"/>
            <w:hideMark/>
          </w:tcPr>
          <w:p w:rsidR="003549B2" w:rsidRPr="00CB45CC" w:rsidRDefault="003549B2" w:rsidP="00CB45CC">
            <w:pPr>
              <w:spacing w:after="0" w:line="240" w:lineRule="auto"/>
              <w:jc w:val="right"/>
              <w:rPr>
                <w:rFonts w:asciiTheme="minorHAnsi" w:eastAsia="Times New Roman" w:hAnsiTheme="minorHAnsi" w:cstheme="minorHAnsi"/>
                <w:b/>
                <w:sz w:val="20"/>
                <w:szCs w:val="20"/>
                <w:lang w:eastAsia="fr-FR"/>
              </w:rPr>
            </w:pPr>
            <w:r w:rsidRPr="00CB45CC">
              <w:rPr>
                <w:rFonts w:asciiTheme="minorHAnsi" w:eastAsia="Times New Roman" w:hAnsiTheme="minorHAnsi" w:cstheme="minorHAnsi"/>
                <w:b/>
                <w:sz w:val="20"/>
                <w:szCs w:val="20"/>
                <w:lang w:eastAsia="fr-FR"/>
              </w:rPr>
              <w:t>1140,227</w:t>
            </w:r>
          </w:p>
        </w:tc>
      </w:tr>
    </w:tbl>
    <w:p w:rsidR="003549B2" w:rsidRDefault="003549B2" w:rsidP="003549B2"/>
    <w:p w:rsidR="00CB45CC" w:rsidRDefault="00CB45CC">
      <w:pPr>
        <w:spacing w:after="0" w:line="240" w:lineRule="auto"/>
      </w:pPr>
      <w:r>
        <w:br w:type="page"/>
      </w:r>
    </w:p>
    <w:p w:rsidR="003549B2" w:rsidRPr="009D7CC1" w:rsidRDefault="00EF24D7" w:rsidP="009D7CC1">
      <w:pPr>
        <w:pStyle w:val="Titre1"/>
        <w:pBdr>
          <w:bottom w:val="none" w:sz="0" w:space="0" w:color="auto"/>
        </w:pBdr>
        <w:spacing w:after="240"/>
        <w:rPr>
          <w:u w:val="single"/>
        </w:rPr>
      </w:pPr>
      <w:bookmarkStart w:id="732" w:name="_Toc492972289"/>
      <w:r w:rsidRPr="009D7CC1">
        <w:rPr>
          <w:u w:val="single"/>
        </w:rPr>
        <w:lastRenderedPageBreak/>
        <w:t>Annexe </w:t>
      </w:r>
      <w:r w:rsidR="00971224" w:rsidRPr="009D7CC1">
        <w:rPr>
          <w:u w:val="single"/>
        </w:rPr>
        <w:t>10</w:t>
      </w:r>
      <w:r w:rsidRPr="009D7CC1">
        <w:rPr>
          <w:u w:val="single"/>
        </w:rPr>
        <w:t>:</w:t>
      </w:r>
      <w:r w:rsidR="00971224" w:rsidRPr="009D7CC1">
        <w:rPr>
          <w:u w:val="single"/>
        </w:rPr>
        <w:t xml:space="preserve"> </w:t>
      </w:r>
      <w:r w:rsidR="004765E5" w:rsidRPr="009D7CC1">
        <w:rPr>
          <w:u w:val="single"/>
        </w:rPr>
        <w:t xml:space="preserve">Situation des </w:t>
      </w:r>
      <w:r w:rsidRPr="009D7CC1">
        <w:rPr>
          <w:u w:val="single"/>
        </w:rPr>
        <w:t xml:space="preserve">conventions </w:t>
      </w:r>
      <w:r w:rsidR="004765E5" w:rsidRPr="009D7CC1">
        <w:rPr>
          <w:u w:val="single"/>
        </w:rPr>
        <w:t xml:space="preserve">de financement </w:t>
      </w:r>
      <w:r w:rsidRPr="009D7CC1">
        <w:rPr>
          <w:u w:val="single"/>
        </w:rPr>
        <w:t>signées en 2016</w:t>
      </w:r>
      <w:bookmarkEnd w:id="732"/>
      <w:r w:rsidR="00987EBF" w:rsidRPr="009D7CC1">
        <w:rPr>
          <w:u w:val="single"/>
        </w:rPr>
        <w:t xml:space="preserve"> </w:t>
      </w:r>
    </w:p>
    <w:tbl>
      <w:tblPr>
        <w:tblW w:w="13945" w:type="dxa"/>
        <w:tblInd w:w="55" w:type="dxa"/>
        <w:tblCellMar>
          <w:left w:w="70" w:type="dxa"/>
          <w:right w:w="70" w:type="dxa"/>
        </w:tblCellMar>
        <w:tblLook w:val="04A0" w:firstRow="1" w:lastRow="0" w:firstColumn="1" w:lastColumn="0" w:noHBand="0" w:noVBand="1"/>
      </w:tblPr>
      <w:tblGrid>
        <w:gridCol w:w="7311"/>
        <w:gridCol w:w="2005"/>
        <w:gridCol w:w="1681"/>
        <w:gridCol w:w="943"/>
        <w:gridCol w:w="2005"/>
      </w:tblGrid>
      <w:tr w:rsidR="00EB1835" w:rsidRPr="008332D8" w:rsidTr="008332D8">
        <w:trPr>
          <w:trHeight w:val="269"/>
          <w:tblHeader/>
        </w:trPr>
        <w:tc>
          <w:tcPr>
            <w:tcW w:w="7311"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EB1835" w:rsidRPr="008332D8" w:rsidRDefault="00EB1835" w:rsidP="00EB1835">
            <w:pPr>
              <w:spacing w:after="0" w:line="240" w:lineRule="auto"/>
              <w:jc w:val="center"/>
              <w:rPr>
                <w:rFonts w:asciiTheme="minorHAnsi" w:eastAsia="Times New Roman" w:hAnsiTheme="minorHAnsi" w:cstheme="minorHAnsi"/>
                <w:b/>
                <w:bCs/>
                <w:color w:val="000000"/>
                <w:sz w:val="20"/>
                <w:szCs w:val="20"/>
                <w:lang w:eastAsia="fr-FR"/>
              </w:rPr>
            </w:pPr>
            <w:r w:rsidRPr="008332D8">
              <w:rPr>
                <w:rFonts w:asciiTheme="minorHAnsi" w:eastAsia="Times New Roman" w:hAnsiTheme="minorHAnsi" w:cstheme="minorHAnsi"/>
                <w:b/>
                <w:bCs/>
                <w:color w:val="000000"/>
                <w:sz w:val="20"/>
                <w:szCs w:val="20"/>
                <w:lang w:eastAsia="fr-FR"/>
              </w:rPr>
              <w:t>Intitulé du projet</w:t>
            </w:r>
          </w:p>
        </w:tc>
        <w:tc>
          <w:tcPr>
            <w:tcW w:w="2005"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EB1835" w:rsidRPr="008332D8" w:rsidRDefault="00EB1835" w:rsidP="00EB1835">
            <w:pPr>
              <w:spacing w:after="0" w:line="240" w:lineRule="auto"/>
              <w:jc w:val="center"/>
              <w:rPr>
                <w:rFonts w:asciiTheme="minorHAnsi" w:eastAsia="Times New Roman" w:hAnsiTheme="minorHAnsi" w:cstheme="minorHAnsi"/>
                <w:b/>
                <w:bCs/>
                <w:color w:val="000000"/>
                <w:sz w:val="20"/>
                <w:szCs w:val="20"/>
                <w:lang w:eastAsia="fr-FR"/>
              </w:rPr>
            </w:pPr>
            <w:r w:rsidRPr="008332D8">
              <w:rPr>
                <w:rFonts w:asciiTheme="minorHAnsi" w:eastAsia="Times New Roman" w:hAnsiTheme="minorHAnsi" w:cstheme="minorHAnsi"/>
                <w:b/>
                <w:bCs/>
                <w:color w:val="000000"/>
                <w:sz w:val="20"/>
                <w:szCs w:val="20"/>
                <w:lang w:eastAsia="fr-FR"/>
              </w:rPr>
              <w:t>Bailleurs</w:t>
            </w:r>
          </w:p>
        </w:tc>
        <w:tc>
          <w:tcPr>
            <w:tcW w:w="1681"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EB1835" w:rsidRPr="008332D8" w:rsidRDefault="00EB1835" w:rsidP="00EB1835">
            <w:pPr>
              <w:spacing w:after="0" w:line="240" w:lineRule="auto"/>
              <w:jc w:val="center"/>
              <w:rPr>
                <w:rFonts w:asciiTheme="minorHAnsi" w:eastAsia="Times New Roman" w:hAnsiTheme="minorHAnsi" w:cstheme="minorHAnsi"/>
                <w:b/>
                <w:bCs/>
                <w:color w:val="000000"/>
                <w:sz w:val="20"/>
                <w:szCs w:val="20"/>
                <w:lang w:eastAsia="fr-FR"/>
              </w:rPr>
            </w:pPr>
            <w:r w:rsidRPr="008332D8">
              <w:rPr>
                <w:rFonts w:asciiTheme="minorHAnsi" w:eastAsia="Times New Roman" w:hAnsiTheme="minorHAnsi" w:cstheme="minorHAnsi"/>
                <w:b/>
                <w:bCs/>
                <w:color w:val="000000"/>
                <w:sz w:val="20"/>
                <w:szCs w:val="20"/>
                <w:lang w:eastAsia="fr-FR"/>
              </w:rPr>
              <w:t>Date de signature</w:t>
            </w:r>
          </w:p>
        </w:tc>
        <w:tc>
          <w:tcPr>
            <w:tcW w:w="943"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EB1835" w:rsidRPr="008332D8" w:rsidRDefault="00EB1835" w:rsidP="00EB1835">
            <w:pPr>
              <w:spacing w:after="0" w:line="240" w:lineRule="auto"/>
              <w:jc w:val="center"/>
              <w:rPr>
                <w:rFonts w:asciiTheme="minorHAnsi" w:eastAsia="Times New Roman" w:hAnsiTheme="minorHAnsi" w:cstheme="minorHAnsi"/>
                <w:b/>
                <w:bCs/>
                <w:color w:val="000000"/>
                <w:sz w:val="20"/>
                <w:szCs w:val="20"/>
                <w:lang w:eastAsia="fr-FR"/>
              </w:rPr>
            </w:pPr>
            <w:r w:rsidRPr="008332D8">
              <w:rPr>
                <w:rFonts w:asciiTheme="minorHAnsi" w:eastAsia="Times New Roman" w:hAnsiTheme="minorHAnsi" w:cstheme="minorHAnsi"/>
                <w:b/>
                <w:bCs/>
                <w:color w:val="000000"/>
                <w:sz w:val="20"/>
                <w:szCs w:val="20"/>
                <w:lang w:eastAsia="fr-FR"/>
              </w:rPr>
              <w:t>Nature</w:t>
            </w:r>
          </w:p>
        </w:tc>
        <w:tc>
          <w:tcPr>
            <w:tcW w:w="2005" w:type="dxa"/>
            <w:vMerge w:val="restart"/>
            <w:tcBorders>
              <w:top w:val="single" w:sz="4" w:space="0" w:color="auto"/>
              <w:left w:val="single" w:sz="4" w:space="0" w:color="auto"/>
              <w:bottom w:val="single" w:sz="4" w:space="0" w:color="auto"/>
              <w:right w:val="single" w:sz="4" w:space="0" w:color="auto"/>
            </w:tcBorders>
            <w:shd w:val="clear" w:color="000000" w:fill="BFBFBF"/>
            <w:vAlign w:val="center"/>
            <w:hideMark/>
          </w:tcPr>
          <w:p w:rsidR="00EB1835" w:rsidRPr="008332D8" w:rsidRDefault="00EB1835" w:rsidP="00EB1835">
            <w:pPr>
              <w:spacing w:after="0" w:line="240" w:lineRule="auto"/>
              <w:jc w:val="center"/>
              <w:rPr>
                <w:rFonts w:asciiTheme="minorHAnsi" w:eastAsia="Times New Roman" w:hAnsiTheme="minorHAnsi" w:cstheme="minorHAnsi"/>
                <w:b/>
                <w:bCs/>
                <w:color w:val="000000"/>
                <w:sz w:val="20"/>
                <w:szCs w:val="20"/>
                <w:lang w:eastAsia="fr-FR"/>
              </w:rPr>
            </w:pPr>
            <w:r w:rsidRPr="008332D8">
              <w:rPr>
                <w:rFonts w:asciiTheme="minorHAnsi" w:eastAsia="Times New Roman" w:hAnsiTheme="minorHAnsi" w:cstheme="minorHAnsi"/>
                <w:b/>
                <w:bCs/>
                <w:color w:val="000000"/>
                <w:sz w:val="20"/>
                <w:szCs w:val="20"/>
                <w:lang w:eastAsia="fr-FR"/>
              </w:rPr>
              <w:t>En millions</w:t>
            </w:r>
            <w:r w:rsidRPr="008332D8">
              <w:rPr>
                <w:rFonts w:asciiTheme="minorHAnsi" w:eastAsia="Times New Roman" w:hAnsiTheme="minorHAnsi" w:cstheme="minorHAnsi"/>
                <w:b/>
                <w:bCs/>
                <w:color w:val="000000"/>
                <w:sz w:val="20"/>
                <w:szCs w:val="20"/>
                <w:lang w:eastAsia="fr-FR"/>
              </w:rPr>
              <w:br/>
              <w:t xml:space="preserve"> de FCFA</w:t>
            </w:r>
          </w:p>
        </w:tc>
      </w:tr>
      <w:tr w:rsidR="00EB1835" w:rsidRPr="008332D8" w:rsidTr="008332D8">
        <w:trPr>
          <w:trHeight w:val="269"/>
        </w:trPr>
        <w:tc>
          <w:tcPr>
            <w:tcW w:w="7311" w:type="dxa"/>
            <w:vMerge/>
            <w:tcBorders>
              <w:top w:val="single" w:sz="4" w:space="0" w:color="auto"/>
              <w:left w:val="single" w:sz="4" w:space="0" w:color="auto"/>
              <w:bottom w:val="single" w:sz="4" w:space="0" w:color="auto"/>
              <w:right w:val="single" w:sz="4" w:space="0" w:color="auto"/>
            </w:tcBorders>
            <w:vAlign w:val="center"/>
            <w:hideMark/>
          </w:tcPr>
          <w:p w:rsidR="00EB1835" w:rsidRPr="008332D8" w:rsidRDefault="00EB1835" w:rsidP="00EB1835">
            <w:pPr>
              <w:spacing w:after="0" w:line="240" w:lineRule="auto"/>
              <w:rPr>
                <w:rFonts w:asciiTheme="minorHAnsi" w:eastAsia="Times New Roman" w:hAnsiTheme="minorHAnsi" w:cstheme="minorHAnsi"/>
                <w:b/>
                <w:bCs/>
                <w:color w:val="000000"/>
                <w:sz w:val="20"/>
                <w:szCs w:val="20"/>
                <w:lang w:eastAsia="fr-FR"/>
              </w:rPr>
            </w:pPr>
          </w:p>
        </w:tc>
        <w:tc>
          <w:tcPr>
            <w:tcW w:w="2005" w:type="dxa"/>
            <w:vMerge/>
            <w:tcBorders>
              <w:top w:val="single" w:sz="4" w:space="0" w:color="auto"/>
              <w:left w:val="single" w:sz="4" w:space="0" w:color="auto"/>
              <w:bottom w:val="single" w:sz="4" w:space="0" w:color="auto"/>
              <w:right w:val="single" w:sz="4" w:space="0" w:color="auto"/>
            </w:tcBorders>
            <w:vAlign w:val="center"/>
            <w:hideMark/>
          </w:tcPr>
          <w:p w:rsidR="00EB1835" w:rsidRPr="008332D8" w:rsidRDefault="00EB1835" w:rsidP="00EB1835">
            <w:pPr>
              <w:spacing w:after="0" w:line="240" w:lineRule="auto"/>
              <w:rPr>
                <w:rFonts w:asciiTheme="minorHAnsi" w:eastAsia="Times New Roman" w:hAnsiTheme="minorHAnsi" w:cstheme="minorHAnsi"/>
                <w:b/>
                <w:bCs/>
                <w:color w:val="000000"/>
                <w:sz w:val="20"/>
                <w:szCs w:val="20"/>
                <w:lang w:eastAsia="fr-FR"/>
              </w:rPr>
            </w:pPr>
          </w:p>
        </w:tc>
        <w:tc>
          <w:tcPr>
            <w:tcW w:w="1681" w:type="dxa"/>
            <w:vMerge/>
            <w:tcBorders>
              <w:top w:val="single" w:sz="4" w:space="0" w:color="auto"/>
              <w:left w:val="single" w:sz="4" w:space="0" w:color="auto"/>
              <w:bottom w:val="single" w:sz="4" w:space="0" w:color="auto"/>
              <w:right w:val="single" w:sz="4" w:space="0" w:color="auto"/>
            </w:tcBorders>
            <w:vAlign w:val="center"/>
            <w:hideMark/>
          </w:tcPr>
          <w:p w:rsidR="00EB1835" w:rsidRPr="008332D8" w:rsidRDefault="00EB1835" w:rsidP="00EB1835">
            <w:pPr>
              <w:spacing w:after="0" w:line="240" w:lineRule="auto"/>
              <w:rPr>
                <w:rFonts w:asciiTheme="minorHAnsi" w:eastAsia="Times New Roman" w:hAnsiTheme="minorHAnsi" w:cstheme="minorHAnsi"/>
                <w:b/>
                <w:bCs/>
                <w:color w:val="000000"/>
                <w:sz w:val="20"/>
                <w:szCs w:val="20"/>
                <w:lang w:eastAsia="fr-FR"/>
              </w:rPr>
            </w:pPr>
          </w:p>
        </w:tc>
        <w:tc>
          <w:tcPr>
            <w:tcW w:w="943" w:type="dxa"/>
            <w:vMerge/>
            <w:tcBorders>
              <w:top w:val="single" w:sz="4" w:space="0" w:color="auto"/>
              <w:left w:val="single" w:sz="4" w:space="0" w:color="auto"/>
              <w:bottom w:val="single" w:sz="4" w:space="0" w:color="auto"/>
              <w:right w:val="single" w:sz="4" w:space="0" w:color="auto"/>
            </w:tcBorders>
            <w:vAlign w:val="center"/>
            <w:hideMark/>
          </w:tcPr>
          <w:p w:rsidR="00EB1835" w:rsidRPr="008332D8" w:rsidRDefault="00EB1835" w:rsidP="00EB1835">
            <w:pPr>
              <w:spacing w:after="0" w:line="240" w:lineRule="auto"/>
              <w:rPr>
                <w:rFonts w:asciiTheme="minorHAnsi" w:eastAsia="Times New Roman" w:hAnsiTheme="minorHAnsi" w:cstheme="minorHAnsi"/>
                <w:b/>
                <w:bCs/>
                <w:color w:val="000000"/>
                <w:sz w:val="20"/>
                <w:szCs w:val="20"/>
                <w:lang w:eastAsia="fr-FR"/>
              </w:rPr>
            </w:pPr>
          </w:p>
        </w:tc>
        <w:tc>
          <w:tcPr>
            <w:tcW w:w="2005" w:type="dxa"/>
            <w:vMerge/>
            <w:tcBorders>
              <w:top w:val="single" w:sz="4" w:space="0" w:color="auto"/>
              <w:left w:val="single" w:sz="4" w:space="0" w:color="auto"/>
              <w:bottom w:val="single" w:sz="4" w:space="0" w:color="auto"/>
              <w:right w:val="single" w:sz="4" w:space="0" w:color="auto"/>
            </w:tcBorders>
            <w:vAlign w:val="center"/>
            <w:hideMark/>
          </w:tcPr>
          <w:p w:rsidR="00EB1835" w:rsidRPr="008332D8" w:rsidRDefault="00EB1835" w:rsidP="00EB1835">
            <w:pPr>
              <w:spacing w:after="0" w:line="240" w:lineRule="auto"/>
              <w:jc w:val="center"/>
              <w:rPr>
                <w:rFonts w:asciiTheme="minorHAnsi" w:eastAsia="Times New Roman" w:hAnsiTheme="minorHAnsi" w:cstheme="minorHAnsi"/>
                <w:b/>
                <w:bCs/>
                <w:color w:val="000000"/>
                <w:sz w:val="20"/>
                <w:szCs w:val="20"/>
                <w:lang w:eastAsia="fr-FR"/>
              </w:rPr>
            </w:pPr>
          </w:p>
        </w:tc>
      </w:tr>
      <w:tr w:rsidR="00EB1835" w:rsidRPr="008332D8" w:rsidTr="008332D8">
        <w:trPr>
          <w:trHeight w:val="340"/>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Programme Crédit Global du Bureau de la Coopération Suisse au Burkina Faso, phase 9</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Suisse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05/04/2016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1 205,13</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Programme d’appui au Secteur de la Culture au Burkina Faso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Suisse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05/04/2016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1 205,13</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Assistance technique à la Drection Générale des Impôts phase 2</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Suisse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12/05/2016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2 048,72</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de transport et de développement des infrastructures urbaines</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Suisse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07/07/2016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4 217,96</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Appui à la mise en œuvre PDSEB au Burkina Faso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France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20/02/2016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5 903,61</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Approvisionnement en eau potable de la ville de Bobo-Dioulasso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France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05/04/2016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19 678,71</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Fonds d'études et de renforcement des capacités, phase 4</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France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05/07/2016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655,96</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Appui à la mise en œuvre du continium au Burkina Faso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France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15/06/2016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5 903,61</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Appuis Budgétaires</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France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23/12/2016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4 263,72</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Programme eau et assainissement</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Danemark</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27/04/2016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29 744,00</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Programme Droits humains et stabilité</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Danemark</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27/04/2016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16 020,00</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Appuis budgétaires</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Danemark</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27/04/2016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22 680,00</w:t>
            </w:r>
          </w:p>
        </w:tc>
      </w:tr>
      <w:tr w:rsidR="00EB1835" w:rsidRPr="008332D8" w:rsidTr="008332D8">
        <w:trPr>
          <w:trHeight w:val="299"/>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Programme Pro-Enfant-Mise en œuvre des droits de l'enfant au Burkina Faso</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Allemagne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23/05/2016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2 623,83</w:t>
            </w:r>
          </w:p>
        </w:tc>
      </w:tr>
      <w:tr w:rsidR="00EB1835" w:rsidRPr="008332D8" w:rsidTr="008332D8">
        <w:trPr>
          <w:trHeight w:val="485"/>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Programme d'eau potable et d'assainissement dans la Boucle du Mouhoun, les Cascades, les Hauts-Bassins et le Sud-Ouest</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Allemagne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02/08/2016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7 871,48</w:t>
            </w:r>
          </w:p>
        </w:tc>
      </w:tr>
      <w:tr w:rsidR="00EB1835" w:rsidRPr="008332D8" w:rsidTr="008332D8">
        <w:trPr>
          <w:trHeight w:val="485"/>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d'Amélioration de la Productivité Agricole par la Conservation des Eaux et des Sols</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Allemagne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13/06/2016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6 559,57</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Appui aux élections municipales</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Allemagne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09/03/2016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983,94</w:t>
            </w:r>
          </w:p>
        </w:tc>
      </w:tr>
      <w:tr w:rsidR="00EB1835" w:rsidRPr="008332D8" w:rsidTr="008332D8">
        <w:trPr>
          <w:trHeight w:val="728"/>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Amendement N°2 à l'accord pour le soutien au Plan d'actions 2013-2015 de mise en œuvre de la Politique nationale des droits humains et de la promotion civique au Burkina Faso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Suède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29/06/2016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673,84</w:t>
            </w:r>
          </w:p>
        </w:tc>
      </w:tr>
      <w:tr w:rsidR="00EB1835" w:rsidRPr="008332D8" w:rsidTr="008332D8">
        <w:trPr>
          <w:trHeight w:val="485"/>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Accord spécifique pour le financement du recensement général de la population et de l'habitation 2016</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Suède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08/09/2016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1 684,80</w:t>
            </w:r>
          </w:p>
        </w:tc>
      </w:tr>
      <w:tr w:rsidR="00EB1835" w:rsidRPr="008332D8" w:rsidTr="008332D8">
        <w:trPr>
          <w:trHeight w:val="197"/>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de construction et de bitumage de la route nationale N°23 (Ouahigouya-Djibo)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Koweite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24/05/2016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13 090,00</w:t>
            </w:r>
          </w:p>
        </w:tc>
      </w:tr>
      <w:tr w:rsidR="00EB1835" w:rsidRPr="008332D8" w:rsidTr="008332D8">
        <w:trPr>
          <w:trHeight w:val="485"/>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d'appui aux droits à l'accès à l'eau potable et à l'aissainissement de la ville de Fada N'Gourma</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Belgique</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23/07/2016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6 559,57</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Echange de note KRI 2015</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Japon</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26/03/2016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2 500,00</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Echange de note KRI 2016</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Japon</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15/09/2016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1 850,00</w:t>
            </w:r>
          </w:p>
        </w:tc>
      </w:tr>
      <w:tr w:rsidR="00EB1835" w:rsidRPr="008332D8" w:rsidTr="008332D8">
        <w:trPr>
          <w:trHeight w:val="485"/>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de renforcement des capacités des forces de sécurité, magistrats et travailleurs sociaux en protection de l'enfants au BF</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Canada</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janv-16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2 851,55</w:t>
            </w:r>
          </w:p>
        </w:tc>
      </w:tr>
      <w:tr w:rsidR="00EB1835" w:rsidRPr="008332D8" w:rsidTr="008332D8">
        <w:trPr>
          <w:trHeight w:val="276"/>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lastRenderedPageBreak/>
              <w:t>Projet d'appui à la prévention de la propagation de la maladie à virus Ebola au BF</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Canada</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janv-16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411,25</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d'appui à la démocratie au Burkina Faso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Canada</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1 334,00</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Financement additionnel  du projet santé de la reproduction</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BM</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04/04/2016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20 443,46</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Projet de gouvernance économique et de participation citoyenne </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BM</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15/04/2016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18 629,18</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de transposrt et de développement des infrastructures urbaines</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BM</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07/07/2016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57 593,02</w:t>
            </w:r>
          </w:p>
        </w:tc>
      </w:tr>
      <w:tr w:rsidR="00EB1835" w:rsidRPr="008332D8" w:rsidTr="008332D8">
        <w:trPr>
          <w:trHeight w:val="251"/>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Deuxième crédit régional pour la facilitation du commerce et la compétitivité</w:t>
            </w:r>
          </w:p>
        </w:tc>
        <w:tc>
          <w:tcPr>
            <w:tcW w:w="2005" w:type="dxa"/>
            <w:tcBorders>
              <w:top w:val="nil"/>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BM</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19/12/2016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29 977,23</w:t>
            </w:r>
          </w:p>
        </w:tc>
      </w:tr>
      <w:tr w:rsidR="00EB1835" w:rsidRPr="008332D8" w:rsidTr="008332D8">
        <w:trPr>
          <w:trHeight w:val="242"/>
        </w:trPr>
        <w:tc>
          <w:tcPr>
            <w:tcW w:w="7311" w:type="dxa"/>
            <w:vMerge w:val="restart"/>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8332D8">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Appuis aux réformes du secteur de l'énergie et la gestion budgétaire</w:t>
            </w:r>
          </w:p>
        </w:tc>
        <w:tc>
          <w:tcPr>
            <w:tcW w:w="2005" w:type="dxa"/>
            <w:vMerge w:val="restart"/>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BM</w:t>
            </w:r>
          </w:p>
        </w:tc>
        <w:tc>
          <w:tcPr>
            <w:tcW w:w="168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21/12/2016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Don</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26 303,88</w:t>
            </w:r>
          </w:p>
        </w:tc>
      </w:tr>
      <w:tr w:rsidR="00EB1835" w:rsidRPr="008332D8" w:rsidTr="008332D8">
        <w:trPr>
          <w:trHeight w:val="70"/>
        </w:trPr>
        <w:tc>
          <w:tcPr>
            <w:tcW w:w="7311" w:type="dxa"/>
            <w:vMerge/>
            <w:tcBorders>
              <w:top w:val="nil"/>
              <w:left w:val="single" w:sz="4" w:space="0" w:color="auto"/>
              <w:bottom w:val="single" w:sz="4" w:space="0" w:color="auto"/>
              <w:right w:val="single" w:sz="4" w:space="0" w:color="auto"/>
            </w:tcBorders>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p>
        </w:tc>
        <w:tc>
          <w:tcPr>
            <w:tcW w:w="2005" w:type="dxa"/>
            <w:vMerge/>
            <w:tcBorders>
              <w:top w:val="nil"/>
              <w:left w:val="single" w:sz="4" w:space="0" w:color="auto"/>
              <w:bottom w:val="single" w:sz="4" w:space="0" w:color="auto"/>
              <w:right w:val="single" w:sz="4" w:space="0" w:color="auto"/>
            </w:tcBorders>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p>
        </w:tc>
        <w:tc>
          <w:tcPr>
            <w:tcW w:w="1681" w:type="dxa"/>
            <w:vMerge/>
            <w:tcBorders>
              <w:top w:val="nil"/>
              <w:left w:val="single" w:sz="4" w:space="0" w:color="auto"/>
              <w:bottom w:val="single" w:sz="4" w:space="0" w:color="auto"/>
              <w:right w:val="single" w:sz="4" w:space="0" w:color="auto"/>
            </w:tcBorders>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32 994,64</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Projetd de construction et de bitumage de la route Guiba -Garango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BID</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17/05/2016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29 649,26</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de Développement Agricole de Liptougou et de Pensa</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BID</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17/05/2016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10 637,00</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de Développement Agricole de SOUM (NANORO)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BID</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17/05/2016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17 015,52</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d'éléctrification des quartiers péri-urbains de ouaga et de Bobo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BID</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16/11/2016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20 350,00</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Projet d'extension de la ligne électrique Koupèla-Zano</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OFID</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05/12/2016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7 150,00</w:t>
            </w:r>
          </w:p>
        </w:tc>
      </w:tr>
      <w:tr w:rsidR="00EB1835" w:rsidRPr="008332D8" w:rsidTr="008332D8">
        <w:trPr>
          <w:trHeight w:val="255"/>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sz w:val="20"/>
                <w:szCs w:val="20"/>
                <w:lang w:eastAsia="fr-FR"/>
              </w:rPr>
            </w:pPr>
            <w:r w:rsidRPr="008332D8">
              <w:rPr>
                <w:rFonts w:asciiTheme="minorHAnsi" w:eastAsia="Times New Roman" w:hAnsiTheme="minorHAnsi" w:cstheme="minorHAnsi"/>
                <w:sz w:val="20"/>
                <w:szCs w:val="20"/>
                <w:lang w:eastAsia="fr-FR"/>
              </w:rPr>
              <w:t xml:space="preserve"> Projet de mobilisation et de valorisation des eaux de surface dans le plateau centrale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BOAD</w:t>
            </w:r>
          </w:p>
        </w:tc>
        <w:tc>
          <w:tcPr>
            <w:tcW w:w="1681"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sz w:val="20"/>
                <w:szCs w:val="20"/>
                <w:lang w:eastAsia="fr-FR"/>
              </w:rPr>
            </w:pPr>
            <w:r w:rsidRPr="008332D8">
              <w:rPr>
                <w:rFonts w:asciiTheme="minorHAnsi" w:eastAsia="Times New Roman" w:hAnsiTheme="minorHAnsi" w:cstheme="minorHAnsi"/>
                <w:sz w:val="20"/>
                <w:szCs w:val="20"/>
                <w:lang w:eastAsia="fr-FR"/>
              </w:rPr>
              <w:t>26/09/2016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Prêt</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10 000,00</w:t>
            </w:r>
          </w:p>
        </w:tc>
      </w:tr>
      <w:tr w:rsidR="00EB1835" w:rsidRPr="008332D8" w:rsidTr="008332D8">
        <w:trPr>
          <w:trHeight w:val="177"/>
        </w:trPr>
        <w:tc>
          <w:tcPr>
            <w:tcW w:w="7311" w:type="dxa"/>
            <w:tcBorders>
              <w:top w:val="nil"/>
              <w:left w:val="single" w:sz="4" w:space="0" w:color="auto"/>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Projet d'inssertion des jeunes et des femmes dans les secteurs agro-sylvo-pastoraux -halieutique et faunique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BAD</w:t>
            </w:r>
          </w:p>
        </w:tc>
        <w:tc>
          <w:tcPr>
            <w:tcW w:w="1681"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22/07/2016</w:t>
            </w:r>
          </w:p>
        </w:tc>
        <w:tc>
          <w:tcPr>
            <w:tcW w:w="943"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Don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510,00</w:t>
            </w:r>
          </w:p>
        </w:tc>
      </w:tr>
      <w:tr w:rsidR="00EB1835" w:rsidRPr="008332D8" w:rsidTr="008332D8">
        <w:trPr>
          <w:trHeight w:val="485"/>
        </w:trPr>
        <w:tc>
          <w:tcPr>
            <w:tcW w:w="7311" w:type="dxa"/>
            <w:tcBorders>
              <w:top w:val="nil"/>
              <w:left w:val="single" w:sz="4" w:space="0" w:color="auto"/>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Projet de développement intégré de la filière Karité pour l’autonomisation économique des femmes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BAD</w:t>
            </w:r>
          </w:p>
        </w:tc>
        <w:tc>
          <w:tcPr>
            <w:tcW w:w="1681"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09/09/216</w:t>
            </w:r>
          </w:p>
        </w:tc>
        <w:tc>
          <w:tcPr>
            <w:tcW w:w="943"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Don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546,34</w:t>
            </w:r>
          </w:p>
        </w:tc>
      </w:tr>
      <w:tr w:rsidR="00EB1835" w:rsidRPr="008332D8" w:rsidTr="008332D8">
        <w:trPr>
          <w:trHeight w:val="485"/>
        </w:trPr>
        <w:tc>
          <w:tcPr>
            <w:tcW w:w="7311" w:type="dxa"/>
            <w:tcBorders>
              <w:top w:val="nil"/>
              <w:left w:val="single" w:sz="4" w:space="0" w:color="auto"/>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Etudes integrées de valorisation du barrage souterrain de Naré et réhabilitation des infrastructures connexes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BAD</w:t>
            </w:r>
          </w:p>
        </w:tc>
        <w:tc>
          <w:tcPr>
            <w:tcW w:w="1681"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09/09/2016</w:t>
            </w:r>
          </w:p>
        </w:tc>
        <w:tc>
          <w:tcPr>
            <w:tcW w:w="943"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Don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549,69</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Projet d'électrification des zones péri urbaine de Ouaga et de Bobo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BAD</w:t>
            </w:r>
          </w:p>
        </w:tc>
        <w:tc>
          <w:tcPr>
            <w:tcW w:w="1681"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18//09/2016</w:t>
            </w:r>
          </w:p>
        </w:tc>
        <w:tc>
          <w:tcPr>
            <w:tcW w:w="943"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Prêt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22 660,00</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Facilité de coopération technique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UE</w:t>
            </w:r>
          </w:p>
        </w:tc>
        <w:tc>
          <w:tcPr>
            <w:tcW w:w="1681"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29/03/2016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Don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1 705,49</w:t>
            </w:r>
          </w:p>
        </w:tc>
      </w:tr>
      <w:tr w:rsidR="00EB1835" w:rsidRPr="008332D8" w:rsidTr="008332D8">
        <w:trPr>
          <w:trHeight w:val="242"/>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Contrat de reforme sectorielle santé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UE</w:t>
            </w:r>
          </w:p>
        </w:tc>
        <w:tc>
          <w:tcPr>
            <w:tcW w:w="1681"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13/10/2016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Don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55 100,39</w:t>
            </w:r>
          </w:p>
        </w:tc>
      </w:tr>
      <w:tr w:rsidR="00EB1835" w:rsidRPr="008332D8" w:rsidTr="008332D8">
        <w:trPr>
          <w:trHeight w:val="323"/>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Convention de financement " Contrat de bonne gouvernance et de Développement"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UE</w:t>
            </w:r>
          </w:p>
        </w:tc>
        <w:tc>
          <w:tcPr>
            <w:tcW w:w="1681"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07/12/2016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Don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89 210,15</w:t>
            </w:r>
          </w:p>
        </w:tc>
      </w:tr>
      <w:tr w:rsidR="00EB1835" w:rsidRPr="008332D8" w:rsidTr="008332D8">
        <w:trPr>
          <w:trHeight w:val="255"/>
        </w:trPr>
        <w:tc>
          <w:tcPr>
            <w:tcW w:w="7311" w:type="dxa"/>
            <w:tcBorders>
              <w:top w:val="nil"/>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Programme d'apui à la politique sectorielle eau et assainissement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UE</w:t>
            </w:r>
          </w:p>
        </w:tc>
        <w:tc>
          <w:tcPr>
            <w:tcW w:w="1681" w:type="dxa"/>
            <w:tcBorders>
              <w:top w:val="nil"/>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07/12/2016</w:t>
            </w:r>
          </w:p>
        </w:tc>
        <w:tc>
          <w:tcPr>
            <w:tcW w:w="943"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Don </w:t>
            </w:r>
          </w:p>
        </w:tc>
        <w:tc>
          <w:tcPr>
            <w:tcW w:w="2005" w:type="dxa"/>
            <w:tcBorders>
              <w:top w:val="nil"/>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35 421,68</w:t>
            </w:r>
          </w:p>
        </w:tc>
      </w:tr>
      <w:tr w:rsidR="00EB1835" w:rsidRPr="008332D8" w:rsidTr="008332D8">
        <w:trPr>
          <w:trHeight w:val="485"/>
        </w:trPr>
        <w:tc>
          <w:tcPr>
            <w:tcW w:w="7311" w:type="dxa"/>
            <w:tcBorders>
              <w:top w:val="single" w:sz="8" w:space="0" w:color="auto"/>
              <w:left w:val="single" w:sz="8" w:space="0" w:color="auto"/>
              <w:bottom w:val="nil"/>
              <w:right w:val="single" w:sz="8" w:space="0" w:color="auto"/>
            </w:tcBorders>
            <w:shd w:val="clear" w:color="auto" w:fill="auto"/>
            <w:vAlign w:val="center"/>
            <w:hideMark/>
          </w:tcPr>
          <w:p w:rsidR="00EB1835" w:rsidRPr="008332D8" w:rsidRDefault="00EB1835" w:rsidP="00EB1835">
            <w:pPr>
              <w:spacing w:after="0" w:line="240" w:lineRule="auto"/>
              <w:jc w:val="both"/>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Le projet Modernisation, sécurisation des titres de transports et ré immatriculation des véhicules </w:t>
            </w:r>
          </w:p>
        </w:tc>
        <w:tc>
          <w:tcPr>
            <w:tcW w:w="2005" w:type="dxa"/>
            <w:tcBorders>
              <w:top w:val="single" w:sz="8" w:space="0" w:color="auto"/>
              <w:left w:val="nil"/>
              <w:bottom w:val="nil"/>
              <w:right w:val="nil"/>
            </w:tcBorders>
            <w:shd w:val="clear" w:color="auto" w:fill="auto"/>
            <w:vAlign w:val="center"/>
            <w:hideMark/>
          </w:tcPr>
          <w:p w:rsidR="00EB1835" w:rsidRPr="008332D8" w:rsidRDefault="00EB1835" w:rsidP="00EB1835">
            <w:pPr>
              <w:spacing w:after="0" w:line="240" w:lineRule="auto"/>
              <w:jc w:val="both"/>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Oberthur technologie</w:t>
            </w:r>
          </w:p>
        </w:tc>
        <w:tc>
          <w:tcPr>
            <w:tcW w:w="1681" w:type="dxa"/>
            <w:tcBorders>
              <w:top w:val="nil"/>
              <w:left w:val="single" w:sz="4" w:space="0" w:color="auto"/>
              <w:bottom w:val="nil"/>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Août 2016</w:t>
            </w:r>
          </w:p>
        </w:tc>
        <w:tc>
          <w:tcPr>
            <w:tcW w:w="943" w:type="dxa"/>
            <w:tcBorders>
              <w:top w:val="nil"/>
              <w:left w:val="nil"/>
              <w:bottom w:val="nil"/>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xml:space="preserve"> Prêt </w:t>
            </w:r>
          </w:p>
        </w:tc>
        <w:tc>
          <w:tcPr>
            <w:tcW w:w="2005" w:type="dxa"/>
            <w:tcBorders>
              <w:top w:val="nil"/>
              <w:left w:val="nil"/>
              <w:bottom w:val="nil"/>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15 319,13</w:t>
            </w:r>
          </w:p>
        </w:tc>
      </w:tr>
      <w:tr w:rsidR="00EB1835" w:rsidRPr="008332D8" w:rsidTr="008332D8">
        <w:trPr>
          <w:trHeight w:val="242"/>
        </w:trPr>
        <w:tc>
          <w:tcPr>
            <w:tcW w:w="73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jc w:val="both"/>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Total des conventions signées avec les ONG</w:t>
            </w:r>
          </w:p>
        </w:tc>
        <w:tc>
          <w:tcPr>
            <w:tcW w:w="2005" w:type="dxa"/>
            <w:tcBorders>
              <w:top w:val="single" w:sz="4" w:space="0" w:color="auto"/>
              <w:left w:val="nil"/>
              <w:bottom w:val="single" w:sz="4" w:space="0" w:color="auto"/>
              <w:right w:val="single" w:sz="4" w:space="0" w:color="auto"/>
            </w:tcBorders>
            <w:shd w:val="clear" w:color="auto" w:fill="auto"/>
            <w:vAlign w:val="center"/>
            <w:hideMark/>
          </w:tcPr>
          <w:p w:rsidR="00EB1835" w:rsidRPr="008332D8" w:rsidRDefault="00EB1835" w:rsidP="00EB1835">
            <w:pPr>
              <w:spacing w:after="0" w:line="240" w:lineRule="auto"/>
              <w:jc w:val="both"/>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w:t>
            </w:r>
          </w:p>
        </w:tc>
        <w:tc>
          <w:tcPr>
            <w:tcW w:w="1681" w:type="dxa"/>
            <w:tcBorders>
              <w:top w:val="single" w:sz="4" w:space="0" w:color="auto"/>
              <w:left w:val="nil"/>
              <w:bottom w:val="single" w:sz="4" w:space="0" w:color="auto"/>
              <w:right w:val="single" w:sz="4" w:space="0" w:color="auto"/>
            </w:tcBorders>
            <w:shd w:val="clear" w:color="000000" w:fill="FFFFFF"/>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w:t>
            </w:r>
          </w:p>
        </w:tc>
        <w:tc>
          <w:tcPr>
            <w:tcW w:w="943" w:type="dxa"/>
            <w:tcBorders>
              <w:top w:val="single" w:sz="4" w:space="0" w:color="auto"/>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 </w:t>
            </w:r>
          </w:p>
        </w:tc>
        <w:tc>
          <w:tcPr>
            <w:tcW w:w="2005" w:type="dxa"/>
            <w:tcBorders>
              <w:top w:val="single" w:sz="4" w:space="0" w:color="auto"/>
              <w:left w:val="nil"/>
              <w:bottom w:val="single" w:sz="4" w:space="0" w:color="auto"/>
              <w:right w:val="single" w:sz="4" w:space="0" w:color="auto"/>
            </w:tcBorders>
            <w:shd w:val="clear" w:color="auto" w:fill="auto"/>
            <w:noWrap/>
            <w:vAlign w:val="center"/>
            <w:hideMark/>
          </w:tcPr>
          <w:p w:rsidR="00EB1835" w:rsidRPr="008332D8" w:rsidRDefault="00EB1835" w:rsidP="00EB1835">
            <w:pPr>
              <w:spacing w:after="0" w:line="240" w:lineRule="auto"/>
              <w:jc w:val="center"/>
              <w:rPr>
                <w:rFonts w:asciiTheme="minorHAnsi" w:eastAsia="Times New Roman" w:hAnsiTheme="minorHAnsi" w:cstheme="minorHAnsi"/>
                <w:color w:val="000000"/>
                <w:sz w:val="20"/>
                <w:szCs w:val="20"/>
                <w:lang w:eastAsia="fr-FR"/>
              </w:rPr>
            </w:pPr>
            <w:r w:rsidRPr="008332D8">
              <w:rPr>
                <w:rFonts w:asciiTheme="minorHAnsi" w:eastAsia="Times New Roman" w:hAnsiTheme="minorHAnsi" w:cstheme="minorHAnsi"/>
                <w:color w:val="000000"/>
                <w:sz w:val="20"/>
                <w:szCs w:val="20"/>
                <w:lang w:eastAsia="fr-FR"/>
              </w:rPr>
              <w:t>53 670,93</w:t>
            </w:r>
          </w:p>
        </w:tc>
      </w:tr>
      <w:tr w:rsidR="00EB1835" w:rsidRPr="008332D8" w:rsidTr="008332D8">
        <w:trPr>
          <w:trHeight w:val="242"/>
        </w:trPr>
        <w:tc>
          <w:tcPr>
            <w:tcW w:w="11940" w:type="dxa"/>
            <w:gridSpan w:val="4"/>
            <w:tcBorders>
              <w:top w:val="single" w:sz="4" w:space="0" w:color="auto"/>
              <w:left w:val="single" w:sz="4" w:space="0" w:color="auto"/>
              <w:bottom w:val="single" w:sz="4" w:space="0" w:color="auto"/>
              <w:right w:val="single" w:sz="4" w:space="0" w:color="000000"/>
            </w:tcBorders>
            <w:shd w:val="clear" w:color="000000" w:fill="BFBFBF"/>
            <w:noWrap/>
            <w:vAlign w:val="center"/>
            <w:hideMark/>
          </w:tcPr>
          <w:p w:rsidR="00EB1835" w:rsidRPr="008332D8" w:rsidRDefault="00EB1835" w:rsidP="00EB1835">
            <w:pPr>
              <w:spacing w:after="0" w:line="240" w:lineRule="auto"/>
              <w:jc w:val="center"/>
              <w:rPr>
                <w:rFonts w:asciiTheme="minorHAnsi" w:eastAsia="Times New Roman" w:hAnsiTheme="minorHAnsi" w:cstheme="minorHAnsi"/>
                <w:b/>
                <w:bCs/>
                <w:color w:val="000000"/>
                <w:sz w:val="20"/>
                <w:szCs w:val="20"/>
                <w:lang w:eastAsia="fr-FR"/>
              </w:rPr>
            </w:pPr>
            <w:r w:rsidRPr="008332D8">
              <w:rPr>
                <w:rFonts w:asciiTheme="minorHAnsi" w:eastAsia="Times New Roman" w:hAnsiTheme="minorHAnsi" w:cstheme="minorHAnsi"/>
                <w:b/>
                <w:bCs/>
                <w:color w:val="000000"/>
                <w:sz w:val="20"/>
                <w:szCs w:val="20"/>
                <w:lang w:eastAsia="fr-FR"/>
              </w:rPr>
              <w:t>Total</w:t>
            </w:r>
          </w:p>
        </w:tc>
        <w:tc>
          <w:tcPr>
            <w:tcW w:w="2005" w:type="dxa"/>
            <w:tcBorders>
              <w:top w:val="nil"/>
              <w:left w:val="nil"/>
              <w:bottom w:val="single" w:sz="4" w:space="0" w:color="auto"/>
              <w:right w:val="single" w:sz="4" w:space="0" w:color="auto"/>
            </w:tcBorders>
            <w:shd w:val="clear" w:color="000000" w:fill="BFBFBF"/>
            <w:noWrap/>
            <w:vAlign w:val="center"/>
            <w:hideMark/>
          </w:tcPr>
          <w:p w:rsidR="00EB1835" w:rsidRPr="008332D8" w:rsidRDefault="00EB1835" w:rsidP="00EB1835">
            <w:pPr>
              <w:spacing w:after="0" w:line="240" w:lineRule="auto"/>
              <w:jc w:val="center"/>
              <w:rPr>
                <w:rFonts w:asciiTheme="minorHAnsi" w:eastAsia="Times New Roman" w:hAnsiTheme="minorHAnsi" w:cstheme="minorHAnsi"/>
                <w:b/>
                <w:bCs/>
                <w:color w:val="000000"/>
                <w:sz w:val="20"/>
                <w:szCs w:val="20"/>
                <w:lang w:eastAsia="fr-FR"/>
              </w:rPr>
            </w:pPr>
            <w:r w:rsidRPr="008332D8">
              <w:rPr>
                <w:rFonts w:asciiTheme="minorHAnsi" w:eastAsia="Times New Roman" w:hAnsiTheme="minorHAnsi" w:cstheme="minorHAnsi"/>
                <w:b/>
                <w:bCs/>
                <w:color w:val="000000"/>
                <w:sz w:val="20"/>
                <w:szCs w:val="20"/>
                <w:lang w:eastAsia="fr-FR"/>
              </w:rPr>
              <w:t>717 957,39</w:t>
            </w:r>
          </w:p>
        </w:tc>
      </w:tr>
    </w:tbl>
    <w:p w:rsidR="006E7EAE" w:rsidRDefault="006E7EAE">
      <w:pPr>
        <w:spacing w:after="0" w:line="240" w:lineRule="auto"/>
        <w:rPr>
          <w:rFonts w:ascii="Bodoni MT Black" w:hAnsi="Bodoni MT Black"/>
          <w:b/>
          <w:color w:val="2E74B5"/>
        </w:rPr>
      </w:pPr>
    </w:p>
    <w:p w:rsidR="009D7CC1" w:rsidRDefault="009D7CC1">
      <w:pPr>
        <w:spacing w:after="0" w:line="240" w:lineRule="auto"/>
        <w:rPr>
          <w:rFonts w:ascii="Bodoni MT Black" w:hAnsi="Bodoni MT Black"/>
          <w:b/>
          <w:color w:val="2E74B5"/>
        </w:rPr>
      </w:pPr>
      <w:r>
        <w:rPr>
          <w:rFonts w:ascii="Bodoni MT Black" w:hAnsi="Bodoni MT Black"/>
          <w:b/>
          <w:color w:val="2E74B5"/>
        </w:rPr>
        <w:br w:type="page"/>
      </w:r>
    </w:p>
    <w:p w:rsidR="002F0E02" w:rsidRPr="009D7CC1" w:rsidRDefault="002F0E02" w:rsidP="009D7CC1">
      <w:pPr>
        <w:pStyle w:val="Titre1"/>
        <w:pBdr>
          <w:bottom w:val="none" w:sz="0" w:space="0" w:color="auto"/>
        </w:pBdr>
        <w:spacing w:after="240"/>
        <w:rPr>
          <w:u w:val="single"/>
        </w:rPr>
      </w:pPr>
      <w:bookmarkStart w:id="733" w:name="_Toc492972290"/>
      <w:r w:rsidRPr="009D7CC1">
        <w:rPr>
          <w:u w:val="single"/>
        </w:rPr>
        <w:lastRenderedPageBreak/>
        <w:t>Annexe 11 : SITUATION DES CONVENTIONS SIGNEES AVEC LES ONG/AD DEPUIS JANVIER 2016</w:t>
      </w:r>
      <w:bookmarkEnd w:id="733"/>
    </w:p>
    <w:tbl>
      <w:tblPr>
        <w:tblStyle w:val="Grilledutableau"/>
        <w:tblW w:w="14205" w:type="dxa"/>
        <w:tblLayout w:type="fixed"/>
        <w:tblLook w:val="04A0" w:firstRow="1" w:lastRow="0" w:firstColumn="1" w:lastColumn="0" w:noHBand="0" w:noVBand="1"/>
      </w:tblPr>
      <w:tblGrid>
        <w:gridCol w:w="510"/>
        <w:gridCol w:w="849"/>
        <w:gridCol w:w="2889"/>
        <w:gridCol w:w="3182"/>
        <w:gridCol w:w="3480"/>
        <w:gridCol w:w="1646"/>
        <w:gridCol w:w="1649"/>
      </w:tblGrid>
      <w:tr w:rsidR="00F4187A" w:rsidRPr="00E416FD" w:rsidTr="00F4187A">
        <w:trPr>
          <w:trHeight w:val="437"/>
          <w:tblHeader/>
        </w:trPr>
        <w:tc>
          <w:tcPr>
            <w:tcW w:w="510" w:type="dxa"/>
            <w:shd w:val="clear" w:color="auto" w:fill="BFBFBF" w:themeFill="background1" w:themeFillShade="BF"/>
            <w:vAlign w:val="center"/>
            <w:hideMark/>
          </w:tcPr>
          <w:p w:rsidR="002F0E02" w:rsidRPr="00E416FD" w:rsidRDefault="002F0E02" w:rsidP="00F4187A">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N°</w:t>
            </w:r>
          </w:p>
        </w:tc>
        <w:tc>
          <w:tcPr>
            <w:tcW w:w="849" w:type="dxa"/>
            <w:shd w:val="clear" w:color="auto" w:fill="BFBFBF" w:themeFill="background1" w:themeFillShade="BF"/>
            <w:vAlign w:val="center"/>
            <w:hideMark/>
          </w:tcPr>
          <w:p w:rsidR="002F0E02" w:rsidRPr="00E416FD" w:rsidRDefault="002F0E02" w:rsidP="00F4187A">
            <w:pPr>
              <w:spacing w:after="0" w:line="240" w:lineRule="auto"/>
              <w:jc w:val="center"/>
              <w:rPr>
                <w:rFonts w:asciiTheme="minorHAnsi" w:hAnsiTheme="minorHAnsi" w:cstheme="minorHAnsi"/>
                <w:b/>
                <w:bCs/>
                <w:sz w:val="20"/>
                <w:szCs w:val="20"/>
              </w:rPr>
            </w:pPr>
            <w:r w:rsidRPr="00E416FD">
              <w:rPr>
                <w:rFonts w:asciiTheme="minorHAnsi" w:hAnsiTheme="minorHAnsi" w:cstheme="minorHAnsi"/>
                <w:b/>
                <w:bCs/>
                <w:sz w:val="20"/>
                <w:szCs w:val="20"/>
              </w:rPr>
              <w:t>N° DP-ONG</w:t>
            </w:r>
          </w:p>
        </w:tc>
        <w:tc>
          <w:tcPr>
            <w:tcW w:w="2889" w:type="dxa"/>
            <w:shd w:val="clear" w:color="auto" w:fill="BFBFBF" w:themeFill="background1" w:themeFillShade="BF"/>
            <w:vAlign w:val="center"/>
            <w:hideMark/>
          </w:tcPr>
          <w:p w:rsidR="002F0E02" w:rsidRPr="00E416FD" w:rsidRDefault="002F0E02" w:rsidP="00F4187A">
            <w:pPr>
              <w:spacing w:after="0" w:line="240" w:lineRule="auto"/>
              <w:jc w:val="center"/>
              <w:rPr>
                <w:rFonts w:asciiTheme="minorHAnsi" w:hAnsiTheme="minorHAnsi" w:cstheme="minorHAnsi"/>
                <w:b/>
                <w:bCs/>
                <w:sz w:val="20"/>
                <w:szCs w:val="20"/>
              </w:rPr>
            </w:pPr>
            <w:r w:rsidRPr="00E416FD">
              <w:rPr>
                <w:rFonts w:asciiTheme="minorHAnsi" w:hAnsiTheme="minorHAnsi" w:cstheme="minorHAnsi"/>
                <w:b/>
                <w:bCs/>
                <w:sz w:val="20"/>
                <w:szCs w:val="20"/>
              </w:rPr>
              <w:t>ONG</w:t>
            </w:r>
          </w:p>
        </w:tc>
        <w:tc>
          <w:tcPr>
            <w:tcW w:w="3182" w:type="dxa"/>
            <w:shd w:val="clear" w:color="auto" w:fill="BFBFBF" w:themeFill="background1" w:themeFillShade="BF"/>
            <w:vAlign w:val="center"/>
            <w:hideMark/>
          </w:tcPr>
          <w:p w:rsidR="002F0E02" w:rsidRPr="00E416FD" w:rsidRDefault="002F0E02" w:rsidP="00F4187A">
            <w:pPr>
              <w:spacing w:after="0" w:line="240" w:lineRule="auto"/>
              <w:jc w:val="center"/>
              <w:rPr>
                <w:rFonts w:asciiTheme="minorHAnsi" w:hAnsiTheme="minorHAnsi" w:cstheme="minorHAnsi"/>
                <w:b/>
                <w:bCs/>
                <w:sz w:val="20"/>
                <w:szCs w:val="20"/>
              </w:rPr>
            </w:pPr>
            <w:r w:rsidRPr="00E416FD">
              <w:rPr>
                <w:rFonts w:asciiTheme="minorHAnsi" w:hAnsiTheme="minorHAnsi" w:cstheme="minorHAnsi"/>
                <w:b/>
                <w:bCs/>
                <w:sz w:val="20"/>
                <w:szCs w:val="20"/>
              </w:rPr>
              <w:t>N° CONVENTION</w:t>
            </w:r>
          </w:p>
        </w:tc>
        <w:tc>
          <w:tcPr>
            <w:tcW w:w="3480" w:type="dxa"/>
            <w:shd w:val="clear" w:color="auto" w:fill="BFBFBF" w:themeFill="background1" w:themeFillShade="BF"/>
            <w:vAlign w:val="center"/>
            <w:hideMark/>
          </w:tcPr>
          <w:p w:rsidR="002F0E02" w:rsidRPr="00E416FD" w:rsidRDefault="002F0E02" w:rsidP="00F4187A">
            <w:pPr>
              <w:spacing w:after="0" w:line="240" w:lineRule="auto"/>
              <w:jc w:val="center"/>
              <w:rPr>
                <w:rFonts w:asciiTheme="minorHAnsi" w:hAnsiTheme="minorHAnsi" w:cstheme="minorHAnsi"/>
                <w:b/>
                <w:bCs/>
                <w:sz w:val="20"/>
                <w:szCs w:val="20"/>
              </w:rPr>
            </w:pPr>
            <w:r w:rsidRPr="00E416FD">
              <w:rPr>
                <w:rFonts w:asciiTheme="minorHAnsi" w:hAnsiTheme="minorHAnsi" w:cstheme="minorHAnsi"/>
                <w:b/>
                <w:bCs/>
                <w:sz w:val="20"/>
                <w:szCs w:val="20"/>
              </w:rPr>
              <w:t>OBJECTIFS DE L'INTERVENTION/PROGRAMME</w:t>
            </w:r>
          </w:p>
        </w:tc>
        <w:tc>
          <w:tcPr>
            <w:tcW w:w="1646" w:type="dxa"/>
            <w:shd w:val="clear" w:color="auto" w:fill="BFBFBF" w:themeFill="background1" w:themeFillShade="BF"/>
            <w:vAlign w:val="center"/>
            <w:hideMark/>
          </w:tcPr>
          <w:p w:rsidR="002F0E02" w:rsidRPr="00E416FD" w:rsidRDefault="002F0E02" w:rsidP="00F4187A">
            <w:pPr>
              <w:spacing w:after="0" w:line="240" w:lineRule="auto"/>
              <w:jc w:val="center"/>
              <w:rPr>
                <w:rFonts w:asciiTheme="minorHAnsi" w:hAnsiTheme="minorHAnsi" w:cstheme="minorHAnsi"/>
                <w:b/>
                <w:bCs/>
                <w:sz w:val="20"/>
                <w:szCs w:val="20"/>
              </w:rPr>
            </w:pPr>
            <w:r w:rsidRPr="00E416FD">
              <w:rPr>
                <w:rFonts w:asciiTheme="minorHAnsi" w:hAnsiTheme="minorHAnsi" w:cstheme="minorHAnsi"/>
                <w:b/>
                <w:bCs/>
                <w:sz w:val="20"/>
                <w:szCs w:val="20"/>
              </w:rPr>
              <w:t>COUT DU PROGRAMME</w:t>
            </w:r>
          </w:p>
        </w:tc>
        <w:tc>
          <w:tcPr>
            <w:tcW w:w="1649" w:type="dxa"/>
            <w:shd w:val="clear" w:color="auto" w:fill="BFBFBF" w:themeFill="background1" w:themeFillShade="BF"/>
            <w:vAlign w:val="center"/>
            <w:hideMark/>
          </w:tcPr>
          <w:p w:rsidR="002F0E02" w:rsidRPr="00E416FD" w:rsidRDefault="002F0E02" w:rsidP="00F4187A">
            <w:pPr>
              <w:spacing w:after="0" w:line="240" w:lineRule="auto"/>
              <w:jc w:val="center"/>
              <w:rPr>
                <w:rFonts w:asciiTheme="minorHAnsi" w:hAnsiTheme="minorHAnsi" w:cstheme="minorHAnsi"/>
                <w:b/>
                <w:bCs/>
                <w:sz w:val="20"/>
                <w:szCs w:val="20"/>
              </w:rPr>
            </w:pPr>
            <w:r w:rsidRPr="00E416FD">
              <w:rPr>
                <w:rFonts w:asciiTheme="minorHAnsi" w:hAnsiTheme="minorHAnsi" w:cstheme="minorHAnsi"/>
                <w:b/>
                <w:bCs/>
                <w:sz w:val="20"/>
                <w:szCs w:val="20"/>
              </w:rPr>
              <w:t>ANNEE D'EXECUTION</w:t>
            </w:r>
          </w:p>
        </w:tc>
      </w:tr>
      <w:tr w:rsidR="002F0E02" w:rsidRPr="00E416FD" w:rsidTr="00F4187A">
        <w:trPr>
          <w:trHeight w:val="717"/>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208</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OCADES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001-2016/MEF/MINEFID/OCADES du 10/02/16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contribuer au renforcement des capacités des structures sanitaires et scolaire et à la lutte contre les maladies infectieuses au Burkina Faso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983 935 500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209</w:t>
            </w:r>
          </w:p>
        </w:tc>
        <w:tc>
          <w:tcPr>
            <w:tcW w:w="2889" w:type="dxa"/>
            <w:hideMark/>
          </w:tcPr>
          <w:p w:rsidR="002F0E02" w:rsidRPr="00E416FD" w:rsidRDefault="002F0E02" w:rsidP="008332D8">
            <w:pPr>
              <w:spacing w:after="0" w:line="240" w:lineRule="auto"/>
              <w:rPr>
                <w:rFonts w:asciiTheme="minorHAnsi" w:hAnsiTheme="minorHAnsi" w:cstheme="minorHAnsi"/>
                <w:sz w:val="20"/>
                <w:szCs w:val="20"/>
                <w:lang w:val="en-US"/>
              </w:rPr>
            </w:pPr>
            <w:r w:rsidRPr="00E416FD">
              <w:rPr>
                <w:rFonts w:asciiTheme="minorHAnsi" w:hAnsiTheme="minorHAnsi" w:cstheme="minorHAnsi"/>
                <w:sz w:val="20"/>
                <w:szCs w:val="20"/>
                <w:lang w:val="en-US"/>
              </w:rPr>
              <w:t xml:space="preserve"> AFRICA'S SUSTAINABLE DEVELOPMENT COUNCIL  /ASUDEC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lang w:val="en-US"/>
              </w:rPr>
              <w:t xml:space="preserve"> </w:t>
            </w:r>
            <w:r w:rsidRPr="00E416FD">
              <w:rPr>
                <w:rFonts w:asciiTheme="minorHAnsi" w:hAnsiTheme="minorHAnsi" w:cstheme="minorHAnsi"/>
                <w:sz w:val="20"/>
                <w:szCs w:val="20"/>
              </w:rPr>
              <w:t xml:space="preserve">002-2016/MINEFID/ASUDEC du 15/02/16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Amélioration des  conditions de vie des populations rurales vulnérables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1 039 164 000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210</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PAN BILA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003-2016/MINEFID/PANBILA du 15/02/16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Appui et aide aux adolescents  et jeunes filles en circonstances difficiles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248 888 012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474"/>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211</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SERVICE CHRETIEN INTERNATIONAL POUR LA PAIX  / EIRENE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004-2016/MINEFID/EIRENE  du 16/02/16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Gestion non violente des conflits dans le Sahel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332 356 000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2014-2017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5</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212</w:t>
            </w:r>
          </w:p>
        </w:tc>
        <w:tc>
          <w:tcPr>
            <w:tcW w:w="2889" w:type="dxa"/>
            <w:hideMark/>
          </w:tcPr>
          <w:p w:rsidR="002F0E02" w:rsidRPr="00E416FD" w:rsidRDefault="002F0E02" w:rsidP="008332D8">
            <w:pPr>
              <w:spacing w:after="0" w:line="240" w:lineRule="auto"/>
              <w:rPr>
                <w:rFonts w:asciiTheme="minorHAnsi" w:hAnsiTheme="minorHAnsi" w:cstheme="minorHAnsi"/>
                <w:sz w:val="20"/>
                <w:szCs w:val="20"/>
                <w:lang w:val="en-US"/>
              </w:rPr>
            </w:pPr>
            <w:r w:rsidRPr="00E416FD">
              <w:rPr>
                <w:rFonts w:asciiTheme="minorHAnsi" w:hAnsiTheme="minorHAnsi" w:cstheme="minorHAnsi"/>
                <w:sz w:val="20"/>
                <w:szCs w:val="20"/>
                <w:lang w:val="en-US"/>
              </w:rPr>
              <w:t xml:space="preserve"> A BETTER LIFE FONDATION  / ABLF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lang w:val="en-US"/>
              </w:rPr>
              <w:t xml:space="preserve"> </w:t>
            </w:r>
            <w:r w:rsidRPr="00E416FD">
              <w:rPr>
                <w:rFonts w:asciiTheme="minorHAnsi" w:hAnsiTheme="minorHAnsi" w:cstheme="minorHAnsi"/>
                <w:sz w:val="20"/>
                <w:szCs w:val="20"/>
              </w:rPr>
              <w:t xml:space="preserve">005-2016/MINEFID/ABLF du 15/03/2016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promouvoir les droits des personnes handicapées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174 510 250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2014-2017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6</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213</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PETITE ŒUVRE DE LA DIVINE PROVIDENCE    / PODP/Don Orione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006-2016/MINEFID/DON ORIONE du 07/03/2016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Ouvre caritative pour l'amélioration du niveau de vie des populations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297 050 029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2015-2017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7</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214</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SOS SAHEL INTERNATIONAL France   /SOSSI-F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007-2016/MINEFID/SOSSF du 22/02/2016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Promotion de la sécurité alimentaire et le bien-être de la population à travers l'appui au développement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1 723 451 845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2015-2017 </w:t>
            </w:r>
          </w:p>
        </w:tc>
      </w:tr>
      <w:tr w:rsidR="002F0E02" w:rsidRPr="00E416FD" w:rsidTr="00F4187A">
        <w:trPr>
          <w:trHeight w:val="242"/>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8</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215</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MWANGAZA ACTION   / MA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008-2016/MINEFID/MA du 17/03/2016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Appui à la réduction de la mortalité infantile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336 328 813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2015-2017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9</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216</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ASSOCIATION POUR LA PROMOTION DE L'ELEVAGE AU SAHEL ET EN SAVANE  /APESS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009-2016/MINEFID/APESS du 29/03/2016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Amélioration des  conditions de vie des éleveurs en Afrique de l'Ouest et du Centre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430 498 925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10</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217</w:t>
            </w:r>
          </w:p>
        </w:tc>
        <w:tc>
          <w:tcPr>
            <w:tcW w:w="2889" w:type="dxa"/>
            <w:hideMark/>
          </w:tcPr>
          <w:p w:rsidR="002F0E02" w:rsidRPr="00E416FD" w:rsidRDefault="002F0E02" w:rsidP="008332D8">
            <w:pPr>
              <w:spacing w:after="0" w:line="240" w:lineRule="auto"/>
              <w:rPr>
                <w:rFonts w:asciiTheme="minorHAnsi" w:hAnsiTheme="minorHAnsi" w:cstheme="minorHAnsi"/>
                <w:sz w:val="20"/>
                <w:szCs w:val="20"/>
                <w:lang w:val="en-US"/>
              </w:rPr>
            </w:pPr>
            <w:r w:rsidRPr="00E416FD">
              <w:rPr>
                <w:rFonts w:asciiTheme="minorHAnsi" w:hAnsiTheme="minorHAnsi" w:cstheme="minorHAnsi"/>
                <w:sz w:val="20"/>
                <w:szCs w:val="20"/>
                <w:lang w:val="en-US"/>
              </w:rPr>
              <w:t xml:space="preserve"> Florida International University Research Foundation FIU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lang w:val="en-US"/>
              </w:rPr>
              <w:t xml:space="preserve"> </w:t>
            </w:r>
            <w:r w:rsidRPr="00E416FD">
              <w:rPr>
                <w:rFonts w:asciiTheme="minorHAnsi" w:hAnsiTheme="minorHAnsi" w:cstheme="minorHAnsi"/>
                <w:sz w:val="20"/>
                <w:szCs w:val="20"/>
              </w:rPr>
              <w:t xml:space="preserve">010-2016/MINEFID/FIURF du 29/03/16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Accroissement de l'accès à l'eau potable, à l'assainissement et amélioration de l'hygiène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1 678 748 500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2 016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11</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218</w:t>
            </w:r>
          </w:p>
        </w:tc>
        <w:tc>
          <w:tcPr>
            <w:tcW w:w="2889" w:type="dxa"/>
            <w:hideMark/>
          </w:tcPr>
          <w:p w:rsidR="002F0E02" w:rsidRPr="00E416FD" w:rsidRDefault="002F0E02" w:rsidP="008332D8">
            <w:pPr>
              <w:spacing w:after="0" w:line="240" w:lineRule="auto"/>
              <w:rPr>
                <w:rFonts w:asciiTheme="minorHAnsi" w:hAnsiTheme="minorHAnsi" w:cstheme="minorHAnsi"/>
                <w:sz w:val="20"/>
                <w:szCs w:val="20"/>
                <w:lang w:val="en-US"/>
              </w:rPr>
            </w:pPr>
            <w:r w:rsidRPr="00E416FD">
              <w:rPr>
                <w:rFonts w:asciiTheme="minorHAnsi" w:hAnsiTheme="minorHAnsi" w:cstheme="minorHAnsi"/>
                <w:sz w:val="20"/>
                <w:szCs w:val="20"/>
                <w:lang w:val="en-US"/>
              </w:rPr>
              <w:t xml:space="preserve"> CHRISTIAN RELIEF AND DEVELOPMENT ORGANIZATION (CREDO)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lang w:val="en-US"/>
              </w:rPr>
              <w:t xml:space="preserve"> </w:t>
            </w:r>
            <w:r w:rsidRPr="00E416FD">
              <w:rPr>
                <w:rFonts w:asciiTheme="minorHAnsi" w:hAnsiTheme="minorHAnsi" w:cstheme="minorHAnsi"/>
                <w:sz w:val="20"/>
                <w:szCs w:val="20"/>
              </w:rPr>
              <w:t xml:space="preserve">011-2016/MINEFID/CREDO du 29/03/2016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Promotion de l'éducation formelle et non formelle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2 086 810 882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lastRenderedPageBreak/>
              <w:t>12</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219</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ASSOCIATION HUMANITAIRE POUR LE BIEN ETRE, LE DEVELOPPEMENT ET INTEGRATION (AHBEDI)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012-2016/MINEFID/AHBEDI du 29/03/2016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Renforcement des capacités du personnel sanitaire, appui en  équipements et logistique des structures sanitaires et éducatives de base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192 672 000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973"/>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13</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220</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CHRISTIAN  SERVICE INTERNATIONAL (CSI)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013-2016/MINEFID/CSI du 06/04/2016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Services d'aide humanitaire, de secours, de reconstruction et de développement communautaire pour l'amélioration des conditions de vie des populations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97 120 000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2016-2017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14</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221</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ASSOCIATION DE SOUTIEN AUX ENFANTS EN CIRCONSTENCES DIFFICILES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014-2016/MINEFID/ASECD du 05/04/2016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Soutien à l'éducation, la santé, la nutrition et aux  enfants vivant dans la rue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223 538 103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2016-2017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15</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222</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DIAKONIA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015-2016/MINEFID/DIAKONIA du 27/04/2016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Contribution à la justice sociale et au développement économique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300 000 000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2016-2017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16</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223</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Fédération Internationale des Ouvriers du Transport (ITF)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016-2016/MINEFID/ITF du 28/04/2016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Regroupement et renforcement  des capacités des organisations syndicales des travailleurs du transport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303 646 000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17</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224</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TREE AID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017-2016/MINEFID/TREE AID du 09/05/2016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Protection de l'environnement et réduction de la pauvreté des populations vivant dans les zones arides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2 914 310 184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18</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225</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Marie Stopes International (MSI)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018-2016/MINEFID/MSI du 09/05/2016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Renforcement de la disponibilité des services de santé sexuelle et reproductive dans les zones d'intervention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13 683 038 023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2016-2020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19</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226</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Médecins sans Vacances (MSV)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019-2016/MINEFID/MSV du 09/05/2016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Contribution au renforcement du système national de santé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220 401 501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2016-2017 </w:t>
            </w:r>
          </w:p>
        </w:tc>
      </w:tr>
      <w:tr w:rsidR="002F0E02" w:rsidRPr="00E416FD" w:rsidTr="00F4187A">
        <w:trPr>
          <w:trHeight w:val="973"/>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20</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227</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CENTRE  D'ETUDES ET COOPERATION INTERNATIONALE (CECI)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020-2016/MINEFID/CECI du 09/05/2016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Amélioration des revenus des groupements de femmes à travers la production durable et la commercialisation des produits sur le marché national et international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73 040 000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2015-2017 </w:t>
            </w:r>
          </w:p>
        </w:tc>
      </w:tr>
      <w:tr w:rsidR="002F0E02" w:rsidRPr="00E416FD" w:rsidTr="00F4187A">
        <w:trPr>
          <w:trHeight w:val="803"/>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lastRenderedPageBreak/>
              <w:t>21</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228</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CENTRE  DE BIENFAISANCE POUR LA PROMOTION DE L’ENSEIGNEMENT, DE LA SANTé ET DE SECOURS (CBPESS)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021-2016/MINEFID/CBPESS du 09/05/2016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Lutte contre la cécité et le paludisme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2 285 580 000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2016-2017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229</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Fondation Bouman pour le Sahel (FBS)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022-2016/MINEFID/FBS du 09/05/2016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la santé, la sécurité alimentaire et de l’éducation en vue de contribuer à la lutter contre la pauvreté au Burkina Faso.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1 277 825 000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2016-2019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230</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QATAR CHARITY (QC)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023-2016/MINEFID/QC du 11/05/2016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Réduction de la pauvreté par la promotion de l'offre de services socio-économique de base aux populations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2 749 632 798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2016-2017 </w:t>
            </w:r>
          </w:p>
        </w:tc>
      </w:tr>
      <w:tr w:rsidR="002F0E02" w:rsidRPr="00E416FD" w:rsidTr="00F4187A">
        <w:trPr>
          <w:trHeight w:val="973"/>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231</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Agence Adventiste d’Aide et de Développement (ADRA)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024-2016/MINEFID/ADRA du 13/06/2016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Amélioration des conditions de vies de la population des 30 villages de la commune rurale de bazèga et la disponibilité en eau potable et l'assainissement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235 611 000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232</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SOLIDARITE CAMELIA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025-2016/MINEFID/OSCB du 12/05/2016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ouvrir un centre médical au secteur n°2 de Koudougou et œuvre à la protection de l'enfance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52 319 195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2014-2016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26</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233</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ASSOCIATION HANDICAP SOLIDAITE BURKINA (HSB)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026-2016/MINEFID/HSB du 22/06/2016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protection et promotion des droits des personnes vivant en situation de handicap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693 024 000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2016-2017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27</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234</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ASSOCIATION FRERES NEB-LA BOUMBOU (AFNB)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027-2016/MINEFID/AFNB du 09/05/2016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Soutien humanitaire aux communautés sahéliennes du Burkina Faso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395 677 000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2013-2015 </w:t>
            </w:r>
          </w:p>
        </w:tc>
      </w:tr>
      <w:tr w:rsidR="002F0E02" w:rsidRPr="00E416FD" w:rsidTr="00F4187A">
        <w:trPr>
          <w:trHeight w:val="1460"/>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28</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235</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MEDICO DEL MUNDO (MDME)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028-2016/MINEFID/MDME du 22/06/2016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Appui à la prise en charge de l sous nutrition aigue sévère avec complications chez les enfants de moins de 5 ans et amélioration de la santé sexuelle et reproductive des populations rurales dans les districts sanitaires de Dori et de Bogodogo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859 676 161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   </w:t>
            </w:r>
          </w:p>
        </w:tc>
      </w:tr>
      <w:tr w:rsidR="002F0E02" w:rsidRPr="00E416FD" w:rsidTr="00F4187A">
        <w:trPr>
          <w:trHeight w:val="973"/>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lastRenderedPageBreak/>
              <w:t>29</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236</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FREEDOM FROM HUNGER (FFH)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029-2016/MINEFID/FFH du 30/06/2016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améliorer les conditions de vie des populations par le renforcement des capacités du personnel sanitaire, l’appui en équipement et logistique des structures éducatives et sanitaires de base.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32 804 527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2015-2017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30</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237</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FONDATION ZOODO (FZ)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030-2016/MINEFID/FZ du 04/07/2016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Promotion  du développement économique et social des populations vulnérables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174 108 127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31</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238</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PHYTOSALUS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031-2016/MINEFID/P du 08/07/2016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Amélioration de la santé humaine à travers la médecine et la pharmacopée  traditionnelle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1 771 791 020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2016-2020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32</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239</w:t>
            </w:r>
          </w:p>
        </w:tc>
        <w:tc>
          <w:tcPr>
            <w:tcW w:w="2889" w:type="dxa"/>
            <w:hideMark/>
          </w:tcPr>
          <w:p w:rsidR="002F0E02" w:rsidRPr="00E416FD" w:rsidRDefault="002F0E02" w:rsidP="008332D8">
            <w:pPr>
              <w:spacing w:after="0" w:line="240" w:lineRule="auto"/>
              <w:rPr>
                <w:rFonts w:asciiTheme="minorHAnsi" w:hAnsiTheme="minorHAnsi" w:cstheme="minorHAnsi"/>
                <w:sz w:val="20"/>
                <w:szCs w:val="20"/>
                <w:lang w:val="en-US"/>
              </w:rPr>
            </w:pPr>
            <w:r w:rsidRPr="00E416FD">
              <w:rPr>
                <w:rFonts w:asciiTheme="minorHAnsi" w:hAnsiTheme="minorHAnsi" w:cstheme="minorHAnsi"/>
                <w:sz w:val="20"/>
                <w:szCs w:val="20"/>
                <w:lang w:val="en-US"/>
              </w:rPr>
              <w:t xml:space="preserve"> CADRE AND HEALTH PROGRAM (CAHP)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lang w:val="en-US"/>
              </w:rPr>
              <w:t xml:space="preserve"> </w:t>
            </w:r>
            <w:r w:rsidRPr="00E416FD">
              <w:rPr>
                <w:rFonts w:asciiTheme="minorHAnsi" w:hAnsiTheme="minorHAnsi" w:cstheme="minorHAnsi"/>
                <w:sz w:val="20"/>
                <w:szCs w:val="20"/>
              </w:rPr>
              <w:t xml:space="preserve">032-2016/MINEFID/CAHP  du 04/07/2016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Renforcement des capacités et formation des épidémiologistes de terrains dans les pays francophones de l'Afrique de l'ouest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1 019 179 645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242"/>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33</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240</w:t>
            </w:r>
          </w:p>
        </w:tc>
        <w:tc>
          <w:tcPr>
            <w:tcW w:w="2889" w:type="dxa"/>
            <w:hideMark/>
          </w:tcPr>
          <w:p w:rsidR="002F0E02" w:rsidRPr="00E416FD" w:rsidRDefault="002F0E02" w:rsidP="008332D8">
            <w:pPr>
              <w:spacing w:after="0" w:line="240" w:lineRule="auto"/>
              <w:rPr>
                <w:rFonts w:asciiTheme="minorHAnsi" w:hAnsiTheme="minorHAnsi" w:cstheme="minorHAnsi"/>
                <w:sz w:val="20"/>
                <w:szCs w:val="20"/>
                <w:lang w:val="en-US"/>
              </w:rPr>
            </w:pPr>
            <w:r w:rsidRPr="00E416FD">
              <w:rPr>
                <w:rFonts w:asciiTheme="minorHAnsi" w:hAnsiTheme="minorHAnsi" w:cstheme="minorHAnsi"/>
                <w:sz w:val="20"/>
                <w:szCs w:val="20"/>
                <w:lang w:val="en-US"/>
              </w:rPr>
              <w:t xml:space="preserve"> TRICKLE UP PROGRAM-INC TU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lang w:val="en-US"/>
              </w:rPr>
              <w:t xml:space="preserve"> </w:t>
            </w:r>
            <w:r w:rsidRPr="00E416FD">
              <w:rPr>
                <w:rFonts w:asciiTheme="minorHAnsi" w:hAnsiTheme="minorHAnsi" w:cstheme="minorHAnsi"/>
                <w:sz w:val="20"/>
                <w:szCs w:val="20"/>
              </w:rPr>
              <w:t xml:space="preserve">033-2016/MINEFID/TU du 12/07/2016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Lutte contre la pauvreté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2 691 868084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242"/>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34</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241</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BURKINA VERT (OBV)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034-2016/MINEFID/OBV du 07/07/2016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Développement intégré dans la région du nord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347 525 000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2016-2020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35</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242</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FONDATION CHRETIENS POUR LE SAHEL (FCS)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035-2016/MINEFID/FCS du 19/07/2016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Financement des projets d'investissement des organisations locales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3 123 378 085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462"/>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36</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243</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ALIZETA MC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036-2016/MINEFID/AL du 19/07/2016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Contribution au développement de la commune de TOECE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38 559 000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37</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244</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FONDATION HAPARAKO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037-2016/MINEFID/FH du 22/07/2016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Formation professionnelle pour une orientation vers l'entreprenariat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131 500 000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38</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245</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SOS VILLAGE D'ENFANTS INTERNATIONAL  / SOS VE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038-2016/MINEFID/SOS VE du 09/08/2016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Prise en charge des enfants orphelins et vulnérables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1 333 876 517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39</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246</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JAMA'AT ISLAMIQUE AHMADIYYA (JIA)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039-2016/MINEFID/JIA du 12 août 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Promotion de la paix et assistance sociale  aux personnes défavorisées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538 018 000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40</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247</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AQUA ALIMENTA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040-2016/MINEFID/AA du 30 août 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Facilitation de l'accès à l'eau pour la petite irrigation et l'abreuvement du bétail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772 640 000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2016-2019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lastRenderedPageBreak/>
              <w:t>41</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248</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SOLIDAR SUISSE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041-2016/MINEFID/SS du 30 août 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Contribution à la lutte contre la pauvreté et l'ignorance par le renforcement des capacités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966 587 981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42</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249</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ASSOCIATION DE BIENFAISANCE RAHMA (AB RAHMA)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042-2016/MINEFID/AB-RAHMA du 1er septembre 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Eradication de la vulnérabilité par des actions sociales, l'éducation et la réalisation d'infrastructures culturelles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465 067 039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43</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250</w:t>
            </w:r>
          </w:p>
        </w:tc>
        <w:tc>
          <w:tcPr>
            <w:tcW w:w="2889" w:type="dxa"/>
            <w:hideMark/>
          </w:tcPr>
          <w:p w:rsidR="002F0E02" w:rsidRPr="00E416FD" w:rsidRDefault="002F0E02" w:rsidP="008332D8">
            <w:pPr>
              <w:spacing w:after="0" w:line="240" w:lineRule="auto"/>
              <w:rPr>
                <w:rFonts w:asciiTheme="minorHAnsi" w:hAnsiTheme="minorHAnsi" w:cstheme="minorHAnsi"/>
                <w:sz w:val="20"/>
                <w:szCs w:val="20"/>
                <w:lang w:val="en-US"/>
              </w:rPr>
            </w:pPr>
            <w:r w:rsidRPr="00E416FD">
              <w:rPr>
                <w:rFonts w:asciiTheme="minorHAnsi" w:hAnsiTheme="minorHAnsi" w:cstheme="minorHAnsi"/>
                <w:sz w:val="20"/>
                <w:szCs w:val="20"/>
                <w:lang w:val="en-US"/>
              </w:rPr>
              <w:t xml:space="preserve"> AFRICAN RELIEF IN ACTION   / ARIA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lang w:val="en-US"/>
              </w:rPr>
              <w:t xml:space="preserve"> </w:t>
            </w:r>
            <w:r w:rsidRPr="00E416FD">
              <w:rPr>
                <w:rFonts w:asciiTheme="minorHAnsi" w:hAnsiTheme="minorHAnsi" w:cstheme="minorHAnsi"/>
                <w:sz w:val="20"/>
                <w:szCs w:val="20"/>
              </w:rPr>
              <w:t xml:space="preserve">043-2016/MINEFID/ARIA-INT du 01/09/2016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Assistance sociale, promotion de la santé, l'éducation et la valorisation de l'agriculture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286 560 000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44</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251</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SOLIDARITE POUR TOUS   /SPT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044-2016/MINEFID/SPT du 05/09/2016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Renforcement de l'éducation et de la formation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94 843 005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2016-2017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45</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252</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ASSOCIATION DE PARRAINAGE POUR L'EDUCATION ET LA LIBERTE   /APPEL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045-2016/MINEFID/APPEL du 06/09/2016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Scolarisation d'enfants orphelins et vulnérables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157 800 000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46</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253</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DUBABU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046-2016/MINEFID/DUBABU du 19-07-16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Promotion de la scolarisation et l'assistance médicale aux personnes démunies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31 360 000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47</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254</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ASSOCIATION SŒUR EMMANUELLE (ASMAE)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047-2016/MINEFID/ASMAE du 07-09-16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Actions en faveur de l'enfance défavorisée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500 495 190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2015-2017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48</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255</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TERRE DES HOMMES SUISSE (TDH-SUISSE)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048-2016/MINEFID/TDH-SUISSE du 26-09-16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Promotion des droits de l'enfant au renforcement de la citoyenneté locale et l'évolution  des comportements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638 352 433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2016-2017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49</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256</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Paas Neere (APN)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049-2016/MINEFID/APN du 27/09/2016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Soutien aux enfants vulnérable de la commune ziniaré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36 700 000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50</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257</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ABC Children's Aid International </w:t>
            </w:r>
          </w:p>
        </w:tc>
        <w:tc>
          <w:tcPr>
            <w:tcW w:w="3182" w:type="dxa"/>
            <w:hideMark/>
          </w:tcPr>
          <w:p w:rsidR="002F0E02" w:rsidRPr="00E416FD" w:rsidRDefault="002F0E02" w:rsidP="008332D8">
            <w:pPr>
              <w:spacing w:after="0" w:line="240" w:lineRule="auto"/>
              <w:rPr>
                <w:rFonts w:asciiTheme="minorHAnsi" w:hAnsiTheme="minorHAnsi" w:cstheme="minorHAnsi"/>
                <w:sz w:val="20"/>
                <w:szCs w:val="20"/>
                <w:lang w:val="en-US"/>
              </w:rPr>
            </w:pPr>
            <w:r w:rsidRPr="00E416FD">
              <w:rPr>
                <w:rFonts w:asciiTheme="minorHAnsi" w:hAnsiTheme="minorHAnsi" w:cstheme="minorHAnsi"/>
                <w:sz w:val="20"/>
                <w:szCs w:val="20"/>
                <w:lang w:val="en-US"/>
              </w:rPr>
              <w:t xml:space="preserve"> 050-2016/MINEFID/ABC CHILDREN AID INTERNATIONAL du 28/09/2016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lang w:val="en-US"/>
              </w:rPr>
              <w:t xml:space="preserve"> </w:t>
            </w:r>
            <w:r w:rsidRPr="00E416FD">
              <w:rPr>
                <w:rFonts w:asciiTheme="minorHAnsi" w:hAnsiTheme="minorHAnsi" w:cstheme="minorHAnsi"/>
                <w:sz w:val="20"/>
                <w:szCs w:val="20"/>
              </w:rPr>
              <w:t xml:space="preserve">Contribuer au bien-être des orphelins et enfants vulnérables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104 000 000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2015-2017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51</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258</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Tele Vie Deo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051-2016/MINEFID/TVD du 28/09/2016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Amélioration de la participation citoyenneté à la lutte contre la pauvreté par la promotion de l'information et de la communication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210 000 000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52</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259</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FONDATION STROMME (FS)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052-2016/MINEFID/FS du 17/10/2016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Augmentation du taux de scolarisation par le renforcement des infrastructures scolaires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1 285 973 422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lastRenderedPageBreak/>
              <w:t>53</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260</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LIGUE MONDIALE ISLAMIQUE  (LMI)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053-2016/MINEFID/LMI du 18/10/2016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Assistance aux personnes en situation d'urgence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212 536 999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2 016   </w:t>
            </w:r>
          </w:p>
        </w:tc>
      </w:tr>
      <w:tr w:rsidR="002F0E02" w:rsidRPr="00E416FD" w:rsidTr="00F4187A">
        <w:trPr>
          <w:trHeight w:val="729"/>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54</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261</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AGRIBUSINESS SYSTEMS INTERNATIONAL (ASI)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054-2016/MINEFID/ASI du 27/12/2016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l’amélioration de  de revenus des femmes par la mise en place d’unités familiales de production de volaille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1 190 792 898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2 016   </w:t>
            </w:r>
          </w:p>
        </w:tc>
      </w:tr>
      <w:tr w:rsidR="002F0E02" w:rsidRPr="00E416FD" w:rsidTr="00F4187A">
        <w:trPr>
          <w:trHeight w:val="486"/>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55</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262</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ENTRAIDE UNIVERSITAIRE MONDIALE DU CANADA   ( EUMC)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055-2016/MINEFID/EUMC du 23/12/2016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Appui à la gouvernance et à la croissance économique durable en zones extractives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2 918 647 923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2016-2021 </w:t>
            </w:r>
          </w:p>
        </w:tc>
      </w:tr>
      <w:tr w:rsidR="002F0E02" w:rsidRPr="00E416FD" w:rsidTr="00F4187A">
        <w:trPr>
          <w:trHeight w:val="558"/>
        </w:trPr>
        <w:tc>
          <w:tcPr>
            <w:tcW w:w="510"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56</w:t>
            </w:r>
          </w:p>
        </w:tc>
        <w:tc>
          <w:tcPr>
            <w:tcW w:w="849" w:type="dxa"/>
            <w:vAlign w:val="center"/>
            <w:hideMark/>
          </w:tcPr>
          <w:p w:rsidR="002F0E02" w:rsidRPr="00E416FD" w:rsidRDefault="002F0E02" w:rsidP="008332D8">
            <w:pPr>
              <w:spacing w:after="0" w:line="240" w:lineRule="auto"/>
              <w:jc w:val="center"/>
              <w:rPr>
                <w:rFonts w:asciiTheme="minorHAnsi" w:hAnsiTheme="minorHAnsi" w:cstheme="minorHAnsi"/>
                <w:sz w:val="20"/>
                <w:szCs w:val="20"/>
              </w:rPr>
            </w:pPr>
            <w:r w:rsidRPr="00E416FD">
              <w:rPr>
                <w:rFonts w:asciiTheme="minorHAnsi" w:hAnsiTheme="minorHAnsi" w:cstheme="minorHAnsi"/>
                <w:sz w:val="20"/>
                <w:szCs w:val="20"/>
              </w:rPr>
              <w:t>263</w:t>
            </w:r>
          </w:p>
        </w:tc>
        <w:tc>
          <w:tcPr>
            <w:tcW w:w="288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ASSOCIATION REHABILITATION ET DE REINSERTION DES MARGINAUX  / REMAR </w:t>
            </w:r>
          </w:p>
        </w:tc>
        <w:tc>
          <w:tcPr>
            <w:tcW w:w="3182"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056-2016/MINEFID/REMAR du 27/12/2016 </w:t>
            </w:r>
          </w:p>
        </w:tc>
        <w:tc>
          <w:tcPr>
            <w:tcW w:w="3480"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contribuer à améliorer la qualité de vie des orphelins et des enfants </w:t>
            </w:r>
          </w:p>
        </w:tc>
        <w:tc>
          <w:tcPr>
            <w:tcW w:w="1646"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662 129 228   </w:t>
            </w:r>
          </w:p>
        </w:tc>
        <w:tc>
          <w:tcPr>
            <w:tcW w:w="1649" w:type="dxa"/>
            <w:hideMark/>
          </w:tcPr>
          <w:p w:rsidR="002F0E02" w:rsidRPr="00E416FD" w:rsidRDefault="002F0E02" w:rsidP="008332D8">
            <w:pPr>
              <w:spacing w:after="0" w:line="240" w:lineRule="auto"/>
              <w:rPr>
                <w:rFonts w:asciiTheme="minorHAnsi" w:hAnsiTheme="minorHAnsi" w:cstheme="minorHAnsi"/>
                <w:sz w:val="20"/>
                <w:szCs w:val="20"/>
              </w:rPr>
            </w:pPr>
            <w:r w:rsidRPr="00E416FD">
              <w:rPr>
                <w:rFonts w:asciiTheme="minorHAnsi" w:hAnsiTheme="minorHAnsi" w:cstheme="minorHAnsi"/>
                <w:sz w:val="20"/>
                <w:szCs w:val="20"/>
              </w:rPr>
              <w:t xml:space="preserve"> 2016-2018 </w:t>
            </w:r>
          </w:p>
        </w:tc>
      </w:tr>
      <w:tr w:rsidR="002F0E02" w:rsidRPr="00E416FD" w:rsidTr="00F4187A">
        <w:trPr>
          <w:trHeight w:val="242"/>
        </w:trPr>
        <w:tc>
          <w:tcPr>
            <w:tcW w:w="4248" w:type="dxa"/>
            <w:gridSpan w:val="3"/>
            <w:shd w:val="clear" w:color="auto" w:fill="E5B8B7" w:themeFill="accent2" w:themeFillTint="66"/>
            <w:hideMark/>
          </w:tcPr>
          <w:p w:rsidR="002F0E02" w:rsidRPr="00E416FD" w:rsidRDefault="002F0E02" w:rsidP="008332D8">
            <w:pPr>
              <w:spacing w:after="0" w:line="240" w:lineRule="auto"/>
              <w:rPr>
                <w:rFonts w:asciiTheme="minorHAnsi" w:hAnsiTheme="minorHAnsi" w:cstheme="minorHAnsi"/>
                <w:b/>
                <w:bCs/>
                <w:i/>
                <w:iCs/>
                <w:sz w:val="20"/>
                <w:szCs w:val="20"/>
              </w:rPr>
            </w:pPr>
            <w:r w:rsidRPr="00E416FD">
              <w:rPr>
                <w:rFonts w:asciiTheme="minorHAnsi" w:hAnsiTheme="minorHAnsi" w:cstheme="minorHAnsi"/>
                <w:b/>
                <w:bCs/>
                <w:i/>
                <w:iCs/>
                <w:sz w:val="20"/>
                <w:szCs w:val="20"/>
              </w:rPr>
              <w:t xml:space="preserve"> TOTAL 2016 </w:t>
            </w:r>
          </w:p>
        </w:tc>
        <w:tc>
          <w:tcPr>
            <w:tcW w:w="3182" w:type="dxa"/>
            <w:shd w:val="clear" w:color="auto" w:fill="E5B8B7" w:themeFill="accent2" w:themeFillTint="66"/>
            <w:hideMark/>
          </w:tcPr>
          <w:p w:rsidR="002F0E02" w:rsidRPr="00E416FD" w:rsidRDefault="002F0E02" w:rsidP="008332D8">
            <w:pPr>
              <w:spacing w:after="0" w:line="240" w:lineRule="auto"/>
              <w:rPr>
                <w:rFonts w:asciiTheme="minorHAnsi" w:hAnsiTheme="minorHAnsi" w:cstheme="minorHAnsi"/>
                <w:b/>
                <w:bCs/>
                <w:i/>
                <w:iCs/>
                <w:sz w:val="20"/>
                <w:szCs w:val="20"/>
              </w:rPr>
            </w:pPr>
            <w:r w:rsidRPr="00E416FD">
              <w:rPr>
                <w:rFonts w:asciiTheme="minorHAnsi" w:hAnsiTheme="minorHAnsi" w:cstheme="minorHAnsi"/>
                <w:b/>
                <w:bCs/>
                <w:i/>
                <w:iCs/>
                <w:sz w:val="20"/>
                <w:szCs w:val="20"/>
              </w:rPr>
              <w:t> </w:t>
            </w:r>
          </w:p>
        </w:tc>
        <w:tc>
          <w:tcPr>
            <w:tcW w:w="3480" w:type="dxa"/>
            <w:shd w:val="clear" w:color="auto" w:fill="E5B8B7" w:themeFill="accent2" w:themeFillTint="66"/>
            <w:hideMark/>
          </w:tcPr>
          <w:p w:rsidR="002F0E02" w:rsidRPr="00E416FD" w:rsidRDefault="002F0E02" w:rsidP="008332D8">
            <w:pPr>
              <w:spacing w:after="0" w:line="240" w:lineRule="auto"/>
              <w:rPr>
                <w:rFonts w:asciiTheme="minorHAnsi" w:hAnsiTheme="minorHAnsi" w:cstheme="minorHAnsi"/>
                <w:b/>
                <w:bCs/>
                <w:i/>
                <w:iCs/>
                <w:sz w:val="20"/>
                <w:szCs w:val="20"/>
              </w:rPr>
            </w:pPr>
            <w:r w:rsidRPr="00E416FD">
              <w:rPr>
                <w:rFonts w:asciiTheme="minorHAnsi" w:hAnsiTheme="minorHAnsi" w:cstheme="minorHAnsi"/>
                <w:b/>
                <w:bCs/>
                <w:i/>
                <w:iCs/>
                <w:sz w:val="20"/>
                <w:szCs w:val="20"/>
              </w:rPr>
              <w:t> </w:t>
            </w:r>
          </w:p>
        </w:tc>
        <w:tc>
          <w:tcPr>
            <w:tcW w:w="1646" w:type="dxa"/>
            <w:shd w:val="clear" w:color="auto" w:fill="E5B8B7" w:themeFill="accent2" w:themeFillTint="66"/>
            <w:hideMark/>
          </w:tcPr>
          <w:p w:rsidR="002F0E02" w:rsidRPr="00E416FD" w:rsidRDefault="002F0E02" w:rsidP="008332D8">
            <w:pPr>
              <w:spacing w:after="0" w:line="240" w:lineRule="auto"/>
              <w:rPr>
                <w:rFonts w:asciiTheme="minorHAnsi" w:hAnsiTheme="minorHAnsi" w:cstheme="minorHAnsi"/>
                <w:b/>
                <w:bCs/>
                <w:i/>
                <w:iCs/>
                <w:sz w:val="20"/>
                <w:szCs w:val="20"/>
              </w:rPr>
            </w:pPr>
            <w:r w:rsidRPr="00E416FD">
              <w:rPr>
                <w:rFonts w:asciiTheme="minorHAnsi" w:hAnsiTheme="minorHAnsi" w:cstheme="minorHAnsi"/>
                <w:b/>
                <w:bCs/>
                <w:i/>
                <w:iCs/>
                <w:sz w:val="20"/>
                <w:szCs w:val="20"/>
              </w:rPr>
              <w:t xml:space="preserve">53 670 929 327   </w:t>
            </w:r>
          </w:p>
        </w:tc>
        <w:tc>
          <w:tcPr>
            <w:tcW w:w="1649" w:type="dxa"/>
            <w:shd w:val="clear" w:color="auto" w:fill="E5B8B7" w:themeFill="accent2" w:themeFillTint="66"/>
            <w:hideMark/>
          </w:tcPr>
          <w:p w:rsidR="002F0E02" w:rsidRPr="00E416FD" w:rsidRDefault="002F0E02" w:rsidP="008332D8">
            <w:pPr>
              <w:spacing w:after="0" w:line="240" w:lineRule="auto"/>
              <w:rPr>
                <w:rFonts w:asciiTheme="minorHAnsi" w:hAnsiTheme="minorHAnsi" w:cstheme="minorHAnsi"/>
                <w:b/>
                <w:bCs/>
                <w:i/>
                <w:iCs/>
                <w:sz w:val="20"/>
                <w:szCs w:val="20"/>
              </w:rPr>
            </w:pPr>
            <w:r w:rsidRPr="00E416FD">
              <w:rPr>
                <w:rFonts w:asciiTheme="minorHAnsi" w:hAnsiTheme="minorHAnsi" w:cstheme="minorHAnsi"/>
                <w:b/>
                <w:bCs/>
                <w:i/>
                <w:iCs/>
                <w:sz w:val="20"/>
                <w:szCs w:val="20"/>
              </w:rPr>
              <w:t> </w:t>
            </w:r>
          </w:p>
        </w:tc>
      </w:tr>
    </w:tbl>
    <w:p w:rsidR="006E7EAE" w:rsidRDefault="006E7EAE">
      <w:pPr>
        <w:spacing w:after="0" w:line="240" w:lineRule="auto"/>
        <w:rPr>
          <w:rFonts w:ascii="Bodoni MT Black" w:hAnsi="Bodoni MT Black"/>
          <w:b/>
          <w:color w:val="2E74B5"/>
        </w:rPr>
      </w:pPr>
    </w:p>
    <w:p w:rsidR="00E416FD" w:rsidRDefault="00E416FD">
      <w:pPr>
        <w:spacing w:after="0" w:line="240" w:lineRule="auto"/>
        <w:rPr>
          <w:rFonts w:ascii="Bodoni MT Black" w:hAnsi="Bodoni MT Black"/>
          <w:b/>
          <w:color w:val="2E74B5"/>
        </w:rPr>
      </w:pPr>
      <w:r>
        <w:rPr>
          <w:rFonts w:ascii="Bodoni MT Black" w:hAnsi="Bodoni MT Black"/>
          <w:b/>
          <w:color w:val="2E74B5"/>
        </w:rPr>
        <w:br w:type="page"/>
      </w:r>
    </w:p>
    <w:p w:rsidR="001C2B59" w:rsidRPr="00A8522B" w:rsidRDefault="001C2B59" w:rsidP="00A8522B">
      <w:pPr>
        <w:pStyle w:val="Titre1"/>
        <w:pBdr>
          <w:bottom w:val="none" w:sz="0" w:space="0" w:color="auto"/>
        </w:pBdr>
        <w:spacing w:after="240"/>
        <w:rPr>
          <w:u w:val="single"/>
        </w:rPr>
      </w:pPr>
      <w:bookmarkStart w:id="734" w:name="_Toc492972291"/>
      <w:r w:rsidRPr="00A8522B">
        <w:rPr>
          <w:u w:val="single"/>
        </w:rPr>
        <w:lastRenderedPageBreak/>
        <w:t>Annexe</w:t>
      </w:r>
      <w:r w:rsidR="00CA6955" w:rsidRPr="00A8522B">
        <w:rPr>
          <w:u w:val="single"/>
        </w:rPr>
        <w:t xml:space="preserve"> 11: Nombre d’ONG/</w:t>
      </w:r>
      <w:r w:rsidRPr="00A8522B">
        <w:rPr>
          <w:u w:val="single"/>
        </w:rPr>
        <w:t>AD par origine/Nombre de régions couvertes et domaines d’intervention</w:t>
      </w:r>
      <w:bookmarkEnd w:id="734"/>
      <w:r w:rsidRPr="00A8522B">
        <w:rPr>
          <w:u w:val="single"/>
        </w:rPr>
        <w:t xml:space="preserve"> </w:t>
      </w:r>
    </w:p>
    <w:tbl>
      <w:tblPr>
        <w:tblStyle w:val="TableauGrille21"/>
        <w:tblW w:w="14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9"/>
        <w:gridCol w:w="1420"/>
        <w:gridCol w:w="1928"/>
        <w:gridCol w:w="8373"/>
      </w:tblGrid>
      <w:tr w:rsidR="00A8522B" w:rsidRPr="005F607F" w:rsidTr="005F607F">
        <w:trPr>
          <w:cnfStyle w:val="100000000000" w:firstRow="1" w:lastRow="0" w:firstColumn="0" w:lastColumn="0" w:oddVBand="0" w:evenVBand="0" w:oddHBand="0" w:evenHBand="0" w:firstRowFirstColumn="0" w:firstRowLastColumn="0" w:lastRowFirstColumn="0" w:lastRowLastColumn="0"/>
          <w:trHeight w:val="696"/>
          <w:tblHeader/>
        </w:trPr>
        <w:tc>
          <w:tcPr>
            <w:cnfStyle w:val="001000000000" w:firstRow="0" w:lastRow="0" w:firstColumn="1" w:lastColumn="0" w:oddVBand="0" w:evenVBand="0" w:oddHBand="0" w:evenHBand="0" w:firstRowFirstColumn="0" w:firstRowLastColumn="0" w:lastRowFirstColumn="0" w:lastRowLastColumn="0"/>
            <w:tcW w:w="2579" w:type="dxa"/>
            <w:tcBorders>
              <w:top w:val="none" w:sz="0" w:space="0" w:color="auto"/>
              <w:bottom w:val="none" w:sz="0" w:space="0" w:color="auto"/>
              <w:right w:val="none" w:sz="0" w:space="0" w:color="auto"/>
            </w:tcBorders>
            <w:vAlign w:val="center"/>
            <w:hideMark/>
          </w:tcPr>
          <w:p w:rsidR="00A8522B" w:rsidRPr="005F607F" w:rsidRDefault="00A8522B" w:rsidP="005F607F">
            <w:pPr>
              <w:spacing w:after="0" w:line="240" w:lineRule="auto"/>
              <w:jc w:val="center"/>
              <w:rPr>
                <w:rFonts w:asciiTheme="minorHAnsi" w:eastAsia="Times New Roman" w:hAnsiTheme="minorHAnsi" w:cstheme="minorHAnsi"/>
                <w:bCs w:val="0"/>
                <w:color w:val="000000"/>
                <w:sz w:val="20"/>
                <w:szCs w:val="20"/>
                <w:lang w:eastAsia="fr-FR"/>
              </w:rPr>
            </w:pPr>
            <w:r w:rsidRPr="005F607F">
              <w:rPr>
                <w:rFonts w:asciiTheme="minorHAnsi" w:eastAsia="Times New Roman" w:hAnsiTheme="minorHAnsi" w:cstheme="minorHAnsi"/>
                <w:bCs w:val="0"/>
                <w:color w:val="000000"/>
                <w:sz w:val="20"/>
                <w:szCs w:val="20"/>
                <w:lang w:eastAsia="fr-FR"/>
              </w:rPr>
              <w:t>ORIGINE</w:t>
            </w:r>
          </w:p>
        </w:tc>
        <w:tc>
          <w:tcPr>
            <w:tcW w:w="1420" w:type="dxa"/>
            <w:tcBorders>
              <w:top w:val="none" w:sz="0" w:space="0" w:color="auto"/>
              <w:left w:val="none" w:sz="0" w:space="0" w:color="auto"/>
              <w:bottom w:val="none" w:sz="0" w:space="0" w:color="auto"/>
              <w:right w:val="none" w:sz="0" w:space="0" w:color="auto"/>
            </w:tcBorders>
            <w:vAlign w:val="center"/>
            <w:hideMark/>
          </w:tcPr>
          <w:p w:rsidR="00A8522B" w:rsidRPr="005F607F" w:rsidRDefault="00A8522B" w:rsidP="005F607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Cs w:val="0"/>
                <w:color w:val="000000"/>
                <w:sz w:val="20"/>
                <w:szCs w:val="20"/>
                <w:lang w:eastAsia="fr-FR"/>
              </w:rPr>
            </w:pPr>
            <w:r w:rsidRPr="005F607F">
              <w:rPr>
                <w:rFonts w:asciiTheme="minorHAnsi" w:eastAsia="Times New Roman" w:hAnsiTheme="minorHAnsi" w:cstheme="minorHAnsi"/>
                <w:bCs w:val="0"/>
                <w:color w:val="000000"/>
                <w:sz w:val="20"/>
                <w:szCs w:val="20"/>
                <w:lang w:eastAsia="fr-FR"/>
              </w:rPr>
              <w:t>NOMBRE D'ONG/AD</w:t>
            </w:r>
          </w:p>
        </w:tc>
        <w:tc>
          <w:tcPr>
            <w:tcW w:w="1928" w:type="dxa"/>
            <w:tcBorders>
              <w:top w:val="none" w:sz="0" w:space="0" w:color="auto"/>
              <w:left w:val="none" w:sz="0" w:space="0" w:color="auto"/>
              <w:bottom w:val="none" w:sz="0" w:space="0" w:color="auto"/>
              <w:right w:val="none" w:sz="0" w:space="0" w:color="auto"/>
            </w:tcBorders>
            <w:vAlign w:val="center"/>
            <w:hideMark/>
          </w:tcPr>
          <w:p w:rsidR="00A8522B" w:rsidRPr="005F607F" w:rsidRDefault="00A8522B" w:rsidP="005F607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Cs w:val="0"/>
                <w:color w:val="000000"/>
                <w:sz w:val="20"/>
                <w:szCs w:val="20"/>
                <w:lang w:eastAsia="fr-FR"/>
              </w:rPr>
            </w:pPr>
            <w:r w:rsidRPr="005F607F">
              <w:rPr>
                <w:rFonts w:asciiTheme="minorHAnsi" w:eastAsia="Times New Roman" w:hAnsiTheme="minorHAnsi" w:cstheme="minorHAnsi"/>
                <w:bCs w:val="0"/>
                <w:color w:val="000000"/>
                <w:sz w:val="20"/>
                <w:szCs w:val="20"/>
                <w:lang w:eastAsia="fr-FR"/>
              </w:rPr>
              <w:t>NOMBRE DE REGIONS COUVERTES</w:t>
            </w:r>
          </w:p>
        </w:tc>
        <w:tc>
          <w:tcPr>
            <w:tcW w:w="8373" w:type="dxa"/>
            <w:tcBorders>
              <w:top w:val="none" w:sz="0" w:space="0" w:color="auto"/>
              <w:left w:val="none" w:sz="0" w:space="0" w:color="auto"/>
              <w:bottom w:val="none" w:sz="0" w:space="0" w:color="auto"/>
            </w:tcBorders>
            <w:vAlign w:val="center"/>
            <w:hideMark/>
          </w:tcPr>
          <w:p w:rsidR="00A8522B" w:rsidRPr="005F607F" w:rsidRDefault="00A8522B" w:rsidP="005F607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Cs w:val="0"/>
                <w:color w:val="000000"/>
                <w:sz w:val="20"/>
                <w:szCs w:val="20"/>
                <w:lang w:eastAsia="fr-FR"/>
              </w:rPr>
            </w:pPr>
            <w:r w:rsidRPr="005F607F">
              <w:rPr>
                <w:rFonts w:asciiTheme="minorHAnsi" w:eastAsia="Times New Roman" w:hAnsiTheme="minorHAnsi" w:cstheme="minorHAnsi"/>
                <w:bCs w:val="0"/>
                <w:color w:val="000000"/>
                <w:sz w:val="20"/>
                <w:szCs w:val="20"/>
                <w:lang w:eastAsia="fr-FR"/>
              </w:rPr>
              <w:t>DOMAINES D'INTERVENTION</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884"/>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FRANCE</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49</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Environnement, Santé, Protection sociale, Hydraulique, Hygiène, Assainissement, Production agro-sylvo-pastorale, Artisanat, Microfinance, Gouvernance, Culture, Droits humains, Artisanat</w:t>
            </w:r>
          </w:p>
        </w:tc>
      </w:tr>
      <w:tr w:rsidR="00A8522B" w:rsidRPr="005F607F" w:rsidTr="005F607F">
        <w:trPr>
          <w:trHeight w:hRule="exact" w:val="595"/>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BURKINA FASO</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42</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Environnement, Santé, Protection sociale, Hydraulique, Hygiène, Assainissement, Production agro-sylvo-pastorale, Artisanat, Microfinance, Gouvernance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909"/>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USA</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37</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Environnement, Santé, Protection sociale, Hydraulique, Hygiène, Assainissement, Production agro-sylvo-pastorale, Artisanat, Microfinance, Gouvernance, Culture, Droits humains, Artisanat</w:t>
            </w:r>
          </w:p>
        </w:tc>
      </w:tr>
      <w:tr w:rsidR="00A8522B" w:rsidRPr="005F607F" w:rsidTr="005F607F">
        <w:trPr>
          <w:trHeight w:hRule="exact" w:val="600"/>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ITALIE</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27</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Environnement, Santé, Protection sociale, Hydraulique, Hygiène, Assainissement, Production agro-sylvo-pastorale, Secours d’urgence, Droits humains</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624"/>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SUISSE</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23</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Santé, Protection sociale, Production agro-sylvo-pastorale, Artisanat, Microfinance, Assainissement, Hydraulique, Hygiène, Environnement, Gouvernance</w:t>
            </w:r>
          </w:p>
        </w:tc>
      </w:tr>
      <w:tr w:rsidR="00A8522B" w:rsidRPr="005F607F" w:rsidTr="005F607F">
        <w:trPr>
          <w:trHeight w:hRule="exact" w:val="604"/>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ALLEMAGNE</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11</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Hydraulique, Hygiène, Assainissement, Microfinance, Santé, Education; Agriculture, Gouvernance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696"/>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BELGIQUE</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9</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Environnement, Santé, Protection sociale, Hydraulique, Hygiène, Assainissement, Agriculture, Artisanat, Elevage, Microfinance</w:t>
            </w:r>
          </w:p>
        </w:tc>
      </w:tr>
      <w:tr w:rsidR="00A8522B" w:rsidRPr="005F607F" w:rsidTr="005F607F">
        <w:trPr>
          <w:trHeight w:hRule="exact" w:val="468"/>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ESPAGNE</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8</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10</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Santé; Protection sociale, Production agro-sylvo-pastorale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696"/>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PAYS BAS</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7</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Santé, Agriculture, Assainissement, Hydraulique, Hygiène, Environnement, Production agro-sylvo-pastorale</w:t>
            </w:r>
          </w:p>
        </w:tc>
      </w:tr>
      <w:tr w:rsidR="00A8522B" w:rsidRPr="005F607F" w:rsidTr="005F607F">
        <w:trPr>
          <w:trHeight w:hRule="exact" w:val="696"/>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ANGLETERRE</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6</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Droits humains, Protection sociale, Communication, Santé, Secours d’urgence, Hydraulique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468"/>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CANADA</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6</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Production agro-sylvo-pastorale, Santé, Protection sociale</w:t>
            </w:r>
          </w:p>
        </w:tc>
      </w:tr>
      <w:tr w:rsidR="00A8522B" w:rsidRPr="005F607F" w:rsidTr="005F607F">
        <w:trPr>
          <w:trHeight w:val="468"/>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DANEMARK</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4</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4</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Protection sociale, Production agro-sylvo-pastorale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522"/>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lastRenderedPageBreak/>
              <w:t>GRANDE BRETAGNE</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4</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11</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Environnement, Santé, Protection sociale, Hydraulique, Hygiène, Assainissement, Agriculture</w:t>
            </w:r>
          </w:p>
        </w:tc>
      </w:tr>
      <w:tr w:rsidR="00A8522B" w:rsidRPr="005F607F" w:rsidTr="005F607F">
        <w:trPr>
          <w:trHeight w:hRule="exact" w:val="522"/>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ARABIE SAOUDITE</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3</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Santé, Education, Hydraulique, Secours d’urgence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KOWEIT</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3</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Santé, Protection sociale</w:t>
            </w:r>
          </w:p>
        </w:tc>
      </w:tr>
      <w:tr w:rsidR="00A8522B" w:rsidRPr="005F607F" w:rsidTr="005F607F">
        <w:trPr>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AUTRICHE</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2</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5</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Protection sociale, Hydraulique, Agriculture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468"/>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LUXEMBOURG</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2</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8</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Microfinance, Santé, Production agro-sylvo-pastorale, Hydraulique, Hygiène, Assainissement</w:t>
            </w:r>
          </w:p>
        </w:tc>
      </w:tr>
      <w:tr w:rsidR="00A8522B" w:rsidRPr="005F607F" w:rsidTr="005F607F">
        <w:trPr>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NIGER</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2</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5</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Santé, Secours d’urgence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468"/>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COTE D'IVOIRE</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2</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Transformations industrielles et artisanales, Protection sociale</w:t>
            </w:r>
          </w:p>
        </w:tc>
      </w:tr>
      <w:tr w:rsidR="00A8522B" w:rsidRPr="005F607F" w:rsidTr="005F607F">
        <w:trPr>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SENEGAL</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2</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4</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Environnement, Communication</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COREE SUD</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Protection sociale</w:t>
            </w:r>
          </w:p>
        </w:tc>
      </w:tr>
      <w:tr w:rsidR="00A8522B" w:rsidRPr="005F607F" w:rsidTr="005F607F">
        <w:trPr>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IRLANDE</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Santé</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TURQUIE</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Protection sociale</w:t>
            </w:r>
          </w:p>
        </w:tc>
      </w:tr>
      <w:tr w:rsidR="00A8522B" w:rsidRPr="005F607F" w:rsidTr="005F607F">
        <w:trPr>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ISLANDE</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Protection sociale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468"/>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QATAR</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Hydraulique, Hygiène, Assainissement, Agriculture, Culture</w:t>
            </w:r>
          </w:p>
        </w:tc>
      </w:tr>
      <w:tr w:rsidR="00A8522B" w:rsidRPr="005F607F" w:rsidTr="005F607F">
        <w:trPr>
          <w:trHeight w:hRule="exact" w:val="468"/>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MALI</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Santé, Hydraulique, Education, Production agro-sylvo-pastorale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TCHAD</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Santé</w:t>
            </w:r>
          </w:p>
        </w:tc>
      </w:tr>
      <w:tr w:rsidR="00A8522B" w:rsidRPr="005F607F" w:rsidTr="005F607F">
        <w:trPr>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NIGERIA</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Protection sociale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NORVEGE</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2</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Protection sociale, Production agro-sylvo-pastorale</w:t>
            </w:r>
          </w:p>
        </w:tc>
      </w:tr>
      <w:tr w:rsidR="00A8522B" w:rsidRPr="005F607F" w:rsidTr="005F607F">
        <w:trPr>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OUGANDA</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3</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Protection sociale</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CAMEROUN</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Protection sociale</w:t>
            </w:r>
          </w:p>
        </w:tc>
      </w:tr>
      <w:tr w:rsidR="00A8522B" w:rsidRPr="005F607F" w:rsidTr="005F607F">
        <w:trPr>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PAKISTAN</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Santé</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POLOGNE</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2</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Protection sociale</w:t>
            </w:r>
          </w:p>
        </w:tc>
      </w:tr>
      <w:tr w:rsidR="00A8522B" w:rsidRPr="005F607F" w:rsidTr="005F607F">
        <w:trPr>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SUEDE</w:t>
            </w:r>
          </w:p>
        </w:tc>
        <w:tc>
          <w:tcPr>
            <w:tcW w:w="1420"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Droits humains</w:t>
            </w:r>
          </w:p>
        </w:tc>
      </w:tr>
      <w:tr w:rsidR="00A8522B" w:rsidRPr="005F607F" w:rsidTr="005F607F">
        <w:trPr>
          <w:cnfStyle w:val="000000100000" w:firstRow="0" w:lastRow="0" w:firstColumn="0" w:lastColumn="0" w:oddVBand="0" w:evenVBand="0" w:oddHBand="1" w:evenHBand="0" w:firstRowFirstColumn="0" w:firstRowLastColumn="0" w:lastRowFirstColumn="0" w:lastRowLastColumn="0"/>
          <w:trHeight w:hRule="exact" w:val="281"/>
        </w:trPr>
        <w:tc>
          <w:tcPr>
            <w:cnfStyle w:val="001000000000" w:firstRow="0" w:lastRow="0" w:firstColumn="1" w:lastColumn="0" w:oddVBand="0" w:evenVBand="0" w:oddHBand="0" w:evenHBand="0" w:firstRowFirstColumn="0" w:firstRowLastColumn="0" w:lastRowFirstColumn="0" w:lastRowLastColumn="0"/>
            <w:tcW w:w="2579" w:type="dxa"/>
            <w:noWrap/>
            <w:vAlign w:val="center"/>
            <w:hideMark/>
          </w:tcPr>
          <w:p w:rsidR="00A8522B" w:rsidRPr="005F607F" w:rsidRDefault="00A8522B" w:rsidP="005F607F">
            <w:pPr>
              <w:spacing w:after="0" w:line="240" w:lineRule="auto"/>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val="0"/>
                <w:iCs/>
                <w:color w:val="000000"/>
                <w:sz w:val="20"/>
                <w:szCs w:val="20"/>
                <w:lang w:eastAsia="fr-FR"/>
              </w:rPr>
              <w:t>SOUS-REGIONAL</w:t>
            </w:r>
          </w:p>
        </w:tc>
        <w:tc>
          <w:tcPr>
            <w:tcW w:w="1420"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w:t>
            </w:r>
          </w:p>
        </w:tc>
        <w:tc>
          <w:tcPr>
            <w:tcW w:w="1928" w:type="dxa"/>
            <w:vAlign w:val="center"/>
            <w:hideMark/>
          </w:tcPr>
          <w:p w:rsidR="00A8522B" w:rsidRPr="005F607F" w:rsidRDefault="00A8522B" w:rsidP="005F607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bCs/>
                <w:color w:val="000000"/>
                <w:sz w:val="20"/>
                <w:szCs w:val="20"/>
                <w:lang w:eastAsia="fr-FR"/>
              </w:rPr>
              <w:t>13</w:t>
            </w:r>
          </w:p>
        </w:tc>
        <w:tc>
          <w:tcPr>
            <w:tcW w:w="8373" w:type="dxa"/>
            <w:hideMark/>
          </w:tcPr>
          <w:p w:rsidR="00A8522B" w:rsidRPr="005F607F" w:rsidRDefault="00A8522B" w:rsidP="00A8522B">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color w:val="000000"/>
                <w:sz w:val="20"/>
                <w:szCs w:val="20"/>
                <w:lang w:eastAsia="fr-FR"/>
              </w:rPr>
            </w:pPr>
            <w:r w:rsidRPr="005F607F">
              <w:rPr>
                <w:rFonts w:asciiTheme="minorHAnsi" w:eastAsia="Times New Roman" w:hAnsiTheme="minorHAnsi" w:cstheme="minorHAnsi"/>
                <w:color w:val="000000"/>
                <w:sz w:val="20"/>
                <w:szCs w:val="20"/>
                <w:lang w:eastAsia="fr-FR"/>
              </w:rPr>
              <w:t>Education, Santé, Protection sociale</w:t>
            </w:r>
          </w:p>
        </w:tc>
      </w:tr>
    </w:tbl>
    <w:p w:rsidR="001C2B59" w:rsidRDefault="001C2B59" w:rsidP="003549B2">
      <w:pPr>
        <w:ind w:right="-738"/>
        <w:rPr>
          <w:rFonts w:asciiTheme="majorHAnsi" w:hAnsiTheme="majorHAnsi"/>
          <w:b/>
        </w:rPr>
      </w:pPr>
    </w:p>
    <w:p w:rsidR="002E12F6" w:rsidRDefault="002E12F6" w:rsidP="00AB6859">
      <w:pPr>
        <w:tabs>
          <w:tab w:val="left" w:pos="6450"/>
        </w:tabs>
        <w:rPr>
          <w:color w:val="2E74B5"/>
        </w:rPr>
        <w:sectPr w:rsidR="002E12F6" w:rsidSect="004C1106">
          <w:footerReference w:type="even" r:id="rId49"/>
          <w:footerReference w:type="default" r:id="rId50"/>
          <w:pgSz w:w="16838" w:h="11906" w:orient="landscape"/>
          <w:pgMar w:top="1418" w:right="1418" w:bottom="1418" w:left="1418" w:header="709" w:footer="709" w:gutter="0"/>
          <w:cols w:space="708"/>
          <w:docGrid w:linePitch="360"/>
        </w:sectPr>
      </w:pPr>
    </w:p>
    <w:p w:rsidR="00AB6859" w:rsidRPr="00A8522B" w:rsidRDefault="002E12F6" w:rsidP="00A8522B">
      <w:pPr>
        <w:pStyle w:val="Titre1"/>
        <w:pBdr>
          <w:bottom w:val="none" w:sz="0" w:space="0" w:color="auto"/>
        </w:pBdr>
        <w:spacing w:after="240"/>
        <w:rPr>
          <w:u w:val="single"/>
        </w:rPr>
      </w:pPr>
      <w:bookmarkStart w:id="735" w:name="_Toc492972292"/>
      <w:r w:rsidRPr="00A8522B">
        <w:rPr>
          <w:u w:val="single"/>
        </w:rPr>
        <w:lastRenderedPageBreak/>
        <w:t>Annexe 12</w:t>
      </w:r>
      <w:r w:rsidR="00CB5ACB" w:rsidRPr="00A8522B">
        <w:rPr>
          <w:u w:val="single"/>
        </w:rPr>
        <w:t xml:space="preserve">: </w:t>
      </w:r>
      <w:r w:rsidR="001A6698" w:rsidRPr="00A8522B">
        <w:rPr>
          <w:u w:val="single"/>
        </w:rPr>
        <w:t>Définition des termes</w:t>
      </w:r>
      <w:bookmarkEnd w:id="735"/>
    </w:p>
    <w:p w:rsidR="00CB5ACB" w:rsidRPr="00CB5ACB" w:rsidRDefault="00CB5ACB" w:rsidP="00CB5ACB">
      <w:pPr>
        <w:jc w:val="both"/>
        <w:rPr>
          <w:rFonts w:ascii="Arial" w:hAnsi="Arial" w:cs="Arial"/>
        </w:rPr>
      </w:pPr>
      <w:r w:rsidRPr="00CB5ACB">
        <w:rPr>
          <w:rFonts w:ascii="Arial" w:hAnsi="Arial" w:cs="Arial"/>
        </w:rPr>
        <w:t>La liste suivante des termes utilisés dans le Rapport sur la Coopération pour le Développement (RCD) repose sur des considérations opérationnelles dans le cadre de la coopération au développement et n'est pas censée être exhaustive.</w:t>
      </w:r>
    </w:p>
    <w:p w:rsidR="00CB5ACB" w:rsidRPr="00CB5ACB" w:rsidRDefault="00CB5ACB" w:rsidP="00CB5ACB">
      <w:pPr>
        <w:jc w:val="both"/>
        <w:rPr>
          <w:rFonts w:ascii="Arial" w:hAnsi="Arial" w:cs="Arial"/>
        </w:rPr>
      </w:pPr>
      <w:r w:rsidRPr="00CB5ACB">
        <w:rPr>
          <w:rFonts w:ascii="Arial" w:hAnsi="Arial" w:cs="Arial"/>
          <w:b/>
          <w:bCs/>
        </w:rPr>
        <w:t>Aide alimentaire (FAO) </w:t>
      </w:r>
      <w:r w:rsidRPr="00CB5ACB">
        <w:rPr>
          <w:rFonts w:ascii="Arial" w:hAnsi="Arial" w:cs="Arial"/>
          <w:iCs/>
        </w:rPr>
        <w:t xml:space="preserve">: </w:t>
      </w:r>
      <w:r w:rsidRPr="00CB5ACB">
        <w:rPr>
          <w:rFonts w:ascii="Arial" w:hAnsi="Arial" w:cs="Arial"/>
        </w:rPr>
        <w:t>fourniture de vivres à des fins de développement, y compris les dons et prêts pour l'achat de vivres. Les dépenses connexes (transport, stockage, distribution, etc.) figurent aussi dans cette rubrique, ainsi que les articles apparentés fournis par les donateurs, la nourriture pour animaux et les intrants agricoles, par exemple, pour les cultures vivrières lorsque ces apports font partie d'un programme d'aide alimentaire.</w:t>
      </w:r>
    </w:p>
    <w:p w:rsidR="00CB5ACB" w:rsidRPr="00CB5ACB" w:rsidRDefault="00CB5ACB" w:rsidP="00CB5ACB">
      <w:pPr>
        <w:jc w:val="both"/>
        <w:rPr>
          <w:rFonts w:ascii="Arial" w:hAnsi="Arial" w:cs="Arial"/>
        </w:rPr>
      </w:pPr>
      <w:r w:rsidRPr="00CB5ACB">
        <w:rPr>
          <w:rFonts w:ascii="Arial" w:hAnsi="Arial" w:cs="Arial"/>
          <w:b/>
          <w:bCs/>
        </w:rPr>
        <w:t xml:space="preserve">Aide humanitaire </w:t>
      </w:r>
      <w:r w:rsidRPr="00CB5ACB">
        <w:rPr>
          <w:rFonts w:ascii="Arial" w:hAnsi="Arial" w:cs="Arial"/>
        </w:rPr>
        <w:t>: aide destinée à sauver des vies, à atténuer les souffrances, et à préserver et protéger la dignité humaine pendant et après des situations d’urgence. Pour être comptabilisé dans l’aide humanitaire, les apports d’aide doivent être conformes aux principes humanitaires d’humanité, d’impartialité, de neutralité et d’indépendance.</w:t>
      </w:r>
    </w:p>
    <w:p w:rsidR="00CB5ACB" w:rsidRPr="00CB5ACB" w:rsidRDefault="00CB5ACB" w:rsidP="00CB5ACB">
      <w:pPr>
        <w:jc w:val="both"/>
        <w:rPr>
          <w:rFonts w:ascii="Arial" w:hAnsi="Arial" w:cs="Arial"/>
        </w:rPr>
      </w:pPr>
      <w:r w:rsidRPr="00CB5ACB">
        <w:rPr>
          <w:rFonts w:ascii="Arial" w:hAnsi="Arial" w:cs="Arial"/>
          <w:b/>
          <w:bCs/>
        </w:rPr>
        <w:t xml:space="preserve">Aide liée </w:t>
      </w:r>
      <w:r w:rsidRPr="00CB5ACB">
        <w:rPr>
          <w:rFonts w:ascii="Arial" w:hAnsi="Arial" w:cs="Arial"/>
        </w:rPr>
        <w:t>: dons ou prêts d’origine publique servant à financer des achats de biens et services dans le seul pays donneur ou dans un groupe de pays qui ne comprend pas la quasi-totalité des pays bénéficiaires.</w:t>
      </w:r>
    </w:p>
    <w:p w:rsidR="00CB5ACB" w:rsidRPr="00CB5ACB" w:rsidRDefault="00CB5ACB" w:rsidP="00CB5ACB">
      <w:pPr>
        <w:jc w:val="both"/>
        <w:rPr>
          <w:rFonts w:ascii="Arial" w:hAnsi="Arial" w:cs="Arial"/>
        </w:rPr>
      </w:pPr>
      <w:r w:rsidRPr="00CB5ACB">
        <w:rPr>
          <w:rFonts w:ascii="Arial" w:hAnsi="Arial" w:cs="Arial"/>
          <w:b/>
          <w:bCs/>
        </w:rPr>
        <w:t xml:space="preserve">Aide Publique au développement </w:t>
      </w:r>
      <w:r w:rsidRPr="00CB5ACB">
        <w:rPr>
          <w:rFonts w:ascii="Arial" w:hAnsi="Arial" w:cs="Arial"/>
        </w:rPr>
        <w:t>(APD) : correspond aux courants d'aide en direction de pays en développement et d'institutions multilatérales émanant d'organismes publics, y compris l'Etat et les autorités locales ou leurs agences d'exécution, et dont chaque opérati</w:t>
      </w:r>
      <w:r w:rsidR="005F607F">
        <w:rPr>
          <w:rFonts w:ascii="Arial" w:hAnsi="Arial" w:cs="Arial"/>
        </w:rPr>
        <w:t>on répond aux critères suivants</w:t>
      </w:r>
      <w:r w:rsidRPr="00CB5ACB">
        <w:rPr>
          <w:rFonts w:ascii="Arial" w:hAnsi="Arial" w:cs="Arial"/>
        </w:rPr>
        <w:t>:</w:t>
      </w:r>
    </w:p>
    <w:p w:rsidR="00CB5ACB" w:rsidRPr="00CB5ACB" w:rsidRDefault="00CB5ACB" w:rsidP="00CB5ACB">
      <w:pPr>
        <w:jc w:val="both"/>
        <w:rPr>
          <w:rFonts w:ascii="Arial" w:hAnsi="Arial" w:cs="Arial"/>
        </w:rPr>
      </w:pPr>
      <w:r w:rsidRPr="00CB5ACB">
        <w:rPr>
          <w:rFonts w:ascii="Arial" w:hAnsi="Arial" w:cs="Arial"/>
        </w:rPr>
        <w:t>a) avoir pour objectif principal de promouvoir le développement économique et le bien-être des pays en développement ; b) avoir un caractère concessionnel et comprendre un élément don d'au moins 35% (au taux d'escompte de 10)</w:t>
      </w:r>
    </w:p>
    <w:p w:rsidR="00CB5ACB" w:rsidRPr="00CB5ACB" w:rsidRDefault="00CB5ACB" w:rsidP="00CB5ACB">
      <w:pPr>
        <w:jc w:val="both"/>
        <w:rPr>
          <w:rFonts w:ascii="Arial" w:hAnsi="Arial" w:cs="Arial"/>
        </w:rPr>
      </w:pPr>
      <w:r w:rsidRPr="00CB5ACB">
        <w:rPr>
          <w:rFonts w:ascii="Arial" w:hAnsi="Arial" w:cs="Arial"/>
          <w:b/>
          <w:bCs/>
        </w:rPr>
        <w:t>Aide aux programmes/aide budgétaire ou appui à la balance des paiements (PBB) </w:t>
      </w:r>
      <w:r w:rsidRPr="00CB5ACB">
        <w:rPr>
          <w:rFonts w:ascii="Arial" w:hAnsi="Arial" w:cs="Arial"/>
        </w:rPr>
        <w:t xml:space="preserve">: assistance qui ne s'inscrit pas dans le cadre de projets précis d'investissement ou de coopération technique mais correspond plutôt à des objectifs plus larges de développement macroéconomique et/ou qui est fournie dans le but précis d'améliorer la balance des paiements du pays bénéficiaire et de mettre à sa disposition des devises. Cette catégorie comprend l'assistance </w:t>
      </w:r>
      <w:r w:rsidRPr="00CB5ACB">
        <w:t>en</w:t>
      </w:r>
      <w:r w:rsidRPr="00CB5ACB">
        <w:rPr>
          <w:rFonts w:ascii="Arial" w:hAnsi="Arial" w:cs="Arial"/>
        </w:rPr>
        <w:t xml:space="preserve"> nature pour les apports de produits de base autres qu'alimentaires et les dons et prêts financiers permettant de payer ces apports. Elle comprend aussi les ressources correspondant aux annulations de dette publique.</w:t>
      </w:r>
    </w:p>
    <w:p w:rsidR="00CB5ACB" w:rsidRPr="00CB5ACB" w:rsidRDefault="00CB5ACB" w:rsidP="00CB5ACB">
      <w:pPr>
        <w:jc w:val="both"/>
        <w:rPr>
          <w:rFonts w:ascii="Arial" w:hAnsi="Arial" w:cs="Arial"/>
        </w:rPr>
      </w:pPr>
      <w:r w:rsidRPr="00CB5ACB">
        <w:rPr>
          <w:rFonts w:ascii="Arial" w:hAnsi="Arial" w:cs="Arial"/>
          <w:b/>
          <w:bCs/>
        </w:rPr>
        <w:t xml:space="preserve">Approche-programme : </w:t>
      </w:r>
      <w:r w:rsidRPr="00CB5ACB">
        <w:rPr>
          <w:rFonts w:ascii="Arial" w:hAnsi="Arial" w:cs="Arial"/>
        </w:rPr>
        <w:t>modalité de coopération pour le développement qui repose sur le principe du soutien coordonné à un programme de développement ancré au niveau local, par exemple une stratégie nationale de développement, un programme sectoriel, un programme thématique ou un programme d’une organisation spécifique. Les approches-programmes présentent les caractéristiques communes suivantes : i) conduite des opérations (leadership) assurée par le pays bénéficiaire ou l’organisation concernée ; ii) cadre unique intégré de programmation et de budgétisation ; iii) processus formalisé de coordination et d'harmonisation des procédures des donneurs en matière d'établissement de rapports, de budgétisation, de gestion financière et de passation des marchés ; iv) effort de systématisation de l’utilisation des systèmes locaux d’élaboration et de mise en œuvre des programmes, de gestion financière, de suivi et d’évaluation.</w:t>
      </w:r>
    </w:p>
    <w:p w:rsidR="00CB5ACB" w:rsidRPr="00CB5ACB" w:rsidRDefault="00CB5ACB" w:rsidP="00CB5ACB">
      <w:pPr>
        <w:jc w:val="both"/>
        <w:rPr>
          <w:rFonts w:ascii="Arial" w:hAnsi="Arial" w:cs="Arial"/>
        </w:rPr>
      </w:pPr>
      <w:r w:rsidRPr="00CB5ACB">
        <w:rPr>
          <w:rFonts w:ascii="Arial" w:hAnsi="Arial" w:cs="Arial"/>
          <w:b/>
          <w:bCs/>
        </w:rPr>
        <w:t xml:space="preserve">Approche sectorielle </w:t>
      </w:r>
      <w:r w:rsidRPr="00CB5ACB">
        <w:rPr>
          <w:rFonts w:ascii="Arial" w:hAnsi="Arial" w:cs="Arial"/>
        </w:rPr>
        <w:t xml:space="preserve">: processus conjoint de dialogue (gouvernement, partenaires techniques et financiers, autres acteurs du secteur) permettant au gouvernement de définir et mettre en œuvre </w:t>
      </w:r>
      <w:r w:rsidRPr="00CB5ACB">
        <w:rPr>
          <w:rFonts w:ascii="Arial" w:hAnsi="Arial" w:cs="Arial"/>
        </w:rPr>
        <w:lastRenderedPageBreak/>
        <w:t xml:space="preserve">son programme sectoriel. En anglais, l'approche sectorielle est appelée </w:t>
      </w:r>
      <w:r w:rsidRPr="00CB5ACB">
        <w:rPr>
          <w:rFonts w:ascii="Arial" w:hAnsi="Arial" w:cs="Arial"/>
          <w:b/>
          <w:bCs/>
        </w:rPr>
        <w:t>sector wide approach (SWAp)</w:t>
      </w:r>
      <w:r w:rsidRPr="00CB5ACB">
        <w:rPr>
          <w:rFonts w:ascii="Arial" w:hAnsi="Arial" w:cs="Arial"/>
        </w:rPr>
        <w:t xml:space="preserve">.Une approche sectorielle répond généralement à trois critères: </w:t>
      </w:r>
    </w:p>
    <w:p w:rsidR="00CB5ACB" w:rsidRPr="00CB5ACB" w:rsidRDefault="00CB5ACB" w:rsidP="008D7758">
      <w:pPr>
        <w:numPr>
          <w:ilvl w:val="0"/>
          <w:numId w:val="131"/>
        </w:numPr>
        <w:contextualSpacing/>
        <w:jc w:val="both"/>
        <w:rPr>
          <w:rFonts w:ascii="Arial" w:hAnsi="Arial" w:cs="Arial"/>
        </w:rPr>
      </w:pPr>
      <w:r w:rsidRPr="00CB5ACB">
        <w:rPr>
          <w:rFonts w:ascii="Arial" w:hAnsi="Arial" w:cs="Arial"/>
        </w:rPr>
        <w:t>Existence d'un document de politique sectorielle et d'un cadre stratégique global;</w:t>
      </w:r>
    </w:p>
    <w:p w:rsidR="00CB5ACB" w:rsidRPr="00CB5ACB" w:rsidRDefault="00CB5ACB" w:rsidP="008D7758">
      <w:pPr>
        <w:numPr>
          <w:ilvl w:val="0"/>
          <w:numId w:val="131"/>
        </w:numPr>
        <w:contextualSpacing/>
        <w:jc w:val="both"/>
        <w:rPr>
          <w:rFonts w:ascii="Arial" w:hAnsi="Arial" w:cs="Arial"/>
        </w:rPr>
      </w:pPr>
      <w:r w:rsidRPr="00CB5ACB">
        <w:rPr>
          <w:rFonts w:ascii="Arial" w:hAnsi="Arial" w:cs="Arial"/>
        </w:rPr>
        <w:t>Existence d'un cadre de dépense sectoriel à moyen terme et d'un budget annuel;</w:t>
      </w:r>
    </w:p>
    <w:p w:rsidR="00CB5ACB" w:rsidRPr="00CB5ACB" w:rsidRDefault="00CB5ACB" w:rsidP="008D7758">
      <w:pPr>
        <w:numPr>
          <w:ilvl w:val="0"/>
          <w:numId w:val="131"/>
        </w:numPr>
        <w:contextualSpacing/>
        <w:jc w:val="both"/>
        <w:rPr>
          <w:rFonts w:ascii="Arial" w:hAnsi="Arial" w:cs="Arial"/>
        </w:rPr>
      </w:pPr>
      <w:r w:rsidRPr="00CB5ACB">
        <w:rPr>
          <w:rFonts w:ascii="Arial" w:hAnsi="Arial" w:cs="Arial"/>
        </w:rPr>
        <w:t>Existence d'une coordination des bailleurs de fonds organisée par le gouvernement dans le secteur concerné.</w:t>
      </w:r>
    </w:p>
    <w:p w:rsidR="00CB5ACB" w:rsidRPr="00CB5ACB" w:rsidRDefault="00CB5ACB" w:rsidP="00CB5ACB">
      <w:pPr>
        <w:jc w:val="both"/>
        <w:rPr>
          <w:rFonts w:ascii="Arial" w:hAnsi="Arial" w:cs="Arial"/>
          <w:i/>
          <w:iCs/>
        </w:rPr>
      </w:pPr>
      <w:r w:rsidRPr="00CB5ACB">
        <w:rPr>
          <w:rFonts w:ascii="Arial" w:hAnsi="Arial" w:cs="Arial"/>
          <w:b/>
          <w:bCs/>
        </w:rPr>
        <w:t xml:space="preserve">Assistance et secours d'urgence (ERA) : </w:t>
      </w:r>
      <w:r w:rsidRPr="00CB5ACB">
        <w:rPr>
          <w:rFonts w:ascii="Arial" w:hAnsi="Arial" w:cs="Arial"/>
        </w:rPr>
        <w:t xml:space="preserve">Fourniture de ressources visant à alléger immédiatement des situations de détresse et à améliorer le bien-être des populations touchées par des catastrophes naturelles ou sociales. L'aide alimentaire à des fins humanitaires et dans les situations d'urgence fait partie de cette rubrique. Cette assistance est essentiellement humanitaire. L'assistance et les secours d'urgence ne sont généralement pas liés aux efforts de développement du pays et ne visent pas à accroître les moyens d'action de ce dernier. Bien qu'elle soit inclue dans l'APD, cette forme d'assistance humanitaire ne relève pas de la coopération au développement, </w:t>
      </w:r>
      <w:r w:rsidRPr="00CB5ACB">
        <w:rPr>
          <w:rFonts w:ascii="Arial" w:hAnsi="Arial" w:cs="Arial"/>
          <w:i/>
          <w:iCs/>
        </w:rPr>
        <w:t>stricto sensu.</w:t>
      </w:r>
    </w:p>
    <w:p w:rsidR="00CB5ACB" w:rsidRPr="00CB5ACB" w:rsidRDefault="00CB5ACB" w:rsidP="00CB5ACB">
      <w:pPr>
        <w:jc w:val="both"/>
        <w:rPr>
          <w:rFonts w:ascii="Arial" w:hAnsi="Arial" w:cs="Arial"/>
        </w:rPr>
      </w:pPr>
      <w:r w:rsidRPr="00CB5ACB">
        <w:rPr>
          <w:rFonts w:ascii="Arial" w:hAnsi="Arial" w:cs="Arial"/>
          <w:b/>
          <w:bCs/>
        </w:rPr>
        <w:t xml:space="preserve">Année du rapport : </w:t>
      </w:r>
      <w:r w:rsidRPr="00CB5ACB">
        <w:rPr>
          <w:rFonts w:ascii="Arial" w:hAnsi="Arial" w:cs="Arial"/>
          <w:bCs/>
        </w:rPr>
        <w:t>c</w:t>
      </w:r>
      <w:r w:rsidRPr="00CB5ACB">
        <w:rPr>
          <w:rFonts w:ascii="Arial" w:hAnsi="Arial" w:cs="Arial"/>
        </w:rPr>
        <w:t>orrespond à l'année sur laquelle portent les informations réunies. Les informations rassemblées et présentées dans le RCD peuvent être décalées d'une ou plusieurs années. Par exemple, le rapport de l’année N-1 est réalisé à l’année N.</w:t>
      </w:r>
    </w:p>
    <w:p w:rsidR="00CB5ACB" w:rsidRPr="00CB5ACB" w:rsidRDefault="00CB5ACB" w:rsidP="00CB5ACB">
      <w:pPr>
        <w:jc w:val="both"/>
        <w:rPr>
          <w:rFonts w:ascii="Arial" w:hAnsi="Arial" w:cs="Arial"/>
        </w:rPr>
      </w:pPr>
      <w:r w:rsidRPr="00CB5ACB">
        <w:rPr>
          <w:rFonts w:ascii="Arial" w:hAnsi="Arial" w:cs="Arial"/>
          <w:b/>
          <w:bCs/>
        </w:rPr>
        <w:t xml:space="preserve">Approbation : </w:t>
      </w:r>
      <w:r w:rsidRPr="00CB5ACB">
        <w:rPr>
          <w:rFonts w:ascii="Arial" w:hAnsi="Arial" w:cs="Arial"/>
        </w:rPr>
        <w:t>une approbation est une obligation ferme appuyée par l'ouverture d'un crédit ou la mise à disposition de fonds publics. Le gouvernement du pays qui fait l'objet du rapport s'engage à fournir un montant précis de ressources, assorti de conditions financières précises et à des fins précises. Les approbations sont considérées comme étant faites à la date de signature de l'accord de prêt ou de don (qui précise le montant, les conditions financières et le but du prêt ou du don).</w:t>
      </w:r>
    </w:p>
    <w:p w:rsidR="00CB5ACB" w:rsidRPr="00CB5ACB" w:rsidRDefault="00CB5ACB" w:rsidP="00CB5ACB">
      <w:pPr>
        <w:jc w:val="both"/>
        <w:rPr>
          <w:rFonts w:ascii="Arial" w:hAnsi="Arial" w:cs="Arial"/>
        </w:rPr>
      </w:pPr>
      <w:r w:rsidRPr="00CB5ACB">
        <w:rPr>
          <w:rFonts w:ascii="Arial" w:hAnsi="Arial" w:cs="Arial"/>
        </w:rPr>
        <w:t>Pour certains déboursements spéciaux comme les contributions d'urgence, la date de déboursement est assimilée à la date d'approbation (voir également Engagements).</w:t>
      </w:r>
    </w:p>
    <w:p w:rsidR="00CB5ACB" w:rsidRPr="00CB5ACB" w:rsidRDefault="00CB5ACB" w:rsidP="00CB5ACB">
      <w:pPr>
        <w:jc w:val="both"/>
        <w:rPr>
          <w:rFonts w:ascii="Arial" w:hAnsi="Arial" w:cs="Arial"/>
        </w:rPr>
      </w:pPr>
      <w:r w:rsidRPr="00CB5ACB">
        <w:rPr>
          <w:rFonts w:ascii="Arial" w:hAnsi="Arial" w:cs="Arial"/>
          <w:b/>
          <w:bCs/>
        </w:rPr>
        <w:t xml:space="preserve">Assistance extérieure: </w:t>
      </w:r>
      <w:r w:rsidRPr="00CB5ACB">
        <w:rPr>
          <w:rFonts w:ascii="Arial" w:hAnsi="Arial" w:cs="Arial"/>
        </w:rPr>
        <w:t xml:space="preserve">l'assistance extérieure comprend l'aide publique au développement (APD), les secours d'urgence et l'assistance d'organisations non gouvernementales extérieures. </w:t>
      </w:r>
    </w:p>
    <w:p w:rsidR="00CB5ACB" w:rsidRPr="00CB5ACB" w:rsidRDefault="00CB5ACB" w:rsidP="00CB5ACB">
      <w:pPr>
        <w:jc w:val="both"/>
        <w:rPr>
          <w:rFonts w:ascii="Arial" w:hAnsi="Arial" w:cs="Arial"/>
        </w:rPr>
      </w:pPr>
      <w:r w:rsidRPr="00CB5ACB">
        <w:rPr>
          <w:rFonts w:ascii="Arial" w:hAnsi="Arial" w:cs="Arial"/>
          <w:b/>
          <w:bCs/>
        </w:rPr>
        <w:t xml:space="preserve">Bénéficiaires visés : </w:t>
      </w:r>
      <w:r w:rsidRPr="00CB5ACB">
        <w:rPr>
          <w:rFonts w:ascii="Arial" w:hAnsi="Arial" w:cs="Arial"/>
        </w:rPr>
        <w:t>sont ceux qui doivent, au bout du compte, tirer profit des produits du projet.</w:t>
      </w:r>
    </w:p>
    <w:p w:rsidR="00CB5ACB" w:rsidRDefault="00CB5ACB" w:rsidP="00CB5ACB">
      <w:pPr>
        <w:jc w:val="both"/>
        <w:rPr>
          <w:rFonts w:ascii="Arial" w:hAnsi="Arial" w:cs="Arial"/>
        </w:rPr>
      </w:pPr>
      <w:r w:rsidRPr="00CB5ACB">
        <w:rPr>
          <w:rFonts w:ascii="Arial" w:hAnsi="Arial" w:cs="Arial"/>
          <w:b/>
          <w:bCs/>
        </w:rPr>
        <w:t xml:space="preserve">Cofinancement </w:t>
      </w:r>
      <w:r w:rsidRPr="00CB5ACB">
        <w:rPr>
          <w:rFonts w:ascii="Arial" w:hAnsi="Arial" w:cs="Arial"/>
        </w:rPr>
        <w:t>: le financement de projets et programmes est assuré par plus d'une source. Les arrangements de cofinancement peuvent faire appel à la participation de tiers aux coûts ou à un fonds d'affectation spéciale.</w:t>
      </w:r>
    </w:p>
    <w:p w:rsidR="0093610D" w:rsidRPr="0093610D" w:rsidRDefault="0093610D" w:rsidP="0093610D">
      <w:pPr>
        <w:jc w:val="both"/>
        <w:rPr>
          <w:rFonts w:ascii="Arial" w:hAnsi="Arial" w:cs="Arial"/>
        </w:rPr>
      </w:pPr>
      <w:r>
        <w:rPr>
          <w:rFonts w:ascii="Arial" w:hAnsi="Arial" w:cs="Arial"/>
          <w:b/>
          <w:bCs/>
        </w:rPr>
        <w:t>C</w:t>
      </w:r>
      <w:r w:rsidRPr="0093610D">
        <w:rPr>
          <w:rFonts w:ascii="Arial" w:hAnsi="Arial" w:cs="Arial"/>
          <w:b/>
          <w:bCs/>
        </w:rPr>
        <w:t>ontrat de Partenariat Public-Privé</w:t>
      </w:r>
      <w:r w:rsidRPr="00CB5ACB">
        <w:rPr>
          <w:b/>
          <w:color w:val="1A181C"/>
        </w:rPr>
        <w:t> </w:t>
      </w:r>
      <w:r w:rsidRPr="00CB5ACB">
        <w:rPr>
          <w:color w:val="1A181C"/>
        </w:rPr>
        <w:t xml:space="preserve">: </w:t>
      </w:r>
      <w:r w:rsidRPr="0093610D">
        <w:rPr>
          <w:rFonts w:ascii="Arial" w:hAnsi="Arial" w:cs="Arial"/>
        </w:rPr>
        <w:t xml:space="preserve">selon l’article 4 de loi n°020-2013/AN du 23 mai 2013 portant régime juridique du partenariat public-privé au Burkina Faso, le contrat de partenariat public-privé régit la collaboration entre une autorité publique et une ou plusieurs personnes privées. C’est un contrat par lequel une autorité publique confie à un partenaire privé, pour une période donnée, en fonction de la durée des amortissements ou des modalités de financement retenues, la responsabilité de tout ou partie des phases suivantes d’un projet : (i) la conception des ouvrages ou équipements nécessaires au service public, (ii) le financement, (iii) la construction, (iv) la transformation des ouvrages ou des équipements, (v) l’entretien ou la maintenance, (vi) l’exploitation ou la gestion. Peuvent également être confiées à un partenaire privé dans le cas d’un contrat de partenariat public-privé, d’autres prestations de services concourant à l’exercice par l’autorité publique, de la mission de service public dont elle est chargée. </w:t>
      </w:r>
    </w:p>
    <w:p w:rsidR="0093610D" w:rsidRPr="0093610D" w:rsidRDefault="0093610D" w:rsidP="0093610D">
      <w:pPr>
        <w:rPr>
          <w:rFonts w:ascii="Arial" w:hAnsi="Arial" w:cs="Arial"/>
        </w:rPr>
      </w:pPr>
    </w:p>
    <w:p w:rsidR="00CB5ACB" w:rsidRPr="00CB5ACB" w:rsidRDefault="00CB5ACB" w:rsidP="00CB5ACB">
      <w:pPr>
        <w:jc w:val="both"/>
        <w:rPr>
          <w:rFonts w:ascii="Arial" w:hAnsi="Arial" w:cs="Arial"/>
        </w:rPr>
      </w:pPr>
      <w:r w:rsidRPr="00CB5ACB">
        <w:rPr>
          <w:rFonts w:ascii="Arial" w:hAnsi="Arial" w:cs="Arial"/>
          <w:b/>
          <w:bCs/>
        </w:rPr>
        <w:lastRenderedPageBreak/>
        <w:t xml:space="preserve">Contribution de contrepartie du Gouvernement aux projets </w:t>
      </w:r>
      <w:r w:rsidRPr="00CB5ACB">
        <w:rPr>
          <w:rFonts w:ascii="Arial" w:hAnsi="Arial" w:cs="Arial"/>
        </w:rPr>
        <w:t>: contribution, en espèces ou en nature, du gouvernement aux projets ou activités de coopération technique. Cette contribution porte en général sur les traitements du personnel national ainsi que sur la fourniture de matériel.</w:t>
      </w:r>
    </w:p>
    <w:p w:rsidR="00CB5ACB" w:rsidRPr="00CB5ACB" w:rsidRDefault="00CB5ACB" w:rsidP="00CB5ACB">
      <w:pPr>
        <w:jc w:val="both"/>
        <w:rPr>
          <w:rFonts w:ascii="Arial" w:hAnsi="Arial" w:cs="Arial"/>
        </w:rPr>
      </w:pPr>
      <w:r w:rsidRPr="00CB5ACB">
        <w:rPr>
          <w:rFonts w:ascii="Arial" w:hAnsi="Arial" w:cs="Arial"/>
          <w:b/>
          <w:bCs/>
        </w:rPr>
        <w:t xml:space="preserve">Coopération Internationale pour le Développement : </w:t>
      </w:r>
      <w:r w:rsidRPr="00CB5ACB">
        <w:rPr>
          <w:rFonts w:ascii="Arial" w:hAnsi="Arial" w:cs="Arial"/>
        </w:rPr>
        <w:t>actions réalisées dans leur ensemble par les acteurs publics et privés entre des pays ayant un niveau de rente différent, afin de promouvoir le progrès économique et social.</w:t>
      </w:r>
    </w:p>
    <w:p w:rsidR="00CB5ACB" w:rsidRPr="00CB5ACB" w:rsidRDefault="00CB5ACB" w:rsidP="00CB5ACB">
      <w:pPr>
        <w:jc w:val="both"/>
        <w:rPr>
          <w:rFonts w:ascii="Arial" w:hAnsi="Arial" w:cs="Arial"/>
        </w:rPr>
      </w:pPr>
      <w:r w:rsidRPr="00CB5ACB">
        <w:rPr>
          <w:rFonts w:ascii="Arial" w:hAnsi="Arial" w:cs="Arial"/>
          <w:b/>
          <w:bCs/>
        </w:rPr>
        <w:t xml:space="preserve">Coopération Technique Autonome (FTC) : </w:t>
      </w:r>
      <w:r w:rsidRPr="00CB5ACB">
        <w:rPr>
          <w:rFonts w:ascii="Arial" w:hAnsi="Arial" w:cs="Arial"/>
        </w:rPr>
        <w:t>fourniture de ressources visant à assurer le transfert de compétences et de connaissances techniques et administratives ou de technologie afin de renforcer la capacité nationale à entreprendre des activités de développement, sans que ces ressources soient  liées à l'exécution de tel ou tel projet d'investissement. Elle comprend aussi les activités de pré investissement telles que les études de faisabilité, lorsque l'investissement lui-même n’a pas encore été approuvé ou le financement obtenu. Cette catégorie correspond à la catégorie "coopération technique" du CAD/OCDE.</w:t>
      </w:r>
    </w:p>
    <w:p w:rsidR="00CB5ACB" w:rsidRPr="00CB5ACB" w:rsidRDefault="00CB5ACB" w:rsidP="00CB5ACB">
      <w:pPr>
        <w:jc w:val="both"/>
        <w:rPr>
          <w:rFonts w:ascii="Arial" w:hAnsi="Arial" w:cs="Arial"/>
        </w:rPr>
      </w:pPr>
      <w:r w:rsidRPr="00CB5ACB">
        <w:rPr>
          <w:rFonts w:ascii="Arial" w:hAnsi="Arial" w:cs="Arial"/>
          <w:b/>
          <w:bCs/>
        </w:rPr>
        <w:t xml:space="preserve">Coopération technique liée à des projets d'investissements (ITC) </w:t>
      </w:r>
      <w:r w:rsidRPr="00CB5ACB">
        <w:rPr>
          <w:rFonts w:ascii="Arial" w:hAnsi="Arial" w:cs="Arial"/>
        </w:rPr>
        <w:t>: fourniture de ressources visant directement à renforcer la capacité d'exécution de projets d'investissement précis. Figurent sous cette rubrique les activités de pré investissement directement liées à l'exécution d'un projet d'investissement approuvé. Par définition, cette coopération technique n'existe que s'il y a parallèlement un projet d'investissement. Elle correspond à la catégorie "assistance technique" du CAD/OCDE.</w:t>
      </w:r>
    </w:p>
    <w:p w:rsidR="00CB5ACB" w:rsidRPr="00CB5ACB" w:rsidRDefault="00CB5ACB" w:rsidP="00CB5ACB">
      <w:pPr>
        <w:jc w:val="both"/>
        <w:rPr>
          <w:rFonts w:ascii="Arial" w:hAnsi="Arial" w:cs="Arial"/>
        </w:rPr>
      </w:pPr>
      <w:r w:rsidRPr="00CB5ACB">
        <w:rPr>
          <w:rFonts w:ascii="Arial" w:hAnsi="Arial" w:cs="Arial"/>
          <w:b/>
          <w:bCs/>
        </w:rPr>
        <w:t xml:space="preserve">Coordination </w:t>
      </w:r>
      <w:r w:rsidRPr="00CB5ACB">
        <w:rPr>
          <w:rFonts w:ascii="Arial" w:hAnsi="Arial" w:cs="Arial"/>
        </w:rPr>
        <w:t xml:space="preserve">: étymologie du latin </w:t>
      </w:r>
      <w:r w:rsidRPr="00CB5ACB">
        <w:rPr>
          <w:rFonts w:ascii="Arial" w:hAnsi="Arial" w:cs="Arial"/>
          <w:i/>
          <w:iCs/>
        </w:rPr>
        <w:t>cum</w:t>
      </w:r>
      <w:r w:rsidRPr="00CB5ACB">
        <w:rPr>
          <w:rFonts w:ascii="Arial" w:hAnsi="Arial" w:cs="Arial"/>
        </w:rPr>
        <w:t>, avec, et ordinaire</w:t>
      </w:r>
      <w:r w:rsidRPr="00CB5ACB">
        <w:rPr>
          <w:rFonts w:ascii="Arial" w:hAnsi="Arial" w:cs="Arial"/>
          <w:i/>
          <w:iCs/>
        </w:rPr>
        <w:t xml:space="preserve">, </w:t>
      </w:r>
      <w:r w:rsidRPr="00CB5ACB">
        <w:rPr>
          <w:rFonts w:ascii="Arial" w:hAnsi="Arial" w:cs="Arial"/>
        </w:rPr>
        <w:t>mettre en ordre, ranger, disposer, ordonner, arranger, organiser. La coordination est l'action de coordonner, d'ordonner, d'agencer les parties d'un ensemble en vue d'un objectif particulier.</w:t>
      </w:r>
    </w:p>
    <w:p w:rsidR="00CB5ACB" w:rsidRPr="00CB5ACB" w:rsidRDefault="00CB5ACB" w:rsidP="00CB5ACB">
      <w:pPr>
        <w:jc w:val="both"/>
        <w:rPr>
          <w:rFonts w:ascii="Arial" w:hAnsi="Arial" w:cs="Arial"/>
        </w:rPr>
      </w:pPr>
      <w:r w:rsidRPr="00CB5ACB">
        <w:rPr>
          <w:rFonts w:ascii="Arial" w:hAnsi="Arial" w:cs="Arial"/>
          <w:b/>
          <w:bCs/>
        </w:rPr>
        <w:t xml:space="preserve">Coordination de l’aide : </w:t>
      </w:r>
      <w:r w:rsidRPr="00CB5ACB">
        <w:rPr>
          <w:rFonts w:ascii="Arial" w:hAnsi="Arial" w:cs="Arial"/>
        </w:rPr>
        <w:t>action de diriger les initiatives ou les actions des partenaires techniques et financiers de manière à ce qu’elles contribuent efficacement au développement économique et social du pays bénéficiaire.</w:t>
      </w:r>
    </w:p>
    <w:p w:rsidR="00CB5ACB" w:rsidRPr="00CB5ACB" w:rsidRDefault="00CB5ACB" w:rsidP="00CB5ACB">
      <w:pPr>
        <w:jc w:val="both"/>
        <w:rPr>
          <w:rFonts w:ascii="Arial" w:hAnsi="Arial" w:cs="Arial"/>
        </w:rPr>
      </w:pPr>
      <w:r w:rsidRPr="00CB5ACB">
        <w:rPr>
          <w:rFonts w:ascii="Arial" w:hAnsi="Arial" w:cs="Arial"/>
          <w:b/>
          <w:bCs/>
        </w:rPr>
        <w:t xml:space="preserve">Décaissements </w:t>
      </w:r>
      <w:r w:rsidRPr="00CB5ACB">
        <w:rPr>
          <w:rFonts w:ascii="Arial" w:hAnsi="Arial" w:cs="Arial"/>
        </w:rPr>
        <w:t>: transferts internationaux effectifs de ressources financières comptabilisés au prix coûtant pour le donateur. Ils peuvent intervenir à plusieurs stades: fourniture de biens et services, ressources financières mises à la disposition du bénéficiaire dans un fonds ou un compte réservé, paiement de factures par le donateur pour le compte du bénéficiaire, etc.</w:t>
      </w:r>
    </w:p>
    <w:p w:rsidR="00CB5ACB" w:rsidRPr="00CB5ACB" w:rsidRDefault="00CB5ACB" w:rsidP="00CB5ACB">
      <w:pPr>
        <w:jc w:val="both"/>
        <w:rPr>
          <w:rFonts w:ascii="Arial" w:hAnsi="Arial" w:cs="Arial"/>
        </w:rPr>
      </w:pPr>
      <w:r w:rsidRPr="00CB5ACB">
        <w:rPr>
          <w:rFonts w:ascii="Arial" w:hAnsi="Arial" w:cs="Arial"/>
          <w:b/>
          <w:bCs/>
        </w:rPr>
        <w:t xml:space="preserve">Développement Durable : </w:t>
      </w:r>
      <w:r w:rsidRPr="00CB5ACB">
        <w:rPr>
          <w:rFonts w:ascii="Arial" w:hAnsi="Arial" w:cs="Arial"/>
        </w:rPr>
        <w:t>le concept de développement durable a fait l’objet d’une première définition dans le rapport établi à la demande des Nations Unies en 1987 par la Commission mondiale sur l’Environnement et le Développement. Selon cette dernière, « Le développement durable répond aux  besoins du présent sans compromettre la capacité des générations futures de répondre à leurs propres besoins ». Ce concept qui introduit que la satisfaction des nécessités humaines du présent requiert une conception en accord avec les ressources naturelles limitées et dont la préservation doit engager l'ensemble de la société.</w:t>
      </w:r>
    </w:p>
    <w:p w:rsidR="00CB5ACB" w:rsidRPr="00CB5ACB" w:rsidRDefault="00CB5ACB" w:rsidP="00CB5ACB">
      <w:pPr>
        <w:jc w:val="both"/>
        <w:rPr>
          <w:rFonts w:ascii="Arial" w:hAnsi="Arial" w:cs="Arial"/>
        </w:rPr>
      </w:pPr>
      <w:r w:rsidRPr="00CB5ACB">
        <w:rPr>
          <w:rFonts w:ascii="Arial" w:hAnsi="Arial" w:cs="Arial"/>
          <w:b/>
          <w:bCs/>
        </w:rPr>
        <w:t xml:space="preserve">Développement Humain </w:t>
      </w:r>
      <w:r w:rsidRPr="00CB5ACB">
        <w:rPr>
          <w:rFonts w:ascii="Arial" w:hAnsi="Arial" w:cs="Arial"/>
        </w:rPr>
        <w:t>: entendu comme processus capable d'augmenter les opportunités des personnes, comprenant non seulement une croissance économique, mais également tous les aspects qui augmentent les capacités et libertés humaines (Droits de l'Homme, renforcement institutionnel, santé, accès à la connaissance, etc.).</w:t>
      </w:r>
    </w:p>
    <w:p w:rsidR="00CB5ACB" w:rsidRPr="00CB5ACB" w:rsidRDefault="00CB5ACB" w:rsidP="00CB5ACB">
      <w:pPr>
        <w:jc w:val="both"/>
        <w:rPr>
          <w:rFonts w:ascii="Arial" w:hAnsi="Arial" w:cs="Arial"/>
        </w:rPr>
      </w:pPr>
      <w:r w:rsidRPr="00CB5ACB">
        <w:rPr>
          <w:rFonts w:ascii="Arial" w:hAnsi="Arial" w:cs="Arial"/>
          <w:b/>
          <w:bCs/>
        </w:rPr>
        <w:t xml:space="preserve">Développement participatif : </w:t>
      </w:r>
      <w:r w:rsidRPr="00CB5ACB">
        <w:rPr>
          <w:rFonts w:ascii="Arial" w:hAnsi="Arial" w:cs="Arial"/>
        </w:rPr>
        <w:t xml:space="preserve">basé sur le principe de l’approche participative, sous-entend une vision du développement qui accorde une place privilégiée à l’implication des populations à la </w:t>
      </w:r>
      <w:r w:rsidRPr="00CB5ACB">
        <w:rPr>
          <w:rFonts w:ascii="Arial" w:hAnsi="Arial" w:cs="Arial"/>
        </w:rPr>
        <w:lastRenderedPageBreak/>
        <w:t>définition des problèmes locaux, à l’identification des solutions et à leur mise en œuvre, afin de contribuer à donner plus d’efficacité et de durabilité aux programmes qui en résultent.</w:t>
      </w:r>
    </w:p>
    <w:p w:rsidR="00CB5ACB" w:rsidRPr="00CB5ACB" w:rsidRDefault="00CB5ACB" w:rsidP="00CB5ACB">
      <w:pPr>
        <w:jc w:val="both"/>
        <w:rPr>
          <w:rFonts w:ascii="Arial" w:hAnsi="Arial" w:cs="Arial"/>
        </w:rPr>
      </w:pPr>
      <w:r w:rsidRPr="00CB5ACB">
        <w:rPr>
          <w:rFonts w:ascii="Arial" w:hAnsi="Arial" w:cs="Arial"/>
          <w:b/>
          <w:bCs/>
        </w:rPr>
        <w:t xml:space="preserve">Don </w:t>
      </w:r>
      <w:r w:rsidRPr="00CB5ACB">
        <w:rPr>
          <w:rFonts w:ascii="Arial" w:hAnsi="Arial" w:cs="Arial"/>
        </w:rPr>
        <w:t>: fourniture de fonds par un donateur sans obligation de remboursement pour le bénéficiaire.</w:t>
      </w:r>
    </w:p>
    <w:p w:rsidR="00CB5ACB" w:rsidRPr="00CB5ACB" w:rsidRDefault="00CB5ACB" w:rsidP="00CB5ACB">
      <w:pPr>
        <w:jc w:val="both"/>
        <w:rPr>
          <w:rFonts w:ascii="Arial" w:hAnsi="Arial" w:cs="Arial"/>
        </w:rPr>
      </w:pPr>
      <w:r w:rsidRPr="00CB5ACB">
        <w:rPr>
          <w:rFonts w:ascii="Arial" w:hAnsi="Arial" w:cs="Arial"/>
          <w:b/>
          <w:bCs/>
        </w:rPr>
        <w:t xml:space="preserve">Elément don : </w:t>
      </w:r>
      <w:r w:rsidRPr="00CB5ACB">
        <w:rPr>
          <w:rFonts w:ascii="Arial" w:hAnsi="Arial" w:cs="Arial"/>
        </w:rPr>
        <w:t>le degré de concessionnalité d’un prêt se mesure à partir de son «</w:t>
      </w:r>
      <w:r w:rsidRPr="00CB5ACB">
        <w:rPr>
          <w:rFonts w:ascii="Arial" w:hAnsi="Arial" w:cs="Arial"/>
          <w:b/>
          <w:bCs/>
        </w:rPr>
        <w:t>élément don</w:t>
      </w:r>
      <w:r w:rsidRPr="00CB5ACB">
        <w:rPr>
          <w:rFonts w:ascii="Arial" w:hAnsi="Arial" w:cs="Arial"/>
        </w:rPr>
        <w:t>».</w:t>
      </w:r>
    </w:p>
    <w:p w:rsidR="00CB5ACB" w:rsidRPr="00CB5ACB" w:rsidRDefault="00CB5ACB" w:rsidP="00A61F1B">
      <w:pPr>
        <w:spacing w:after="0"/>
        <w:jc w:val="both"/>
        <w:rPr>
          <w:rFonts w:ascii="Arial" w:hAnsi="Arial" w:cs="Arial"/>
        </w:rPr>
      </w:pPr>
      <w:r w:rsidRPr="00CB5ACB">
        <w:rPr>
          <w:rFonts w:ascii="Arial" w:hAnsi="Arial" w:cs="Arial"/>
        </w:rPr>
        <w:t xml:space="preserve">L’élément don est la différence entre la </w:t>
      </w:r>
      <w:r w:rsidRPr="00CB5ACB">
        <w:rPr>
          <w:rFonts w:ascii="Arial" w:hAnsi="Arial" w:cs="Arial"/>
          <w:b/>
          <w:bCs/>
        </w:rPr>
        <w:t xml:space="preserve">valeur nominale </w:t>
      </w:r>
      <w:r w:rsidRPr="00CB5ACB">
        <w:rPr>
          <w:rFonts w:ascii="Arial" w:hAnsi="Arial" w:cs="Arial"/>
        </w:rPr>
        <w:t xml:space="preserve">du prêt et la somme de la </w:t>
      </w:r>
      <w:r w:rsidRPr="00CB5ACB">
        <w:rPr>
          <w:rFonts w:ascii="Arial" w:hAnsi="Arial" w:cs="Arial"/>
          <w:b/>
          <w:bCs/>
        </w:rPr>
        <w:t xml:space="preserve">valeur actuelle </w:t>
      </w:r>
      <w:r w:rsidRPr="00CB5ACB">
        <w:rPr>
          <w:rFonts w:ascii="Arial" w:hAnsi="Arial" w:cs="Arial"/>
        </w:rPr>
        <w:t>des futurs paiements que devra effectuer l’emprunteur au titre du service de la dette, exprimée en pourcentage de la valeur nominale :</w:t>
      </w:r>
    </w:p>
    <w:p w:rsidR="00CB5ACB" w:rsidRPr="00CB5ACB" w:rsidRDefault="00CB5ACB" w:rsidP="00A61F1B">
      <w:pPr>
        <w:spacing w:after="0"/>
        <w:jc w:val="both"/>
        <w:rPr>
          <w:rFonts w:ascii="Arial" w:hAnsi="Arial" w:cs="Arial"/>
        </w:rPr>
      </w:pPr>
      <w:r w:rsidRPr="00CB5ACB">
        <w:rPr>
          <w:rFonts w:ascii="Arial" w:hAnsi="Arial" w:cs="Arial"/>
        </w:rPr>
        <w:t xml:space="preserve">                                       Valeur nominale – Valeur actuelle</w:t>
      </w:r>
    </w:p>
    <w:p w:rsidR="00CB5ACB" w:rsidRPr="00CB5ACB" w:rsidRDefault="00CB5ACB" w:rsidP="00A61F1B">
      <w:pPr>
        <w:spacing w:after="0"/>
        <w:jc w:val="both"/>
        <w:rPr>
          <w:rFonts w:ascii="Arial" w:hAnsi="Arial" w:cs="Arial"/>
        </w:rPr>
      </w:pPr>
      <w:r w:rsidRPr="00CB5ACB">
        <w:rPr>
          <w:rFonts w:ascii="Arial" w:hAnsi="Arial" w:cs="Arial"/>
        </w:rPr>
        <w:t>Elément don =  ------------------------------------------------------ * 100</w:t>
      </w:r>
    </w:p>
    <w:p w:rsidR="00CB5ACB" w:rsidRPr="00CB5ACB" w:rsidRDefault="00CB5ACB" w:rsidP="00A61F1B">
      <w:pPr>
        <w:spacing w:after="0"/>
        <w:jc w:val="both"/>
        <w:rPr>
          <w:rFonts w:ascii="Arial" w:hAnsi="Arial" w:cs="Arial"/>
        </w:rPr>
      </w:pPr>
      <w:r w:rsidRPr="00CB5ACB">
        <w:rPr>
          <w:rFonts w:ascii="Arial" w:hAnsi="Arial" w:cs="Arial"/>
        </w:rPr>
        <w:t xml:space="preserve">                                                   Valeur nominale</w:t>
      </w:r>
    </w:p>
    <w:p w:rsidR="00CB5ACB" w:rsidRPr="00CB5ACB" w:rsidRDefault="00CB5ACB" w:rsidP="00CB5ACB">
      <w:pPr>
        <w:jc w:val="both"/>
        <w:rPr>
          <w:rFonts w:ascii="Arial" w:hAnsi="Arial" w:cs="Arial"/>
        </w:rPr>
      </w:pPr>
      <w:r w:rsidRPr="00CB5ACB">
        <w:rPr>
          <w:rFonts w:ascii="Arial" w:hAnsi="Arial" w:cs="Arial"/>
          <w:b/>
          <w:bCs/>
        </w:rPr>
        <w:t xml:space="preserve">Engagement </w:t>
      </w:r>
      <w:r w:rsidRPr="00CB5ACB">
        <w:rPr>
          <w:rFonts w:ascii="Arial" w:hAnsi="Arial" w:cs="Arial"/>
        </w:rPr>
        <w:t>: Obligation ferme, énoncée dans un accord ou un contrat équivalent et appuyée par la mise à disposition de fonds publics, par laquelle le donateur s'engage à fournir une assistance d'un montant précis, assortie de conditions financières convenues à des fins déterminées, au profit du pays bénéficiaire (voir également Approbation).</w:t>
      </w:r>
    </w:p>
    <w:p w:rsidR="00CB5ACB" w:rsidRPr="00CB5ACB" w:rsidRDefault="00CB5ACB" w:rsidP="00CB5ACB">
      <w:pPr>
        <w:jc w:val="both"/>
        <w:rPr>
          <w:rFonts w:ascii="Arial" w:hAnsi="Arial" w:cs="Arial"/>
        </w:rPr>
      </w:pPr>
      <w:r w:rsidRPr="00CB5ACB">
        <w:rPr>
          <w:rFonts w:ascii="Arial" w:hAnsi="Arial" w:cs="Arial"/>
          <w:b/>
          <w:bCs/>
        </w:rPr>
        <w:t xml:space="preserve">Expert international : </w:t>
      </w:r>
      <w:r w:rsidRPr="00CB5ACB">
        <w:rPr>
          <w:rFonts w:ascii="Arial" w:hAnsi="Arial" w:cs="Arial"/>
        </w:rPr>
        <w:t>expatrié résident pendant une longue période (12 mois ou plus) dans le pays bénéficiaire et y occupant un poste créé et/ou financé par un bailleur de fonds extérieur.</w:t>
      </w:r>
    </w:p>
    <w:p w:rsidR="00935176" w:rsidRPr="008E0461" w:rsidRDefault="00935176" w:rsidP="00935176">
      <w:pPr>
        <w:tabs>
          <w:tab w:val="left" w:pos="2084"/>
        </w:tabs>
        <w:rPr>
          <w:rFonts w:ascii="Arial" w:hAnsi="Arial" w:cs="Arial"/>
        </w:rPr>
      </w:pPr>
      <w:r>
        <w:rPr>
          <w:rFonts w:ascii="Arial" w:hAnsi="Arial" w:cs="Arial"/>
          <w:b/>
          <w:bCs/>
        </w:rPr>
        <w:t>Finance Islamique</w:t>
      </w:r>
      <w:r w:rsidRPr="00D60EDF">
        <w:rPr>
          <w:rFonts w:ascii="Arial" w:hAnsi="Arial" w:cs="Arial"/>
          <w:b/>
          <w:bCs/>
        </w:rPr>
        <w:t xml:space="preserve"> : </w:t>
      </w:r>
      <w:r w:rsidRPr="008E0461">
        <w:rPr>
          <w:rFonts w:ascii="Arial" w:hAnsi="Arial" w:cs="Arial"/>
        </w:rPr>
        <w:t xml:space="preserve">est une finance éthique </w:t>
      </w:r>
      <w:r>
        <w:rPr>
          <w:rFonts w:ascii="Arial" w:hAnsi="Arial" w:cs="Arial"/>
        </w:rPr>
        <w:t>qui privilégie un système des valeurs bâties sur la nécessité d’éviter ce qui est interdit sur un équilibre entre l’intérêt personnel et l’intérêt public, mais aussi sur les valeurs de l’équité, la transparence et la sincérité. Ces valeurs sont d’une importance capitale et doivent se refléter obligatoirement dans les actes et les transactions.</w:t>
      </w:r>
    </w:p>
    <w:p w:rsidR="00CB5ACB" w:rsidRPr="00CB5ACB" w:rsidRDefault="00CB5ACB" w:rsidP="00CB5ACB">
      <w:pPr>
        <w:jc w:val="both"/>
        <w:rPr>
          <w:rFonts w:ascii="Arial" w:hAnsi="Arial" w:cs="Arial"/>
        </w:rPr>
      </w:pPr>
      <w:r w:rsidRPr="00CB5ACB">
        <w:rPr>
          <w:rFonts w:ascii="Arial" w:hAnsi="Arial" w:cs="Arial"/>
          <w:b/>
          <w:bCs/>
        </w:rPr>
        <w:t xml:space="preserve">Fonds communs ou paniers communs : </w:t>
      </w:r>
      <w:r w:rsidRPr="00CB5ACB">
        <w:rPr>
          <w:rFonts w:ascii="Arial" w:hAnsi="Arial" w:cs="Arial"/>
        </w:rPr>
        <w:t>instrument d’intervention des PTF. Ils permettent aux PTF de cofinancer des programmes d’envergure dans une perspective d’harmonisation des procédures et des conditions de décaissements. Dans sa mise en œuvre, un PTF chef de file est désigné pour assurer la coordination avec le gouvernement.</w:t>
      </w:r>
    </w:p>
    <w:p w:rsidR="00CB5ACB" w:rsidRPr="00CB5ACB" w:rsidRDefault="00CB5ACB" w:rsidP="00CB5ACB">
      <w:pPr>
        <w:jc w:val="both"/>
        <w:rPr>
          <w:rFonts w:ascii="Arial" w:hAnsi="Arial" w:cs="Arial"/>
        </w:rPr>
      </w:pPr>
      <w:r w:rsidRPr="00CB5ACB">
        <w:rPr>
          <w:rFonts w:ascii="Arial" w:hAnsi="Arial" w:cs="Arial"/>
          <w:b/>
          <w:bCs/>
        </w:rPr>
        <w:t xml:space="preserve">Fonds GAVI : </w:t>
      </w:r>
      <w:r w:rsidRPr="00CB5ACB">
        <w:rPr>
          <w:rFonts w:ascii="Arial" w:hAnsi="Arial" w:cs="Arial"/>
        </w:rPr>
        <w:t>Alliance mondiale pour les vaccins et la vaccination, GAVI en anglais (Global Alliance for Vaccines and Immunization), est un partenariat public et privé lancé le 31 janvier 2000, a l’intention des 75 pays les plus pauvres du monde (revenu national brut inférieur à 1000 dollars par habitant). L'objectif de cette Alliance est de coordonner et revitaliser les programmes de vaccination aux niveaux international, régional et national, et de faciliter l'approvisionnement en vaccins nouveaux ou sous-utilisés. Les vaccins les plus communs sont issus des monopoles industriels du Nord, avec lesquels GAVI négocie pour obtenir des baisses de prix.</w:t>
      </w:r>
    </w:p>
    <w:p w:rsidR="00CB5ACB" w:rsidRPr="00CB5ACB" w:rsidRDefault="00CB5ACB" w:rsidP="00CB5ACB">
      <w:pPr>
        <w:jc w:val="both"/>
        <w:rPr>
          <w:rFonts w:ascii="Arial" w:hAnsi="Arial" w:cs="Arial"/>
        </w:rPr>
      </w:pPr>
      <w:r w:rsidRPr="00CB5ACB">
        <w:rPr>
          <w:rFonts w:ascii="Arial" w:hAnsi="Arial" w:cs="Arial"/>
          <w:b/>
          <w:bCs/>
        </w:rPr>
        <w:t xml:space="preserve">Fonds verticaux : </w:t>
      </w:r>
      <w:r w:rsidRPr="00CB5ACB">
        <w:rPr>
          <w:rFonts w:ascii="Arial" w:hAnsi="Arial" w:cs="Arial"/>
        </w:rPr>
        <w:t xml:space="preserve">la Banque mondiale et l'OCDE les définissent comme des </w:t>
      </w:r>
      <w:r w:rsidRPr="00CB5ACB">
        <w:rPr>
          <w:rFonts w:ascii="Arial" w:hAnsi="Arial" w:cs="Arial"/>
          <w:i/>
          <w:iCs/>
        </w:rPr>
        <w:t xml:space="preserve">« </w:t>
      </w:r>
      <w:r w:rsidRPr="00CB5ACB">
        <w:rPr>
          <w:rFonts w:ascii="Arial" w:hAnsi="Arial" w:cs="Arial"/>
        </w:rPr>
        <w:t>Initiatives internationales en dehors du système de l'ONU, levant des fonds significatifs au niveau des pays pour soutenir des objectifs thématiques ciblés ». Ils ont pour objet de traiter des problématiques planétaires sur les thèmes suivants :</w:t>
      </w:r>
    </w:p>
    <w:p w:rsidR="00CB5ACB" w:rsidRPr="0093610D" w:rsidRDefault="00CB5ACB" w:rsidP="008D7758">
      <w:pPr>
        <w:pStyle w:val="Paragraphedeliste"/>
        <w:numPr>
          <w:ilvl w:val="0"/>
          <w:numId w:val="153"/>
        </w:numPr>
        <w:jc w:val="both"/>
        <w:rPr>
          <w:rFonts w:ascii="Arial" w:hAnsi="Arial" w:cs="Arial"/>
        </w:rPr>
      </w:pPr>
      <w:r w:rsidRPr="0093610D">
        <w:rPr>
          <w:rFonts w:ascii="Arial" w:hAnsi="Arial" w:cs="Arial"/>
          <w:b/>
          <w:bCs/>
        </w:rPr>
        <w:t>la santé</w:t>
      </w:r>
      <w:r w:rsidRPr="0093610D">
        <w:rPr>
          <w:rFonts w:ascii="Arial" w:hAnsi="Arial" w:cs="Arial"/>
          <w:b/>
          <w:bCs/>
          <w:i/>
          <w:iCs/>
        </w:rPr>
        <w:t xml:space="preserve">, </w:t>
      </w:r>
      <w:r w:rsidRPr="0093610D">
        <w:rPr>
          <w:rFonts w:ascii="Arial" w:hAnsi="Arial" w:cs="Arial"/>
        </w:rPr>
        <w:t>avec le Fonds Mondial de lutte contre le Sida, la Tuberculose et le Paludisme</w:t>
      </w:r>
    </w:p>
    <w:p w:rsidR="00CB5ACB" w:rsidRPr="00CB5ACB" w:rsidRDefault="00CB5ACB" w:rsidP="004D1607">
      <w:pPr>
        <w:ind w:left="708"/>
        <w:jc w:val="both"/>
        <w:rPr>
          <w:rFonts w:ascii="Arial" w:hAnsi="Arial" w:cs="Arial"/>
          <w:b/>
          <w:bCs/>
        </w:rPr>
      </w:pPr>
      <w:r w:rsidRPr="00CB5ACB">
        <w:rPr>
          <w:rFonts w:ascii="Arial" w:hAnsi="Arial" w:cs="Arial"/>
          <w:lang w:val="en-US"/>
        </w:rPr>
        <w:t xml:space="preserve">(FMSTP), UNITAID et GAVI (Global Alliance for Vaccines and Immunization ainsi que PEPFAR (President’s Emergency Plan for AIDS Relief). </w:t>
      </w:r>
      <w:r w:rsidRPr="00CB5ACB">
        <w:rPr>
          <w:rFonts w:ascii="Arial" w:hAnsi="Arial" w:cs="Arial"/>
        </w:rPr>
        <w:t>Ces fonds ont tous pour objet de répondre aux impératifs de développement humain et au constat alarmant selon lequel chaque année près de 300 millions de personnes contractent le paludisme et 9 millions sont touchées par la tuberculose alors que 33 millions de personnes sont contaminées par le VIH/Sida dans le monde, dont la grande majorité dans les pays en développement </w:t>
      </w:r>
      <w:r w:rsidRPr="00CB5ACB">
        <w:rPr>
          <w:rFonts w:ascii="Arial" w:hAnsi="Arial" w:cs="Arial"/>
          <w:b/>
          <w:bCs/>
        </w:rPr>
        <w:t>;</w:t>
      </w:r>
    </w:p>
    <w:p w:rsidR="00E821E2" w:rsidRPr="00E821E2" w:rsidRDefault="00CB5ACB" w:rsidP="00E821E2">
      <w:pPr>
        <w:pStyle w:val="Paragraphedeliste"/>
        <w:numPr>
          <w:ilvl w:val="0"/>
          <w:numId w:val="5"/>
        </w:numPr>
        <w:jc w:val="both"/>
        <w:rPr>
          <w:rFonts w:ascii="Arial" w:hAnsi="Arial" w:cs="Arial"/>
          <w:bCs/>
        </w:rPr>
      </w:pPr>
      <w:r w:rsidRPr="00E821E2">
        <w:rPr>
          <w:rFonts w:ascii="Arial" w:hAnsi="Arial" w:cs="Arial"/>
          <w:b/>
          <w:bCs/>
        </w:rPr>
        <w:lastRenderedPageBreak/>
        <w:t xml:space="preserve">l’environnement, </w:t>
      </w:r>
      <w:r w:rsidRPr="00E821E2">
        <w:rPr>
          <w:rFonts w:ascii="Arial" w:hAnsi="Arial" w:cs="Arial"/>
        </w:rPr>
        <w:t>avec le Fonds mondial pour l'Environnement (FEM) ;</w:t>
      </w:r>
    </w:p>
    <w:p w:rsidR="00CB5ACB" w:rsidRDefault="00CB5ACB" w:rsidP="00E821E2">
      <w:pPr>
        <w:pStyle w:val="Paragraphedeliste"/>
        <w:numPr>
          <w:ilvl w:val="0"/>
          <w:numId w:val="5"/>
        </w:numPr>
        <w:jc w:val="both"/>
        <w:rPr>
          <w:rFonts w:ascii="Arial" w:hAnsi="Arial" w:cs="Arial"/>
          <w:bCs/>
        </w:rPr>
      </w:pPr>
      <w:r w:rsidRPr="00E821E2">
        <w:rPr>
          <w:rFonts w:ascii="Arial" w:hAnsi="Arial" w:cs="Arial"/>
          <w:b/>
          <w:bCs/>
        </w:rPr>
        <w:t xml:space="preserve">l'éducation de base </w:t>
      </w:r>
      <w:r w:rsidRPr="00E821E2">
        <w:rPr>
          <w:rFonts w:ascii="Arial" w:hAnsi="Arial" w:cs="Arial"/>
          <w:bCs/>
        </w:rPr>
        <w:t>avec l’Initiative à l’éducation de base (primaire) pour tous les enfants. Le mécanisme Fast Track est complexe puisqu'il fait intervenir deux fonds fiduciaires : le fonds catalytique pour financer les plans nationaux d'éducation et le fonds de développement des programmes (EPDF) pour aider les pays en amont dans l'élaboration de leur politique sectorielle d'éducation.</w:t>
      </w:r>
    </w:p>
    <w:p w:rsidR="00935176" w:rsidRPr="00935176" w:rsidRDefault="00935176" w:rsidP="00B11D65">
      <w:pPr>
        <w:tabs>
          <w:tab w:val="left" w:pos="2084"/>
        </w:tabs>
        <w:jc w:val="both"/>
        <w:rPr>
          <w:rFonts w:ascii="Arial" w:hAnsi="Arial" w:cs="Arial"/>
          <w:bCs/>
        </w:rPr>
      </w:pPr>
      <w:r>
        <w:rPr>
          <w:rFonts w:ascii="Arial" w:hAnsi="Arial" w:cs="Arial"/>
          <w:b/>
          <w:bCs/>
        </w:rPr>
        <w:t>Fonds vert pour le climat</w:t>
      </w:r>
      <w:r w:rsidRPr="00935176">
        <w:rPr>
          <w:rFonts w:ascii="Arial" w:hAnsi="Arial" w:cs="Arial"/>
          <w:b/>
          <w:bCs/>
        </w:rPr>
        <w:t>:</w:t>
      </w:r>
      <w:r w:rsidRPr="0093610D">
        <w:rPr>
          <w:rFonts w:ascii="Arial" w:hAnsi="Arial" w:cs="Arial"/>
          <w:bCs/>
        </w:rPr>
        <w:t xml:space="preserve"> est</w:t>
      </w:r>
      <w:r w:rsidRPr="00935176">
        <w:rPr>
          <w:rFonts w:ascii="Arial" w:hAnsi="Arial" w:cs="Arial"/>
          <w:bCs/>
        </w:rPr>
        <w:t xml:space="preserve"> un méca</w:t>
      </w:r>
      <w:r>
        <w:rPr>
          <w:rFonts w:ascii="Arial" w:hAnsi="Arial" w:cs="Arial"/>
          <w:bCs/>
        </w:rPr>
        <w:t>nisme financier de l’</w:t>
      </w:r>
      <w:r w:rsidR="0093610D">
        <w:rPr>
          <w:rFonts w:ascii="Arial" w:hAnsi="Arial" w:cs="Arial"/>
          <w:bCs/>
        </w:rPr>
        <w:t>Organisation des Nations U</w:t>
      </w:r>
      <w:r>
        <w:rPr>
          <w:rFonts w:ascii="Arial" w:hAnsi="Arial" w:cs="Arial"/>
          <w:bCs/>
        </w:rPr>
        <w:t>nies, rattaché à la convention cadre des nations unies sur les changements climatiques (CCNUCC).</w:t>
      </w:r>
      <w:r w:rsidR="0093610D">
        <w:rPr>
          <w:rFonts w:ascii="Arial" w:hAnsi="Arial" w:cs="Arial"/>
          <w:bCs/>
        </w:rPr>
        <w:t xml:space="preserve"> Il a pour objectif de réaliser le transfert de fonds des pays les plus avancés à destinations des pays les plus vulnérables afin de mettre en place des projets pour combattre les effets des changements climatiques.</w:t>
      </w:r>
    </w:p>
    <w:p w:rsidR="00CB5ACB" w:rsidRPr="00CB5ACB" w:rsidRDefault="00CB5ACB" w:rsidP="00CB5ACB">
      <w:pPr>
        <w:jc w:val="both"/>
        <w:rPr>
          <w:rFonts w:ascii="Arial" w:hAnsi="Arial" w:cs="Arial"/>
        </w:rPr>
      </w:pPr>
      <w:r w:rsidRPr="00CB5ACB">
        <w:rPr>
          <w:rFonts w:ascii="Arial" w:hAnsi="Arial" w:cs="Arial"/>
          <w:b/>
          <w:bCs/>
        </w:rPr>
        <w:t xml:space="preserve">Formation : </w:t>
      </w:r>
      <w:r w:rsidRPr="00CB5ACB">
        <w:rPr>
          <w:rFonts w:ascii="Arial" w:hAnsi="Arial" w:cs="Arial"/>
        </w:rPr>
        <w:t>ressources allouées par le donateur dans le cadre d'un projet pour la formation de ressortissants du pays bénéficiaire, à l'intérieur ou à l'extérieur du pays en question.</w:t>
      </w:r>
    </w:p>
    <w:p w:rsidR="00CB5ACB" w:rsidRPr="00CB5ACB" w:rsidRDefault="00CB5ACB" w:rsidP="00CB5ACB">
      <w:pPr>
        <w:jc w:val="both"/>
        <w:rPr>
          <w:rFonts w:ascii="Arial" w:hAnsi="Arial" w:cs="Arial"/>
        </w:rPr>
      </w:pPr>
      <w:r w:rsidRPr="00CB5ACB">
        <w:rPr>
          <w:rFonts w:ascii="Arial" w:hAnsi="Arial" w:cs="Arial"/>
          <w:b/>
          <w:bCs/>
        </w:rPr>
        <w:t xml:space="preserve">Institution bénéficiaire : </w:t>
      </w:r>
      <w:r w:rsidRPr="00CB5ACB">
        <w:rPr>
          <w:rFonts w:ascii="Arial" w:hAnsi="Arial" w:cs="Arial"/>
        </w:rPr>
        <w:t>l'institution qui reçoit l'assistance correspondant à l'activité de développement considérée. Un projet peut avoir plusieurs institutions bénéficiaires. L'institution bénéficiaire peut être un service ou un ministère compétent.</w:t>
      </w:r>
    </w:p>
    <w:p w:rsidR="00CB5ACB" w:rsidRPr="00CB5ACB" w:rsidRDefault="00CB5ACB" w:rsidP="00CB5ACB">
      <w:pPr>
        <w:jc w:val="both"/>
        <w:rPr>
          <w:rFonts w:ascii="Arial" w:hAnsi="Arial" w:cs="Arial"/>
        </w:rPr>
      </w:pPr>
      <w:r w:rsidRPr="00CB5ACB">
        <w:rPr>
          <w:rFonts w:ascii="Arial" w:hAnsi="Arial" w:cs="Arial"/>
          <w:b/>
          <w:bCs/>
        </w:rPr>
        <w:t xml:space="preserve">Institution exécutante : </w:t>
      </w:r>
      <w:r w:rsidRPr="00CB5ACB">
        <w:rPr>
          <w:rFonts w:ascii="Arial" w:hAnsi="Arial" w:cs="Arial"/>
        </w:rPr>
        <w:t>l’institution qui assure l'exécution effective du programme ou du projet,  depuis sa création jusqu'à son achèvement, y compris livrer les apports et s'assurer que le projet a atteint les objectifs qui lui ont été assignés. Un sous-traitant n'est pas une institution exécutante. Cette dernière peut être le bailleur de fonds lui-même, le gouvernement bénéficiaire ou une  institution intermédiaire exécutant le projet pour le compte du bailleur de fonds.</w:t>
      </w:r>
    </w:p>
    <w:p w:rsidR="00CB5ACB" w:rsidRPr="00CB5ACB" w:rsidRDefault="00CB5ACB" w:rsidP="00CB5ACB">
      <w:pPr>
        <w:jc w:val="both"/>
        <w:rPr>
          <w:rFonts w:ascii="Arial" w:hAnsi="Arial" w:cs="Arial"/>
        </w:rPr>
      </w:pPr>
      <w:r w:rsidRPr="00CB5ACB">
        <w:rPr>
          <w:rFonts w:ascii="Arial" w:hAnsi="Arial" w:cs="Arial"/>
          <w:b/>
          <w:bCs/>
        </w:rPr>
        <w:t xml:space="preserve">Ministère compétent : </w:t>
      </w:r>
      <w:r w:rsidRPr="00CB5ACB">
        <w:rPr>
          <w:rFonts w:ascii="Arial" w:hAnsi="Arial" w:cs="Arial"/>
        </w:rPr>
        <w:t>l'entité qui, dans le pays bénéficiaire, assume la responsabilité générale de l'exécution du projet.</w:t>
      </w:r>
    </w:p>
    <w:p w:rsidR="00CB5ACB" w:rsidRPr="00CB5ACB" w:rsidRDefault="00CB5ACB" w:rsidP="00CB5ACB">
      <w:pPr>
        <w:jc w:val="both"/>
        <w:rPr>
          <w:rFonts w:ascii="Arial" w:hAnsi="Arial" w:cs="Arial"/>
        </w:rPr>
      </w:pPr>
      <w:r w:rsidRPr="00CB5ACB">
        <w:rPr>
          <w:rFonts w:ascii="Arial" w:hAnsi="Arial" w:cs="Arial"/>
          <w:b/>
          <w:bCs/>
        </w:rPr>
        <w:t xml:space="preserve">Organisation Non Gouvernementale (ONG) </w:t>
      </w:r>
      <w:r w:rsidRPr="00CB5ACB">
        <w:rPr>
          <w:rFonts w:ascii="Arial" w:hAnsi="Arial" w:cs="Arial"/>
        </w:rPr>
        <w:t>: une organisation privée, volontaire et sans but lucratif, financée au moins en partie, par des contributions volontaires versées par le public. Une ONG peut faire office de donateur (si elle fournit une assistance extérieure) ou d'institution exécutante ou bénéficiaire. Dans ce dernier cas, il s'agit généralement d'ONG locales.</w:t>
      </w:r>
    </w:p>
    <w:p w:rsidR="00CB5ACB" w:rsidRPr="00CB5ACB" w:rsidRDefault="00CB5ACB" w:rsidP="00CB5ACB">
      <w:pPr>
        <w:jc w:val="both"/>
        <w:rPr>
          <w:rFonts w:ascii="Arial" w:hAnsi="Arial" w:cs="Arial"/>
        </w:rPr>
      </w:pPr>
      <w:r w:rsidRPr="00CB5ACB">
        <w:rPr>
          <w:rFonts w:ascii="Arial" w:hAnsi="Arial" w:cs="Arial"/>
          <w:b/>
          <w:bCs/>
        </w:rPr>
        <w:t xml:space="preserve">Organisme privé : </w:t>
      </w:r>
      <w:r w:rsidRPr="00CB5ACB">
        <w:rPr>
          <w:rFonts w:ascii="Arial" w:hAnsi="Arial" w:cs="Arial"/>
        </w:rPr>
        <w:t>désigne une institution à but lucratif qui peut être une institution exécutante ou bénéficiaire. Elle ne peut être assimilée à un bailleur de fonds d'assistance extérieure au sens où le donateur est défini ici.</w:t>
      </w:r>
    </w:p>
    <w:p w:rsidR="0093610D" w:rsidRDefault="0093610D" w:rsidP="00CB5ACB">
      <w:pPr>
        <w:jc w:val="both"/>
        <w:rPr>
          <w:rFonts w:ascii="Arial" w:hAnsi="Arial" w:cs="Arial"/>
          <w:b/>
          <w:bCs/>
        </w:rPr>
      </w:pPr>
      <w:r w:rsidRPr="0093610D">
        <w:rPr>
          <w:rFonts w:ascii="Arial" w:hAnsi="Arial" w:cs="Arial"/>
          <w:b/>
          <w:bCs/>
        </w:rPr>
        <w:t>Partenariat Public-Privé</w:t>
      </w:r>
      <w:r w:rsidRPr="0093610D">
        <w:rPr>
          <w:sz w:val="24"/>
        </w:rPr>
        <w:t> </w:t>
      </w:r>
      <w:r w:rsidRPr="00CB5ACB">
        <w:t xml:space="preserve">: </w:t>
      </w:r>
      <w:r w:rsidRPr="0093610D">
        <w:rPr>
          <w:rFonts w:ascii="Arial" w:hAnsi="Arial" w:cs="Arial"/>
        </w:rPr>
        <w:t>aux termes de l’article 2 alinéa 6 de la loi n°020-2013/AN du 23 mai 2013 portant régime juridique du partenariat public-privé au Burkina Faso, « le partenariat public-privé est une forme de collaboration qui associe l’autorité publique et une personne physique ou morale de droit privé dans le but de fournir des biens ou des services au public en optimisant les performances respectives des secteurs public et privé afin de réaliser dans les meilleurs délais et conditions des projets à vocation sociale ou de développement d’infrastructures et de services publics dans le respect des principes d’équité, de transparence, de partage de risques et de viabilité à long terme ». Cette collaboration est généralement régie par un contrat.</w:t>
      </w:r>
    </w:p>
    <w:p w:rsidR="00CB5ACB" w:rsidRDefault="00CB5ACB" w:rsidP="00CB5ACB">
      <w:pPr>
        <w:jc w:val="both"/>
        <w:rPr>
          <w:rFonts w:ascii="Arial" w:hAnsi="Arial" w:cs="Arial"/>
        </w:rPr>
      </w:pPr>
      <w:r w:rsidRPr="00CB5ACB">
        <w:rPr>
          <w:rFonts w:ascii="Arial" w:hAnsi="Arial" w:cs="Arial"/>
          <w:b/>
          <w:bCs/>
        </w:rPr>
        <w:t xml:space="preserve">Personnel : </w:t>
      </w:r>
      <w:r w:rsidRPr="00CB5ACB">
        <w:rPr>
          <w:rFonts w:ascii="Arial" w:hAnsi="Arial" w:cs="Arial"/>
        </w:rPr>
        <w:t>personnel financé par le donateur pour l'activité d'assistance extérieure sur laquelle les informations sont réunies.</w:t>
      </w:r>
    </w:p>
    <w:p w:rsidR="00E821E2" w:rsidRPr="00CB5ACB" w:rsidRDefault="00E821E2" w:rsidP="00E821E2">
      <w:pPr>
        <w:jc w:val="both"/>
        <w:rPr>
          <w:rFonts w:ascii="Arial" w:hAnsi="Arial" w:cs="Arial"/>
        </w:rPr>
      </w:pPr>
      <w:r w:rsidRPr="00CB5ACB">
        <w:rPr>
          <w:rFonts w:ascii="Arial" w:hAnsi="Arial" w:cs="Arial"/>
          <w:b/>
          <w:bCs/>
        </w:rPr>
        <w:t xml:space="preserve">Période d'amortissement : </w:t>
      </w:r>
      <w:r w:rsidRPr="00CB5ACB">
        <w:rPr>
          <w:rFonts w:ascii="Arial" w:hAnsi="Arial" w:cs="Arial"/>
        </w:rPr>
        <w:t>période allant de la date de l'engagement à celle du dernier remboursement</w:t>
      </w:r>
    </w:p>
    <w:p w:rsidR="00E821E2" w:rsidRDefault="00E821E2" w:rsidP="00E821E2">
      <w:pPr>
        <w:jc w:val="both"/>
        <w:rPr>
          <w:rFonts w:ascii="Arial" w:hAnsi="Arial" w:cs="Arial"/>
        </w:rPr>
      </w:pPr>
      <w:r w:rsidRPr="00CB5ACB">
        <w:rPr>
          <w:rFonts w:ascii="Arial" w:hAnsi="Arial" w:cs="Arial"/>
          <w:b/>
          <w:bCs/>
        </w:rPr>
        <w:lastRenderedPageBreak/>
        <w:t xml:space="preserve">Période de grâce : </w:t>
      </w:r>
      <w:r w:rsidRPr="00CB5ACB">
        <w:rPr>
          <w:rFonts w:ascii="Arial" w:hAnsi="Arial" w:cs="Arial"/>
        </w:rPr>
        <w:t>intervalle entre la date de l'engagement et le premier remboursement.</w:t>
      </w:r>
    </w:p>
    <w:p w:rsidR="00CB5ACB" w:rsidRPr="00CB5ACB" w:rsidRDefault="00CB5ACB" w:rsidP="00CB5ACB">
      <w:pPr>
        <w:jc w:val="both"/>
        <w:rPr>
          <w:rFonts w:ascii="Arial" w:hAnsi="Arial" w:cs="Arial"/>
          <w:b/>
          <w:bCs/>
        </w:rPr>
      </w:pPr>
      <w:r w:rsidRPr="00CB5ACB">
        <w:rPr>
          <w:rFonts w:ascii="Arial" w:hAnsi="Arial" w:cs="Arial"/>
          <w:b/>
          <w:bCs/>
        </w:rPr>
        <w:t xml:space="preserve">Prêt </w:t>
      </w:r>
      <w:r w:rsidRPr="00CB5ACB">
        <w:rPr>
          <w:rFonts w:ascii="Arial" w:hAnsi="Arial" w:cs="Arial"/>
        </w:rPr>
        <w:t>: fourniture de ressources, à l'exclusion des vivres et autres produits en vrac, à des fins de secours ou de développement, y compris les programmes d'achat de produits importés, qui doivent être remboursés selon les conditions fixées dans l'accord de prêt ou convenues ultérieurement</w:t>
      </w:r>
      <w:r w:rsidRPr="00CB5ACB">
        <w:rPr>
          <w:rFonts w:ascii="Arial" w:hAnsi="Arial" w:cs="Arial"/>
          <w:b/>
          <w:bCs/>
        </w:rPr>
        <w:t>.</w:t>
      </w:r>
    </w:p>
    <w:p w:rsidR="00CB5ACB" w:rsidRPr="00CB5ACB" w:rsidRDefault="00CB5ACB" w:rsidP="00CB5ACB">
      <w:pPr>
        <w:jc w:val="both"/>
        <w:rPr>
          <w:rFonts w:ascii="Arial" w:hAnsi="Arial" w:cs="Arial"/>
        </w:rPr>
      </w:pPr>
      <w:r w:rsidRPr="00CB5ACB">
        <w:rPr>
          <w:rFonts w:ascii="Arial" w:hAnsi="Arial" w:cs="Arial"/>
          <w:b/>
          <w:bCs/>
        </w:rPr>
        <w:t xml:space="preserve">Prêt libéral </w:t>
      </w:r>
      <w:r w:rsidRPr="00CB5ACB">
        <w:rPr>
          <w:rFonts w:ascii="Arial" w:hAnsi="Arial" w:cs="Arial"/>
        </w:rPr>
        <w:t>: est un prêt qui comprend un élément don d'au moins 35% (au taux d’escompte de 10).</w:t>
      </w:r>
    </w:p>
    <w:p w:rsidR="00CB5ACB" w:rsidRPr="00CB5ACB" w:rsidRDefault="00CB5ACB" w:rsidP="00CB5ACB">
      <w:pPr>
        <w:jc w:val="both"/>
        <w:rPr>
          <w:rFonts w:ascii="Arial" w:hAnsi="Arial" w:cs="Arial"/>
        </w:rPr>
      </w:pPr>
      <w:r w:rsidRPr="00CB5ACB">
        <w:rPr>
          <w:rFonts w:ascii="Arial" w:hAnsi="Arial" w:cs="Arial"/>
        </w:rPr>
        <w:t>Pour calculer l'élément don d'un prêt, on détermine la valeur actuelle de chaque remboursement au taux d'intérêt du marché. L'excédent de la valeur nominale du prêt par rapport à la somme de ces valeurs actuelles, exprimé en pourcentage de la valeur, constitue l'élément don du prêt. Pour les besoins du calcul, le taux du marché est fixé à 10, si bien que l'élément don est nul. Pour un prêt à 10, il est de 100 pour un don pur et simple.</w:t>
      </w:r>
    </w:p>
    <w:p w:rsidR="00CB5ACB" w:rsidRPr="00CB5ACB" w:rsidRDefault="00CB5ACB" w:rsidP="00CB5ACB">
      <w:pPr>
        <w:jc w:val="both"/>
        <w:rPr>
          <w:rFonts w:ascii="Arial" w:hAnsi="Arial" w:cs="Arial"/>
        </w:rPr>
      </w:pPr>
      <w:r w:rsidRPr="00CB5ACB">
        <w:rPr>
          <w:rFonts w:ascii="Arial" w:hAnsi="Arial" w:cs="Arial"/>
          <w:b/>
          <w:bCs/>
        </w:rPr>
        <w:t xml:space="preserve">Prêt aux conditions du marché : </w:t>
      </w:r>
      <w:r w:rsidRPr="00CB5ACB">
        <w:rPr>
          <w:rFonts w:ascii="Arial" w:hAnsi="Arial" w:cs="Arial"/>
        </w:rPr>
        <w:t>tous autres fonds fournis par le bailleur de fonds, remboursables sur un délai déterminé et ne remplissant pas les conditions fixées pour l'APD. Les données relatives à ce type de prêt ne sont pas à inclure dans le Rapport sur la coopération pour le développement.</w:t>
      </w:r>
    </w:p>
    <w:p w:rsidR="004D1607" w:rsidRPr="00CB5ACB" w:rsidRDefault="004D1607" w:rsidP="004D1607">
      <w:pPr>
        <w:jc w:val="both"/>
        <w:rPr>
          <w:rFonts w:ascii="Arial" w:hAnsi="Arial" w:cs="Arial"/>
        </w:rPr>
      </w:pPr>
      <w:r w:rsidRPr="00CB5ACB">
        <w:rPr>
          <w:rFonts w:ascii="Arial" w:hAnsi="Arial" w:cs="Arial"/>
          <w:b/>
          <w:bCs/>
        </w:rPr>
        <w:t>Projets d'investissements (avec ou sans éléments de coopération technique) IPA </w:t>
      </w:r>
      <w:r w:rsidRPr="00CB5ACB">
        <w:rPr>
          <w:rFonts w:ascii="Arial" w:hAnsi="Arial" w:cs="Arial"/>
        </w:rPr>
        <w:t xml:space="preserve">: financement, en espèces ou en nature, de projets d'équipement précis, par exemple des projets créateurs de capital productif susceptibles de produire de nouveaux biens ou services; aussi appelé assistance financière. La catégorie des projets d'investissements peut comporter un élément de coopération technique, auquel cas elle est appelée "projets d'investissement avec un élément de coopération technique". (Auquel cas le code est IPI). </w:t>
      </w:r>
    </w:p>
    <w:p w:rsidR="00E821E2" w:rsidRPr="00CB5ACB" w:rsidRDefault="00E821E2" w:rsidP="00E821E2">
      <w:pPr>
        <w:jc w:val="both"/>
        <w:rPr>
          <w:rFonts w:ascii="Arial" w:hAnsi="Arial" w:cs="Arial"/>
        </w:rPr>
      </w:pPr>
      <w:r w:rsidRPr="00CB5ACB">
        <w:rPr>
          <w:rFonts w:ascii="Arial" w:hAnsi="Arial" w:cs="Arial"/>
          <w:b/>
          <w:bCs/>
        </w:rPr>
        <w:t xml:space="preserve">Rééchelonnement de la dette : </w:t>
      </w:r>
      <w:r w:rsidRPr="00CB5ACB">
        <w:rPr>
          <w:rFonts w:ascii="Arial" w:hAnsi="Arial" w:cs="Arial"/>
        </w:rPr>
        <w:t>Le rééchelonnement consiste à donner effet juridique à un nouveau calendrier de remboursement du principal et des intérêts (service de la dette) pour un ou plusieurs prêts. Chaque prêt conserve sa spécificité et le créancier reste le même.</w:t>
      </w:r>
    </w:p>
    <w:p w:rsidR="00CB5ACB" w:rsidRPr="00CB5ACB" w:rsidRDefault="00CB5ACB" w:rsidP="00CB5ACB">
      <w:pPr>
        <w:jc w:val="both"/>
        <w:rPr>
          <w:rFonts w:ascii="Arial" w:hAnsi="Arial" w:cs="Arial"/>
        </w:rPr>
      </w:pPr>
      <w:r w:rsidRPr="00CB5ACB">
        <w:rPr>
          <w:rFonts w:ascii="Arial" w:hAnsi="Arial" w:cs="Arial"/>
          <w:b/>
          <w:bCs/>
        </w:rPr>
        <w:t xml:space="preserve">Secteur : </w:t>
      </w:r>
      <w:r w:rsidRPr="00CB5ACB">
        <w:rPr>
          <w:rFonts w:ascii="Arial" w:hAnsi="Arial" w:cs="Arial"/>
        </w:rPr>
        <w:t>désigne un regroupement organique dans lequel le projet/activité a été classé selon le système de classification retenu dans le Plan National de Développement Economique et Social (cf. la liste des secteurs et sous-secteurs en annexe du présent document).</w:t>
      </w:r>
    </w:p>
    <w:p w:rsidR="00CB5ACB" w:rsidRPr="00CB5ACB" w:rsidRDefault="00CB5ACB" w:rsidP="00CB5ACB">
      <w:pPr>
        <w:jc w:val="both"/>
        <w:rPr>
          <w:rFonts w:ascii="Arial" w:hAnsi="Arial" w:cs="Arial"/>
        </w:rPr>
      </w:pPr>
      <w:r w:rsidRPr="00CB5ACB">
        <w:rPr>
          <w:rFonts w:ascii="Arial" w:hAnsi="Arial" w:cs="Arial"/>
          <w:b/>
          <w:bCs/>
        </w:rPr>
        <w:t xml:space="preserve">UNITAID </w:t>
      </w:r>
      <w:r w:rsidRPr="00CB5ACB">
        <w:rPr>
          <w:rFonts w:ascii="Arial" w:hAnsi="Arial" w:cs="Arial"/>
          <w:bCs/>
        </w:rPr>
        <w:t>: l</w:t>
      </w:r>
      <w:r w:rsidRPr="00CB5ACB">
        <w:rPr>
          <w:rFonts w:ascii="Arial" w:hAnsi="Arial" w:cs="Arial"/>
        </w:rPr>
        <w:t>'initiative de la création d'UNITAID appartient à la France et au Brésil qui en 2005 a été les instigateurs de ce concept novateur, ils ont été rejoints par le Chili, la Norvège et le Royaume- Uni. Consiste à prélever une Contribution Internationale de Solidarité sur les billets d'avion, pour répondre au besoin de financement pour la santé et le développement. Le principal objectif d'UNITAID est de contribuer à renforcer l'accès aux produits de diagnostic et aux médicaments de qualité dans les PED, tout en faisant baisser leurs prix et en accélérant le rythme de distribution. Ce fonds vertical, qui est aussi un financement innovant, a pour mission principale de diriger les fonds là où il y a des lacunes en matières de diagnostics et de traitements mais n'est pas un opérateur de terrain : c'est pourquoi elle fait appel à des partenaires. L'allocation des ressources se fait en fonction des priorités : il s'agit surtout d'aider les pays les plus pauvres et les populations les plus vulnérables.</w:t>
      </w:r>
    </w:p>
    <w:p w:rsidR="00CB5ACB" w:rsidRDefault="00CB5ACB" w:rsidP="00CB5ACB">
      <w:pPr>
        <w:jc w:val="both"/>
        <w:rPr>
          <w:rFonts w:ascii="Arial" w:hAnsi="Arial" w:cs="Arial"/>
        </w:rPr>
      </w:pPr>
      <w:r w:rsidRPr="00CB5ACB">
        <w:rPr>
          <w:rFonts w:ascii="Arial" w:hAnsi="Arial" w:cs="Arial"/>
          <w:b/>
          <w:bCs/>
        </w:rPr>
        <w:t xml:space="preserve">Versement : </w:t>
      </w:r>
      <w:r w:rsidRPr="00CB5ACB">
        <w:rPr>
          <w:rFonts w:ascii="Arial" w:hAnsi="Arial" w:cs="Arial"/>
        </w:rPr>
        <w:t>mise à la disposition d'un bénéficiaire de fonds ou achat pour son compte de biens ou de services ; par extension, le montant ainsi dépensé. Ces versements peuvent être comptabilisés bruts (montant total versé au cours d'une période comptable donnée) ou nets (déduction faite de tous les remboursements de principal ou des restitutions de dons intervenus pendant la même période).</w:t>
      </w:r>
    </w:p>
    <w:p w:rsidR="00A61F1B" w:rsidRDefault="00A61F1B" w:rsidP="00CB5ACB">
      <w:pPr>
        <w:jc w:val="both"/>
        <w:rPr>
          <w:rFonts w:ascii="Arial" w:hAnsi="Arial" w:cs="Arial"/>
        </w:rPr>
      </w:pPr>
    </w:p>
    <w:p w:rsidR="003566A0" w:rsidRDefault="003566A0" w:rsidP="0050088F">
      <w:pPr>
        <w:spacing w:after="0" w:line="240" w:lineRule="auto"/>
        <w:jc w:val="both"/>
        <w:rPr>
          <w:rFonts w:ascii="Arial" w:hAnsi="Arial" w:cs="Arial"/>
          <w:b/>
          <w:u w:val="single"/>
        </w:rPr>
        <w:sectPr w:rsidR="003566A0" w:rsidSect="00BC3760">
          <w:pgSz w:w="11906" w:h="16838"/>
          <w:pgMar w:top="1418" w:right="992" w:bottom="992" w:left="1134" w:header="709" w:footer="709" w:gutter="0"/>
          <w:cols w:space="708"/>
          <w:docGrid w:linePitch="360"/>
        </w:sectPr>
      </w:pPr>
    </w:p>
    <w:p w:rsidR="0050088F" w:rsidRPr="00A8522B" w:rsidRDefault="00B73494" w:rsidP="00A8522B">
      <w:pPr>
        <w:pStyle w:val="Titre1"/>
        <w:pBdr>
          <w:bottom w:val="none" w:sz="0" w:space="0" w:color="auto"/>
        </w:pBdr>
        <w:spacing w:after="240"/>
        <w:rPr>
          <w:u w:val="single"/>
        </w:rPr>
      </w:pPr>
      <w:bookmarkStart w:id="736" w:name="_Toc492972293"/>
      <w:r w:rsidRPr="00A8522B">
        <w:rPr>
          <w:u w:val="single"/>
        </w:rPr>
        <w:lastRenderedPageBreak/>
        <w:t xml:space="preserve">Annexe 13 : </w:t>
      </w:r>
      <w:r w:rsidR="0050088F" w:rsidRPr="00A8522B">
        <w:rPr>
          <w:u w:val="single"/>
        </w:rPr>
        <w:t>Les secteurs de planification au Burkina Faso</w:t>
      </w:r>
      <w:bookmarkEnd w:id="736"/>
    </w:p>
    <w:tbl>
      <w:tblPr>
        <w:tblStyle w:val="Grilledutableau"/>
        <w:tblW w:w="5059" w:type="pct"/>
        <w:tblLayout w:type="fixed"/>
        <w:tblCellMar>
          <w:left w:w="0" w:type="dxa"/>
          <w:right w:w="0" w:type="dxa"/>
        </w:tblCellMar>
        <w:tblLook w:val="04A0" w:firstRow="1" w:lastRow="0" w:firstColumn="1" w:lastColumn="0" w:noHBand="0" w:noVBand="1"/>
      </w:tblPr>
      <w:tblGrid>
        <w:gridCol w:w="322"/>
        <w:gridCol w:w="5875"/>
        <w:gridCol w:w="2115"/>
        <w:gridCol w:w="4207"/>
        <w:gridCol w:w="2089"/>
      </w:tblGrid>
      <w:tr w:rsidR="00C55EC4" w:rsidRPr="00A8522B" w:rsidTr="003566A0">
        <w:trPr>
          <w:trHeight w:val="140"/>
          <w:tblHeader/>
        </w:trPr>
        <w:tc>
          <w:tcPr>
            <w:tcW w:w="110" w:type="pct"/>
            <w:tcBorders>
              <w:top w:val="single" w:sz="4" w:space="0" w:color="000000"/>
              <w:left w:val="single" w:sz="4" w:space="0" w:color="000000"/>
              <w:bottom w:val="single" w:sz="4" w:space="0" w:color="000000"/>
              <w:right w:val="single" w:sz="4" w:space="0" w:color="000000"/>
            </w:tcBorders>
            <w:shd w:val="clear" w:color="auto" w:fill="FDE9D9" w:themeFill="accent6" w:themeFillTint="33"/>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N°</w:t>
            </w:r>
          </w:p>
        </w:tc>
        <w:tc>
          <w:tcPr>
            <w:tcW w:w="2011" w:type="pct"/>
            <w:tcBorders>
              <w:top w:val="single" w:sz="4" w:space="0" w:color="000000"/>
              <w:left w:val="single" w:sz="4" w:space="0" w:color="000000"/>
              <w:bottom w:val="single" w:sz="4" w:space="0" w:color="000000"/>
              <w:right w:val="single" w:sz="4" w:space="0" w:color="000000"/>
            </w:tcBorders>
            <w:shd w:val="clear" w:color="auto" w:fill="FDE9D9" w:themeFill="accent6" w:themeFillTint="33"/>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Critères et composantes</w:t>
            </w:r>
          </w:p>
        </w:tc>
        <w:tc>
          <w:tcPr>
            <w:tcW w:w="724" w:type="pct"/>
            <w:tcBorders>
              <w:top w:val="single" w:sz="4" w:space="0" w:color="000000"/>
              <w:left w:val="single" w:sz="4" w:space="0" w:color="000000"/>
              <w:bottom w:val="single" w:sz="4" w:space="0" w:color="000000"/>
              <w:right w:val="single" w:sz="4" w:space="0" w:color="000000"/>
            </w:tcBorders>
            <w:shd w:val="clear" w:color="auto" w:fill="FDE9D9" w:themeFill="accent6" w:themeFillTint="33"/>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Secteurs</w:t>
            </w:r>
          </w:p>
        </w:tc>
        <w:tc>
          <w:tcPr>
            <w:tcW w:w="1440" w:type="pct"/>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 xml:space="preserve">Ministères concernés </w:t>
            </w:r>
          </w:p>
        </w:tc>
        <w:tc>
          <w:tcPr>
            <w:tcW w:w="715" w:type="pct"/>
            <w:tcBorders>
              <w:top w:val="single" w:sz="4" w:space="0" w:color="000000"/>
              <w:left w:val="single" w:sz="4" w:space="0" w:color="000000"/>
              <w:bottom w:val="single" w:sz="4" w:space="0" w:color="000000"/>
              <w:right w:val="single" w:sz="4" w:space="0" w:color="000000"/>
            </w:tcBorders>
            <w:shd w:val="clear" w:color="auto" w:fill="FDE9D9" w:themeFill="accent6" w:themeFillTint="33"/>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Chef de file</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1</w:t>
            </w:r>
          </w:p>
        </w:tc>
        <w:tc>
          <w:tcPr>
            <w:tcW w:w="2011"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rPr>
                <w:rFonts w:asciiTheme="minorHAnsi" w:hAnsiTheme="minorHAnsi" w:cstheme="minorHAnsi"/>
                <w:b/>
                <w:sz w:val="20"/>
                <w:szCs w:val="20"/>
              </w:rPr>
            </w:pPr>
            <w:r w:rsidRPr="00A8522B">
              <w:rPr>
                <w:rFonts w:asciiTheme="minorHAnsi" w:hAnsiTheme="minorHAnsi" w:cstheme="minorHAnsi"/>
                <w:b/>
                <w:sz w:val="20"/>
                <w:szCs w:val="20"/>
              </w:rPr>
              <w:t>CFB 042 : agriculture, sylviculture, pêche et chasse</w:t>
            </w:r>
          </w:p>
          <w:p w:rsidR="00C55EC4" w:rsidRPr="00A8522B" w:rsidRDefault="00C55EC4" w:rsidP="00A8522B">
            <w:pPr>
              <w:spacing w:after="120"/>
              <w:rPr>
                <w:rFonts w:asciiTheme="minorHAnsi" w:hAnsiTheme="minorHAnsi" w:cstheme="minorHAnsi"/>
                <w:b/>
                <w:sz w:val="20"/>
                <w:szCs w:val="20"/>
              </w:rPr>
            </w:pPr>
            <w:r w:rsidRPr="00A8522B">
              <w:rPr>
                <w:rFonts w:asciiTheme="minorHAnsi" w:hAnsiTheme="minorHAnsi" w:cstheme="minorHAnsi"/>
                <w:b/>
                <w:sz w:val="20"/>
                <w:szCs w:val="20"/>
              </w:rPr>
              <w:t>NBA 010 : agriculture</w:t>
            </w:r>
            <w:r w:rsidRPr="00A8522B">
              <w:rPr>
                <w:rFonts w:asciiTheme="minorHAnsi" w:hAnsiTheme="minorHAnsi" w:cstheme="minorHAnsi"/>
                <w:sz w:val="20"/>
                <w:szCs w:val="20"/>
              </w:rPr>
              <w:t xml:space="preserve"> (agriculture vivrière, agriculture de rente)</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NBA 020 : élevage</w:t>
            </w:r>
            <w:r w:rsidRPr="00A8522B">
              <w:rPr>
                <w:rFonts w:asciiTheme="minorHAnsi" w:hAnsiTheme="minorHAnsi" w:cstheme="minorHAnsi"/>
                <w:sz w:val="20"/>
                <w:szCs w:val="20"/>
              </w:rPr>
              <w:t xml:space="preserve"> (élevage et activités annexes à l'élevage)</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NBA 030 : sylviculture - pêche - chasse</w:t>
            </w:r>
            <w:r w:rsidRPr="00A8522B">
              <w:rPr>
                <w:rFonts w:asciiTheme="minorHAnsi" w:hAnsiTheme="minorHAnsi" w:cstheme="minorHAnsi"/>
                <w:sz w:val="20"/>
                <w:szCs w:val="20"/>
              </w:rPr>
              <w:t xml:space="preserve"> (sylviculture et chasse, pêche)</w:t>
            </w:r>
          </w:p>
        </w:tc>
        <w:tc>
          <w:tcPr>
            <w:tcW w:w="72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Production agro-sylvo-pastorale</w:t>
            </w:r>
          </w:p>
        </w:tc>
        <w:tc>
          <w:tcPr>
            <w:tcW w:w="144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pStyle w:val="Paragraphedeliste"/>
              <w:numPr>
                <w:ilvl w:val="0"/>
                <w:numId w:val="156"/>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l’agriculture et des aménagements hydrauliques</w:t>
            </w:r>
          </w:p>
          <w:p w:rsidR="00C55EC4" w:rsidRPr="00A8522B" w:rsidRDefault="00C55EC4" w:rsidP="00A8522B">
            <w:pPr>
              <w:pStyle w:val="Paragraphedeliste"/>
              <w:numPr>
                <w:ilvl w:val="0"/>
                <w:numId w:val="156"/>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des ressources animales</w:t>
            </w:r>
          </w:p>
          <w:p w:rsidR="00C55EC4" w:rsidRPr="00A8522B" w:rsidRDefault="00C55EC4" w:rsidP="00A8522B">
            <w:pPr>
              <w:pStyle w:val="Paragraphedeliste"/>
              <w:numPr>
                <w:ilvl w:val="0"/>
                <w:numId w:val="156"/>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de l’Environnement, de l’Economie Verte et des Changement Climatiques </w:t>
            </w:r>
          </w:p>
        </w:tc>
        <w:tc>
          <w:tcPr>
            <w:tcW w:w="7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 l’agriculture</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2</w:t>
            </w:r>
          </w:p>
        </w:tc>
        <w:tc>
          <w:tcPr>
            <w:tcW w:w="2011"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rPr>
                <w:rFonts w:asciiTheme="minorHAnsi" w:hAnsiTheme="minorHAnsi" w:cstheme="minorHAnsi"/>
                <w:b/>
                <w:sz w:val="20"/>
                <w:szCs w:val="20"/>
              </w:rPr>
            </w:pPr>
            <w:r w:rsidRPr="00A8522B">
              <w:rPr>
                <w:rFonts w:asciiTheme="minorHAnsi" w:hAnsiTheme="minorHAnsi" w:cstheme="minorHAnsi"/>
                <w:b/>
                <w:sz w:val="20"/>
                <w:szCs w:val="20"/>
              </w:rPr>
              <w:t>CFB 043 : combustible et énergie</w:t>
            </w:r>
          </w:p>
          <w:p w:rsidR="00C55EC4" w:rsidRPr="00A8522B" w:rsidRDefault="00C55EC4" w:rsidP="00A8522B">
            <w:pPr>
              <w:spacing w:after="120"/>
              <w:rPr>
                <w:rFonts w:asciiTheme="minorHAnsi" w:hAnsiTheme="minorHAnsi" w:cstheme="minorHAnsi"/>
                <w:b/>
                <w:sz w:val="20"/>
                <w:szCs w:val="20"/>
              </w:rPr>
            </w:pPr>
            <w:r w:rsidRPr="00A8522B">
              <w:rPr>
                <w:rFonts w:asciiTheme="minorHAnsi" w:hAnsiTheme="minorHAnsi" w:cstheme="minorHAnsi"/>
                <w:b/>
                <w:sz w:val="20"/>
                <w:szCs w:val="20"/>
              </w:rPr>
              <w:t>CFB 044 : industries extractives et manufacturières, construction</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 xml:space="preserve">NBA 040 : extraction </w:t>
            </w:r>
            <w:r w:rsidRPr="00A8522B">
              <w:rPr>
                <w:rFonts w:asciiTheme="minorHAnsi" w:hAnsiTheme="minorHAnsi" w:cstheme="minorHAnsi"/>
                <w:sz w:val="20"/>
                <w:szCs w:val="20"/>
              </w:rPr>
              <w:t>(extraction)</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NBA 050 : industries alimentaires</w:t>
            </w:r>
            <w:r w:rsidRPr="00A8522B">
              <w:rPr>
                <w:rFonts w:asciiTheme="minorHAnsi" w:hAnsiTheme="minorHAnsi" w:cstheme="minorHAnsi"/>
                <w:sz w:val="20"/>
                <w:szCs w:val="20"/>
              </w:rPr>
              <w:t xml:space="preserve"> (abattage, transformation et conservation des viandes et poissons, fabrication de corps gras alimentaires, travail des grains, fabrication de produits amylacés, fabrication des produits à base de fruits ou de lait, fabrication de boissons et tabacs)</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NBA 060 : égrenage de coton, fabrication de textiles et articles d'habillement</w:t>
            </w:r>
            <w:r w:rsidRPr="00A8522B">
              <w:rPr>
                <w:rFonts w:asciiTheme="minorHAnsi" w:hAnsiTheme="minorHAnsi" w:cstheme="minorHAnsi"/>
                <w:sz w:val="20"/>
                <w:szCs w:val="20"/>
              </w:rPr>
              <w:t xml:space="preserve"> (égrenage de coton, fabrication de textiles et articles d'habillement)</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NBA 070 : raffinage de pétrole, fabrication de produits chimiques, d'articles en caoutchouc</w:t>
            </w:r>
            <w:r w:rsidRPr="00A8522B">
              <w:rPr>
                <w:rFonts w:asciiTheme="minorHAnsi" w:hAnsiTheme="minorHAnsi" w:cstheme="minorHAnsi"/>
                <w:sz w:val="20"/>
                <w:szCs w:val="20"/>
              </w:rPr>
              <w:t xml:space="preserve"> (raffinage de pétrole, fabrication de produits chimiques, fabrication d'articles en caoutchouc ou en plastique)</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NBA 080 : fabrication de verre, poterie et matériaux pour construction</w:t>
            </w:r>
            <w:r w:rsidRPr="00A8522B">
              <w:rPr>
                <w:rFonts w:asciiTheme="minorHAnsi" w:hAnsiTheme="minorHAnsi" w:cstheme="minorHAnsi"/>
                <w:sz w:val="20"/>
                <w:szCs w:val="20"/>
              </w:rPr>
              <w:t xml:space="preserve"> (fabrication de verre, poteries et matériaux pour la construction)</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NBA 090 : industries du papier, de l'édition, imprimerie enregistrement</w:t>
            </w:r>
            <w:r w:rsidRPr="00A8522B">
              <w:rPr>
                <w:rFonts w:asciiTheme="minorHAnsi" w:hAnsiTheme="minorHAnsi" w:cstheme="minorHAnsi"/>
                <w:sz w:val="20"/>
                <w:szCs w:val="20"/>
              </w:rPr>
              <w:t xml:space="preserve"> (industries du papier, de l'édition, imprimerie enregistrement)</w:t>
            </w:r>
          </w:p>
          <w:p w:rsidR="00C55EC4" w:rsidRPr="00A8522B" w:rsidRDefault="00C55EC4" w:rsidP="00A8522B">
            <w:pPr>
              <w:spacing w:after="120"/>
              <w:rPr>
                <w:rFonts w:asciiTheme="minorHAnsi" w:hAnsiTheme="minorHAnsi" w:cstheme="minorHAnsi"/>
                <w:b/>
                <w:sz w:val="20"/>
                <w:szCs w:val="20"/>
              </w:rPr>
            </w:pPr>
            <w:r w:rsidRPr="00A8522B">
              <w:rPr>
                <w:rFonts w:asciiTheme="minorHAnsi" w:hAnsiTheme="minorHAnsi" w:cstheme="minorHAnsi"/>
                <w:b/>
                <w:sz w:val="20"/>
                <w:szCs w:val="20"/>
              </w:rPr>
              <w:t>NBA 100 : fabrication d'ouvrages en bois et en métaux</w:t>
            </w:r>
            <w:r w:rsidRPr="00A8522B">
              <w:rPr>
                <w:rFonts w:asciiTheme="minorHAnsi" w:hAnsiTheme="minorHAnsi" w:cstheme="minorHAnsi"/>
                <w:sz w:val="20"/>
                <w:szCs w:val="20"/>
              </w:rPr>
              <w:t xml:space="preserve"> (sciage de bois, </w:t>
            </w:r>
            <w:r w:rsidRPr="00A8522B">
              <w:rPr>
                <w:rFonts w:asciiTheme="minorHAnsi" w:hAnsiTheme="minorHAnsi" w:cstheme="minorHAnsi"/>
                <w:sz w:val="20"/>
                <w:szCs w:val="20"/>
              </w:rPr>
              <w:lastRenderedPageBreak/>
              <w:t>vannerie, métallurgie et fonderie, fabrication de machines et équipements, fabrication de matériels de transport, fabrication de matelas et meubles, production et distribution d'électricité et de gaz)</w:t>
            </w:r>
          </w:p>
        </w:tc>
        <w:tc>
          <w:tcPr>
            <w:tcW w:w="724"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lastRenderedPageBreak/>
              <w:t>Transformations industrielles et artisanales</w:t>
            </w:r>
          </w:p>
        </w:tc>
        <w:tc>
          <w:tcPr>
            <w:tcW w:w="1440"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pStyle w:val="Paragraphedeliste"/>
              <w:numPr>
                <w:ilvl w:val="0"/>
                <w:numId w:val="157"/>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du commerce, de l’industrie et de l’artisanat</w:t>
            </w:r>
          </w:p>
          <w:p w:rsidR="00C55EC4" w:rsidRPr="00A8522B" w:rsidRDefault="00C55EC4" w:rsidP="00A8522B">
            <w:pPr>
              <w:pStyle w:val="Paragraphedeliste"/>
              <w:numPr>
                <w:ilvl w:val="0"/>
                <w:numId w:val="157"/>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de l’Energie des Mines et des Carrières </w:t>
            </w:r>
          </w:p>
        </w:tc>
        <w:tc>
          <w:tcPr>
            <w:tcW w:w="715"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 l’industrie</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3</w:t>
            </w:r>
          </w:p>
        </w:tc>
        <w:tc>
          <w:tcPr>
            <w:tcW w:w="2011"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 xml:space="preserve">CFB 06 : logement et équipements collectifs </w:t>
            </w:r>
            <w:r w:rsidRPr="00A8522B">
              <w:rPr>
                <w:rFonts w:asciiTheme="minorHAnsi" w:hAnsiTheme="minorHAnsi" w:cstheme="minorHAnsi"/>
                <w:sz w:val="20"/>
                <w:szCs w:val="20"/>
              </w:rPr>
              <w:t>(logement, équipements collectifs, alimentation en eau, éclairage public)</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NBA 120 :</w:t>
            </w:r>
            <w:r w:rsidRPr="00A8522B">
              <w:rPr>
                <w:rFonts w:asciiTheme="minorHAnsi" w:hAnsiTheme="minorHAnsi" w:cstheme="minorHAnsi"/>
                <w:sz w:val="20"/>
                <w:szCs w:val="20"/>
              </w:rPr>
              <w:t xml:space="preserve"> </w:t>
            </w:r>
            <w:r w:rsidRPr="00A8522B">
              <w:rPr>
                <w:rFonts w:asciiTheme="minorHAnsi" w:hAnsiTheme="minorHAnsi" w:cstheme="minorHAnsi"/>
                <w:b/>
                <w:sz w:val="20"/>
                <w:szCs w:val="20"/>
              </w:rPr>
              <w:t>construction</w:t>
            </w:r>
            <w:r w:rsidRPr="00A8522B">
              <w:rPr>
                <w:rFonts w:asciiTheme="minorHAnsi" w:hAnsiTheme="minorHAnsi" w:cstheme="minorHAnsi"/>
                <w:sz w:val="20"/>
                <w:szCs w:val="20"/>
              </w:rPr>
              <w:t xml:space="preserve"> (travaux de construction, d'installation et de finition)</w:t>
            </w:r>
          </w:p>
          <w:p w:rsidR="00C55EC4" w:rsidRPr="00A8522B" w:rsidRDefault="00C55EC4" w:rsidP="00A8522B">
            <w:pPr>
              <w:spacing w:after="120"/>
              <w:rPr>
                <w:rFonts w:asciiTheme="minorHAnsi" w:hAnsiTheme="minorHAnsi" w:cstheme="minorHAnsi"/>
                <w:b/>
                <w:sz w:val="20"/>
                <w:szCs w:val="20"/>
              </w:rPr>
            </w:pPr>
            <w:r w:rsidRPr="00A8522B">
              <w:rPr>
                <w:rFonts w:asciiTheme="minorHAnsi" w:hAnsiTheme="minorHAnsi" w:cstheme="minorHAnsi"/>
                <w:b/>
                <w:sz w:val="20"/>
                <w:szCs w:val="20"/>
              </w:rPr>
              <w:t>Autres domaines concernés : construction d'infrastructures de transport, infrastructures de télécommunication / Technologies de l'information et de la communication (TIC)</w:t>
            </w:r>
          </w:p>
        </w:tc>
        <w:tc>
          <w:tcPr>
            <w:tcW w:w="72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Infrastructures de transport, de communication et d'habitat</w:t>
            </w:r>
          </w:p>
        </w:tc>
        <w:tc>
          <w:tcPr>
            <w:tcW w:w="144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pStyle w:val="Paragraphedeliste"/>
              <w:numPr>
                <w:ilvl w:val="0"/>
                <w:numId w:val="158"/>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des infrastructures</w:t>
            </w:r>
          </w:p>
          <w:p w:rsidR="00C55EC4" w:rsidRPr="00A8522B" w:rsidRDefault="00C55EC4" w:rsidP="00A8522B">
            <w:pPr>
              <w:pStyle w:val="Paragraphedeliste"/>
              <w:numPr>
                <w:ilvl w:val="0"/>
                <w:numId w:val="158"/>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du Transport, de la Mobilité urbaine et de la Sécurité Routière </w:t>
            </w:r>
          </w:p>
          <w:p w:rsidR="00C55EC4" w:rsidRPr="00A8522B" w:rsidRDefault="00C55EC4" w:rsidP="00A8522B">
            <w:pPr>
              <w:pStyle w:val="Paragraphedeliste"/>
              <w:numPr>
                <w:ilvl w:val="0"/>
                <w:numId w:val="158"/>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du Développement de l’Economie Numériques et des Postes </w:t>
            </w:r>
          </w:p>
          <w:p w:rsidR="00C55EC4" w:rsidRPr="00A8522B" w:rsidRDefault="00C55EC4" w:rsidP="00A8522B">
            <w:pPr>
              <w:pStyle w:val="Paragraphedeliste"/>
              <w:numPr>
                <w:ilvl w:val="0"/>
                <w:numId w:val="158"/>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de la Communication et des Relations avec le parlement </w:t>
            </w:r>
          </w:p>
          <w:p w:rsidR="00C55EC4" w:rsidRPr="00A8522B" w:rsidRDefault="00C55EC4" w:rsidP="00A8522B">
            <w:pPr>
              <w:pStyle w:val="Paragraphedeliste"/>
              <w:numPr>
                <w:ilvl w:val="0"/>
                <w:numId w:val="158"/>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l’habitat et de l’urbanisme</w:t>
            </w:r>
          </w:p>
        </w:tc>
        <w:tc>
          <w:tcPr>
            <w:tcW w:w="7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des infrastructures</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4</w:t>
            </w:r>
          </w:p>
        </w:tc>
        <w:tc>
          <w:tcPr>
            <w:tcW w:w="2011"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autoSpaceDE w:val="0"/>
              <w:autoSpaceDN w:val="0"/>
              <w:adjustRightInd w:val="0"/>
              <w:spacing w:after="120"/>
              <w:rPr>
                <w:rFonts w:asciiTheme="minorHAnsi" w:hAnsiTheme="minorHAnsi" w:cstheme="minorHAnsi"/>
                <w:b/>
                <w:bCs/>
                <w:sz w:val="20"/>
                <w:szCs w:val="20"/>
              </w:rPr>
            </w:pPr>
            <w:r w:rsidRPr="00A8522B">
              <w:rPr>
                <w:rFonts w:asciiTheme="minorHAnsi" w:hAnsiTheme="minorHAnsi" w:cstheme="minorHAnsi"/>
                <w:b/>
                <w:bCs/>
                <w:sz w:val="20"/>
                <w:szCs w:val="20"/>
              </w:rPr>
              <w:t>CFB 065 : transports</w:t>
            </w:r>
          </w:p>
          <w:p w:rsidR="00C55EC4" w:rsidRPr="00A8522B" w:rsidRDefault="00C55EC4" w:rsidP="00A8522B">
            <w:pPr>
              <w:autoSpaceDE w:val="0"/>
              <w:autoSpaceDN w:val="0"/>
              <w:adjustRightInd w:val="0"/>
              <w:spacing w:after="120"/>
              <w:rPr>
                <w:rFonts w:asciiTheme="minorHAnsi" w:hAnsiTheme="minorHAnsi" w:cstheme="minorHAnsi"/>
                <w:b/>
                <w:bCs/>
                <w:sz w:val="20"/>
                <w:szCs w:val="20"/>
              </w:rPr>
            </w:pPr>
            <w:r w:rsidRPr="00A8522B">
              <w:rPr>
                <w:rFonts w:asciiTheme="minorHAnsi" w:hAnsiTheme="minorHAnsi" w:cstheme="minorHAnsi"/>
                <w:b/>
                <w:bCs/>
                <w:sz w:val="20"/>
                <w:szCs w:val="20"/>
              </w:rPr>
              <w:t>CFB 066 : communications</w:t>
            </w:r>
          </w:p>
          <w:p w:rsidR="00C55EC4" w:rsidRPr="00A8522B" w:rsidRDefault="00C55EC4" w:rsidP="00A8522B">
            <w:pPr>
              <w:autoSpaceDE w:val="0"/>
              <w:autoSpaceDN w:val="0"/>
              <w:adjustRightInd w:val="0"/>
              <w:spacing w:after="120"/>
              <w:rPr>
                <w:rFonts w:asciiTheme="minorHAnsi" w:hAnsiTheme="minorHAnsi" w:cstheme="minorHAnsi"/>
                <w:bCs/>
                <w:sz w:val="20"/>
                <w:szCs w:val="20"/>
              </w:rPr>
            </w:pPr>
            <w:r w:rsidRPr="00A8522B">
              <w:rPr>
                <w:rFonts w:asciiTheme="minorHAnsi" w:hAnsiTheme="minorHAnsi" w:cstheme="minorHAnsi"/>
                <w:b/>
                <w:bCs/>
                <w:sz w:val="20"/>
                <w:szCs w:val="20"/>
              </w:rPr>
              <w:t>NBA 130 : commerce</w:t>
            </w:r>
            <w:r w:rsidRPr="00A8522B">
              <w:rPr>
                <w:rFonts w:asciiTheme="minorHAnsi" w:hAnsiTheme="minorHAnsi" w:cstheme="minorHAnsi"/>
                <w:bCs/>
                <w:sz w:val="20"/>
                <w:szCs w:val="20"/>
              </w:rPr>
              <w:t xml:space="preserve"> (commerce)</w:t>
            </w:r>
          </w:p>
          <w:p w:rsidR="00C55EC4" w:rsidRPr="00A8522B" w:rsidRDefault="00C55EC4" w:rsidP="00A8522B">
            <w:pPr>
              <w:autoSpaceDE w:val="0"/>
              <w:autoSpaceDN w:val="0"/>
              <w:adjustRightInd w:val="0"/>
              <w:spacing w:after="120"/>
              <w:rPr>
                <w:rFonts w:asciiTheme="minorHAnsi" w:hAnsiTheme="minorHAnsi" w:cstheme="minorHAnsi"/>
                <w:bCs/>
                <w:sz w:val="20"/>
                <w:szCs w:val="20"/>
              </w:rPr>
            </w:pPr>
            <w:r w:rsidRPr="00A8522B">
              <w:rPr>
                <w:rFonts w:asciiTheme="minorHAnsi" w:hAnsiTheme="minorHAnsi" w:cstheme="minorHAnsi"/>
                <w:b/>
                <w:bCs/>
                <w:sz w:val="20"/>
                <w:szCs w:val="20"/>
              </w:rPr>
              <w:t xml:space="preserve">NBA 140 : hôtellerie et restauration </w:t>
            </w:r>
            <w:r w:rsidRPr="00A8522B">
              <w:rPr>
                <w:rFonts w:asciiTheme="minorHAnsi" w:hAnsiTheme="minorHAnsi" w:cstheme="minorHAnsi"/>
                <w:bCs/>
                <w:sz w:val="20"/>
                <w:szCs w:val="20"/>
              </w:rPr>
              <w:t>(hôtellerie et restauration)</w:t>
            </w:r>
          </w:p>
          <w:p w:rsidR="00C55EC4" w:rsidRPr="00A8522B" w:rsidRDefault="00C55EC4" w:rsidP="00A8522B">
            <w:pPr>
              <w:autoSpaceDE w:val="0"/>
              <w:autoSpaceDN w:val="0"/>
              <w:adjustRightInd w:val="0"/>
              <w:spacing w:after="120"/>
              <w:rPr>
                <w:rFonts w:asciiTheme="minorHAnsi" w:hAnsiTheme="minorHAnsi" w:cstheme="minorHAnsi"/>
                <w:sz w:val="20"/>
                <w:szCs w:val="20"/>
              </w:rPr>
            </w:pPr>
            <w:r w:rsidRPr="00A8522B">
              <w:rPr>
                <w:rFonts w:asciiTheme="minorHAnsi" w:hAnsiTheme="minorHAnsi" w:cstheme="minorHAnsi"/>
                <w:b/>
                <w:bCs/>
                <w:sz w:val="20"/>
                <w:szCs w:val="20"/>
              </w:rPr>
              <w:t>NBA 150 : transports, postes et télécommunications</w:t>
            </w:r>
            <w:r w:rsidRPr="00A8522B">
              <w:rPr>
                <w:rFonts w:asciiTheme="minorHAnsi" w:hAnsiTheme="minorHAnsi" w:cstheme="minorHAnsi"/>
                <w:bCs/>
                <w:sz w:val="20"/>
                <w:szCs w:val="20"/>
              </w:rPr>
              <w:t xml:space="preserve"> (</w:t>
            </w:r>
            <w:r w:rsidRPr="00A8522B">
              <w:rPr>
                <w:rFonts w:asciiTheme="minorHAnsi" w:hAnsiTheme="minorHAnsi" w:cstheme="minorHAnsi"/>
                <w:sz w:val="20"/>
                <w:szCs w:val="20"/>
              </w:rPr>
              <w:t>transports et auxiliaires de transport, activités des postes et des télécommunications)</w:t>
            </w:r>
          </w:p>
          <w:p w:rsidR="00C55EC4" w:rsidRPr="00A8522B" w:rsidRDefault="00C55EC4" w:rsidP="00A8522B">
            <w:pPr>
              <w:autoSpaceDE w:val="0"/>
              <w:autoSpaceDN w:val="0"/>
              <w:adjustRightInd w:val="0"/>
              <w:spacing w:after="120"/>
              <w:rPr>
                <w:rFonts w:asciiTheme="minorHAnsi" w:hAnsiTheme="minorHAnsi" w:cstheme="minorHAnsi"/>
                <w:sz w:val="20"/>
                <w:szCs w:val="20"/>
              </w:rPr>
            </w:pPr>
            <w:r w:rsidRPr="00A8522B">
              <w:rPr>
                <w:rFonts w:asciiTheme="minorHAnsi" w:hAnsiTheme="minorHAnsi" w:cstheme="minorHAnsi"/>
                <w:b/>
                <w:bCs/>
                <w:sz w:val="20"/>
                <w:szCs w:val="20"/>
              </w:rPr>
              <w:t xml:space="preserve">NBA 160 : activités financières </w:t>
            </w:r>
            <w:r w:rsidRPr="00A8522B">
              <w:rPr>
                <w:rFonts w:asciiTheme="minorHAnsi" w:hAnsiTheme="minorHAnsi" w:cstheme="minorHAnsi"/>
                <w:bCs/>
                <w:sz w:val="20"/>
                <w:szCs w:val="20"/>
              </w:rPr>
              <w:t>(</w:t>
            </w:r>
            <w:r w:rsidRPr="00A8522B">
              <w:rPr>
                <w:rFonts w:asciiTheme="minorHAnsi" w:hAnsiTheme="minorHAnsi" w:cstheme="minorHAnsi"/>
                <w:sz w:val="20"/>
                <w:szCs w:val="20"/>
              </w:rPr>
              <w:t>activités d'intermédiation financière, assurances et auxiliaires financiers)</w:t>
            </w:r>
          </w:p>
          <w:p w:rsidR="00C55EC4" w:rsidRPr="00A8522B" w:rsidRDefault="00C55EC4" w:rsidP="00A8522B">
            <w:pPr>
              <w:autoSpaceDE w:val="0"/>
              <w:autoSpaceDN w:val="0"/>
              <w:adjustRightInd w:val="0"/>
              <w:spacing w:after="120"/>
              <w:rPr>
                <w:rFonts w:asciiTheme="minorHAnsi" w:hAnsiTheme="minorHAnsi" w:cstheme="minorHAnsi"/>
                <w:sz w:val="20"/>
                <w:szCs w:val="20"/>
              </w:rPr>
            </w:pPr>
            <w:r w:rsidRPr="00A8522B">
              <w:rPr>
                <w:rFonts w:asciiTheme="minorHAnsi" w:hAnsiTheme="minorHAnsi" w:cstheme="minorHAnsi"/>
                <w:b/>
                <w:bCs/>
                <w:sz w:val="20"/>
                <w:szCs w:val="20"/>
              </w:rPr>
              <w:t xml:space="preserve">NBA 170 : autres activités de services marchands </w:t>
            </w:r>
            <w:r w:rsidRPr="00A8522B">
              <w:rPr>
                <w:rFonts w:asciiTheme="minorHAnsi" w:hAnsiTheme="minorHAnsi" w:cstheme="minorHAnsi"/>
                <w:bCs/>
                <w:sz w:val="20"/>
                <w:szCs w:val="20"/>
              </w:rPr>
              <w:t>(</w:t>
            </w:r>
            <w:r w:rsidRPr="00A8522B">
              <w:rPr>
                <w:rFonts w:asciiTheme="minorHAnsi" w:hAnsiTheme="minorHAnsi" w:cstheme="minorHAnsi"/>
                <w:sz w:val="20"/>
                <w:szCs w:val="20"/>
              </w:rPr>
              <w:t>activités de services personnels, de réparation et d'entretien, activités immobilières, activités de services aux entreprises)</w:t>
            </w:r>
          </w:p>
        </w:tc>
        <w:tc>
          <w:tcPr>
            <w:tcW w:w="724"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Commerce et services marchands</w:t>
            </w:r>
          </w:p>
        </w:tc>
        <w:tc>
          <w:tcPr>
            <w:tcW w:w="1440"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pStyle w:val="Paragraphedeliste"/>
              <w:numPr>
                <w:ilvl w:val="0"/>
                <w:numId w:val="159"/>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du commerce de l’artisanat et de l’industrie</w:t>
            </w:r>
          </w:p>
          <w:p w:rsidR="00C55EC4" w:rsidRPr="00A8522B" w:rsidRDefault="00C55EC4" w:rsidP="00A8522B">
            <w:pPr>
              <w:pStyle w:val="Paragraphedeliste"/>
              <w:numPr>
                <w:ilvl w:val="0"/>
                <w:numId w:val="159"/>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de la Communication et des Relations avec le parlement </w:t>
            </w:r>
          </w:p>
          <w:p w:rsidR="00C55EC4" w:rsidRPr="00A8522B" w:rsidRDefault="00C55EC4" w:rsidP="00A8522B">
            <w:pPr>
              <w:pStyle w:val="Paragraphedeliste"/>
              <w:numPr>
                <w:ilvl w:val="0"/>
                <w:numId w:val="159"/>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de la Culture, des arts et du Tourisme </w:t>
            </w:r>
          </w:p>
          <w:p w:rsidR="00C55EC4" w:rsidRPr="00A8522B" w:rsidRDefault="00C55EC4" w:rsidP="00A8522B">
            <w:pPr>
              <w:pStyle w:val="Paragraphedeliste"/>
              <w:numPr>
                <w:ilvl w:val="0"/>
                <w:numId w:val="159"/>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du Développement de l’Economie Numériques et des Postes</w:t>
            </w:r>
          </w:p>
          <w:p w:rsidR="00C55EC4" w:rsidRPr="00A8522B" w:rsidRDefault="00C55EC4" w:rsidP="00A8522B">
            <w:pPr>
              <w:pStyle w:val="Paragraphedeliste"/>
              <w:numPr>
                <w:ilvl w:val="0"/>
                <w:numId w:val="159"/>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l’économie et des finances</w:t>
            </w:r>
          </w:p>
          <w:p w:rsidR="00C55EC4" w:rsidRPr="00A8522B" w:rsidRDefault="00C55EC4" w:rsidP="00A8522B">
            <w:pPr>
              <w:spacing w:after="120"/>
              <w:jc w:val="center"/>
              <w:rPr>
                <w:rFonts w:asciiTheme="minorHAnsi" w:hAnsiTheme="minorHAnsi" w:cstheme="minorHAnsi"/>
                <w:sz w:val="20"/>
                <w:szCs w:val="20"/>
              </w:rPr>
            </w:pPr>
          </w:p>
        </w:tc>
        <w:tc>
          <w:tcPr>
            <w:tcW w:w="715"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des transports</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5</w:t>
            </w:r>
          </w:p>
        </w:tc>
        <w:tc>
          <w:tcPr>
            <w:tcW w:w="2011"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CFB 011 : fonctionnement des organes exécutifs et législatifs, affaires financières et fiscales, affaires étrangères</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CFB 041 : tutelle de l'économie générale, des échanges et de l'emploi</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lastRenderedPageBreak/>
              <w:t>NBA 180010 : activités d'administration générale, économique, sociale et de prérogative publique</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 xml:space="preserve">NBA 190 : correspondance de la branche </w:t>
            </w:r>
            <w:r w:rsidRPr="00A8522B">
              <w:rPr>
                <w:rFonts w:asciiTheme="minorHAnsi" w:hAnsiTheme="minorHAnsi" w:cstheme="minorHAnsi"/>
                <w:bCs/>
                <w:sz w:val="20"/>
                <w:szCs w:val="20"/>
              </w:rPr>
              <w:t>(correspondance de la branche Services d'intermédiation financière indirectement mesurés (SFIM))</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 xml:space="preserve">Autres domaines concernés : </w:t>
            </w:r>
            <w:r w:rsidRPr="00A8522B">
              <w:rPr>
                <w:rFonts w:asciiTheme="minorHAnsi" w:hAnsiTheme="minorHAnsi" w:cstheme="minorHAnsi"/>
                <w:b/>
                <w:bCs/>
                <w:sz w:val="20"/>
                <w:szCs w:val="20"/>
              </w:rPr>
              <w:t>pilotage et gestion de l'économie, aménagement du territoire, finances publiques, coopération au développement, intégration économique régionale, démographie (population)</w:t>
            </w:r>
          </w:p>
        </w:tc>
        <w:tc>
          <w:tcPr>
            <w:tcW w:w="72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lastRenderedPageBreak/>
              <w:t>Gouvernance économique</w:t>
            </w:r>
          </w:p>
        </w:tc>
        <w:tc>
          <w:tcPr>
            <w:tcW w:w="144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pStyle w:val="Paragraphedeliste"/>
              <w:numPr>
                <w:ilvl w:val="0"/>
                <w:numId w:val="160"/>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l’économie des finances et du développement</w:t>
            </w:r>
          </w:p>
          <w:p w:rsidR="00C55EC4" w:rsidRPr="00A8522B" w:rsidRDefault="00C55EC4" w:rsidP="00A8522B">
            <w:pPr>
              <w:pStyle w:val="Paragraphedeliste"/>
              <w:numPr>
                <w:ilvl w:val="0"/>
                <w:numId w:val="160"/>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des Affaire Etrangères, de la Coopération et des Burkinabè de </w:t>
            </w:r>
            <w:r w:rsidRPr="00A8522B">
              <w:rPr>
                <w:rFonts w:asciiTheme="minorHAnsi" w:hAnsiTheme="minorHAnsi" w:cstheme="minorHAnsi"/>
                <w:sz w:val="20"/>
                <w:szCs w:val="20"/>
              </w:rPr>
              <w:lastRenderedPageBreak/>
              <w:t>l’Extérieur</w:t>
            </w:r>
          </w:p>
        </w:tc>
        <w:tc>
          <w:tcPr>
            <w:tcW w:w="7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lastRenderedPageBreak/>
              <w:t>Ministère en charge de l’économie</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6</w:t>
            </w:r>
          </w:p>
        </w:tc>
        <w:tc>
          <w:tcPr>
            <w:tcW w:w="2011"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CFB 011 : fonctionnement des organes exécutifs et législatifs, affaires financières et fiscales, affaires étrangères</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CFB 013 : services généraux</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NBA 180010 : activités d'administration générale, économique, sociale et de prérogative publique</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NBA 180040 : activités de services collectifs ou personnels</w:t>
            </w:r>
          </w:p>
          <w:p w:rsidR="00C55EC4" w:rsidRPr="00A8522B" w:rsidRDefault="00C55EC4" w:rsidP="00A8522B">
            <w:pPr>
              <w:spacing w:after="120"/>
              <w:rPr>
                <w:rFonts w:asciiTheme="minorHAnsi" w:hAnsiTheme="minorHAnsi" w:cstheme="minorHAnsi"/>
                <w:bCs/>
                <w:sz w:val="20"/>
                <w:szCs w:val="20"/>
              </w:rPr>
            </w:pPr>
            <w:r w:rsidRPr="00A8522B">
              <w:rPr>
                <w:rFonts w:asciiTheme="minorHAnsi" w:hAnsiTheme="minorHAnsi" w:cstheme="minorHAnsi"/>
                <w:b/>
                <w:bCs/>
                <w:sz w:val="20"/>
                <w:szCs w:val="20"/>
              </w:rPr>
              <w:t xml:space="preserve">NBA 200 : correction territoriale </w:t>
            </w:r>
            <w:r w:rsidRPr="00A8522B">
              <w:rPr>
                <w:rFonts w:asciiTheme="minorHAnsi" w:hAnsiTheme="minorHAnsi" w:cstheme="minorHAnsi"/>
                <w:bCs/>
                <w:sz w:val="20"/>
                <w:szCs w:val="20"/>
              </w:rPr>
              <w:t>(correction territoriale)</w:t>
            </w:r>
          </w:p>
          <w:p w:rsidR="00C55EC4" w:rsidRPr="00A8522B" w:rsidRDefault="00C55EC4" w:rsidP="00A8522B">
            <w:pPr>
              <w:spacing w:after="120"/>
              <w:rPr>
                <w:rFonts w:asciiTheme="minorHAnsi" w:hAnsiTheme="minorHAnsi" w:cstheme="minorHAnsi"/>
                <w:b/>
                <w:sz w:val="20"/>
                <w:szCs w:val="20"/>
              </w:rPr>
            </w:pPr>
            <w:r w:rsidRPr="00A8522B">
              <w:rPr>
                <w:rFonts w:asciiTheme="minorHAnsi" w:hAnsiTheme="minorHAnsi" w:cstheme="minorHAnsi"/>
                <w:b/>
                <w:sz w:val="20"/>
                <w:szCs w:val="20"/>
              </w:rPr>
              <w:t xml:space="preserve">Autres domaines concernés : </w:t>
            </w:r>
            <w:r w:rsidRPr="00A8522B">
              <w:rPr>
                <w:rFonts w:asciiTheme="minorHAnsi" w:hAnsiTheme="minorHAnsi" w:cstheme="minorHAnsi"/>
                <w:b/>
                <w:bCs/>
                <w:sz w:val="20"/>
                <w:szCs w:val="20"/>
              </w:rPr>
              <w:t>fonction publique, décentralisation, relations avec les institutions, relations avec les organisations de la société civile</w:t>
            </w:r>
          </w:p>
        </w:tc>
        <w:tc>
          <w:tcPr>
            <w:tcW w:w="724"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Gouvernances administrative et locale</w:t>
            </w:r>
          </w:p>
        </w:tc>
        <w:tc>
          <w:tcPr>
            <w:tcW w:w="1440"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pStyle w:val="Paragraphedeliste"/>
              <w:numPr>
                <w:ilvl w:val="0"/>
                <w:numId w:val="161"/>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 Fonction Publique, du Travail et de la Sécurité Sociale</w:t>
            </w:r>
          </w:p>
          <w:p w:rsidR="00C55EC4" w:rsidRPr="00A8522B" w:rsidRDefault="00C55EC4" w:rsidP="00A8522B">
            <w:pPr>
              <w:pStyle w:val="Paragraphedeliste"/>
              <w:numPr>
                <w:ilvl w:val="0"/>
                <w:numId w:val="161"/>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l’Administration du territoire, de la Décentralisation et de la Sécurité Intérieure</w:t>
            </w:r>
          </w:p>
          <w:p w:rsidR="00C55EC4" w:rsidRPr="00A8522B" w:rsidRDefault="00C55EC4" w:rsidP="00A8522B">
            <w:pPr>
              <w:pStyle w:val="Paragraphedeliste"/>
              <w:numPr>
                <w:ilvl w:val="0"/>
                <w:numId w:val="161"/>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de l’économie des finances et du développement </w:t>
            </w:r>
          </w:p>
          <w:p w:rsidR="00C55EC4" w:rsidRPr="00A8522B" w:rsidRDefault="00C55EC4" w:rsidP="00A8522B">
            <w:pPr>
              <w:pStyle w:val="Paragraphedeliste"/>
              <w:numPr>
                <w:ilvl w:val="0"/>
                <w:numId w:val="161"/>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des Affaire Etrangères, de la Coopération et des Burkinabè de l’Extérieur</w:t>
            </w:r>
          </w:p>
        </w:tc>
        <w:tc>
          <w:tcPr>
            <w:tcW w:w="715"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 la fonction publique</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7</w:t>
            </w:r>
          </w:p>
        </w:tc>
        <w:tc>
          <w:tcPr>
            <w:tcW w:w="2011"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rPr>
                <w:rFonts w:asciiTheme="minorHAnsi" w:hAnsiTheme="minorHAnsi" w:cstheme="minorHAnsi"/>
                <w:bCs/>
                <w:sz w:val="20"/>
                <w:szCs w:val="20"/>
              </w:rPr>
            </w:pPr>
            <w:r w:rsidRPr="00A8522B">
              <w:rPr>
                <w:rFonts w:asciiTheme="minorHAnsi" w:hAnsiTheme="minorHAnsi" w:cstheme="minorHAnsi"/>
                <w:b/>
                <w:bCs/>
                <w:sz w:val="20"/>
                <w:szCs w:val="20"/>
              </w:rPr>
              <w:t xml:space="preserve">CFB 09 : enseignement </w:t>
            </w:r>
            <w:r w:rsidRPr="00A8522B">
              <w:rPr>
                <w:rFonts w:asciiTheme="minorHAnsi" w:hAnsiTheme="minorHAnsi" w:cstheme="minorHAnsi"/>
                <w:bCs/>
                <w:sz w:val="20"/>
                <w:szCs w:val="20"/>
              </w:rPr>
              <w:t>(enseignement préélémentaire et primaire, enseignement secondaire, enseignement post secondaire non supérieur, enseignement supérieur, enseignement non défini par niveau, services annexes à l'enseignement)</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NBA 180020 : éducation</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 xml:space="preserve">Autres domaines concernés : </w:t>
            </w:r>
            <w:r w:rsidRPr="00A8522B">
              <w:rPr>
                <w:rFonts w:asciiTheme="minorHAnsi" w:hAnsiTheme="minorHAnsi" w:cstheme="minorHAnsi"/>
                <w:b/>
                <w:bCs/>
                <w:sz w:val="20"/>
                <w:szCs w:val="20"/>
              </w:rPr>
              <w:t>Enseignement et formation techniques et professionnels (EFTP)</w:t>
            </w:r>
          </w:p>
        </w:tc>
        <w:tc>
          <w:tcPr>
            <w:tcW w:w="72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Éducation et formation</w:t>
            </w:r>
          </w:p>
        </w:tc>
        <w:tc>
          <w:tcPr>
            <w:tcW w:w="144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pStyle w:val="Paragraphedeliste"/>
              <w:numPr>
                <w:ilvl w:val="0"/>
                <w:numId w:val="163"/>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des Enseignements Supérieurs, de la Recherche Scientifique et de l’Innovation</w:t>
            </w:r>
          </w:p>
          <w:p w:rsidR="00C55EC4" w:rsidRPr="00A8522B" w:rsidRDefault="00C55EC4" w:rsidP="00A8522B">
            <w:pPr>
              <w:pStyle w:val="Paragraphedeliste"/>
              <w:numPr>
                <w:ilvl w:val="0"/>
                <w:numId w:val="163"/>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l’Education Nationale et de l’Alphabétisation</w:t>
            </w:r>
          </w:p>
          <w:p w:rsidR="00C55EC4" w:rsidRPr="00A8522B" w:rsidRDefault="00C55EC4" w:rsidP="00A8522B">
            <w:pPr>
              <w:pStyle w:val="Paragraphedeliste"/>
              <w:numPr>
                <w:ilvl w:val="0"/>
                <w:numId w:val="163"/>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 Jeunesse, de la Formation et de l’Insertion Professionnelle</w:t>
            </w:r>
          </w:p>
        </w:tc>
        <w:tc>
          <w:tcPr>
            <w:tcW w:w="7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 l’éducation</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lastRenderedPageBreak/>
              <w:t>8</w:t>
            </w:r>
          </w:p>
        </w:tc>
        <w:tc>
          <w:tcPr>
            <w:tcW w:w="2011"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rPr>
                <w:rFonts w:asciiTheme="minorHAnsi" w:hAnsiTheme="minorHAnsi" w:cstheme="minorHAnsi"/>
                <w:bCs/>
                <w:sz w:val="20"/>
                <w:szCs w:val="20"/>
              </w:rPr>
            </w:pPr>
            <w:r w:rsidRPr="00A8522B">
              <w:rPr>
                <w:rFonts w:asciiTheme="minorHAnsi" w:hAnsiTheme="minorHAnsi" w:cstheme="minorHAnsi"/>
                <w:b/>
                <w:bCs/>
                <w:sz w:val="20"/>
                <w:szCs w:val="20"/>
              </w:rPr>
              <w:t xml:space="preserve">CFB 07 : santé </w:t>
            </w:r>
            <w:r w:rsidRPr="00A8522B">
              <w:rPr>
                <w:rFonts w:asciiTheme="minorHAnsi" w:hAnsiTheme="minorHAnsi" w:cstheme="minorHAnsi"/>
                <w:bCs/>
                <w:sz w:val="20"/>
                <w:szCs w:val="20"/>
              </w:rPr>
              <w:t>(produits, appareils et matériels médicaux, services ambulatoires, services hospitaliers, services de santé publique)</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NBA 180030 : santé et action sociale</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sz w:val="20"/>
                <w:szCs w:val="20"/>
              </w:rPr>
              <w:t xml:space="preserve">Autres domaines concernés : </w:t>
            </w:r>
            <w:r w:rsidRPr="00A8522B">
              <w:rPr>
                <w:rFonts w:asciiTheme="minorHAnsi" w:hAnsiTheme="minorHAnsi" w:cstheme="minorHAnsi"/>
                <w:b/>
                <w:bCs/>
                <w:sz w:val="20"/>
                <w:szCs w:val="20"/>
              </w:rPr>
              <w:t>nutrition</w:t>
            </w:r>
          </w:p>
        </w:tc>
        <w:tc>
          <w:tcPr>
            <w:tcW w:w="724"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Santé</w:t>
            </w:r>
          </w:p>
        </w:tc>
        <w:tc>
          <w:tcPr>
            <w:tcW w:w="1440"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pStyle w:val="Paragraphedeliste"/>
              <w:numPr>
                <w:ilvl w:val="0"/>
                <w:numId w:val="164"/>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 santé</w:t>
            </w:r>
          </w:p>
          <w:p w:rsidR="00C55EC4" w:rsidRPr="00A8522B" w:rsidRDefault="00C55EC4" w:rsidP="00A8522B">
            <w:pPr>
              <w:pStyle w:val="Paragraphedeliste"/>
              <w:numPr>
                <w:ilvl w:val="0"/>
                <w:numId w:val="164"/>
              </w:numPr>
              <w:spacing w:after="120"/>
              <w:contextualSpacing w:val="0"/>
              <w:rPr>
                <w:rFonts w:asciiTheme="minorHAnsi" w:hAnsiTheme="minorHAnsi" w:cstheme="minorHAnsi"/>
                <w:sz w:val="20"/>
                <w:szCs w:val="20"/>
              </w:rPr>
            </w:pPr>
            <w:r w:rsidRPr="00A8522B">
              <w:rPr>
                <w:rFonts w:asciiTheme="minorHAnsi" w:hAnsiTheme="minorHAnsi" w:cstheme="minorHAnsi"/>
                <w:sz w:val="20"/>
                <w:szCs w:val="20"/>
              </w:rPr>
              <w:t>Ministère de la Femme, de la Solidarité nationale et de la Famille</w:t>
            </w:r>
          </w:p>
          <w:p w:rsidR="00C55EC4" w:rsidRPr="00A8522B" w:rsidRDefault="00C55EC4" w:rsidP="00A8522B">
            <w:pPr>
              <w:pStyle w:val="Paragraphedeliste"/>
              <w:numPr>
                <w:ilvl w:val="0"/>
                <w:numId w:val="164"/>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l’agriculture et des aménagements hydrauliques</w:t>
            </w:r>
          </w:p>
          <w:p w:rsidR="00C55EC4" w:rsidRPr="00A8522B" w:rsidRDefault="00C55EC4" w:rsidP="00A8522B">
            <w:pPr>
              <w:pStyle w:val="Paragraphedeliste"/>
              <w:spacing w:after="120"/>
              <w:contextualSpacing w:val="0"/>
              <w:jc w:val="both"/>
              <w:rPr>
                <w:rFonts w:asciiTheme="minorHAnsi" w:hAnsiTheme="minorHAnsi" w:cstheme="minorHAnsi"/>
                <w:sz w:val="20"/>
                <w:szCs w:val="20"/>
              </w:rPr>
            </w:pPr>
          </w:p>
        </w:tc>
        <w:tc>
          <w:tcPr>
            <w:tcW w:w="715"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 la santé</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9</w:t>
            </w:r>
          </w:p>
        </w:tc>
        <w:tc>
          <w:tcPr>
            <w:tcW w:w="2011"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CFB 02 : défense (défense militaire)</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CFB 031 : services de police</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CFB 032 : services de protection civile</w:t>
            </w:r>
          </w:p>
        </w:tc>
        <w:tc>
          <w:tcPr>
            <w:tcW w:w="72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Défense et sécurité</w:t>
            </w:r>
          </w:p>
        </w:tc>
        <w:tc>
          <w:tcPr>
            <w:tcW w:w="144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pStyle w:val="Paragraphedeliste"/>
              <w:numPr>
                <w:ilvl w:val="0"/>
                <w:numId w:val="167"/>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 défense et des anciens combattants</w:t>
            </w:r>
          </w:p>
          <w:p w:rsidR="00C55EC4" w:rsidRPr="00A8522B" w:rsidRDefault="00C55EC4" w:rsidP="00A8522B">
            <w:pPr>
              <w:pStyle w:val="Paragraphedeliste"/>
              <w:numPr>
                <w:ilvl w:val="0"/>
                <w:numId w:val="167"/>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l’Administration du territoire, de la Décentralisation et de la Sécurité Intérieure</w:t>
            </w:r>
          </w:p>
          <w:p w:rsidR="00C55EC4" w:rsidRPr="00A8522B" w:rsidRDefault="00C55EC4" w:rsidP="00A8522B">
            <w:pPr>
              <w:spacing w:after="120"/>
              <w:jc w:val="center"/>
              <w:rPr>
                <w:rFonts w:asciiTheme="minorHAnsi" w:hAnsiTheme="minorHAnsi" w:cstheme="minorHAnsi"/>
                <w:sz w:val="20"/>
                <w:szCs w:val="20"/>
              </w:rPr>
            </w:pPr>
          </w:p>
        </w:tc>
        <w:tc>
          <w:tcPr>
            <w:tcW w:w="7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 l’administration du territoire</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10</w:t>
            </w:r>
          </w:p>
        </w:tc>
        <w:tc>
          <w:tcPr>
            <w:tcW w:w="2011"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rPr>
                <w:rFonts w:asciiTheme="minorHAnsi" w:hAnsiTheme="minorHAnsi" w:cstheme="minorHAnsi"/>
                <w:bCs/>
                <w:sz w:val="20"/>
                <w:szCs w:val="20"/>
              </w:rPr>
            </w:pPr>
            <w:r w:rsidRPr="00A8522B">
              <w:rPr>
                <w:rFonts w:asciiTheme="minorHAnsi" w:hAnsiTheme="minorHAnsi" w:cstheme="minorHAnsi"/>
                <w:b/>
                <w:bCs/>
                <w:sz w:val="20"/>
                <w:szCs w:val="20"/>
              </w:rPr>
              <w:t>CFB 05 : protection de l'environnement</w:t>
            </w:r>
            <w:r w:rsidRPr="00A8522B">
              <w:rPr>
                <w:rFonts w:asciiTheme="minorHAnsi" w:hAnsiTheme="minorHAnsi" w:cstheme="minorHAnsi"/>
                <w:bCs/>
                <w:sz w:val="20"/>
                <w:szCs w:val="20"/>
              </w:rPr>
              <w:t xml:space="preserve"> (gestion des déchets, gestion des eaux usées, lutte contre la pollution, préservation de la diversité biologique et protection de la nature)</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NBA 110020 : captage, traitement et distribution d'eau</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Autres domaines concernés : assainissement,</w:t>
            </w:r>
            <w:r w:rsidRPr="00A8522B">
              <w:rPr>
                <w:rFonts w:asciiTheme="minorHAnsi" w:hAnsiTheme="minorHAnsi" w:cstheme="minorHAnsi"/>
                <w:b/>
                <w:bCs/>
                <w:sz w:val="20"/>
                <w:szCs w:val="20"/>
              </w:rPr>
              <w:t xml:space="preserve"> économie verte, modes de production et de consommation durables</w:t>
            </w:r>
          </w:p>
        </w:tc>
        <w:tc>
          <w:tcPr>
            <w:tcW w:w="724"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Environnement, eau et assainissement</w:t>
            </w:r>
          </w:p>
        </w:tc>
        <w:tc>
          <w:tcPr>
            <w:tcW w:w="1440"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pStyle w:val="Paragraphedeliste"/>
              <w:numPr>
                <w:ilvl w:val="0"/>
                <w:numId w:val="166"/>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l’Eau et de l’Assainissement</w:t>
            </w:r>
          </w:p>
          <w:p w:rsidR="00C55EC4" w:rsidRPr="00A8522B" w:rsidRDefault="00C55EC4" w:rsidP="00A8522B">
            <w:pPr>
              <w:pStyle w:val="Paragraphedeliste"/>
              <w:numPr>
                <w:ilvl w:val="0"/>
                <w:numId w:val="166"/>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l’Environnement, de l’Economie Verte et des Changement Climatiques</w:t>
            </w:r>
          </w:p>
        </w:tc>
        <w:tc>
          <w:tcPr>
            <w:tcW w:w="715"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 l’eau</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11</w:t>
            </w:r>
          </w:p>
        </w:tc>
        <w:tc>
          <w:tcPr>
            <w:tcW w:w="2011"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rPr>
                <w:rFonts w:asciiTheme="minorHAnsi" w:hAnsiTheme="minorHAnsi" w:cstheme="minorHAnsi"/>
                <w:bCs/>
                <w:sz w:val="20"/>
                <w:szCs w:val="20"/>
              </w:rPr>
            </w:pPr>
            <w:r w:rsidRPr="00A8522B">
              <w:rPr>
                <w:rFonts w:asciiTheme="minorHAnsi" w:hAnsiTheme="minorHAnsi" w:cstheme="minorHAnsi"/>
                <w:b/>
                <w:bCs/>
                <w:sz w:val="20"/>
                <w:szCs w:val="20"/>
              </w:rPr>
              <w:t xml:space="preserve">CFB 08 : loisirs, culture et culte </w:t>
            </w:r>
            <w:r w:rsidRPr="00A8522B">
              <w:rPr>
                <w:rFonts w:asciiTheme="minorHAnsi" w:hAnsiTheme="minorHAnsi" w:cstheme="minorHAnsi"/>
                <w:bCs/>
                <w:sz w:val="20"/>
                <w:szCs w:val="20"/>
              </w:rPr>
              <w:t>(services récréatifs et sportifs, services culturels, services de radiodiffusion, de télévision et d'édition, culte et autres services communautaires)</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Autres domaines concernés : tourisme</w:t>
            </w:r>
          </w:p>
        </w:tc>
        <w:tc>
          <w:tcPr>
            <w:tcW w:w="72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Culture, sports et loisirs</w:t>
            </w:r>
          </w:p>
        </w:tc>
        <w:tc>
          <w:tcPr>
            <w:tcW w:w="144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pStyle w:val="Paragraphedeliste"/>
              <w:numPr>
                <w:ilvl w:val="0"/>
                <w:numId w:val="164"/>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des Sports et des Loisirs</w:t>
            </w:r>
          </w:p>
          <w:p w:rsidR="00C55EC4" w:rsidRPr="00A8522B" w:rsidRDefault="00C55EC4" w:rsidP="00A8522B">
            <w:pPr>
              <w:pStyle w:val="Paragraphedeliste"/>
              <w:numPr>
                <w:ilvl w:val="0"/>
                <w:numId w:val="164"/>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de la Culture, des arts et du Tourisme </w:t>
            </w:r>
          </w:p>
          <w:p w:rsidR="00C55EC4" w:rsidRPr="00A8522B" w:rsidRDefault="00C55EC4" w:rsidP="00A8522B">
            <w:pPr>
              <w:pStyle w:val="Paragraphedeliste"/>
              <w:spacing w:after="120"/>
              <w:contextualSpacing w:val="0"/>
              <w:jc w:val="both"/>
              <w:rPr>
                <w:rFonts w:asciiTheme="minorHAnsi" w:hAnsiTheme="minorHAnsi" w:cstheme="minorHAnsi"/>
                <w:sz w:val="20"/>
                <w:szCs w:val="20"/>
              </w:rPr>
            </w:pPr>
          </w:p>
          <w:p w:rsidR="00C55EC4" w:rsidRPr="00A8522B" w:rsidRDefault="00C55EC4" w:rsidP="00A8522B">
            <w:pPr>
              <w:pStyle w:val="Paragraphedeliste"/>
              <w:spacing w:after="120"/>
              <w:contextualSpacing w:val="0"/>
              <w:jc w:val="both"/>
              <w:rPr>
                <w:rFonts w:asciiTheme="minorHAnsi" w:hAnsiTheme="minorHAnsi" w:cstheme="minorHAnsi"/>
                <w:sz w:val="20"/>
                <w:szCs w:val="20"/>
              </w:rPr>
            </w:pPr>
          </w:p>
        </w:tc>
        <w:tc>
          <w:tcPr>
            <w:tcW w:w="7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des sports</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12</w:t>
            </w:r>
          </w:p>
        </w:tc>
        <w:tc>
          <w:tcPr>
            <w:tcW w:w="2011"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CFB 041 : tutelle de l'économie générale, des échanges et de l'emploi</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 xml:space="preserve">CFB 10 : protection sociale </w:t>
            </w:r>
            <w:r w:rsidRPr="00A8522B">
              <w:rPr>
                <w:rFonts w:asciiTheme="minorHAnsi" w:hAnsiTheme="minorHAnsi" w:cstheme="minorHAnsi"/>
                <w:sz w:val="20"/>
                <w:szCs w:val="20"/>
              </w:rPr>
              <w:t xml:space="preserve">(maladie et invalidité, vieillesse, famille et </w:t>
            </w:r>
            <w:r w:rsidRPr="00A8522B">
              <w:rPr>
                <w:rFonts w:asciiTheme="minorHAnsi" w:hAnsiTheme="minorHAnsi" w:cstheme="minorHAnsi"/>
                <w:sz w:val="20"/>
                <w:szCs w:val="20"/>
              </w:rPr>
              <w:lastRenderedPageBreak/>
              <w:t>enfants, chômage, exclusion sociale)</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bCs/>
                <w:sz w:val="20"/>
                <w:szCs w:val="20"/>
              </w:rPr>
              <w:t>NBA 180030 : santé et action sociale</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Autres domaines concernés :</w:t>
            </w:r>
            <w:r w:rsidRPr="00A8522B">
              <w:rPr>
                <w:rFonts w:asciiTheme="minorHAnsi" w:hAnsiTheme="minorHAnsi" w:cstheme="minorHAnsi"/>
                <w:b/>
                <w:bCs/>
                <w:sz w:val="20"/>
                <w:szCs w:val="20"/>
              </w:rPr>
              <w:t xml:space="preserve"> </w:t>
            </w:r>
            <w:r w:rsidRPr="00A8522B">
              <w:rPr>
                <w:rFonts w:asciiTheme="minorHAnsi" w:hAnsiTheme="minorHAnsi" w:cstheme="minorHAnsi"/>
                <w:b/>
                <w:sz w:val="20"/>
                <w:szCs w:val="20"/>
              </w:rPr>
              <w:t>travail décent,</w:t>
            </w:r>
            <w:r w:rsidRPr="00A8522B">
              <w:rPr>
                <w:rFonts w:asciiTheme="minorHAnsi" w:hAnsiTheme="minorHAnsi" w:cstheme="minorHAnsi"/>
                <w:b/>
                <w:bCs/>
                <w:sz w:val="20"/>
                <w:szCs w:val="20"/>
              </w:rPr>
              <w:t xml:space="preserve"> d</w:t>
            </w:r>
            <w:r w:rsidRPr="00A8522B">
              <w:rPr>
                <w:rFonts w:asciiTheme="minorHAnsi" w:hAnsiTheme="minorHAnsi" w:cstheme="minorHAnsi"/>
                <w:b/>
                <w:sz w:val="20"/>
                <w:szCs w:val="20"/>
              </w:rPr>
              <w:t>ialogue social, genre, jeunesse</w:t>
            </w:r>
          </w:p>
        </w:tc>
        <w:tc>
          <w:tcPr>
            <w:tcW w:w="724"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lastRenderedPageBreak/>
              <w:t>Travail, emploi et protection sociale</w:t>
            </w:r>
          </w:p>
        </w:tc>
        <w:tc>
          <w:tcPr>
            <w:tcW w:w="1440"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pStyle w:val="Paragraphedeliste"/>
              <w:numPr>
                <w:ilvl w:val="0"/>
                <w:numId w:val="162"/>
              </w:numPr>
              <w:spacing w:after="120"/>
              <w:contextualSpacing w:val="0"/>
              <w:rPr>
                <w:rFonts w:asciiTheme="minorHAnsi" w:hAnsiTheme="minorHAnsi" w:cstheme="minorHAnsi"/>
                <w:sz w:val="20"/>
                <w:szCs w:val="20"/>
              </w:rPr>
            </w:pPr>
            <w:r w:rsidRPr="00A8522B">
              <w:rPr>
                <w:rFonts w:asciiTheme="minorHAnsi" w:hAnsiTheme="minorHAnsi" w:cstheme="minorHAnsi"/>
                <w:sz w:val="20"/>
                <w:szCs w:val="20"/>
              </w:rPr>
              <w:t>Ministère de la Femme, de la Solidarité nationale et de la Famille</w:t>
            </w:r>
          </w:p>
          <w:p w:rsidR="00C55EC4" w:rsidRPr="00A8522B" w:rsidRDefault="00C55EC4" w:rsidP="00A8522B">
            <w:pPr>
              <w:pStyle w:val="Paragraphedeliste"/>
              <w:numPr>
                <w:ilvl w:val="0"/>
                <w:numId w:val="162"/>
              </w:numPr>
              <w:spacing w:after="120"/>
              <w:contextualSpacing w:val="0"/>
              <w:rPr>
                <w:rFonts w:asciiTheme="minorHAnsi" w:hAnsiTheme="minorHAnsi" w:cstheme="minorHAnsi"/>
                <w:sz w:val="20"/>
                <w:szCs w:val="20"/>
              </w:rPr>
            </w:pPr>
            <w:r w:rsidRPr="00A8522B">
              <w:rPr>
                <w:rFonts w:asciiTheme="minorHAnsi" w:hAnsiTheme="minorHAnsi" w:cstheme="minorHAnsi"/>
                <w:sz w:val="20"/>
                <w:szCs w:val="20"/>
              </w:rPr>
              <w:lastRenderedPageBreak/>
              <w:t>Ministère de la Fonction Publique, du Travail et de la Sécurité Sociale</w:t>
            </w:r>
          </w:p>
          <w:p w:rsidR="00C55EC4" w:rsidRPr="00A8522B" w:rsidRDefault="00C55EC4" w:rsidP="00A8522B">
            <w:pPr>
              <w:pStyle w:val="Paragraphedeliste"/>
              <w:numPr>
                <w:ilvl w:val="0"/>
                <w:numId w:val="162"/>
              </w:numPr>
              <w:spacing w:after="120"/>
              <w:contextualSpacing w:val="0"/>
              <w:rPr>
                <w:rFonts w:asciiTheme="minorHAnsi" w:hAnsiTheme="minorHAnsi" w:cstheme="minorHAnsi"/>
                <w:sz w:val="20"/>
                <w:szCs w:val="20"/>
              </w:rPr>
            </w:pPr>
            <w:r w:rsidRPr="00A8522B">
              <w:rPr>
                <w:rFonts w:asciiTheme="minorHAnsi" w:hAnsiTheme="minorHAnsi" w:cstheme="minorHAnsi"/>
                <w:sz w:val="20"/>
                <w:szCs w:val="20"/>
              </w:rPr>
              <w:t>Ministère de la santé</w:t>
            </w:r>
          </w:p>
        </w:tc>
        <w:tc>
          <w:tcPr>
            <w:tcW w:w="715"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lastRenderedPageBreak/>
              <w:t xml:space="preserve">Ministère en charge du travail </w:t>
            </w:r>
          </w:p>
        </w:tc>
      </w:tr>
      <w:tr w:rsidR="00C55EC4" w:rsidRPr="00A8522B" w:rsidTr="003566A0">
        <w:trPr>
          <w:trHeight w:val="140"/>
        </w:trPr>
        <w:tc>
          <w:tcPr>
            <w:tcW w:w="11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13</w:t>
            </w:r>
          </w:p>
        </w:tc>
        <w:tc>
          <w:tcPr>
            <w:tcW w:w="2011"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rPr>
                <w:rFonts w:asciiTheme="minorHAnsi" w:hAnsiTheme="minorHAnsi" w:cstheme="minorHAnsi"/>
                <w:b/>
                <w:sz w:val="20"/>
                <w:szCs w:val="20"/>
              </w:rPr>
            </w:pPr>
            <w:r w:rsidRPr="00A8522B">
              <w:rPr>
                <w:rFonts w:asciiTheme="minorHAnsi" w:hAnsiTheme="minorHAnsi" w:cstheme="minorHAnsi"/>
                <w:b/>
                <w:sz w:val="20"/>
                <w:szCs w:val="20"/>
              </w:rPr>
              <w:t>CFB 033 : tribunaux</w:t>
            </w:r>
          </w:p>
          <w:p w:rsidR="00C55EC4" w:rsidRPr="00A8522B" w:rsidRDefault="00C55EC4" w:rsidP="00A8522B">
            <w:pPr>
              <w:spacing w:after="120"/>
              <w:rPr>
                <w:rFonts w:asciiTheme="minorHAnsi" w:hAnsiTheme="minorHAnsi" w:cstheme="minorHAnsi"/>
                <w:b/>
                <w:bCs/>
                <w:sz w:val="20"/>
                <w:szCs w:val="20"/>
              </w:rPr>
            </w:pPr>
            <w:r w:rsidRPr="00A8522B">
              <w:rPr>
                <w:rFonts w:asciiTheme="minorHAnsi" w:hAnsiTheme="minorHAnsi" w:cstheme="minorHAnsi"/>
                <w:b/>
                <w:bCs/>
                <w:sz w:val="20"/>
                <w:szCs w:val="20"/>
              </w:rPr>
              <w:t>CFB 034 : administration pénitentiaire</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Autres domaines concernés :</w:t>
            </w:r>
            <w:r w:rsidRPr="00A8522B">
              <w:rPr>
                <w:rFonts w:asciiTheme="minorHAnsi" w:hAnsiTheme="minorHAnsi" w:cstheme="minorHAnsi"/>
                <w:b/>
                <w:bCs/>
                <w:sz w:val="20"/>
                <w:szCs w:val="20"/>
              </w:rPr>
              <w:t xml:space="preserve"> </w:t>
            </w:r>
            <w:r w:rsidRPr="00A8522B">
              <w:rPr>
                <w:rFonts w:asciiTheme="minorHAnsi" w:hAnsiTheme="minorHAnsi" w:cstheme="minorHAnsi"/>
                <w:b/>
                <w:sz w:val="20"/>
                <w:szCs w:val="20"/>
              </w:rPr>
              <w:t>droits humains, civisme et citoyenneté</w:t>
            </w:r>
          </w:p>
        </w:tc>
        <w:tc>
          <w:tcPr>
            <w:tcW w:w="72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Justice et droits humains</w:t>
            </w:r>
          </w:p>
        </w:tc>
        <w:tc>
          <w:tcPr>
            <w:tcW w:w="1440"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pStyle w:val="Paragraphedeliste"/>
              <w:numPr>
                <w:ilvl w:val="0"/>
                <w:numId w:val="165"/>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 Justice, des Droits Humains et de la Promotion Civique</w:t>
            </w:r>
          </w:p>
          <w:p w:rsidR="00C55EC4" w:rsidRPr="00A8522B" w:rsidRDefault="00C55EC4" w:rsidP="00A8522B">
            <w:pPr>
              <w:pStyle w:val="Paragraphedeliste"/>
              <w:numPr>
                <w:ilvl w:val="0"/>
                <w:numId w:val="165"/>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 l’Administration du territoire, de la Décentralisation et de la Sécurité Intérieure</w:t>
            </w:r>
          </w:p>
          <w:p w:rsidR="00C55EC4" w:rsidRPr="00A8522B" w:rsidRDefault="00C55EC4" w:rsidP="00A8522B">
            <w:pPr>
              <w:pStyle w:val="Paragraphedeliste"/>
              <w:spacing w:after="120"/>
              <w:contextualSpacing w:val="0"/>
              <w:jc w:val="both"/>
              <w:rPr>
                <w:rFonts w:asciiTheme="minorHAnsi" w:hAnsiTheme="minorHAnsi" w:cstheme="minorHAnsi"/>
                <w:sz w:val="20"/>
                <w:szCs w:val="20"/>
              </w:rPr>
            </w:pPr>
          </w:p>
        </w:tc>
        <w:tc>
          <w:tcPr>
            <w:tcW w:w="715"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 xml:space="preserve">Ministère en charge de la justice </w:t>
            </w:r>
          </w:p>
        </w:tc>
      </w:tr>
      <w:tr w:rsidR="00C55EC4" w:rsidRPr="00A8522B" w:rsidTr="003566A0">
        <w:trPr>
          <w:trHeight w:val="1654"/>
        </w:trPr>
        <w:tc>
          <w:tcPr>
            <w:tcW w:w="110"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sz w:val="20"/>
                <w:szCs w:val="20"/>
              </w:rPr>
            </w:pPr>
            <w:r w:rsidRPr="00A8522B">
              <w:rPr>
                <w:rFonts w:asciiTheme="minorHAnsi" w:hAnsiTheme="minorHAnsi" w:cstheme="minorHAnsi"/>
                <w:sz w:val="20"/>
                <w:szCs w:val="20"/>
              </w:rPr>
              <w:t>14</w:t>
            </w:r>
          </w:p>
        </w:tc>
        <w:tc>
          <w:tcPr>
            <w:tcW w:w="2011"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rPr>
                <w:rFonts w:asciiTheme="minorHAnsi" w:hAnsiTheme="minorHAnsi" w:cstheme="minorHAnsi"/>
                <w:b/>
                <w:sz w:val="20"/>
                <w:szCs w:val="20"/>
              </w:rPr>
            </w:pPr>
            <w:r w:rsidRPr="00A8522B">
              <w:rPr>
                <w:rFonts w:asciiTheme="minorHAnsi" w:hAnsiTheme="minorHAnsi" w:cstheme="minorHAnsi"/>
                <w:b/>
                <w:sz w:val="20"/>
                <w:szCs w:val="20"/>
              </w:rPr>
              <w:t>CFB 014 : recherche fondamentale</w:t>
            </w:r>
          </w:p>
          <w:p w:rsidR="00C55EC4" w:rsidRPr="00A8522B" w:rsidRDefault="00C55EC4" w:rsidP="00A8522B">
            <w:pPr>
              <w:spacing w:after="120"/>
              <w:rPr>
                <w:rFonts w:asciiTheme="minorHAnsi" w:hAnsiTheme="minorHAnsi" w:cstheme="minorHAnsi"/>
                <w:sz w:val="20"/>
                <w:szCs w:val="20"/>
              </w:rPr>
            </w:pPr>
            <w:r w:rsidRPr="00A8522B">
              <w:rPr>
                <w:rFonts w:asciiTheme="minorHAnsi" w:hAnsiTheme="minorHAnsi" w:cstheme="minorHAnsi"/>
                <w:b/>
                <w:sz w:val="20"/>
                <w:szCs w:val="20"/>
              </w:rPr>
              <w:t>Autres domaines concernés : recherche appliquée, recherche-développement, innovation</w:t>
            </w:r>
          </w:p>
        </w:tc>
        <w:tc>
          <w:tcPr>
            <w:tcW w:w="724" w:type="pct"/>
            <w:tcBorders>
              <w:top w:val="single" w:sz="4" w:space="0" w:color="000000"/>
              <w:left w:val="single" w:sz="4" w:space="0" w:color="000000"/>
              <w:bottom w:val="single" w:sz="4" w:space="0" w:color="000000"/>
              <w:right w:val="single" w:sz="4" w:space="0" w:color="000000"/>
            </w:tcBorders>
            <w:vAlign w:val="center"/>
            <w:hideMark/>
          </w:tcPr>
          <w:p w:rsidR="00C55EC4" w:rsidRPr="00A8522B" w:rsidRDefault="00C55EC4" w:rsidP="00A8522B">
            <w:pPr>
              <w:spacing w:after="120"/>
              <w:jc w:val="center"/>
              <w:rPr>
                <w:rFonts w:asciiTheme="minorHAnsi" w:hAnsiTheme="minorHAnsi" w:cstheme="minorHAnsi"/>
                <w:b/>
                <w:sz w:val="20"/>
                <w:szCs w:val="20"/>
              </w:rPr>
            </w:pPr>
            <w:r w:rsidRPr="00A8522B">
              <w:rPr>
                <w:rFonts w:asciiTheme="minorHAnsi" w:hAnsiTheme="minorHAnsi" w:cstheme="minorHAnsi"/>
                <w:b/>
                <w:sz w:val="20"/>
                <w:szCs w:val="20"/>
              </w:rPr>
              <w:t>Recherche et innovation</w:t>
            </w:r>
          </w:p>
        </w:tc>
        <w:tc>
          <w:tcPr>
            <w:tcW w:w="1440"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pStyle w:val="Paragraphedeliste"/>
              <w:numPr>
                <w:ilvl w:val="0"/>
                <w:numId w:val="168"/>
              </w:numPr>
              <w:spacing w:after="120"/>
              <w:contextualSpacing w:val="0"/>
              <w:jc w:val="both"/>
              <w:rPr>
                <w:rFonts w:asciiTheme="minorHAnsi" w:hAnsiTheme="minorHAnsi" w:cstheme="minorHAnsi"/>
                <w:sz w:val="20"/>
                <w:szCs w:val="20"/>
              </w:rPr>
            </w:pPr>
            <w:r w:rsidRPr="00A8522B">
              <w:rPr>
                <w:rFonts w:asciiTheme="minorHAnsi" w:hAnsiTheme="minorHAnsi" w:cstheme="minorHAnsi"/>
                <w:sz w:val="20"/>
                <w:szCs w:val="20"/>
              </w:rPr>
              <w:t>Ministère des Enseignements Supérieurs, de la Recherche Scientifique et de l’Innovation</w:t>
            </w:r>
          </w:p>
        </w:tc>
        <w:tc>
          <w:tcPr>
            <w:tcW w:w="715" w:type="pct"/>
            <w:tcBorders>
              <w:top w:val="single" w:sz="4" w:space="0" w:color="000000"/>
              <w:left w:val="single" w:sz="4" w:space="0" w:color="000000"/>
              <w:bottom w:val="single" w:sz="4" w:space="0" w:color="000000"/>
              <w:right w:val="single" w:sz="4" w:space="0" w:color="000000"/>
            </w:tcBorders>
          </w:tcPr>
          <w:p w:rsidR="00C55EC4" w:rsidRPr="00A8522B" w:rsidRDefault="00C55EC4" w:rsidP="00A8522B">
            <w:pPr>
              <w:spacing w:after="120"/>
              <w:ind w:left="360"/>
              <w:jc w:val="both"/>
              <w:rPr>
                <w:rFonts w:asciiTheme="minorHAnsi" w:hAnsiTheme="minorHAnsi" w:cstheme="minorHAnsi"/>
                <w:sz w:val="20"/>
                <w:szCs w:val="20"/>
              </w:rPr>
            </w:pPr>
            <w:r w:rsidRPr="00A8522B">
              <w:rPr>
                <w:rFonts w:asciiTheme="minorHAnsi" w:hAnsiTheme="minorHAnsi" w:cstheme="minorHAnsi"/>
                <w:sz w:val="20"/>
                <w:szCs w:val="20"/>
              </w:rPr>
              <w:t>Ministère en charge de la recherche</w:t>
            </w:r>
          </w:p>
        </w:tc>
      </w:tr>
    </w:tbl>
    <w:p w:rsidR="00C55EC4" w:rsidRPr="00396776" w:rsidRDefault="00C55EC4" w:rsidP="00C55EC4">
      <w:pPr>
        <w:spacing w:after="0" w:line="240" w:lineRule="auto"/>
        <w:jc w:val="both"/>
        <w:rPr>
          <w:rFonts w:ascii="Rockwell" w:hAnsi="Rockwell"/>
          <w:sz w:val="24"/>
          <w:szCs w:val="24"/>
        </w:rPr>
      </w:pPr>
      <w:r w:rsidRPr="00396776">
        <w:rPr>
          <w:rFonts w:ascii="Rockwell" w:hAnsi="Rockwell"/>
          <w:sz w:val="24"/>
          <w:szCs w:val="24"/>
        </w:rPr>
        <w:t>CFB = Code fonctionnel du budget. NBA = Nomenclature des branches d'activités.</w:t>
      </w:r>
    </w:p>
    <w:p w:rsidR="00C55EC4" w:rsidRDefault="00C55EC4" w:rsidP="00C55EC4"/>
    <w:p w:rsidR="00A8522B" w:rsidRDefault="00A8522B">
      <w:pPr>
        <w:spacing w:after="0" w:line="240" w:lineRule="auto"/>
        <w:rPr>
          <w:rFonts w:ascii="Arial" w:hAnsi="Arial" w:cs="Arial"/>
          <w:b/>
          <w:color w:val="FF0000"/>
        </w:rPr>
      </w:pPr>
      <w:r>
        <w:rPr>
          <w:rFonts w:ascii="Arial" w:hAnsi="Arial" w:cs="Arial"/>
          <w:b/>
          <w:color w:val="FF0000"/>
        </w:rPr>
        <w:br w:type="page"/>
      </w:r>
    </w:p>
    <w:p w:rsidR="00950DC4" w:rsidRPr="00A8522B" w:rsidRDefault="00950DC4" w:rsidP="00A8522B">
      <w:pPr>
        <w:pStyle w:val="Titre1"/>
        <w:pBdr>
          <w:bottom w:val="none" w:sz="0" w:space="0" w:color="auto"/>
        </w:pBdr>
        <w:spacing w:after="240"/>
        <w:rPr>
          <w:u w:val="single"/>
        </w:rPr>
      </w:pPr>
      <w:bookmarkStart w:id="737" w:name="_Toc492972295"/>
      <w:r w:rsidRPr="00A8522B">
        <w:rPr>
          <w:u w:val="single"/>
        </w:rPr>
        <w:lastRenderedPageBreak/>
        <w:t>Annexe 1</w:t>
      </w:r>
      <w:r w:rsidR="00E95BEE">
        <w:rPr>
          <w:u w:val="single"/>
        </w:rPr>
        <w:t>4</w:t>
      </w:r>
      <w:r w:rsidRPr="00A8522B">
        <w:rPr>
          <w:u w:val="single"/>
        </w:rPr>
        <w:t> : Correspondance entre secteurs de planification nationale et secteurs de l’OCDE</w:t>
      </w:r>
      <w:bookmarkEnd w:id="737"/>
    </w:p>
    <w:tbl>
      <w:tblPr>
        <w:tblW w:w="14249" w:type="dxa"/>
        <w:tblInd w:w="70" w:type="dxa"/>
        <w:tblCellMar>
          <w:left w:w="70" w:type="dxa"/>
          <w:right w:w="70" w:type="dxa"/>
        </w:tblCellMar>
        <w:tblLook w:val="04A0" w:firstRow="1" w:lastRow="0" w:firstColumn="1" w:lastColumn="0" w:noHBand="0" w:noVBand="1"/>
      </w:tblPr>
      <w:tblGrid>
        <w:gridCol w:w="623"/>
        <w:gridCol w:w="2455"/>
        <w:gridCol w:w="3339"/>
        <w:gridCol w:w="3708"/>
        <w:gridCol w:w="2394"/>
        <w:gridCol w:w="1730"/>
      </w:tblGrid>
      <w:tr w:rsidR="00F56BBD" w:rsidRPr="008751C8" w:rsidTr="00F56BBD">
        <w:trPr>
          <w:trHeight w:val="526"/>
          <w:tblHeader/>
        </w:trPr>
        <w:tc>
          <w:tcPr>
            <w:tcW w:w="623" w:type="dxa"/>
            <w:tcBorders>
              <w:top w:val="single" w:sz="8" w:space="0" w:color="000000"/>
              <w:left w:val="single" w:sz="8" w:space="0" w:color="000000"/>
              <w:bottom w:val="single" w:sz="8" w:space="0" w:color="000000"/>
              <w:right w:val="single" w:sz="8" w:space="0" w:color="000000"/>
            </w:tcBorders>
            <w:shd w:val="clear" w:color="000000" w:fill="FDE9D9"/>
            <w:vAlign w:val="center"/>
            <w:hideMark/>
          </w:tcPr>
          <w:p w:rsidR="00F56BBD" w:rsidRPr="008751C8" w:rsidRDefault="00F56BBD" w:rsidP="00F56BBD">
            <w:pPr>
              <w:spacing w:after="0" w:line="240" w:lineRule="auto"/>
              <w:jc w:val="center"/>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w:t>
            </w:r>
          </w:p>
        </w:tc>
        <w:tc>
          <w:tcPr>
            <w:tcW w:w="2455" w:type="dxa"/>
            <w:tcBorders>
              <w:top w:val="single" w:sz="8" w:space="0" w:color="000000"/>
              <w:left w:val="nil"/>
              <w:bottom w:val="single" w:sz="8" w:space="0" w:color="000000"/>
              <w:right w:val="single" w:sz="8" w:space="0" w:color="000000"/>
            </w:tcBorders>
            <w:shd w:val="clear" w:color="000000" w:fill="FDE9D9"/>
            <w:vAlign w:val="center"/>
            <w:hideMark/>
          </w:tcPr>
          <w:p w:rsidR="00F56BBD" w:rsidRPr="008751C8" w:rsidRDefault="00F56BBD" w:rsidP="00F56BBD">
            <w:pPr>
              <w:spacing w:after="0" w:line="240" w:lineRule="auto"/>
              <w:jc w:val="center"/>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Secteurs</w:t>
            </w:r>
          </w:p>
        </w:tc>
        <w:tc>
          <w:tcPr>
            <w:tcW w:w="3339" w:type="dxa"/>
            <w:tcBorders>
              <w:top w:val="single" w:sz="8" w:space="0" w:color="000000"/>
              <w:left w:val="nil"/>
              <w:bottom w:val="single" w:sz="8" w:space="0" w:color="000000"/>
              <w:right w:val="single" w:sz="8" w:space="0" w:color="000000"/>
            </w:tcBorders>
            <w:shd w:val="clear" w:color="000000" w:fill="FDE9D9"/>
            <w:vAlign w:val="center"/>
            <w:hideMark/>
          </w:tcPr>
          <w:p w:rsidR="00F56BBD" w:rsidRPr="008751C8" w:rsidRDefault="00F56BBD" w:rsidP="00F56BBD">
            <w:pPr>
              <w:spacing w:after="0" w:line="240" w:lineRule="auto"/>
              <w:jc w:val="center"/>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Critères et composantes</w:t>
            </w:r>
          </w:p>
        </w:tc>
        <w:tc>
          <w:tcPr>
            <w:tcW w:w="3708" w:type="dxa"/>
            <w:tcBorders>
              <w:top w:val="single" w:sz="8" w:space="0" w:color="000000"/>
              <w:left w:val="nil"/>
              <w:bottom w:val="single" w:sz="8" w:space="0" w:color="000000"/>
              <w:right w:val="single" w:sz="8" w:space="0" w:color="000000"/>
            </w:tcBorders>
            <w:shd w:val="clear" w:color="000000" w:fill="FDE9D9"/>
            <w:vAlign w:val="center"/>
            <w:hideMark/>
          </w:tcPr>
          <w:p w:rsidR="00F56BBD" w:rsidRPr="008751C8" w:rsidRDefault="00F56BBD" w:rsidP="00F56BBD">
            <w:pPr>
              <w:spacing w:after="0" w:line="240" w:lineRule="auto"/>
              <w:jc w:val="center"/>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Secteurs OCDE</w:t>
            </w:r>
          </w:p>
        </w:tc>
        <w:tc>
          <w:tcPr>
            <w:tcW w:w="2394" w:type="dxa"/>
            <w:tcBorders>
              <w:top w:val="single" w:sz="8" w:space="0" w:color="000000"/>
              <w:left w:val="nil"/>
              <w:bottom w:val="single" w:sz="8" w:space="0" w:color="000000"/>
              <w:right w:val="single" w:sz="8" w:space="0" w:color="000000"/>
            </w:tcBorders>
            <w:shd w:val="clear" w:color="000000" w:fill="FDE9D9"/>
            <w:vAlign w:val="center"/>
            <w:hideMark/>
          </w:tcPr>
          <w:p w:rsidR="00F56BBD" w:rsidRPr="008751C8" w:rsidRDefault="00F56BBD" w:rsidP="00F56BBD">
            <w:pPr>
              <w:spacing w:after="0" w:line="240" w:lineRule="auto"/>
              <w:jc w:val="center"/>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Partenaires concernés</w:t>
            </w:r>
          </w:p>
        </w:tc>
        <w:tc>
          <w:tcPr>
            <w:tcW w:w="1730" w:type="dxa"/>
            <w:tcBorders>
              <w:top w:val="single" w:sz="8" w:space="0" w:color="000000"/>
              <w:left w:val="nil"/>
              <w:bottom w:val="single" w:sz="8" w:space="0" w:color="000000"/>
              <w:right w:val="single" w:sz="8" w:space="0" w:color="000000"/>
            </w:tcBorders>
            <w:shd w:val="clear" w:color="000000" w:fill="FDE9D9"/>
            <w:vAlign w:val="center"/>
            <w:hideMark/>
          </w:tcPr>
          <w:p w:rsidR="00F56BBD" w:rsidRPr="008751C8" w:rsidRDefault="00F56BBD" w:rsidP="00F56BBD">
            <w:pPr>
              <w:spacing w:after="0" w:line="240" w:lineRule="auto"/>
              <w:jc w:val="center"/>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Décaissements en 2015</w:t>
            </w:r>
          </w:p>
        </w:tc>
      </w:tr>
      <w:tr w:rsidR="00F56BBD" w:rsidRPr="008751C8" w:rsidTr="00F56BBD">
        <w:trPr>
          <w:trHeight w:val="509"/>
        </w:trPr>
        <w:tc>
          <w:tcPr>
            <w:tcW w:w="623"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1</w:t>
            </w:r>
          </w:p>
        </w:tc>
        <w:tc>
          <w:tcPr>
            <w:tcW w:w="2455"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Production agro-sylvo-pastorale</w:t>
            </w: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042 : agriculture, sylviculture, pêche et chasse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Agriculture</w:t>
            </w:r>
          </w:p>
        </w:tc>
        <w:tc>
          <w:tcPr>
            <w:tcW w:w="2394"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010 : agriculture</w:t>
            </w:r>
            <w:r w:rsidRPr="008751C8">
              <w:rPr>
                <w:rFonts w:asciiTheme="minorHAnsi" w:eastAsia="Times New Roman" w:hAnsiTheme="minorHAnsi" w:cstheme="minorHAnsi"/>
                <w:color w:val="000000"/>
                <w:sz w:val="20"/>
                <w:szCs w:val="20"/>
                <w:lang w:eastAsia="fr-FR"/>
              </w:rPr>
              <w:t xml:space="preserve"> (agriculture vivrière, agriculture de rente)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agricole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020 : élevage</w:t>
            </w:r>
            <w:r w:rsidRPr="008751C8">
              <w:rPr>
                <w:rFonts w:asciiTheme="minorHAnsi" w:eastAsia="Times New Roman" w:hAnsiTheme="minorHAnsi" w:cstheme="minorHAnsi"/>
                <w:color w:val="000000"/>
                <w:sz w:val="20"/>
                <w:szCs w:val="20"/>
                <w:lang w:eastAsia="fr-FR"/>
              </w:rPr>
              <w:t xml:space="preserve"> (élevage et activités annexes à l'élevage)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Développement agricole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030 : sylviculture - pêche - chasse</w:t>
            </w:r>
            <w:r w:rsidRPr="008751C8">
              <w:rPr>
                <w:rFonts w:asciiTheme="minorHAnsi" w:eastAsia="Times New Roman" w:hAnsiTheme="minorHAnsi" w:cstheme="minorHAnsi"/>
                <w:color w:val="000000"/>
                <w:sz w:val="20"/>
                <w:szCs w:val="20"/>
                <w:lang w:eastAsia="fr-FR"/>
              </w:rPr>
              <w:t xml:space="preserve"> (sylviculture et chasse, pêche)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Ressources en terres cultivables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Ressources en eau à usage agricole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Produits à usage agricole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Production agricole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Production industrielle de récoltes/récoltes destinées à l’exportation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Bétail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Réforme agraire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Développement agricole alternatif</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Vulgarisation agricole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 et formation dans le domaine agricole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Recherche agronomique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Services agricoles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Protection des plantes et des récoltes, lutte antiacridienne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Services financiers agricoles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Coopératives agricoles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Services vétérinaires (bétail)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SYLVICULTURE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la sylviculture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Développement sylvicole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Reboisement (bois de chauffage et charbon de bois)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 et formation en sylviculture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Recherche en sylviculture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Services sylvicoles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PECHE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la pêche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Développement de la pêche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 et formation dans le domaine de la pêche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Recherche dans le domaine de la pêche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Services dans le domaine de la pêche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34"/>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955"/>
        </w:trPr>
        <w:tc>
          <w:tcPr>
            <w:tcW w:w="623"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2</w:t>
            </w:r>
          </w:p>
        </w:tc>
        <w:tc>
          <w:tcPr>
            <w:tcW w:w="245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Transformations industrielles et artisanales</w:t>
            </w: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043 : combustible et énergie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PRODUCTION ET DISTRIBUTION D’ENERGIE</w:t>
            </w:r>
          </w:p>
        </w:tc>
        <w:tc>
          <w:tcPr>
            <w:tcW w:w="2394"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60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044 : industries extractives et manufacturières, construction</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l’énergie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90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NBA 040 : extraction </w:t>
            </w:r>
            <w:r w:rsidRPr="008751C8">
              <w:rPr>
                <w:rFonts w:asciiTheme="minorHAnsi" w:eastAsia="Times New Roman" w:hAnsiTheme="minorHAnsi" w:cstheme="minorHAnsi"/>
                <w:color w:val="000000"/>
                <w:sz w:val="20"/>
                <w:szCs w:val="20"/>
                <w:lang w:eastAsia="fr-FR"/>
              </w:rPr>
              <w:t>(extraction)</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Production d’énergie (sources non renouvelables)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78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050 : industries alimentaires</w:t>
            </w:r>
            <w:r w:rsidRPr="008751C8">
              <w:rPr>
                <w:rFonts w:asciiTheme="minorHAnsi" w:eastAsia="Times New Roman" w:hAnsiTheme="minorHAnsi" w:cstheme="minorHAnsi"/>
                <w:color w:val="000000"/>
                <w:sz w:val="20"/>
                <w:szCs w:val="20"/>
                <w:lang w:eastAsia="fr-FR"/>
              </w:rPr>
              <w:t xml:space="preserve"> (abattage, transformation et conservation des viandes et poissons, fabrication de corps gras alimentaires, travail des grains, fabrication de produits amylacés, fabrication des produits à base de fruits ou de lait, fabrication de boissons et tabacs)</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Transmission et distribution d’électricité</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01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060 : égrenage de coton, fabrication de textiles et articles d'habillement</w:t>
            </w:r>
            <w:r w:rsidRPr="008751C8">
              <w:rPr>
                <w:rFonts w:asciiTheme="minorHAnsi" w:eastAsia="Times New Roman" w:hAnsiTheme="minorHAnsi" w:cstheme="minorHAnsi"/>
                <w:color w:val="000000"/>
                <w:sz w:val="20"/>
                <w:szCs w:val="20"/>
                <w:lang w:eastAsia="fr-FR"/>
              </w:rPr>
              <w:t xml:space="preserve"> (égrenage de coton, fabrication de textiles et articles d'habillement)</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Énergie géothermique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274"/>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070 : raffinage de pétrole, fabrication de produits chimiques, d'articles en caoutchouc</w:t>
            </w:r>
            <w:r w:rsidRPr="008751C8">
              <w:rPr>
                <w:rFonts w:asciiTheme="minorHAnsi" w:eastAsia="Times New Roman" w:hAnsiTheme="minorHAnsi" w:cstheme="minorHAnsi"/>
                <w:color w:val="000000"/>
                <w:sz w:val="20"/>
                <w:szCs w:val="20"/>
                <w:lang w:eastAsia="fr-FR"/>
              </w:rPr>
              <w:t xml:space="preserve"> (raffinage de pétrole, fabrication de produits chimiques, fabrication d'articles en caoutchouc ou en plastique)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Distribution de gaz</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01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080 : fabrication de verre, poterie et matériaux pour construction</w:t>
            </w:r>
            <w:r w:rsidRPr="008751C8">
              <w:rPr>
                <w:rFonts w:asciiTheme="minorHAnsi" w:eastAsia="Times New Roman" w:hAnsiTheme="minorHAnsi" w:cstheme="minorHAnsi"/>
                <w:color w:val="000000"/>
                <w:sz w:val="20"/>
                <w:szCs w:val="20"/>
                <w:lang w:eastAsia="fr-FR"/>
              </w:rPr>
              <w:t xml:space="preserve"> (fabrication de verre, poteries et matériaux pour la construction)</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Centrales alimentées au fuel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01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090 : industries du papier, de l'édition, imprimerie enregistrement</w:t>
            </w:r>
            <w:r w:rsidRPr="008751C8">
              <w:rPr>
                <w:rFonts w:asciiTheme="minorHAnsi" w:eastAsia="Times New Roman" w:hAnsiTheme="minorHAnsi" w:cstheme="minorHAnsi"/>
                <w:color w:val="000000"/>
                <w:sz w:val="20"/>
                <w:szCs w:val="20"/>
                <w:lang w:eastAsia="fr-FR"/>
              </w:rPr>
              <w:t xml:space="preserve"> (industries du papier, de l'édition, imprimerie enregistrement)</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Centrales alimentées au gaz</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78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100 : fabrication d'ouvrages en bois et en métaux</w:t>
            </w:r>
            <w:r w:rsidRPr="008751C8">
              <w:rPr>
                <w:rFonts w:asciiTheme="minorHAnsi" w:eastAsia="Times New Roman" w:hAnsiTheme="minorHAnsi" w:cstheme="minorHAnsi"/>
                <w:color w:val="000000"/>
                <w:sz w:val="20"/>
                <w:szCs w:val="20"/>
                <w:lang w:eastAsia="fr-FR"/>
              </w:rPr>
              <w:t xml:space="preserve"> (sciage de bois, vannerie, métallurgie et fonderie, fabrication de machines et équipements, fabrication de matériels de transport, fabrication de matelas et meubles, production et distribution d'électricité et de gaz)</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Centrales alimentées au charbon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Centrales nucléaires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60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Centrales et barrages hydroélectriques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Énergie géothermique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Énergie solaire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Énergie éolienne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Énergie marémotrice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Biomasse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INDUSTRIES MANUFACTURIERES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l’industrie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Développement industriel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Développement des Petites et moyennes entreprises (PME)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Artisanat</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Agro-industries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Industries forestières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Industrie textile, cuirs et produits similaires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Produits chimiques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Production d’engrais chimiques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Ciment, chaux et plâtre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Fabrication d’énergie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Produits pharmaceutiques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Industrie métallurgique de base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Industries des métaux non ferreux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Construction mécanique et électrique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Matériel de transport</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Recherche et développement technologiques</w:t>
            </w:r>
            <w:r w:rsidRPr="008751C8">
              <w:rPr>
                <w:rFonts w:asciiTheme="minorHAnsi" w:eastAsia="Times New Roman" w:hAnsiTheme="minorHAnsi" w:cstheme="minorHAnsi"/>
                <w:b/>
                <w:bCs/>
                <w:color w:val="000000"/>
                <w:sz w:val="20"/>
                <w:szCs w:val="20"/>
                <w:lang w:eastAsia="fr-FR"/>
              </w:rPr>
              <w:t xml:space="preserve">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INDUSTRIES EXTRACTIVES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l’industrie extractive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Prospection et exploration des minerais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Charbon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Pétrole et gaz</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Métaux ferreux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Métaux non ferreux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Métaux et minerais précieux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Minerais industriels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Engrais minéraux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Ressources des fonds marins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CONSTRUCTION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la construction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50"/>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Secteur privé</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3</w:t>
            </w:r>
          </w:p>
        </w:tc>
        <w:tc>
          <w:tcPr>
            <w:tcW w:w="2455"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Infrastructures de transport, de communication et d'habitat</w:t>
            </w: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CFB 06 : logement et équipements collectifs </w:t>
            </w:r>
            <w:r w:rsidRPr="008751C8">
              <w:rPr>
                <w:rFonts w:asciiTheme="minorHAnsi" w:eastAsia="Times New Roman" w:hAnsiTheme="minorHAnsi" w:cstheme="minorHAnsi"/>
                <w:color w:val="000000"/>
                <w:sz w:val="20"/>
                <w:szCs w:val="20"/>
                <w:lang w:eastAsia="fr-FR"/>
              </w:rPr>
              <w:t>(logement, équipements collectifs, alimentation en eau, éclairage public)</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TRANSPORTS ET ENTREPOSAGE</w:t>
            </w:r>
          </w:p>
        </w:tc>
        <w:tc>
          <w:tcPr>
            <w:tcW w:w="2394"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120 : construction</w:t>
            </w:r>
            <w:r w:rsidRPr="008751C8">
              <w:rPr>
                <w:rFonts w:asciiTheme="minorHAnsi" w:eastAsia="Times New Roman" w:hAnsiTheme="minorHAnsi" w:cstheme="minorHAnsi"/>
                <w:color w:val="000000"/>
                <w:sz w:val="20"/>
                <w:szCs w:val="20"/>
                <w:lang w:eastAsia="fr-FR"/>
              </w:rPr>
              <w:t xml:space="preserve"> (travaux de construction, d'installation et de finition)</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des transports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274"/>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construction d'infrastructures de transport, infrastructures de télécommunication Technologies de l'information et de la communication (TIC), urbanisme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Transport routier</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Transport ferroviaire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Transport par voies d’eau</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Transport aérien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Stockage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Éducation/formation dans les transports et le stockage</w:t>
            </w:r>
            <w:r w:rsidRPr="008751C8">
              <w:rPr>
                <w:rFonts w:asciiTheme="minorHAnsi" w:eastAsia="Times New Roman" w:hAnsiTheme="minorHAnsi" w:cstheme="minorHAnsi"/>
                <w:b/>
                <w:bCs/>
                <w:color w:val="000000"/>
                <w:sz w:val="20"/>
                <w:szCs w:val="20"/>
                <w:lang w:eastAsia="fr-FR"/>
              </w:rPr>
              <w:t xml:space="preserve">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COMMUNICATIONS</w:t>
            </w:r>
            <w:r w:rsidRPr="008751C8">
              <w:rPr>
                <w:rFonts w:asciiTheme="minorHAnsi" w:eastAsia="Times New Roman" w:hAnsiTheme="minorHAnsi" w:cstheme="minorHAnsi"/>
                <w:color w:val="000000"/>
                <w:sz w:val="20"/>
                <w:szCs w:val="20"/>
                <w:lang w:eastAsia="fr-FR"/>
              </w:rPr>
              <w:t xml:space="preserve">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des communications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Télécommunications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Radio, télévision, presse écrite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80"/>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Technologies de l’information et de la communication (TIC)</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4</w:t>
            </w:r>
          </w:p>
        </w:tc>
        <w:tc>
          <w:tcPr>
            <w:tcW w:w="245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Commerce et services marchands</w:t>
            </w: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065 : transports</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BANQUES ET SERVICES FINANCIERS</w:t>
            </w:r>
          </w:p>
        </w:tc>
        <w:tc>
          <w:tcPr>
            <w:tcW w:w="2394"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066 : communications</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des finances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130 : commerce</w:t>
            </w:r>
            <w:r w:rsidRPr="008751C8">
              <w:rPr>
                <w:rFonts w:asciiTheme="minorHAnsi" w:eastAsia="Times New Roman" w:hAnsiTheme="minorHAnsi" w:cstheme="minorHAnsi"/>
                <w:color w:val="000000"/>
                <w:sz w:val="20"/>
                <w:szCs w:val="20"/>
                <w:lang w:eastAsia="fr-FR"/>
              </w:rPr>
              <w:t xml:space="preserve"> (commerce)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Institutions monétaires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NBA 140 : hôtellerie et restauration </w:t>
            </w:r>
            <w:r w:rsidRPr="008751C8">
              <w:rPr>
                <w:rFonts w:asciiTheme="minorHAnsi" w:eastAsia="Times New Roman" w:hAnsiTheme="minorHAnsi" w:cstheme="minorHAnsi"/>
                <w:color w:val="000000"/>
                <w:sz w:val="20"/>
                <w:szCs w:val="20"/>
                <w:lang w:eastAsia="fr-FR"/>
              </w:rPr>
              <w:t>(hôtellerie et restauration)</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Intermédiaires financiers officiels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01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150 : transports, postes et télécommunications</w:t>
            </w:r>
            <w:r w:rsidRPr="008751C8">
              <w:rPr>
                <w:rFonts w:asciiTheme="minorHAnsi" w:eastAsia="Times New Roman" w:hAnsiTheme="minorHAnsi" w:cstheme="minorHAnsi"/>
                <w:color w:val="000000"/>
                <w:sz w:val="20"/>
                <w:szCs w:val="20"/>
                <w:lang w:eastAsia="fr-FR"/>
              </w:rPr>
              <w:t xml:space="preserve"> (transports et auxiliaires de transport, activités des postes et des télécommunications)</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Intermédiaires financiers du secteur informel et semi formel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NBA 160 : activités financières </w:t>
            </w:r>
            <w:r w:rsidRPr="008751C8">
              <w:rPr>
                <w:rFonts w:asciiTheme="minorHAnsi" w:eastAsia="Times New Roman" w:hAnsiTheme="minorHAnsi" w:cstheme="minorHAnsi"/>
                <w:color w:val="000000"/>
                <w:sz w:val="20"/>
                <w:szCs w:val="20"/>
                <w:lang w:eastAsia="fr-FR"/>
              </w:rPr>
              <w:t>(activités d'intermédiation financière, assurances et auxiliaires financiers)</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xml:space="preserve">Éducation/formation bancaire et dans les services financiers  </w:t>
            </w:r>
            <w:r w:rsidRPr="008751C8">
              <w:rPr>
                <w:rFonts w:asciiTheme="minorHAnsi" w:eastAsia="Times New Roman" w:hAnsiTheme="minorHAnsi" w:cstheme="minorHAnsi"/>
                <w:b/>
                <w:bCs/>
                <w:color w:val="000000"/>
                <w:sz w:val="20"/>
                <w:szCs w:val="20"/>
                <w:lang w:eastAsia="fr-FR"/>
              </w:rPr>
              <w:t xml:space="preserve">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274"/>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NBA 170 : autres activités de services marchands </w:t>
            </w:r>
            <w:r w:rsidRPr="008751C8">
              <w:rPr>
                <w:rFonts w:asciiTheme="minorHAnsi" w:eastAsia="Times New Roman" w:hAnsiTheme="minorHAnsi" w:cstheme="minorHAnsi"/>
                <w:color w:val="000000"/>
                <w:sz w:val="20"/>
                <w:szCs w:val="20"/>
                <w:lang w:eastAsia="fr-FR"/>
              </w:rPr>
              <w:t>(activités de services personnels, de réparation et d'entretien, activités immobilières, activités de services aux entreprises)</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ENTREPRISES ET AUTRES SERVICES</w:t>
            </w:r>
            <w:r w:rsidRPr="008751C8">
              <w:rPr>
                <w:rFonts w:asciiTheme="minorHAnsi" w:eastAsia="Times New Roman" w:hAnsiTheme="minorHAnsi" w:cstheme="minorHAnsi"/>
                <w:color w:val="000000"/>
                <w:sz w:val="20"/>
                <w:szCs w:val="20"/>
                <w:lang w:eastAsia="fr-FR"/>
              </w:rPr>
              <w:t xml:space="preserve">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Services et institutions de soutien commerciaux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Privatisation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95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POLITIQUES COMMERCIALES ET REGLEMENTATIONS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60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Facilitation du commerce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90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commerciale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60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Accords commerciaux régionaux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90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Négociations commerciales multilatérales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60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Éducation/formation dans 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34"/>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domaine du commerce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5</w:t>
            </w:r>
          </w:p>
        </w:tc>
        <w:tc>
          <w:tcPr>
            <w:tcW w:w="2455"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Gouvernance économique</w:t>
            </w: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011 : fonctionnement des organes exécutifs et législatifs, affaires financières et fiscales, affaires étrangères</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GOUVERNEMENT ET SOCIETE CIVILE</w:t>
            </w:r>
          </w:p>
        </w:tc>
        <w:tc>
          <w:tcPr>
            <w:tcW w:w="2394"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041 : tutelle de l'économie générale, des échanges et de l'emploi</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Gouvernement et société civile, général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180010 : activités d'administration générale, économique, sociale et de prérogative publique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 planification économique et du développement</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01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NBA 190 : correspondance de la branche </w:t>
            </w:r>
            <w:r w:rsidRPr="008751C8">
              <w:rPr>
                <w:rFonts w:asciiTheme="minorHAnsi" w:eastAsia="Times New Roman" w:hAnsiTheme="minorHAnsi" w:cstheme="minorHAnsi"/>
                <w:color w:val="000000"/>
                <w:sz w:val="20"/>
                <w:szCs w:val="20"/>
                <w:lang w:eastAsia="fr-FR"/>
              </w:rPr>
              <w:t>(correspondance de la branche Services d'intermédiation financière indirectement mesurés (SFIM))</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Gestion financière du secteur public</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291"/>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pilotage et gestion de l'économie, aménagement du territoire, finances publiques, coopération au développement, intégration économique régionale, démographie (population)</w:t>
            </w:r>
          </w:p>
        </w:tc>
        <w:tc>
          <w:tcPr>
            <w:tcW w:w="3708" w:type="dxa"/>
            <w:tcBorders>
              <w:top w:val="nil"/>
              <w:left w:val="nil"/>
              <w:bottom w:val="single" w:sz="8" w:space="0" w:color="000000"/>
              <w:right w:val="single" w:sz="8" w:space="0" w:color="000000"/>
            </w:tcBorders>
            <w:shd w:val="clear" w:color="000000" w:fill="F2F2F2"/>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lastRenderedPageBreak/>
              <w:t>6</w:t>
            </w:r>
          </w:p>
        </w:tc>
        <w:tc>
          <w:tcPr>
            <w:tcW w:w="245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Gouvernances administrative et locale</w:t>
            </w: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011 : fonctionnement des organes exécutifs et législatifs, affaires financières et fiscales, affaires étrangères</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GOUVERNEMENT ET SOCIETE CIVILE</w:t>
            </w:r>
          </w:p>
        </w:tc>
        <w:tc>
          <w:tcPr>
            <w:tcW w:w="2394"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013 : services généraux</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Gouvernement et société civile, général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180010 : activités d'administration générale, économique, sociale et de prérogative publique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Administration gouvernementale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180040 : activités de services collectifs ou personnels</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Renforcement de la société civile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NBA 200 : correction territoriale </w:t>
            </w:r>
            <w:r w:rsidRPr="008751C8">
              <w:rPr>
                <w:rFonts w:asciiTheme="minorHAnsi" w:eastAsia="Times New Roman" w:hAnsiTheme="minorHAnsi" w:cstheme="minorHAnsi"/>
                <w:color w:val="000000"/>
                <w:sz w:val="20"/>
                <w:szCs w:val="20"/>
                <w:lang w:eastAsia="fr-FR"/>
              </w:rPr>
              <w:t>(correction territoriale)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Élections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01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fonction publique, décentralisation, relations avec les institutions, relations avec les organisations de la société civile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Droits de la personne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Liberté de l’information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80"/>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Organisations et institutions pour l’égalité des femmes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530"/>
        </w:trPr>
        <w:tc>
          <w:tcPr>
            <w:tcW w:w="623"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7</w:t>
            </w:r>
          </w:p>
        </w:tc>
        <w:tc>
          <w:tcPr>
            <w:tcW w:w="2455"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Éducation et formation</w:t>
            </w: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CFB 09 : enseignement </w:t>
            </w:r>
            <w:r w:rsidRPr="008751C8">
              <w:rPr>
                <w:rFonts w:asciiTheme="minorHAnsi" w:eastAsia="Times New Roman" w:hAnsiTheme="minorHAnsi" w:cstheme="minorHAnsi"/>
                <w:color w:val="000000"/>
                <w:sz w:val="20"/>
                <w:szCs w:val="20"/>
                <w:lang w:eastAsia="fr-FR"/>
              </w:rPr>
              <w:t>(enseignement préélémentaire et primaire, enseignement secondaire, enseignement post secondaire non supérieur, enseignement supérieur, enseignement non défini par niveau, services annexes à l'enseignement)</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EDUCATION </w:t>
            </w:r>
          </w:p>
        </w:tc>
        <w:tc>
          <w:tcPr>
            <w:tcW w:w="2394"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180020 : éducation</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Éducation, niveau non spécifié</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EFTP</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l’éducation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Équipements scolaires et formation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Formation des enseignants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Recherche en éducation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 Éducation de base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xml:space="preserve"> Enseignement primaire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01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 pour une meilleure qualité de vie pour les jeunes et les adultes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 de la petite enfance</w:t>
            </w:r>
            <w:r w:rsidRPr="008751C8">
              <w:rPr>
                <w:rFonts w:asciiTheme="minorHAnsi" w:eastAsia="Times New Roman" w:hAnsiTheme="minorHAnsi" w:cstheme="minorHAnsi"/>
                <w:b/>
                <w:bCs/>
                <w:color w:val="000000"/>
                <w:sz w:val="20"/>
                <w:szCs w:val="20"/>
                <w:lang w:eastAsia="fr-FR"/>
              </w:rPr>
              <w:t xml:space="preserve">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Éducation secondaire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Enseignement secondaire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Formation professionnelle</w:t>
            </w:r>
            <w:r w:rsidRPr="008751C8">
              <w:rPr>
                <w:rFonts w:asciiTheme="minorHAnsi" w:eastAsia="Times New Roman" w:hAnsiTheme="minorHAnsi" w:cstheme="minorHAnsi"/>
                <w:b/>
                <w:bCs/>
                <w:color w:val="000000"/>
                <w:sz w:val="20"/>
                <w:szCs w:val="20"/>
                <w:lang w:eastAsia="fr-FR"/>
              </w:rPr>
              <w:t xml:space="preserve">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Éducation post-secondaire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Enseignement supérieur</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26"/>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Formation technique supérieure de gestion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019"/>
        </w:trPr>
        <w:tc>
          <w:tcPr>
            <w:tcW w:w="623"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8</w:t>
            </w:r>
          </w:p>
        </w:tc>
        <w:tc>
          <w:tcPr>
            <w:tcW w:w="245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Santé</w:t>
            </w: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CFB 07 : santé </w:t>
            </w:r>
            <w:r w:rsidRPr="008751C8">
              <w:rPr>
                <w:rFonts w:asciiTheme="minorHAnsi" w:eastAsia="Times New Roman" w:hAnsiTheme="minorHAnsi" w:cstheme="minorHAnsi"/>
                <w:color w:val="000000"/>
                <w:sz w:val="20"/>
                <w:szCs w:val="20"/>
                <w:lang w:eastAsia="fr-FR"/>
              </w:rPr>
              <w:t>(produits, appareils et matériels médicaux, services ambulatoires, services hospitaliers, services de santé publique)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SANTE</w:t>
            </w:r>
          </w:p>
        </w:tc>
        <w:tc>
          <w:tcPr>
            <w:tcW w:w="2394"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180030 : santé et action sociale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Santé, général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nutrition</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la santé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 et formation médicales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Recherche médicale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Services médicaux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Santé de base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Soins et services de santé de base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xml:space="preserve">Infrastructure </w:t>
            </w:r>
            <w:r w:rsidRPr="008751C8">
              <w:rPr>
                <w:rFonts w:asciiTheme="minorHAnsi" w:eastAsia="Times New Roman" w:hAnsiTheme="minorHAnsi" w:cstheme="minorHAnsi"/>
                <w:b/>
                <w:bCs/>
                <w:color w:val="000000"/>
                <w:sz w:val="20"/>
                <w:szCs w:val="20"/>
                <w:lang w:eastAsia="fr-FR"/>
              </w:rPr>
              <w:t>E</w:t>
            </w:r>
            <w:r w:rsidRPr="008751C8">
              <w:rPr>
                <w:rFonts w:asciiTheme="minorHAnsi" w:eastAsia="Times New Roman" w:hAnsiTheme="minorHAnsi" w:cstheme="minorHAnsi"/>
                <w:color w:val="000000"/>
                <w:sz w:val="20"/>
                <w:szCs w:val="20"/>
                <w:lang w:eastAsia="fr-FR"/>
              </w:rPr>
              <w:t xml:space="preserve"> pour la santé de base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Nutrition de base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Lutte contre les maladies infectieuses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 sanitaire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Formation de personnel de santé</w:t>
            </w:r>
            <w:r w:rsidRPr="008751C8">
              <w:rPr>
                <w:rFonts w:asciiTheme="minorHAnsi" w:eastAsia="Times New Roman" w:hAnsiTheme="minorHAnsi" w:cstheme="minorHAnsi"/>
                <w:b/>
                <w:bCs/>
                <w:color w:val="000000"/>
                <w:sz w:val="20"/>
                <w:szCs w:val="20"/>
                <w:lang w:eastAsia="fr-FR"/>
              </w:rPr>
              <w:t xml:space="preserve">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POLITIQUE EN MATIERE DE POPULATION/SANTE ET FERTILITE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Politique/programmes en matière de population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Soins en matière de fertilité</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xml:space="preserve">Planification familiale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xml:space="preserve">Lutte contre les MST et VIH/sida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80"/>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Formation de personnel  en matière de population et de santé et fertilité</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9</w:t>
            </w:r>
          </w:p>
        </w:tc>
        <w:tc>
          <w:tcPr>
            <w:tcW w:w="2455"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Défense et sécurité</w:t>
            </w: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02 : défense (défense militaire)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GOUVERNEMENT ET SOCIETE CIVILE</w:t>
            </w:r>
          </w:p>
        </w:tc>
        <w:tc>
          <w:tcPr>
            <w:tcW w:w="2394"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031 : services de police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Prévention et règlement des conflits, paix et sécurité</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032 : services de protection civile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Gestion et réforme des systèmes de sécurité</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01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Dispositifs civils de construction de la paix, et de prévention et de règlement des conflits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Maintien de la paix à l’issue d’un conflit (NU)</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Réintégration et contrôle des armes légères et de petit calibre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Enlèvement des mines terrestres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Enfants soldats (Prévention et démobilisation)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34"/>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274"/>
        </w:trPr>
        <w:tc>
          <w:tcPr>
            <w:tcW w:w="623"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10</w:t>
            </w:r>
          </w:p>
        </w:tc>
        <w:tc>
          <w:tcPr>
            <w:tcW w:w="245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Environnement, eau et assainissement</w:t>
            </w: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05 : protection de l'environnement</w:t>
            </w:r>
            <w:r w:rsidRPr="008751C8">
              <w:rPr>
                <w:rFonts w:asciiTheme="minorHAnsi" w:eastAsia="Times New Roman" w:hAnsiTheme="minorHAnsi" w:cstheme="minorHAnsi"/>
                <w:color w:val="000000"/>
                <w:sz w:val="20"/>
                <w:szCs w:val="20"/>
                <w:lang w:eastAsia="fr-FR"/>
              </w:rPr>
              <w:t xml:space="preserve"> (gestion des déchets, gestion des eaux usées, lutte contre la pollution, préservation de la diversité biologique et protection de la nature)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DESTINATION  PLURI-SECTO-RIELLE OU TRANSVERSALE</w:t>
            </w:r>
          </w:p>
        </w:tc>
        <w:tc>
          <w:tcPr>
            <w:tcW w:w="2394"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110020 : captage, traitement et distribution d'eau</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Protection de l’environnement, général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assainissement, économie verte, modes de production et de consommation durables</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l’environnement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Protection de la biosphère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Diversité biologique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Protection des sites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Prévention et lutte contre les inondations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 et formation environnementales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Recherche environnementale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DISTRIBUTION D’EAU ET ASSAINISSEMENT</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des ressources en eau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Protection des ressources en eau</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Distribution d’eau et assainissement – systèmes à grande échelle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Distribution d’eau potable de base et assainissement de base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Aménagement de bassins fluviaux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Traitement des déchets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80"/>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Éducation/formation dans la distribution d’eau et l’assainissement</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274"/>
        </w:trPr>
        <w:tc>
          <w:tcPr>
            <w:tcW w:w="623"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11</w:t>
            </w:r>
          </w:p>
        </w:tc>
        <w:tc>
          <w:tcPr>
            <w:tcW w:w="2455"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Culture, sports et loisirs</w:t>
            </w: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CFB 08 : loisirs, culture et culte </w:t>
            </w:r>
            <w:r w:rsidRPr="008751C8">
              <w:rPr>
                <w:rFonts w:asciiTheme="minorHAnsi" w:eastAsia="Times New Roman" w:hAnsiTheme="minorHAnsi" w:cstheme="minorHAnsi"/>
                <w:color w:val="000000"/>
                <w:sz w:val="20"/>
                <w:szCs w:val="20"/>
                <w:lang w:eastAsia="fr-FR"/>
              </w:rPr>
              <w:t>(services récréatifs et sportifs, services culturels, services de radiodiffusion, de télévision et d'édition, culte et autres services communautaires)</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INFRASTRUCTURE ET SERVICES SOCIAUX DIVERS</w:t>
            </w:r>
          </w:p>
        </w:tc>
        <w:tc>
          <w:tcPr>
            <w:tcW w:w="2394"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tourisme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Services sociaux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l’emploi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du logement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Logement à coût réduit</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Aide plurisectorielle pour les services sociaux de base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Culture et loisirs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Renforcement des capacités statistiques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Lutte contre le trafic de drogues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Atténuation de l’impact social du VIH/sida</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1227"/>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DU TOURISME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12</w:t>
            </w:r>
          </w:p>
        </w:tc>
        <w:tc>
          <w:tcPr>
            <w:tcW w:w="245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Travail, emploi et protection sociale</w:t>
            </w: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041 : tutelle de l'économie générale, des échanges et de l'emploi</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INFRASTRUCTURE ET SERVICES SOCIAUX DIVERS</w:t>
            </w:r>
          </w:p>
        </w:tc>
        <w:tc>
          <w:tcPr>
            <w:tcW w:w="2394"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xml:space="preserve">CFB 10 : protection sociale </w:t>
            </w:r>
            <w:r w:rsidRPr="008751C8">
              <w:rPr>
                <w:rFonts w:asciiTheme="minorHAnsi" w:eastAsia="Times New Roman" w:hAnsiTheme="minorHAnsi" w:cstheme="minorHAnsi"/>
                <w:color w:val="000000"/>
                <w:sz w:val="20"/>
                <w:szCs w:val="20"/>
                <w:lang w:eastAsia="fr-FR"/>
              </w:rPr>
              <w:t>(maladie et invalidité, vieillesse, famille et enfants, chômage, exclusion sociale)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Services sociaux</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NBA 180030 : santé et action sociale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de l’emploi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travail décent, dialogue social, genre, jeunesse</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Politique du logement et gestion administrative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Logement à coût réduit</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Aide plurisectorielle pour les services sociaux de base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Culture et loisirs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Renforcement des capacités statistiques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Lutte contre le trafic de drogues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26"/>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Atténuation de l’impact social du VIH/sida</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13</w:t>
            </w:r>
          </w:p>
        </w:tc>
        <w:tc>
          <w:tcPr>
            <w:tcW w:w="2455"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Justice et droits humains</w:t>
            </w: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033 : tribunaux</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GOUVERNEMENT ET SOCIETE CIVILE</w:t>
            </w:r>
          </w:p>
        </w:tc>
        <w:tc>
          <w:tcPr>
            <w:tcW w:w="2394"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034 : administration pénitentiaire</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Gouvernement et société civile, général</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765"/>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droits humains, civisme et citoyenneté</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Développement des services légaux et judiciaires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09"/>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Renforcement de la société civile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Élections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Droits de la personne</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nil"/>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Liberté de l’information</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526"/>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 </w:t>
            </w:r>
          </w:p>
        </w:tc>
        <w:tc>
          <w:tcPr>
            <w:tcW w:w="3708" w:type="dxa"/>
            <w:tcBorders>
              <w:top w:val="nil"/>
              <w:left w:val="nil"/>
              <w:bottom w:val="single" w:sz="8" w:space="0" w:color="000000"/>
              <w:right w:val="single" w:sz="8" w:space="0" w:color="000000"/>
            </w:tcBorders>
            <w:shd w:val="clear" w:color="000000" w:fill="F2F2F2"/>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Organisations et institutions</w:t>
            </w: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r w:rsidR="00F56BBD" w:rsidRPr="008751C8" w:rsidTr="00F56BBD">
        <w:trPr>
          <w:trHeight w:val="318"/>
        </w:trPr>
        <w:tc>
          <w:tcPr>
            <w:tcW w:w="623"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jc w:val="center"/>
              <w:rPr>
                <w:rFonts w:asciiTheme="minorHAnsi" w:eastAsia="Times New Roman" w:hAnsiTheme="minorHAnsi" w:cstheme="minorHAnsi"/>
                <w:color w:val="000000"/>
                <w:sz w:val="20"/>
                <w:szCs w:val="20"/>
                <w:lang w:eastAsia="fr-FR"/>
              </w:rPr>
            </w:pPr>
            <w:r w:rsidRPr="008751C8">
              <w:rPr>
                <w:rFonts w:asciiTheme="minorHAnsi" w:eastAsia="Times New Roman" w:hAnsiTheme="minorHAnsi" w:cstheme="minorHAnsi"/>
                <w:color w:val="000000"/>
                <w:sz w:val="20"/>
                <w:szCs w:val="20"/>
                <w:lang w:eastAsia="fr-FR"/>
              </w:rPr>
              <w:t>14</w:t>
            </w:r>
          </w:p>
        </w:tc>
        <w:tc>
          <w:tcPr>
            <w:tcW w:w="245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Recherche et innovation</w:t>
            </w:r>
          </w:p>
        </w:tc>
        <w:tc>
          <w:tcPr>
            <w:tcW w:w="3339" w:type="dxa"/>
            <w:tcBorders>
              <w:top w:val="nil"/>
              <w:left w:val="nil"/>
              <w:bottom w:val="nil"/>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CFB 014 : recherche fondamentale</w:t>
            </w:r>
          </w:p>
        </w:tc>
        <w:tc>
          <w:tcPr>
            <w:tcW w:w="3708"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Secteur transversal qui regroupe la plupart des secteurs de l’OCDE</w:t>
            </w:r>
          </w:p>
        </w:tc>
        <w:tc>
          <w:tcPr>
            <w:tcW w:w="2394"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c>
          <w:tcPr>
            <w:tcW w:w="173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 </w:t>
            </w:r>
          </w:p>
        </w:tc>
      </w:tr>
      <w:tr w:rsidR="00F56BBD" w:rsidRPr="008751C8" w:rsidTr="00F56BBD">
        <w:trPr>
          <w:trHeight w:val="780"/>
        </w:trPr>
        <w:tc>
          <w:tcPr>
            <w:tcW w:w="623"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color w:val="000000"/>
                <w:sz w:val="20"/>
                <w:szCs w:val="20"/>
                <w:lang w:eastAsia="fr-FR"/>
              </w:rPr>
            </w:pPr>
          </w:p>
        </w:tc>
        <w:tc>
          <w:tcPr>
            <w:tcW w:w="2455"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3339" w:type="dxa"/>
            <w:tcBorders>
              <w:top w:val="nil"/>
              <w:left w:val="nil"/>
              <w:bottom w:val="single" w:sz="8" w:space="0" w:color="000000"/>
              <w:right w:val="single" w:sz="8" w:space="0" w:color="000000"/>
            </w:tcBorders>
            <w:shd w:val="clear" w:color="auto" w:fill="auto"/>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r w:rsidRPr="008751C8">
              <w:rPr>
                <w:rFonts w:asciiTheme="minorHAnsi" w:eastAsia="Times New Roman" w:hAnsiTheme="minorHAnsi" w:cstheme="minorHAnsi"/>
                <w:b/>
                <w:bCs/>
                <w:color w:val="000000"/>
                <w:sz w:val="20"/>
                <w:szCs w:val="20"/>
                <w:lang w:eastAsia="fr-FR"/>
              </w:rPr>
              <w:t>Autres domaines concernés : recherche appliquée, recherche-développement, innovation</w:t>
            </w:r>
          </w:p>
        </w:tc>
        <w:tc>
          <w:tcPr>
            <w:tcW w:w="3708"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2394"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c>
          <w:tcPr>
            <w:tcW w:w="1730" w:type="dxa"/>
            <w:vMerge/>
            <w:tcBorders>
              <w:top w:val="nil"/>
              <w:left w:val="single" w:sz="8" w:space="0" w:color="000000"/>
              <w:bottom w:val="single" w:sz="8" w:space="0" w:color="000000"/>
              <w:right w:val="single" w:sz="8" w:space="0" w:color="000000"/>
            </w:tcBorders>
            <w:vAlign w:val="center"/>
            <w:hideMark/>
          </w:tcPr>
          <w:p w:rsidR="00F56BBD" w:rsidRPr="008751C8" w:rsidRDefault="00F56BBD" w:rsidP="00F56BBD">
            <w:pPr>
              <w:spacing w:after="0" w:line="240" w:lineRule="auto"/>
              <w:rPr>
                <w:rFonts w:asciiTheme="minorHAnsi" w:eastAsia="Times New Roman" w:hAnsiTheme="minorHAnsi" w:cstheme="minorHAnsi"/>
                <w:b/>
                <w:bCs/>
                <w:color w:val="000000"/>
                <w:sz w:val="20"/>
                <w:szCs w:val="20"/>
                <w:lang w:eastAsia="fr-FR"/>
              </w:rPr>
            </w:pPr>
          </w:p>
        </w:tc>
      </w:tr>
    </w:tbl>
    <w:p w:rsidR="00291419" w:rsidRPr="00E0190B" w:rsidRDefault="00291419" w:rsidP="00CB5ACB">
      <w:pPr>
        <w:jc w:val="both"/>
        <w:rPr>
          <w:rFonts w:ascii="Arial" w:hAnsi="Arial" w:cs="Arial"/>
          <w:b/>
          <w:color w:val="FF0000"/>
        </w:rPr>
      </w:pPr>
    </w:p>
    <w:sectPr w:rsidR="00291419" w:rsidRPr="00E0190B" w:rsidSect="003566A0">
      <w:pgSz w:w="16838" w:h="11906" w:orient="landscape"/>
      <w:pgMar w:top="992" w:right="992"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344F" w:rsidRDefault="0015344F" w:rsidP="00156DAA">
      <w:pPr>
        <w:spacing w:after="0" w:line="240" w:lineRule="auto"/>
      </w:pPr>
      <w:r>
        <w:separator/>
      </w:r>
    </w:p>
  </w:endnote>
  <w:endnote w:type="continuationSeparator" w:id="0">
    <w:p w:rsidR="0015344F" w:rsidRDefault="0015344F" w:rsidP="0015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iandra GD">
    <w:panose1 w:val="020E0502030308020204"/>
    <w:charset w:val="00"/>
    <w:family w:val="swiss"/>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Bold">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ylfaen">
    <w:panose1 w:val="010A0502050306030303"/>
    <w:charset w:val="00"/>
    <w:family w:val="roman"/>
    <w:pitch w:val="variable"/>
    <w:sig w:usb0="040006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Italic">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00"/>
    <w:family w:val="script"/>
    <w:pitch w:val="variable"/>
    <w:sig w:usb0="00000287" w:usb1="00000000" w:usb2="00000000" w:usb3="00000000" w:csb0="0000009F" w:csb1="00000000"/>
  </w:font>
  <w:font w:name="Univers (PCL6)">
    <w:charset w:val="00"/>
    <w:family w:val="swiss"/>
    <w:pitch w:val="variable"/>
  </w:font>
  <w:font w:name="Univers">
    <w:charset w:val="00"/>
    <w:family w:val="swiss"/>
    <w:pitch w:val="variable"/>
    <w:sig w:usb0="80000287" w:usb1="00000000" w:usb2="00000000" w:usb3="00000000" w:csb0="0000000F" w:csb1="00000000"/>
  </w:font>
  <w:font w:name="Times New Roman Bold">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venir 55 Roman">
    <w:altName w:val="Avenir 55 Roman"/>
    <w:panose1 w:val="00000000000000000000"/>
    <w:charset w:val="00"/>
    <w:family w:val="swiss"/>
    <w:notTrueType/>
    <w:pitch w:val="default"/>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BellGothic BT">
    <w:altName w:val="BellGothic BT"/>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3659047"/>
      <w:docPartObj>
        <w:docPartGallery w:val="Page Numbers (Bottom of Page)"/>
        <w:docPartUnique/>
      </w:docPartObj>
    </w:sdtPr>
    <w:sdtEndPr/>
    <w:sdtContent>
      <w:p w:rsidR="00BA455D" w:rsidRPr="00FF7D97" w:rsidRDefault="00BA455D" w:rsidP="003022DC">
        <w:pPr>
          <w:pStyle w:val="Pieddepage"/>
          <w:jc w:val="right"/>
        </w:pPr>
        <w:r>
          <w:fldChar w:fldCharType="begin"/>
        </w:r>
        <w:r>
          <w:instrText>PAGE   \* MERGEFORMAT</w:instrText>
        </w:r>
        <w:r>
          <w:fldChar w:fldCharType="separate"/>
        </w:r>
        <w:r w:rsidR="005C7A72">
          <w:rPr>
            <w:noProof/>
          </w:rPr>
          <w:t>IV</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55D" w:rsidRPr="00FF7D97" w:rsidRDefault="00BA455D" w:rsidP="009A4DF8">
    <w:r>
      <w:fldChar w:fldCharType="begin"/>
    </w:r>
    <w:r>
      <w:instrText xml:space="preserve"> PAGE   \* MERGEFORMAT </w:instrText>
    </w:r>
    <w:r>
      <w:fldChar w:fldCharType="separate"/>
    </w:r>
    <w:r w:rsidR="005C7A72">
      <w:rPr>
        <w:noProof/>
      </w:rPr>
      <w:t>15</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55D" w:rsidRPr="00A6098D" w:rsidRDefault="00BA455D" w:rsidP="00A6098D"/>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2704199"/>
      <w:docPartObj>
        <w:docPartGallery w:val="Page Numbers (Bottom of Page)"/>
        <w:docPartUnique/>
      </w:docPartObj>
    </w:sdtPr>
    <w:sdtEndPr/>
    <w:sdtContent>
      <w:p w:rsidR="00BA455D" w:rsidRDefault="00BA455D">
        <w:pPr>
          <w:pStyle w:val="Pieddepage"/>
          <w:jc w:val="right"/>
        </w:pPr>
        <w:r>
          <w:fldChar w:fldCharType="begin"/>
        </w:r>
        <w:r>
          <w:instrText>PAGE   \* MERGEFORMAT</w:instrText>
        </w:r>
        <w:r>
          <w:fldChar w:fldCharType="separate"/>
        </w:r>
        <w:r w:rsidR="005C7A72">
          <w:rPr>
            <w:noProof/>
          </w:rPr>
          <w:t>105</w:t>
        </w:r>
        <w:r>
          <w:fldChar w:fldCharType="end"/>
        </w:r>
      </w:p>
    </w:sdtContent>
  </w:sdt>
  <w:p w:rsidR="00BA455D" w:rsidRPr="00A6098D" w:rsidRDefault="00BA455D" w:rsidP="00A6098D"/>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55D" w:rsidRPr="00A6098D" w:rsidRDefault="00BA455D" w:rsidP="00A6098D"/>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55D" w:rsidRDefault="00BA455D" w:rsidP="004C1106">
    <w:pPr>
      <w:pStyle w:val="Pieddepage"/>
      <w:framePr w:wrap="around" w:vAnchor="text" w:hAnchor="margin" w:xAlign="center" w:y="1"/>
      <w:rPr>
        <w:rStyle w:val="Numrodepage"/>
        <w:rFonts w:eastAsia="Calibri"/>
      </w:rPr>
    </w:pPr>
    <w:r>
      <w:rPr>
        <w:rStyle w:val="Numrodepage"/>
        <w:rFonts w:eastAsia="Calibri"/>
      </w:rPr>
      <w:fldChar w:fldCharType="begin"/>
    </w:r>
    <w:r>
      <w:rPr>
        <w:rStyle w:val="Numrodepage"/>
        <w:rFonts w:eastAsia="Calibri"/>
      </w:rPr>
      <w:instrText xml:space="preserve">PAGE  </w:instrText>
    </w:r>
    <w:r>
      <w:rPr>
        <w:rStyle w:val="Numrodepage"/>
        <w:rFonts w:eastAsia="Calibri"/>
      </w:rPr>
      <w:fldChar w:fldCharType="end"/>
    </w:r>
  </w:p>
  <w:p w:rsidR="00BA455D" w:rsidRDefault="00BA455D">
    <w:pPr>
      <w:pStyle w:val="Pieddepage"/>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55D" w:rsidRDefault="00BA455D" w:rsidP="004C1106">
    <w:pPr>
      <w:pStyle w:val="Pieddepage"/>
      <w:framePr w:wrap="around" w:vAnchor="text" w:hAnchor="margin" w:xAlign="center" w:y="1"/>
      <w:rPr>
        <w:rStyle w:val="Numrodepage"/>
        <w:rFonts w:eastAsia="Calibri"/>
      </w:rPr>
    </w:pPr>
    <w:r>
      <w:rPr>
        <w:rStyle w:val="Numrodepage"/>
        <w:rFonts w:eastAsia="Calibri"/>
      </w:rPr>
      <w:fldChar w:fldCharType="begin"/>
    </w:r>
    <w:r>
      <w:rPr>
        <w:rStyle w:val="Numrodepage"/>
        <w:rFonts w:eastAsia="Calibri"/>
      </w:rPr>
      <w:instrText xml:space="preserve">PAGE  </w:instrText>
    </w:r>
    <w:r>
      <w:rPr>
        <w:rStyle w:val="Numrodepage"/>
        <w:rFonts w:eastAsia="Calibri"/>
      </w:rPr>
      <w:fldChar w:fldCharType="separate"/>
    </w:r>
    <w:r w:rsidR="005C7A72">
      <w:rPr>
        <w:rStyle w:val="Numrodepage"/>
        <w:rFonts w:eastAsia="Calibri"/>
        <w:noProof/>
      </w:rPr>
      <w:t>178</w:t>
    </w:r>
    <w:r>
      <w:rPr>
        <w:rStyle w:val="Numrodepage"/>
        <w:rFonts w:eastAsia="Calibri"/>
      </w:rPr>
      <w:fldChar w:fldCharType="end"/>
    </w:r>
  </w:p>
  <w:p w:rsidR="00BA455D" w:rsidRDefault="00BA455D">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344F" w:rsidRDefault="0015344F" w:rsidP="00156DAA">
      <w:pPr>
        <w:spacing w:after="0" w:line="240" w:lineRule="auto"/>
      </w:pPr>
      <w:r>
        <w:separator/>
      </w:r>
    </w:p>
  </w:footnote>
  <w:footnote w:type="continuationSeparator" w:id="0">
    <w:p w:rsidR="0015344F" w:rsidRDefault="0015344F" w:rsidP="00156DAA">
      <w:pPr>
        <w:spacing w:after="0" w:line="240" w:lineRule="auto"/>
      </w:pPr>
      <w:r>
        <w:continuationSeparator/>
      </w:r>
    </w:p>
  </w:footnote>
  <w:footnote w:id="1">
    <w:p w:rsidR="00BA455D" w:rsidRPr="00A41777" w:rsidRDefault="00BA455D" w:rsidP="009A4DF8">
      <w:pPr>
        <w:pStyle w:val="Notedebasdepage"/>
        <w:rPr>
          <w:rFonts w:ascii="Garamond" w:hAnsi="Garamond"/>
          <w:sz w:val="18"/>
          <w:szCs w:val="18"/>
        </w:rPr>
      </w:pPr>
      <w:r w:rsidRPr="000353EA">
        <w:rPr>
          <w:rStyle w:val="Appelnotedebasdep"/>
          <w:rFonts w:ascii="Garamond" w:hAnsi="Garamond"/>
          <w:sz w:val="18"/>
          <w:szCs w:val="18"/>
        </w:rPr>
        <w:footnoteRef/>
      </w:r>
      <w:r w:rsidRPr="000353EA">
        <w:rPr>
          <w:rFonts w:ascii="Garamond" w:hAnsi="Garamond"/>
          <w:sz w:val="18"/>
          <w:szCs w:val="18"/>
        </w:rPr>
        <w:t xml:space="preserve">Intègre aussi bien l’encours de la dette de l’Etat central que celui de ses démembrements. </w:t>
      </w:r>
    </w:p>
  </w:footnote>
  <w:footnote w:id="2">
    <w:p w:rsidR="00BA455D" w:rsidRDefault="00BA455D">
      <w:pPr>
        <w:pStyle w:val="Notedebasdepage"/>
      </w:pPr>
      <w:r>
        <w:rPr>
          <w:rStyle w:val="Appelnotedebasdep"/>
        </w:rPr>
        <w:footnoteRef/>
      </w:r>
      <w:r>
        <w:t xml:space="preserve"> Le nombre de conventions obtenu est 101, car il y a une même convention qui a été stipulée en dons et en prêts</w:t>
      </w:r>
    </w:p>
  </w:footnote>
  <w:footnote w:id="3">
    <w:p w:rsidR="00BA455D" w:rsidRDefault="00BA455D" w:rsidP="00EC1B72">
      <w:pPr>
        <w:pStyle w:val="Notedebasdepage"/>
      </w:pPr>
      <w:r>
        <w:rPr>
          <w:rStyle w:val="Appelnotedebasdep"/>
        </w:rPr>
        <w:footnoteRef/>
      </w:r>
      <w:r>
        <w:t xml:space="preserve"> </w:t>
      </w:r>
      <w:r w:rsidRPr="0015011E">
        <w:rPr>
          <w:i/>
        </w:rPr>
        <w:t>Selon la catégorisation des entreprises au ministère en charge du commerce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55D" w:rsidRPr="009F4A8A" w:rsidRDefault="00BA455D" w:rsidP="00161A3D">
    <w:pPr>
      <w:jc w:val="center"/>
      <w:rPr>
        <w:rFonts w:ascii="Arial" w:hAnsi="Arial" w:cs="Arial"/>
        <w:sz w:val="20"/>
        <w:szCs w:val="20"/>
      </w:rPr>
    </w:pPr>
    <w:r w:rsidRPr="009F4A8A">
      <w:rPr>
        <w:rFonts w:ascii="Arial" w:hAnsi="Arial" w:cs="Arial"/>
        <w:sz w:val="20"/>
        <w:szCs w:val="20"/>
      </w:rPr>
      <w:t>Rapport sur la coopération au développement 2016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55D" w:rsidRPr="00A6098D" w:rsidRDefault="00BA455D" w:rsidP="00A6098D"/>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55D" w:rsidRPr="00A6098D" w:rsidRDefault="00BA455D" w:rsidP="00A6098D"/>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55D" w:rsidRPr="00A6098D" w:rsidRDefault="00BA455D" w:rsidP="00A6098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msoCB7D"/>
      </v:shape>
    </w:pict>
  </w:numPicBullet>
  <w:abstractNum w:abstractNumId="0" w15:restartNumberingAfterBreak="0">
    <w:nsid w:val="FFFFFF7C"/>
    <w:multiLevelType w:val="singleLevel"/>
    <w:tmpl w:val="EB7A3A96"/>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E6829688"/>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6FC453D0"/>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D1478AA"/>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9D704DD0"/>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06C4CC"/>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32AAD86"/>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E6C0F82"/>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461C24"/>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7883868"/>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3780A154"/>
    <w:lvl w:ilvl="0">
      <w:numFmt w:val="bullet"/>
      <w:lvlText w:val="*"/>
      <w:lvlJc w:val="left"/>
      <w:pPr>
        <w:ind w:left="0" w:firstLine="0"/>
      </w:pPr>
    </w:lvl>
  </w:abstractNum>
  <w:abstractNum w:abstractNumId="11" w15:restartNumberingAfterBreak="0">
    <w:nsid w:val="00EF7B0E"/>
    <w:multiLevelType w:val="hybridMultilevel"/>
    <w:tmpl w:val="598262FE"/>
    <w:lvl w:ilvl="0" w:tplc="9028E5EC">
      <w:start w:val="1"/>
      <w:numFmt w:val="decimal"/>
      <w:lvlText w:val="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01BD70DF"/>
    <w:multiLevelType w:val="multilevel"/>
    <w:tmpl w:val="B798B510"/>
    <w:lvl w:ilvl="0">
      <w:numFmt w:val="bullet"/>
      <w:lvlText w:val="-"/>
      <w:lvlJc w:val="left"/>
      <w:rPr>
        <w:rFonts w:ascii="Times New Roman" w:eastAsia="Batang" w:hAnsi="Times New Roman"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1D61DFE"/>
    <w:multiLevelType w:val="hybridMultilevel"/>
    <w:tmpl w:val="C090F4EA"/>
    <w:lvl w:ilvl="0" w:tplc="7AF44074">
      <w:start w:val="1"/>
      <w:numFmt w:val="decimal"/>
      <w:lvlText w:val="2.2.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04A964E7"/>
    <w:multiLevelType w:val="hybridMultilevel"/>
    <w:tmpl w:val="E354A0F4"/>
    <w:lvl w:ilvl="0" w:tplc="689CB410">
      <w:start w:val="2"/>
      <w:numFmt w:val="bullet"/>
      <w:lvlText w:val="-"/>
      <w:lvlJc w:val="left"/>
      <w:pPr>
        <w:ind w:left="928" w:hanging="360"/>
      </w:pPr>
      <w:rPr>
        <w:rFonts w:ascii="Maiandra GD" w:eastAsia="Times New Roman" w:hAnsi="Maiandra GD" w:cs="Times New Roman"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5" w15:restartNumberingAfterBreak="0">
    <w:nsid w:val="04E5767A"/>
    <w:multiLevelType w:val="hybridMultilevel"/>
    <w:tmpl w:val="D4B005C0"/>
    <w:lvl w:ilvl="0" w:tplc="DC66DE50">
      <w:numFmt w:val="bullet"/>
      <w:lvlText w:val="-"/>
      <w:lvlJc w:val="left"/>
      <w:pPr>
        <w:ind w:left="1440" w:hanging="360"/>
      </w:pPr>
      <w:rPr>
        <w:rFonts w:ascii="Times New Roman" w:hAnsi="Times New Roman" w:cs="Times New Roman"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16" w15:restartNumberingAfterBreak="0">
    <w:nsid w:val="05CF1681"/>
    <w:multiLevelType w:val="hybridMultilevel"/>
    <w:tmpl w:val="253CFCAA"/>
    <w:lvl w:ilvl="0" w:tplc="CE1C835E">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068C6484"/>
    <w:multiLevelType w:val="hybridMultilevel"/>
    <w:tmpl w:val="E2B84A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06A92130"/>
    <w:multiLevelType w:val="hybridMultilevel"/>
    <w:tmpl w:val="0A1AE2DC"/>
    <w:lvl w:ilvl="0" w:tplc="0C0C0001">
      <w:start w:val="1"/>
      <w:numFmt w:val="bullet"/>
      <w:lvlText w:val=""/>
      <w:lvlJc w:val="left"/>
      <w:pPr>
        <w:ind w:left="720" w:hanging="360"/>
      </w:pPr>
      <w:rPr>
        <w:rFonts w:ascii="Symbol" w:hAnsi="Symbol" w:hint="default"/>
      </w:rPr>
    </w:lvl>
    <w:lvl w:ilvl="1" w:tplc="CD9ECFDE">
      <w:start w:val="124"/>
      <w:numFmt w:val="bullet"/>
      <w:lvlText w:val="•"/>
      <w:lvlJc w:val="left"/>
      <w:pPr>
        <w:ind w:left="1440" w:hanging="360"/>
      </w:pPr>
      <w:rPr>
        <w:rFonts w:ascii="Times New Roman" w:eastAsia="Times New Roman" w:hAnsi="Times New Roman" w:cs="Times New Roman"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9" w15:restartNumberingAfterBreak="0">
    <w:nsid w:val="06E665BC"/>
    <w:multiLevelType w:val="hybridMultilevel"/>
    <w:tmpl w:val="3A286CFA"/>
    <w:lvl w:ilvl="0" w:tplc="CBD2CFB0">
      <w:start w:val="1"/>
      <w:numFmt w:val="decimal"/>
      <w:lvlText w:val="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07700C79"/>
    <w:multiLevelType w:val="hybridMultilevel"/>
    <w:tmpl w:val="73C25AF4"/>
    <w:lvl w:ilvl="0" w:tplc="E648E9B6">
      <w:numFmt w:val="bullet"/>
      <w:lvlText w:val="-"/>
      <w:lvlJc w:val="left"/>
      <w:pPr>
        <w:ind w:left="720" w:hanging="360"/>
      </w:pPr>
      <w:rPr>
        <w:rFonts w:ascii="Calibri-Bold" w:eastAsia="Calibri" w:hAnsi="Calibri-Bold" w:cs="Calibr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0840386C"/>
    <w:multiLevelType w:val="hybridMultilevel"/>
    <w:tmpl w:val="A2EA6198"/>
    <w:styleLink w:val="AlphaNote2"/>
    <w:lvl w:ilvl="0" w:tplc="C28E4746">
      <w:start w:val="6"/>
      <w:numFmt w:val="bullet"/>
      <w:lvlText w:val="-"/>
      <w:lvlJc w:val="left"/>
      <w:pPr>
        <w:tabs>
          <w:tab w:val="num" w:pos="360"/>
        </w:tabs>
        <w:ind w:left="360" w:hanging="360"/>
      </w:pPr>
      <w:rPr>
        <w:rFonts w:ascii="Times New Roman" w:eastAsia="Times New Roman" w:hAnsi="Times New Roman" w:cs="Times New Roman" w:hint="default"/>
      </w:r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22" w15:restartNumberingAfterBreak="0">
    <w:nsid w:val="09066F3F"/>
    <w:multiLevelType w:val="hybridMultilevel"/>
    <w:tmpl w:val="53D20D80"/>
    <w:lvl w:ilvl="0" w:tplc="689CB410">
      <w:start w:val="2"/>
      <w:numFmt w:val="bullet"/>
      <w:lvlText w:val="-"/>
      <w:lvlJc w:val="left"/>
      <w:pPr>
        <w:ind w:left="720" w:hanging="360"/>
      </w:pPr>
      <w:rPr>
        <w:rFonts w:ascii="Maiandra GD" w:eastAsia="Times New Roman" w:hAnsi="Maiandra GD"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0B0866E5"/>
    <w:multiLevelType w:val="hybridMultilevel"/>
    <w:tmpl w:val="56F0AEB8"/>
    <w:lvl w:ilvl="0" w:tplc="F8964F94">
      <w:numFmt w:val="bullet"/>
      <w:lvlText w:val="-"/>
      <w:lvlJc w:val="left"/>
      <w:pPr>
        <w:ind w:left="720" w:hanging="360"/>
      </w:pPr>
      <w:rPr>
        <w:rFonts w:ascii="Arial" w:eastAsia="Times New Roman" w:hAnsi="Aria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0BD357E5"/>
    <w:multiLevelType w:val="hybridMultilevel"/>
    <w:tmpl w:val="60168E8E"/>
    <w:lvl w:ilvl="0" w:tplc="D178787E">
      <w:start w:val="1"/>
      <w:numFmt w:val="decimal"/>
      <w:lvlText w:val="1.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0BFB6091"/>
    <w:multiLevelType w:val="hybridMultilevel"/>
    <w:tmpl w:val="85D48DAA"/>
    <w:lvl w:ilvl="0" w:tplc="B9CEC4E8">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0C414532"/>
    <w:multiLevelType w:val="hybridMultilevel"/>
    <w:tmpl w:val="849E06C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0C890C55"/>
    <w:multiLevelType w:val="singleLevel"/>
    <w:tmpl w:val="2E2E1410"/>
    <w:lvl w:ilvl="0">
      <w:start w:val="1"/>
      <w:numFmt w:val="bullet"/>
      <w:pStyle w:val="ListBulletBox3"/>
      <w:lvlText w:val="-"/>
      <w:lvlJc w:val="left"/>
      <w:pPr>
        <w:tabs>
          <w:tab w:val="num" w:pos="1474"/>
        </w:tabs>
        <w:ind w:left="1474" w:hanging="340"/>
      </w:pPr>
      <w:rPr>
        <w:rFonts w:ascii="Symbol" w:hAnsi="Symbol" w:hint="default"/>
        <w:b w:val="0"/>
        <w:i w:val="0"/>
        <w:sz w:val="22"/>
      </w:rPr>
    </w:lvl>
  </w:abstractNum>
  <w:abstractNum w:abstractNumId="28" w15:restartNumberingAfterBreak="0">
    <w:nsid w:val="0CBE0FF0"/>
    <w:multiLevelType w:val="singleLevel"/>
    <w:tmpl w:val="30A47C7E"/>
    <w:styleLink w:val="BulletedNote"/>
    <w:lvl w:ilvl="0">
      <w:start w:val="1"/>
      <w:numFmt w:val="bullet"/>
      <w:lvlText w:val="·"/>
      <w:lvlJc w:val="left"/>
      <w:pPr>
        <w:tabs>
          <w:tab w:val="num" w:pos="283"/>
        </w:tabs>
        <w:ind w:left="283" w:hanging="283"/>
      </w:pPr>
      <w:rPr>
        <w:rFonts w:ascii="Times New Roman" w:hAnsi="Times New Roman"/>
        <w:b w:val="0"/>
        <w:i w:val="0"/>
        <w:sz w:val="22"/>
      </w:rPr>
    </w:lvl>
  </w:abstractNum>
  <w:abstractNum w:abstractNumId="29" w15:restartNumberingAfterBreak="0">
    <w:nsid w:val="0CCD524F"/>
    <w:multiLevelType w:val="multilevel"/>
    <w:tmpl w:val="68F4AE8A"/>
    <w:styleLink w:val="Style3"/>
    <w:lvl w:ilvl="0">
      <w:start w:val="4"/>
      <w:numFmt w:val="decimal"/>
      <w:lvlText w:val="IV.2.1.%1."/>
      <w:lvlJc w:val="left"/>
      <w:pPr>
        <w:ind w:left="3229"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0D0350EB"/>
    <w:multiLevelType w:val="hybridMultilevel"/>
    <w:tmpl w:val="B212D55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0DEA6B1D"/>
    <w:multiLevelType w:val="singleLevel"/>
    <w:tmpl w:val="6AAA624C"/>
    <w:styleLink w:val="NumericNote"/>
    <w:lvl w:ilvl="0">
      <w:start w:val="1"/>
      <w:numFmt w:val="decimal"/>
      <w:lvlText w:val="%1."/>
      <w:lvlJc w:val="left"/>
      <w:pPr>
        <w:tabs>
          <w:tab w:val="num" w:pos="408"/>
        </w:tabs>
        <w:ind w:left="408" w:hanging="408"/>
      </w:pPr>
      <w:rPr>
        <w:rFonts w:cs="Times New Roman"/>
      </w:rPr>
    </w:lvl>
  </w:abstractNum>
  <w:abstractNum w:abstractNumId="32" w15:restartNumberingAfterBreak="0">
    <w:nsid w:val="0E4B7BCA"/>
    <w:multiLevelType w:val="hybridMultilevel"/>
    <w:tmpl w:val="8DC0A0AE"/>
    <w:lvl w:ilvl="0" w:tplc="5590C64C">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0FDF7F2E"/>
    <w:multiLevelType w:val="hybridMultilevel"/>
    <w:tmpl w:val="934C40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10216C9C"/>
    <w:multiLevelType w:val="hybridMultilevel"/>
    <w:tmpl w:val="2B4A17C2"/>
    <w:lvl w:ilvl="0" w:tplc="CE1C835E">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10F658F4"/>
    <w:multiLevelType w:val="hybridMultilevel"/>
    <w:tmpl w:val="695A1AE0"/>
    <w:lvl w:ilvl="0" w:tplc="A5789A58">
      <w:start w:val="3"/>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113B3CEB"/>
    <w:multiLevelType w:val="hybridMultilevel"/>
    <w:tmpl w:val="6382F486"/>
    <w:lvl w:ilvl="0" w:tplc="7108E35A">
      <w:start w:val="1"/>
      <w:numFmt w:val="bullet"/>
      <w:lvlText w:val="-"/>
      <w:lvlJc w:val="left"/>
      <w:pPr>
        <w:tabs>
          <w:tab w:val="num" w:pos="720"/>
        </w:tabs>
        <w:ind w:left="720" w:hanging="360"/>
      </w:pPr>
      <w:rPr>
        <w:rFonts w:ascii="Calibri" w:hAnsi="Calibri" w:hint="default"/>
      </w:rPr>
    </w:lvl>
    <w:lvl w:ilvl="1" w:tplc="B870402A" w:tentative="1">
      <w:start w:val="1"/>
      <w:numFmt w:val="bullet"/>
      <w:lvlText w:val="-"/>
      <w:lvlJc w:val="left"/>
      <w:pPr>
        <w:tabs>
          <w:tab w:val="num" w:pos="1440"/>
        </w:tabs>
        <w:ind w:left="1440" w:hanging="360"/>
      </w:pPr>
      <w:rPr>
        <w:rFonts w:ascii="Calibri" w:hAnsi="Calibri" w:hint="default"/>
      </w:rPr>
    </w:lvl>
    <w:lvl w:ilvl="2" w:tplc="F2DEECDC" w:tentative="1">
      <w:start w:val="1"/>
      <w:numFmt w:val="bullet"/>
      <w:lvlText w:val="-"/>
      <w:lvlJc w:val="left"/>
      <w:pPr>
        <w:tabs>
          <w:tab w:val="num" w:pos="2160"/>
        </w:tabs>
        <w:ind w:left="2160" w:hanging="360"/>
      </w:pPr>
      <w:rPr>
        <w:rFonts w:ascii="Calibri" w:hAnsi="Calibri" w:hint="default"/>
      </w:rPr>
    </w:lvl>
    <w:lvl w:ilvl="3" w:tplc="3A16CF4A" w:tentative="1">
      <w:start w:val="1"/>
      <w:numFmt w:val="bullet"/>
      <w:lvlText w:val="-"/>
      <w:lvlJc w:val="left"/>
      <w:pPr>
        <w:tabs>
          <w:tab w:val="num" w:pos="2880"/>
        </w:tabs>
        <w:ind w:left="2880" w:hanging="360"/>
      </w:pPr>
      <w:rPr>
        <w:rFonts w:ascii="Calibri" w:hAnsi="Calibri" w:hint="default"/>
      </w:rPr>
    </w:lvl>
    <w:lvl w:ilvl="4" w:tplc="CF1CF894" w:tentative="1">
      <w:start w:val="1"/>
      <w:numFmt w:val="bullet"/>
      <w:lvlText w:val="-"/>
      <w:lvlJc w:val="left"/>
      <w:pPr>
        <w:tabs>
          <w:tab w:val="num" w:pos="3600"/>
        </w:tabs>
        <w:ind w:left="3600" w:hanging="360"/>
      </w:pPr>
      <w:rPr>
        <w:rFonts w:ascii="Calibri" w:hAnsi="Calibri" w:hint="default"/>
      </w:rPr>
    </w:lvl>
    <w:lvl w:ilvl="5" w:tplc="EF925938" w:tentative="1">
      <w:start w:val="1"/>
      <w:numFmt w:val="bullet"/>
      <w:lvlText w:val="-"/>
      <w:lvlJc w:val="left"/>
      <w:pPr>
        <w:tabs>
          <w:tab w:val="num" w:pos="4320"/>
        </w:tabs>
        <w:ind w:left="4320" w:hanging="360"/>
      </w:pPr>
      <w:rPr>
        <w:rFonts w:ascii="Calibri" w:hAnsi="Calibri" w:hint="default"/>
      </w:rPr>
    </w:lvl>
    <w:lvl w:ilvl="6" w:tplc="28E8B1E0" w:tentative="1">
      <w:start w:val="1"/>
      <w:numFmt w:val="bullet"/>
      <w:lvlText w:val="-"/>
      <w:lvlJc w:val="left"/>
      <w:pPr>
        <w:tabs>
          <w:tab w:val="num" w:pos="5040"/>
        </w:tabs>
        <w:ind w:left="5040" w:hanging="360"/>
      </w:pPr>
      <w:rPr>
        <w:rFonts w:ascii="Calibri" w:hAnsi="Calibri" w:hint="default"/>
      </w:rPr>
    </w:lvl>
    <w:lvl w:ilvl="7" w:tplc="559A4D5C" w:tentative="1">
      <w:start w:val="1"/>
      <w:numFmt w:val="bullet"/>
      <w:lvlText w:val="-"/>
      <w:lvlJc w:val="left"/>
      <w:pPr>
        <w:tabs>
          <w:tab w:val="num" w:pos="5760"/>
        </w:tabs>
        <w:ind w:left="5760" w:hanging="360"/>
      </w:pPr>
      <w:rPr>
        <w:rFonts w:ascii="Calibri" w:hAnsi="Calibri" w:hint="default"/>
      </w:rPr>
    </w:lvl>
    <w:lvl w:ilvl="8" w:tplc="2DC4FF14" w:tentative="1">
      <w:start w:val="1"/>
      <w:numFmt w:val="bullet"/>
      <w:lvlText w:val="-"/>
      <w:lvlJc w:val="left"/>
      <w:pPr>
        <w:tabs>
          <w:tab w:val="num" w:pos="6480"/>
        </w:tabs>
        <w:ind w:left="6480" w:hanging="360"/>
      </w:pPr>
      <w:rPr>
        <w:rFonts w:ascii="Calibri" w:hAnsi="Calibri" w:hint="default"/>
      </w:rPr>
    </w:lvl>
  </w:abstractNum>
  <w:abstractNum w:abstractNumId="37" w15:restartNumberingAfterBreak="0">
    <w:nsid w:val="12B56866"/>
    <w:multiLevelType w:val="hybridMultilevel"/>
    <w:tmpl w:val="8B7ED1A4"/>
    <w:lvl w:ilvl="0" w:tplc="D6064014">
      <w:start w:val="2"/>
      <w:numFmt w:val="bullet"/>
      <w:lvlText w:val="-"/>
      <w:lvlJc w:val="left"/>
      <w:pPr>
        <w:ind w:left="360" w:hanging="360"/>
      </w:pPr>
      <w:rPr>
        <w:rFonts w:ascii="Century Gothic" w:eastAsia="Times New Roman" w:hAnsi="Century Gothic"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15:restartNumberingAfterBreak="0">
    <w:nsid w:val="12D63E29"/>
    <w:multiLevelType w:val="hybridMultilevel"/>
    <w:tmpl w:val="CF3CECD0"/>
    <w:lvl w:ilvl="0" w:tplc="AF665158">
      <w:start w:val="1"/>
      <w:numFmt w:val="bullet"/>
      <w:lvlText w:val=""/>
      <w:lvlJc w:val="left"/>
      <w:pPr>
        <w:ind w:left="720" w:hanging="360"/>
      </w:pPr>
      <w:rPr>
        <w:rFonts w:ascii="Wingdings" w:hAnsi="Wingdings" w:hint="default"/>
        <w:b w:val="0"/>
        <w:i/>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12FE4AF5"/>
    <w:multiLevelType w:val="singleLevel"/>
    <w:tmpl w:val="B882C7F8"/>
    <w:styleLink w:val="NumberedNote"/>
    <w:lvl w:ilvl="0">
      <w:start w:val="1"/>
      <w:numFmt w:val="decimal"/>
      <w:lvlText w:val="%1."/>
      <w:lvlJc w:val="left"/>
      <w:pPr>
        <w:tabs>
          <w:tab w:val="num" w:pos="171"/>
        </w:tabs>
        <w:ind w:left="171" w:hanging="171"/>
      </w:pPr>
      <w:rPr>
        <w:rFonts w:cs="Times New Roman"/>
      </w:rPr>
    </w:lvl>
  </w:abstractNum>
  <w:abstractNum w:abstractNumId="40" w15:restartNumberingAfterBreak="0">
    <w:nsid w:val="143E380D"/>
    <w:multiLevelType w:val="hybridMultilevel"/>
    <w:tmpl w:val="0C2656C6"/>
    <w:styleLink w:val="NumericNote2"/>
    <w:lvl w:ilvl="0" w:tplc="FFFFFFFF">
      <w:numFmt w:val="bullet"/>
      <w:lvlText w:val="-"/>
      <w:lvlJc w:val="left"/>
      <w:pPr>
        <w:tabs>
          <w:tab w:val="num" w:pos="720"/>
        </w:tabs>
        <w:ind w:left="720" w:hanging="360"/>
      </w:pPr>
      <w:rPr>
        <w:rFonts w:ascii="Times New Roman" w:eastAsia="Times New Roman" w:hAnsi="Times New Roman" w:hint="default"/>
      </w:rPr>
    </w:lvl>
    <w:lvl w:ilvl="1" w:tplc="BC685ACC">
      <w:start w:val="1"/>
      <w:numFmt w:val="bullet"/>
      <w:lvlText w:val=""/>
      <w:lvlJc w:val="left"/>
      <w:pPr>
        <w:tabs>
          <w:tab w:val="num" w:pos="1440"/>
        </w:tabs>
        <w:ind w:left="1440" w:hanging="360"/>
      </w:pPr>
      <w:rPr>
        <w:rFonts w:ascii="Wingdings" w:hAnsi="Wingdings" w:hint="default"/>
      </w:rPr>
    </w:lvl>
    <w:lvl w:ilvl="2" w:tplc="D2ACC12A">
      <w:start w:val="1769"/>
      <w:numFmt w:val="bullet"/>
      <w:lvlText w:val=""/>
      <w:lvlJc w:val="left"/>
      <w:pPr>
        <w:tabs>
          <w:tab w:val="num" w:pos="2160"/>
        </w:tabs>
        <w:ind w:left="2160" w:hanging="360"/>
      </w:pPr>
      <w:rPr>
        <w:rFonts w:ascii="Wingdings" w:hAnsi="Wingdings" w:hint="default"/>
      </w:rPr>
    </w:lvl>
    <w:lvl w:ilvl="3" w:tplc="1DBC2564" w:tentative="1">
      <w:start w:val="1"/>
      <w:numFmt w:val="bullet"/>
      <w:lvlText w:val=""/>
      <w:lvlJc w:val="left"/>
      <w:pPr>
        <w:tabs>
          <w:tab w:val="num" w:pos="2880"/>
        </w:tabs>
        <w:ind w:left="2880" w:hanging="360"/>
      </w:pPr>
      <w:rPr>
        <w:rFonts w:ascii="Wingdings" w:hAnsi="Wingdings" w:hint="default"/>
      </w:rPr>
    </w:lvl>
    <w:lvl w:ilvl="4" w:tplc="D7A43166" w:tentative="1">
      <w:start w:val="1"/>
      <w:numFmt w:val="bullet"/>
      <w:lvlText w:val=""/>
      <w:lvlJc w:val="left"/>
      <w:pPr>
        <w:tabs>
          <w:tab w:val="num" w:pos="3600"/>
        </w:tabs>
        <w:ind w:left="3600" w:hanging="360"/>
      </w:pPr>
      <w:rPr>
        <w:rFonts w:ascii="Wingdings" w:hAnsi="Wingdings" w:hint="default"/>
      </w:rPr>
    </w:lvl>
    <w:lvl w:ilvl="5" w:tplc="8A50BA16" w:tentative="1">
      <w:start w:val="1"/>
      <w:numFmt w:val="bullet"/>
      <w:lvlText w:val=""/>
      <w:lvlJc w:val="left"/>
      <w:pPr>
        <w:tabs>
          <w:tab w:val="num" w:pos="4320"/>
        </w:tabs>
        <w:ind w:left="4320" w:hanging="360"/>
      </w:pPr>
      <w:rPr>
        <w:rFonts w:ascii="Wingdings" w:hAnsi="Wingdings" w:hint="default"/>
      </w:rPr>
    </w:lvl>
    <w:lvl w:ilvl="6" w:tplc="534AB9B0" w:tentative="1">
      <w:start w:val="1"/>
      <w:numFmt w:val="bullet"/>
      <w:lvlText w:val=""/>
      <w:lvlJc w:val="left"/>
      <w:pPr>
        <w:tabs>
          <w:tab w:val="num" w:pos="5040"/>
        </w:tabs>
        <w:ind w:left="5040" w:hanging="360"/>
      </w:pPr>
      <w:rPr>
        <w:rFonts w:ascii="Wingdings" w:hAnsi="Wingdings" w:hint="default"/>
      </w:rPr>
    </w:lvl>
    <w:lvl w:ilvl="7" w:tplc="4EE2C59E" w:tentative="1">
      <w:start w:val="1"/>
      <w:numFmt w:val="bullet"/>
      <w:lvlText w:val=""/>
      <w:lvlJc w:val="left"/>
      <w:pPr>
        <w:tabs>
          <w:tab w:val="num" w:pos="5760"/>
        </w:tabs>
        <w:ind w:left="5760" w:hanging="360"/>
      </w:pPr>
      <w:rPr>
        <w:rFonts w:ascii="Wingdings" w:hAnsi="Wingdings" w:hint="default"/>
      </w:rPr>
    </w:lvl>
    <w:lvl w:ilvl="8" w:tplc="F3CC8282"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5B4485F"/>
    <w:multiLevelType w:val="hybridMultilevel"/>
    <w:tmpl w:val="5A48E34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16F31CCD"/>
    <w:multiLevelType w:val="hybridMultilevel"/>
    <w:tmpl w:val="2D98679A"/>
    <w:lvl w:ilvl="0" w:tplc="A5789A58">
      <w:start w:val="3"/>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18A81A99"/>
    <w:multiLevelType w:val="hybridMultilevel"/>
    <w:tmpl w:val="4E50C6CC"/>
    <w:lvl w:ilvl="0" w:tplc="ACF81A50">
      <w:start w:val="1"/>
      <w:numFmt w:val="bullet"/>
      <w:lvlText w:val="-"/>
      <w:lvlJc w:val="left"/>
      <w:pPr>
        <w:tabs>
          <w:tab w:val="num" w:pos="1065"/>
        </w:tabs>
        <w:ind w:left="1065" w:hanging="360"/>
      </w:pPr>
      <w:rPr>
        <w:rFonts w:ascii="Sylfaen" w:hAnsi="Sylfaen" w:hint="default"/>
      </w:rPr>
    </w:lvl>
    <w:lvl w:ilvl="1" w:tplc="040C0001">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1960379F"/>
    <w:multiLevelType w:val="hybridMultilevel"/>
    <w:tmpl w:val="04269712"/>
    <w:lvl w:ilvl="0" w:tplc="ACF81A50">
      <w:start w:val="1"/>
      <w:numFmt w:val="bullet"/>
      <w:lvlText w:val="-"/>
      <w:lvlJc w:val="left"/>
      <w:pPr>
        <w:ind w:left="720" w:hanging="360"/>
      </w:pPr>
      <w:rPr>
        <w:rFonts w:ascii="Sylfaen" w:hAnsi="Sylfae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19807C07"/>
    <w:multiLevelType w:val="hybridMultilevel"/>
    <w:tmpl w:val="EDF8F6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1B472582"/>
    <w:multiLevelType w:val="hybridMultilevel"/>
    <w:tmpl w:val="414C67F0"/>
    <w:lvl w:ilvl="0" w:tplc="E5EAF5E0">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1C146F34"/>
    <w:multiLevelType w:val="hybridMultilevel"/>
    <w:tmpl w:val="FF980E2C"/>
    <w:lvl w:ilvl="0" w:tplc="994EAFAE">
      <w:start w:val="1"/>
      <w:numFmt w:val="decimal"/>
      <w:lvlText w:val="1.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1D1867C0"/>
    <w:multiLevelType w:val="hybridMultilevel"/>
    <w:tmpl w:val="F1107D3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1F250F91"/>
    <w:multiLevelType w:val="hybridMultilevel"/>
    <w:tmpl w:val="B04847AC"/>
    <w:lvl w:ilvl="0" w:tplc="019642B6">
      <w:numFmt w:val="bullet"/>
      <w:lvlText w:val="-"/>
      <w:lvlJc w:val="left"/>
      <w:pPr>
        <w:ind w:left="720" w:hanging="360"/>
      </w:pPr>
      <w:rPr>
        <w:rFonts w:ascii="Bookman Old Style" w:eastAsia="Calibri" w:hAnsi="Bookman Old Styl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1F6E03F2"/>
    <w:multiLevelType w:val="hybridMultilevel"/>
    <w:tmpl w:val="EEE09056"/>
    <w:lvl w:ilvl="0" w:tplc="544AF12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1F872CF4"/>
    <w:multiLevelType w:val="hybridMultilevel"/>
    <w:tmpl w:val="7682CA96"/>
    <w:lvl w:ilvl="0" w:tplc="8B549CB4">
      <w:start w:val="1"/>
      <w:numFmt w:val="decimal"/>
      <w:lvlText w:val="1.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2193314E"/>
    <w:multiLevelType w:val="hybridMultilevel"/>
    <w:tmpl w:val="54AEF42A"/>
    <w:lvl w:ilvl="0" w:tplc="F8964F94">
      <w:numFmt w:val="bullet"/>
      <w:lvlText w:val="-"/>
      <w:lvlJc w:val="left"/>
      <w:pPr>
        <w:ind w:left="720" w:hanging="360"/>
      </w:pPr>
      <w:rPr>
        <w:rFonts w:ascii="Arial" w:eastAsia="Times New Roman" w:hAnsi="Arial" w:hint="default"/>
      </w:rPr>
    </w:lvl>
    <w:lvl w:ilvl="1" w:tplc="040C0003">
      <w:start w:val="1"/>
      <w:numFmt w:val="decimal"/>
      <w:lvlText w:val="%2."/>
      <w:lvlJc w:val="left"/>
      <w:pPr>
        <w:tabs>
          <w:tab w:val="num" w:pos="1440"/>
        </w:tabs>
        <w:ind w:left="1440" w:hanging="360"/>
      </w:pPr>
      <w:rPr>
        <w:rFonts w:cs="Times New Roman"/>
      </w:rPr>
    </w:lvl>
    <w:lvl w:ilvl="2" w:tplc="040C0005">
      <w:start w:val="1"/>
      <w:numFmt w:val="decimal"/>
      <w:lvlText w:val="%3."/>
      <w:lvlJc w:val="left"/>
      <w:pPr>
        <w:tabs>
          <w:tab w:val="num" w:pos="2160"/>
        </w:tabs>
        <w:ind w:left="2160" w:hanging="360"/>
      </w:pPr>
      <w:rPr>
        <w:rFonts w:cs="Times New Roman"/>
      </w:rPr>
    </w:lvl>
    <w:lvl w:ilvl="3" w:tplc="040C0001">
      <w:start w:val="1"/>
      <w:numFmt w:val="decimal"/>
      <w:lvlText w:val="%4."/>
      <w:lvlJc w:val="left"/>
      <w:pPr>
        <w:tabs>
          <w:tab w:val="num" w:pos="2880"/>
        </w:tabs>
        <w:ind w:left="2880" w:hanging="360"/>
      </w:pPr>
      <w:rPr>
        <w:rFonts w:cs="Times New Roman"/>
      </w:rPr>
    </w:lvl>
    <w:lvl w:ilvl="4" w:tplc="040C0003">
      <w:start w:val="1"/>
      <w:numFmt w:val="decimal"/>
      <w:lvlText w:val="%5."/>
      <w:lvlJc w:val="left"/>
      <w:pPr>
        <w:tabs>
          <w:tab w:val="num" w:pos="3600"/>
        </w:tabs>
        <w:ind w:left="3600" w:hanging="360"/>
      </w:pPr>
      <w:rPr>
        <w:rFonts w:cs="Times New Roman"/>
      </w:rPr>
    </w:lvl>
    <w:lvl w:ilvl="5" w:tplc="040C0005">
      <w:start w:val="1"/>
      <w:numFmt w:val="decimal"/>
      <w:lvlText w:val="%6."/>
      <w:lvlJc w:val="left"/>
      <w:pPr>
        <w:tabs>
          <w:tab w:val="num" w:pos="4320"/>
        </w:tabs>
        <w:ind w:left="4320" w:hanging="360"/>
      </w:pPr>
      <w:rPr>
        <w:rFonts w:cs="Times New Roman"/>
      </w:rPr>
    </w:lvl>
    <w:lvl w:ilvl="6" w:tplc="040C0001">
      <w:start w:val="1"/>
      <w:numFmt w:val="decimal"/>
      <w:lvlText w:val="%7."/>
      <w:lvlJc w:val="left"/>
      <w:pPr>
        <w:tabs>
          <w:tab w:val="num" w:pos="5040"/>
        </w:tabs>
        <w:ind w:left="5040" w:hanging="360"/>
      </w:pPr>
      <w:rPr>
        <w:rFonts w:cs="Times New Roman"/>
      </w:rPr>
    </w:lvl>
    <w:lvl w:ilvl="7" w:tplc="040C0003">
      <w:start w:val="1"/>
      <w:numFmt w:val="decimal"/>
      <w:lvlText w:val="%8."/>
      <w:lvlJc w:val="left"/>
      <w:pPr>
        <w:tabs>
          <w:tab w:val="num" w:pos="5760"/>
        </w:tabs>
        <w:ind w:left="5760" w:hanging="360"/>
      </w:pPr>
      <w:rPr>
        <w:rFonts w:cs="Times New Roman"/>
      </w:rPr>
    </w:lvl>
    <w:lvl w:ilvl="8" w:tplc="040C0005">
      <w:start w:val="1"/>
      <w:numFmt w:val="decimal"/>
      <w:lvlText w:val="%9."/>
      <w:lvlJc w:val="left"/>
      <w:pPr>
        <w:tabs>
          <w:tab w:val="num" w:pos="6480"/>
        </w:tabs>
        <w:ind w:left="6480" w:hanging="360"/>
      </w:pPr>
      <w:rPr>
        <w:rFonts w:cs="Times New Roman"/>
      </w:rPr>
    </w:lvl>
  </w:abstractNum>
  <w:abstractNum w:abstractNumId="53" w15:restartNumberingAfterBreak="0">
    <w:nsid w:val="2280353D"/>
    <w:multiLevelType w:val="hybridMultilevel"/>
    <w:tmpl w:val="4FF627A6"/>
    <w:lvl w:ilvl="0" w:tplc="53FAF01E">
      <w:start w:val="1"/>
      <w:numFmt w:val="decimal"/>
      <w:lvlText w:val="3.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15:restartNumberingAfterBreak="0">
    <w:nsid w:val="230939F9"/>
    <w:multiLevelType w:val="hybridMultilevel"/>
    <w:tmpl w:val="35D0F98C"/>
    <w:lvl w:ilvl="0" w:tplc="F34AF9BA">
      <w:numFmt w:val="bullet"/>
      <w:lvlText w:val="-"/>
      <w:lvlJc w:val="left"/>
      <w:pPr>
        <w:ind w:left="720" w:hanging="360"/>
      </w:pPr>
      <w:rPr>
        <w:rFonts w:ascii="Maiandra GD" w:eastAsiaTheme="minorEastAsia" w:hAnsi="Maiandra GD"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240754F6"/>
    <w:multiLevelType w:val="hybridMultilevel"/>
    <w:tmpl w:val="BEEE231E"/>
    <w:lvl w:ilvl="0" w:tplc="8AF42C32">
      <w:start w:val="1"/>
      <w:numFmt w:val="bullet"/>
      <w:lvlText w:val="-"/>
      <w:lvlJc w:val="left"/>
      <w:pPr>
        <w:ind w:left="720" w:hanging="360"/>
      </w:pPr>
      <w:rPr>
        <w:rFonts w:ascii="Sylfaen" w:eastAsia="Calibri" w:hAnsi="Sylfae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246D2B5A"/>
    <w:multiLevelType w:val="hybridMultilevel"/>
    <w:tmpl w:val="B270EDD8"/>
    <w:lvl w:ilvl="0" w:tplc="539CE52C">
      <w:start w:val="1"/>
      <w:numFmt w:val="decimal"/>
      <w:lvlText w:val="1.3.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7" w15:restartNumberingAfterBreak="0">
    <w:nsid w:val="246E3A9C"/>
    <w:multiLevelType w:val="hybridMultilevel"/>
    <w:tmpl w:val="7A1C00A2"/>
    <w:lvl w:ilvl="0" w:tplc="86B0B482">
      <w:start w:val="1"/>
      <w:numFmt w:val="decimal"/>
      <w:lvlText w:val="%1."/>
      <w:lvlJc w:val="left"/>
      <w:pPr>
        <w:ind w:left="720" w:hanging="360"/>
      </w:pPr>
      <w:rPr>
        <w:rFonts w:ascii="Arial Narrow" w:hAnsi="Arial Narrow" w:hint="default"/>
        <w:b w:val="0"/>
        <w:sz w:val="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247E3DBB"/>
    <w:multiLevelType w:val="hybridMultilevel"/>
    <w:tmpl w:val="7C7ADA3C"/>
    <w:lvl w:ilvl="0" w:tplc="A5789A58">
      <w:start w:val="3"/>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15:restartNumberingAfterBreak="0">
    <w:nsid w:val="252A01EB"/>
    <w:multiLevelType w:val="hybridMultilevel"/>
    <w:tmpl w:val="95905EBC"/>
    <w:lvl w:ilvl="0" w:tplc="A5789A58">
      <w:start w:val="3"/>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15:restartNumberingAfterBreak="0">
    <w:nsid w:val="258E0150"/>
    <w:multiLevelType w:val="hybridMultilevel"/>
    <w:tmpl w:val="0EF05474"/>
    <w:lvl w:ilvl="0" w:tplc="361AD8FE">
      <w:start w:val="1"/>
      <w:numFmt w:val="decimal"/>
      <w:lvlText w:val="1.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1" w15:restartNumberingAfterBreak="0">
    <w:nsid w:val="265E2000"/>
    <w:multiLevelType w:val="hybridMultilevel"/>
    <w:tmpl w:val="725CD0E2"/>
    <w:lvl w:ilvl="0" w:tplc="689CB410">
      <w:start w:val="2"/>
      <w:numFmt w:val="bullet"/>
      <w:lvlText w:val="-"/>
      <w:lvlJc w:val="left"/>
      <w:pPr>
        <w:ind w:left="720" w:hanging="360"/>
      </w:pPr>
      <w:rPr>
        <w:rFonts w:ascii="Maiandra GD" w:eastAsia="Times New Roman" w:hAnsi="Maiandra GD"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15:restartNumberingAfterBreak="0">
    <w:nsid w:val="273975FA"/>
    <w:multiLevelType w:val="hybridMultilevel"/>
    <w:tmpl w:val="FF923FC4"/>
    <w:lvl w:ilvl="0" w:tplc="3D7C34EA">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15:restartNumberingAfterBreak="0">
    <w:nsid w:val="27540DA3"/>
    <w:multiLevelType w:val="hybridMultilevel"/>
    <w:tmpl w:val="C6AEA0EA"/>
    <w:lvl w:ilvl="0" w:tplc="EDB4D76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15:restartNumberingAfterBreak="0">
    <w:nsid w:val="27F35E23"/>
    <w:multiLevelType w:val="hybridMultilevel"/>
    <w:tmpl w:val="67160CA4"/>
    <w:lvl w:ilvl="0" w:tplc="C8CE3302">
      <w:start w:val="1"/>
      <w:numFmt w:val="decimal"/>
      <w:lvlText w:val="1.2.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15:restartNumberingAfterBreak="0">
    <w:nsid w:val="28D236AD"/>
    <w:multiLevelType w:val="hybridMultilevel"/>
    <w:tmpl w:val="C430EF54"/>
    <w:lvl w:ilvl="0" w:tplc="D1A66F78">
      <w:start w:val="1"/>
      <w:numFmt w:val="decimal"/>
      <w:lvlText w:val="%1."/>
      <w:lvlJc w:val="left"/>
      <w:pPr>
        <w:ind w:left="720" w:hanging="360"/>
      </w:pPr>
      <w:rPr>
        <w:rFonts w:ascii="Arial Narrow" w:hAnsi="Arial Narrow" w:hint="default"/>
        <w:b w:val="0"/>
        <w:sz w:val="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15:restartNumberingAfterBreak="0">
    <w:nsid w:val="28F040E7"/>
    <w:multiLevelType w:val="hybridMultilevel"/>
    <w:tmpl w:val="4EDE138C"/>
    <w:lvl w:ilvl="0" w:tplc="6EA4F280">
      <w:numFmt w:val="bullet"/>
      <w:lvlText w:val="-"/>
      <w:lvlJc w:val="left"/>
      <w:pPr>
        <w:ind w:left="720" w:hanging="360"/>
      </w:pPr>
      <w:rPr>
        <w:rFonts w:ascii="Times New Roman" w:hAnsi="Times New Roman" w:cs="Times New Roman"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15:restartNumberingAfterBreak="0">
    <w:nsid w:val="28FC0364"/>
    <w:multiLevelType w:val="hybridMultilevel"/>
    <w:tmpl w:val="98F8E0D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8" w15:restartNumberingAfterBreak="0">
    <w:nsid w:val="29B7018B"/>
    <w:multiLevelType w:val="hybridMultilevel"/>
    <w:tmpl w:val="D8EA2C4C"/>
    <w:lvl w:ilvl="0" w:tplc="73A60202">
      <w:start w:val="1"/>
      <w:numFmt w:val="bullet"/>
      <w:lvlText w:val="-"/>
      <w:lvlJc w:val="left"/>
      <w:pPr>
        <w:ind w:left="1068" w:hanging="360"/>
      </w:pPr>
      <w:rPr>
        <w:rFonts w:ascii="Calibri" w:hAnsi="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9" w15:restartNumberingAfterBreak="0">
    <w:nsid w:val="2AA06608"/>
    <w:multiLevelType w:val="multilevel"/>
    <w:tmpl w:val="A8B241A0"/>
    <w:lvl w:ilvl="0">
      <w:start w:val="1"/>
      <w:numFmt w:val="decimal"/>
      <w:pStyle w:val="ParagraphNumbering"/>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0" w15:restartNumberingAfterBreak="0">
    <w:nsid w:val="2C39515E"/>
    <w:multiLevelType w:val="hybridMultilevel"/>
    <w:tmpl w:val="6ED2F4C0"/>
    <w:lvl w:ilvl="0" w:tplc="3D7C34EA">
      <w:numFmt w:val="bullet"/>
      <w:lvlText w:val="-"/>
      <w:lvlJc w:val="left"/>
      <w:pPr>
        <w:ind w:left="720" w:hanging="360"/>
      </w:pPr>
      <w:rPr>
        <w:rFonts w:ascii="Calibri" w:eastAsia="Times New Roman"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15:restartNumberingAfterBreak="0">
    <w:nsid w:val="2CA912FF"/>
    <w:multiLevelType w:val="hybridMultilevel"/>
    <w:tmpl w:val="EC88B23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2" w15:restartNumberingAfterBreak="0">
    <w:nsid w:val="2D14099C"/>
    <w:multiLevelType w:val="hybridMultilevel"/>
    <w:tmpl w:val="A1F60D36"/>
    <w:lvl w:ilvl="0" w:tplc="A93CD768">
      <w:start w:val="1"/>
      <w:numFmt w:val="decimal"/>
      <w:lvlText w:val="1.2.1.%1."/>
      <w:lvlJc w:val="righ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15:restartNumberingAfterBreak="0">
    <w:nsid w:val="2ED30CA1"/>
    <w:multiLevelType w:val="hybridMultilevel"/>
    <w:tmpl w:val="78EEE844"/>
    <w:lvl w:ilvl="0" w:tplc="3D7C34EA">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15:restartNumberingAfterBreak="0">
    <w:nsid w:val="30625FD0"/>
    <w:multiLevelType w:val="hybridMultilevel"/>
    <w:tmpl w:val="DC0EB47A"/>
    <w:lvl w:ilvl="0" w:tplc="3D7C34EA">
      <w:numFmt w:val="bullet"/>
      <w:lvlText w:val="-"/>
      <w:lvlJc w:val="left"/>
      <w:pPr>
        <w:ind w:left="741" w:hanging="360"/>
      </w:pPr>
      <w:rPr>
        <w:rFonts w:ascii="Calibri" w:eastAsia="Times New Roman" w:hAnsi="Calibri" w:cs="Times New Roman" w:hint="default"/>
        <w:color w:val="auto"/>
      </w:rPr>
    </w:lvl>
    <w:lvl w:ilvl="1" w:tplc="040C0003" w:tentative="1">
      <w:start w:val="1"/>
      <w:numFmt w:val="bullet"/>
      <w:lvlText w:val="o"/>
      <w:lvlJc w:val="left"/>
      <w:pPr>
        <w:ind w:left="1461" w:hanging="360"/>
      </w:pPr>
      <w:rPr>
        <w:rFonts w:ascii="Courier New" w:hAnsi="Courier New" w:cs="Courier New" w:hint="default"/>
      </w:rPr>
    </w:lvl>
    <w:lvl w:ilvl="2" w:tplc="040C0005" w:tentative="1">
      <w:start w:val="1"/>
      <w:numFmt w:val="bullet"/>
      <w:lvlText w:val=""/>
      <w:lvlJc w:val="left"/>
      <w:pPr>
        <w:ind w:left="2181" w:hanging="360"/>
      </w:pPr>
      <w:rPr>
        <w:rFonts w:ascii="Wingdings" w:hAnsi="Wingdings" w:hint="default"/>
      </w:rPr>
    </w:lvl>
    <w:lvl w:ilvl="3" w:tplc="040C0001" w:tentative="1">
      <w:start w:val="1"/>
      <w:numFmt w:val="bullet"/>
      <w:lvlText w:val=""/>
      <w:lvlJc w:val="left"/>
      <w:pPr>
        <w:ind w:left="2901" w:hanging="360"/>
      </w:pPr>
      <w:rPr>
        <w:rFonts w:ascii="Symbol" w:hAnsi="Symbol" w:hint="default"/>
      </w:rPr>
    </w:lvl>
    <w:lvl w:ilvl="4" w:tplc="040C0003" w:tentative="1">
      <w:start w:val="1"/>
      <w:numFmt w:val="bullet"/>
      <w:lvlText w:val="o"/>
      <w:lvlJc w:val="left"/>
      <w:pPr>
        <w:ind w:left="3621" w:hanging="360"/>
      </w:pPr>
      <w:rPr>
        <w:rFonts w:ascii="Courier New" w:hAnsi="Courier New" w:cs="Courier New" w:hint="default"/>
      </w:rPr>
    </w:lvl>
    <w:lvl w:ilvl="5" w:tplc="040C0005" w:tentative="1">
      <w:start w:val="1"/>
      <w:numFmt w:val="bullet"/>
      <w:lvlText w:val=""/>
      <w:lvlJc w:val="left"/>
      <w:pPr>
        <w:ind w:left="4341" w:hanging="360"/>
      </w:pPr>
      <w:rPr>
        <w:rFonts w:ascii="Wingdings" w:hAnsi="Wingdings" w:hint="default"/>
      </w:rPr>
    </w:lvl>
    <w:lvl w:ilvl="6" w:tplc="040C0001" w:tentative="1">
      <w:start w:val="1"/>
      <w:numFmt w:val="bullet"/>
      <w:lvlText w:val=""/>
      <w:lvlJc w:val="left"/>
      <w:pPr>
        <w:ind w:left="5061" w:hanging="360"/>
      </w:pPr>
      <w:rPr>
        <w:rFonts w:ascii="Symbol" w:hAnsi="Symbol" w:hint="default"/>
      </w:rPr>
    </w:lvl>
    <w:lvl w:ilvl="7" w:tplc="040C0003" w:tentative="1">
      <w:start w:val="1"/>
      <w:numFmt w:val="bullet"/>
      <w:lvlText w:val="o"/>
      <w:lvlJc w:val="left"/>
      <w:pPr>
        <w:ind w:left="5781" w:hanging="360"/>
      </w:pPr>
      <w:rPr>
        <w:rFonts w:ascii="Courier New" w:hAnsi="Courier New" w:cs="Courier New" w:hint="default"/>
      </w:rPr>
    </w:lvl>
    <w:lvl w:ilvl="8" w:tplc="040C0005" w:tentative="1">
      <w:start w:val="1"/>
      <w:numFmt w:val="bullet"/>
      <w:lvlText w:val=""/>
      <w:lvlJc w:val="left"/>
      <w:pPr>
        <w:ind w:left="6501" w:hanging="360"/>
      </w:pPr>
      <w:rPr>
        <w:rFonts w:ascii="Wingdings" w:hAnsi="Wingdings" w:hint="default"/>
      </w:rPr>
    </w:lvl>
  </w:abstractNum>
  <w:abstractNum w:abstractNumId="75" w15:restartNumberingAfterBreak="0">
    <w:nsid w:val="322A2FFD"/>
    <w:multiLevelType w:val="hybridMultilevel"/>
    <w:tmpl w:val="8516462A"/>
    <w:lvl w:ilvl="0" w:tplc="040C0001">
      <w:start w:val="1"/>
      <w:numFmt w:val="bullet"/>
      <w:lvlText w:val=""/>
      <w:lvlJc w:val="left"/>
      <w:pPr>
        <w:ind w:left="730" w:hanging="360"/>
      </w:pPr>
      <w:rPr>
        <w:rFonts w:ascii="Symbol" w:hAnsi="Symbol" w:hint="default"/>
      </w:rPr>
    </w:lvl>
    <w:lvl w:ilvl="1" w:tplc="040C0003" w:tentative="1">
      <w:start w:val="1"/>
      <w:numFmt w:val="bullet"/>
      <w:lvlText w:val="o"/>
      <w:lvlJc w:val="left"/>
      <w:pPr>
        <w:ind w:left="1450" w:hanging="360"/>
      </w:pPr>
      <w:rPr>
        <w:rFonts w:ascii="Courier New" w:hAnsi="Courier New" w:cs="Courier New" w:hint="default"/>
      </w:rPr>
    </w:lvl>
    <w:lvl w:ilvl="2" w:tplc="040C0005" w:tentative="1">
      <w:start w:val="1"/>
      <w:numFmt w:val="bullet"/>
      <w:lvlText w:val=""/>
      <w:lvlJc w:val="left"/>
      <w:pPr>
        <w:ind w:left="2170" w:hanging="360"/>
      </w:pPr>
      <w:rPr>
        <w:rFonts w:ascii="Wingdings" w:hAnsi="Wingdings" w:hint="default"/>
      </w:rPr>
    </w:lvl>
    <w:lvl w:ilvl="3" w:tplc="040C0001" w:tentative="1">
      <w:start w:val="1"/>
      <w:numFmt w:val="bullet"/>
      <w:lvlText w:val=""/>
      <w:lvlJc w:val="left"/>
      <w:pPr>
        <w:ind w:left="2890" w:hanging="360"/>
      </w:pPr>
      <w:rPr>
        <w:rFonts w:ascii="Symbol" w:hAnsi="Symbol" w:hint="default"/>
      </w:rPr>
    </w:lvl>
    <w:lvl w:ilvl="4" w:tplc="040C0003" w:tentative="1">
      <w:start w:val="1"/>
      <w:numFmt w:val="bullet"/>
      <w:lvlText w:val="o"/>
      <w:lvlJc w:val="left"/>
      <w:pPr>
        <w:ind w:left="3610" w:hanging="360"/>
      </w:pPr>
      <w:rPr>
        <w:rFonts w:ascii="Courier New" w:hAnsi="Courier New" w:cs="Courier New" w:hint="default"/>
      </w:rPr>
    </w:lvl>
    <w:lvl w:ilvl="5" w:tplc="040C0005" w:tentative="1">
      <w:start w:val="1"/>
      <w:numFmt w:val="bullet"/>
      <w:lvlText w:val=""/>
      <w:lvlJc w:val="left"/>
      <w:pPr>
        <w:ind w:left="4330" w:hanging="360"/>
      </w:pPr>
      <w:rPr>
        <w:rFonts w:ascii="Wingdings" w:hAnsi="Wingdings" w:hint="default"/>
      </w:rPr>
    </w:lvl>
    <w:lvl w:ilvl="6" w:tplc="040C0001" w:tentative="1">
      <w:start w:val="1"/>
      <w:numFmt w:val="bullet"/>
      <w:lvlText w:val=""/>
      <w:lvlJc w:val="left"/>
      <w:pPr>
        <w:ind w:left="5050" w:hanging="360"/>
      </w:pPr>
      <w:rPr>
        <w:rFonts w:ascii="Symbol" w:hAnsi="Symbol" w:hint="default"/>
      </w:rPr>
    </w:lvl>
    <w:lvl w:ilvl="7" w:tplc="040C0003" w:tentative="1">
      <w:start w:val="1"/>
      <w:numFmt w:val="bullet"/>
      <w:lvlText w:val="o"/>
      <w:lvlJc w:val="left"/>
      <w:pPr>
        <w:ind w:left="5770" w:hanging="360"/>
      </w:pPr>
      <w:rPr>
        <w:rFonts w:ascii="Courier New" w:hAnsi="Courier New" w:cs="Courier New" w:hint="default"/>
      </w:rPr>
    </w:lvl>
    <w:lvl w:ilvl="8" w:tplc="040C0005" w:tentative="1">
      <w:start w:val="1"/>
      <w:numFmt w:val="bullet"/>
      <w:lvlText w:val=""/>
      <w:lvlJc w:val="left"/>
      <w:pPr>
        <w:ind w:left="6490" w:hanging="360"/>
      </w:pPr>
      <w:rPr>
        <w:rFonts w:ascii="Wingdings" w:hAnsi="Wingdings" w:hint="default"/>
      </w:rPr>
    </w:lvl>
  </w:abstractNum>
  <w:abstractNum w:abstractNumId="76" w15:restartNumberingAfterBreak="0">
    <w:nsid w:val="32C15CBF"/>
    <w:multiLevelType w:val="hybridMultilevel"/>
    <w:tmpl w:val="8FCE3BE8"/>
    <w:lvl w:ilvl="0" w:tplc="538CB558">
      <w:start w:val="1"/>
      <w:numFmt w:val="decimal"/>
      <w:lvlText w:val="2.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7" w15:restartNumberingAfterBreak="0">
    <w:nsid w:val="3487544C"/>
    <w:multiLevelType w:val="hybridMultilevel"/>
    <w:tmpl w:val="4E08F3CA"/>
    <w:lvl w:ilvl="0" w:tplc="019642B6">
      <w:numFmt w:val="bullet"/>
      <w:lvlText w:val="-"/>
      <w:lvlJc w:val="left"/>
      <w:pPr>
        <w:ind w:left="720" w:hanging="360"/>
      </w:pPr>
      <w:rPr>
        <w:rFonts w:ascii="Bookman Old Style" w:eastAsia="Calibri" w:hAnsi="Bookman Old Styl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8" w15:restartNumberingAfterBreak="0">
    <w:nsid w:val="34D75599"/>
    <w:multiLevelType w:val="hybridMultilevel"/>
    <w:tmpl w:val="8A28BC3A"/>
    <w:lvl w:ilvl="0" w:tplc="93C4352E">
      <w:start w:val="2"/>
      <w:numFmt w:val="bullet"/>
      <w:lvlText w:val="-"/>
      <w:lvlJc w:val="left"/>
      <w:pPr>
        <w:ind w:left="720" w:hanging="360"/>
      </w:pPr>
      <w:rPr>
        <w:rFonts w:ascii="Bookman Old Style" w:eastAsia="Calibri" w:hAnsi="Bookman Old Style"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9" w15:restartNumberingAfterBreak="0">
    <w:nsid w:val="35856913"/>
    <w:multiLevelType w:val="hybridMultilevel"/>
    <w:tmpl w:val="BC7A38A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15:restartNumberingAfterBreak="0">
    <w:nsid w:val="35C05307"/>
    <w:multiLevelType w:val="hybridMultilevel"/>
    <w:tmpl w:val="0D2C9A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1" w15:restartNumberingAfterBreak="0">
    <w:nsid w:val="3837532A"/>
    <w:multiLevelType w:val="hybridMultilevel"/>
    <w:tmpl w:val="5418AEB4"/>
    <w:lvl w:ilvl="0" w:tplc="E5E29C44">
      <w:start w:val="1"/>
      <w:numFmt w:val="decimal"/>
      <w:lvlText w:val="3.1.2.%1."/>
      <w:lvlJc w:val="righ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2" w15:restartNumberingAfterBreak="0">
    <w:nsid w:val="385D0A84"/>
    <w:multiLevelType w:val="multilevel"/>
    <w:tmpl w:val="0CDEF2D4"/>
    <w:lvl w:ilvl="0">
      <w:start w:val="1"/>
      <w:numFmt w:val="decimal"/>
      <w:pStyle w:val="ListNumberBox"/>
      <w:lvlText w:val="%1."/>
      <w:lvlJc w:val="left"/>
      <w:pPr>
        <w:tabs>
          <w:tab w:val="num" w:pos="1950"/>
        </w:tabs>
        <w:ind w:left="1950" w:hanging="408"/>
      </w:pPr>
      <w:rPr>
        <w:rFonts w:cs="Times New Roman"/>
      </w:rPr>
    </w:lvl>
    <w:lvl w:ilvl="1">
      <w:start w:val="1"/>
      <w:numFmt w:val="decimal"/>
      <w:pStyle w:val="ListNumberBox2"/>
      <w:lvlText w:val="%2."/>
      <w:lvlJc w:val="left"/>
      <w:pPr>
        <w:tabs>
          <w:tab w:val="num" w:pos="2291"/>
        </w:tabs>
        <w:ind w:left="2291" w:hanging="341"/>
      </w:pPr>
      <w:rPr>
        <w:rFonts w:cs="Times New Roman"/>
      </w:rPr>
    </w:lvl>
    <w:lvl w:ilvl="2">
      <w:start w:val="1"/>
      <w:numFmt w:val="decimal"/>
      <w:pStyle w:val="ListNumberBox3"/>
      <w:lvlText w:val="%3."/>
      <w:lvlJc w:val="left"/>
      <w:pPr>
        <w:tabs>
          <w:tab w:val="num" w:pos="2574"/>
        </w:tabs>
        <w:ind w:left="2574" w:hanging="340"/>
      </w:pPr>
      <w:rPr>
        <w:rFonts w:cs="Times New Roman"/>
      </w:rPr>
    </w:lvl>
    <w:lvl w:ilvl="3">
      <w:start w:val="1"/>
      <w:numFmt w:val="decimal"/>
      <w:lvlText w:val="(%4)"/>
      <w:lvlJc w:val="left"/>
      <w:pPr>
        <w:tabs>
          <w:tab w:val="num" w:pos="7418"/>
        </w:tabs>
        <w:ind w:left="7418" w:hanging="360"/>
      </w:pPr>
      <w:rPr>
        <w:rFonts w:cs="Times New Roman"/>
      </w:rPr>
    </w:lvl>
    <w:lvl w:ilvl="4">
      <w:start w:val="1"/>
      <w:numFmt w:val="lowerLetter"/>
      <w:lvlText w:val="(%5)"/>
      <w:lvlJc w:val="left"/>
      <w:pPr>
        <w:tabs>
          <w:tab w:val="num" w:pos="7778"/>
        </w:tabs>
        <w:ind w:left="7778" w:hanging="360"/>
      </w:pPr>
      <w:rPr>
        <w:rFonts w:cs="Times New Roman"/>
      </w:rPr>
    </w:lvl>
    <w:lvl w:ilvl="5">
      <w:start w:val="1"/>
      <w:numFmt w:val="lowerRoman"/>
      <w:lvlText w:val="(%6)"/>
      <w:lvlJc w:val="left"/>
      <w:pPr>
        <w:tabs>
          <w:tab w:val="num" w:pos="8138"/>
        </w:tabs>
        <w:ind w:left="8138" w:hanging="360"/>
      </w:pPr>
      <w:rPr>
        <w:rFonts w:cs="Times New Roman"/>
      </w:rPr>
    </w:lvl>
    <w:lvl w:ilvl="6">
      <w:start w:val="1"/>
      <w:numFmt w:val="decimal"/>
      <w:lvlText w:val="%7."/>
      <w:lvlJc w:val="left"/>
      <w:pPr>
        <w:tabs>
          <w:tab w:val="num" w:pos="8498"/>
        </w:tabs>
        <w:ind w:left="8498" w:hanging="360"/>
      </w:pPr>
      <w:rPr>
        <w:rFonts w:cs="Times New Roman"/>
      </w:rPr>
    </w:lvl>
    <w:lvl w:ilvl="7">
      <w:start w:val="1"/>
      <w:numFmt w:val="lowerLetter"/>
      <w:lvlText w:val="%8."/>
      <w:lvlJc w:val="left"/>
      <w:pPr>
        <w:tabs>
          <w:tab w:val="num" w:pos="8858"/>
        </w:tabs>
        <w:ind w:left="8858" w:hanging="360"/>
      </w:pPr>
      <w:rPr>
        <w:rFonts w:cs="Times New Roman"/>
      </w:rPr>
    </w:lvl>
    <w:lvl w:ilvl="8">
      <w:start w:val="1"/>
      <w:numFmt w:val="lowerRoman"/>
      <w:lvlText w:val="%9."/>
      <w:lvlJc w:val="left"/>
      <w:pPr>
        <w:tabs>
          <w:tab w:val="num" w:pos="9218"/>
        </w:tabs>
        <w:ind w:left="9218" w:hanging="360"/>
      </w:pPr>
      <w:rPr>
        <w:rFonts w:cs="Times New Roman"/>
      </w:rPr>
    </w:lvl>
  </w:abstractNum>
  <w:abstractNum w:abstractNumId="83" w15:restartNumberingAfterBreak="0">
    <w:nsid w:val="385E380F"/>
    <w:multiLevelType w:val="hybridMultilevel"/>
    <w:tmpl w:val="C5CCD770"/>
    <w:lvl w:ilvl="0" w:tplc="6DFE4A8E">
      <w:start w:val="1"/>
      <w:numFmt w:val="decimal"/>
      <w:lvlText w:val="2.1.%1."/>
      <w:lvlJc w:val="righ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4" w15:restartNumberingAfterBreak="0">
    <w:nsid w:val="39B874DB"/>
    <w:multiLevelType w:val="hybridMultilevel"/>
    <w:tmpl w:val="6F2A295A"/>
    <w:lvl w:ilvl="0" w:tplc="3D7C34EA">
      <w:numFmt w:val="bullet"/>
      <w:lvlText w:val="-"/>
      <w:lvlJc w:val="left"/>
      <w:pPr>
        <w:ind w:left="720" w:hanging="360"/>
      </w:pPr>
      <w:rPr>
        <w:rFonts w:ascii="Calibri" w:eastAsia="Times New Roman" w:hAnsi="Calibri" w:cs="Times New Roman" w:hint="default"/>
      </w:rPr>
    </w:lvl>
    <w:lvl w:ilvl="1" w:tplc="040C0019" w:tentative="1">
      <w:start w:val="1"/>
      <w:numFmt w:val="bullet"/>
      <w:lvlText w:val="o"/>
      <w:lvlJc w:val="left"/>
      <w:pPr>
        <w:ind w:left="1440" w:hanging="360"/>
      </w:pPr>
      <w:rPr>
        <w:rFonts w:ascii="Courier New" w:hAnsi="Courier New" w:cs="Courier New" w:hint="default"/>
      </w:rPr>
    </w:lvl>
    <w:lvl w:ilvl="2" w:tplc="040C001B" w:tentative="1">
      <w:start w:val="1"/>
      <w:numFmt w:val="bullet"/>
      <w:lvlText w:val=""/>
      <w:lvlJc w:val="left"/>
      <w:pPr>
        <w:ind w:left="2160" w:hanging="360"/>
      </w:pPr>
      <w:rPr>
        <w:rFonts w:ascii="Wingdings" w:hAnsi="Wingdings" w:hint="default"/>
      </w:rPr>
    </w:lvl>
    <w:lvl w:ilvl="3" w:tplc="040C000F" w:tentative="1">
      <w:start w:val="1"/>
      <w:numFmt w:val="bullet"/>
      <w:lvlText w:val=""/>
      <w:lvlJc w:val="left"/>
      <w:pPr>
        <w:ind w:left="2880" w:hanging="360"/>
      </w:pPr>
      <w:rPr>
        <w:rFonts w:ascii="Symbol" w:hAnsi="Symbol" w:hint="default"/>
      </w:rPr>
    </w:lvl>
    <w:lvl w:ilvl="4" w:tplc="040C0019" w:tentative="1">
      <w:start w:val="1"/>
      <w:numFmt w:val="bullet"/>
      <w:lvlText w:val="o"/>
      <w:lvlJc w:val="left"/>
      <w:pPr>
        <w:ind w:left="3600" w:hanging="360"/>
      </w:pPr>
      <w:rPr>
        <w:rFonts w:ascii="Courier New" w:hAnsi="Courier New" w:cs="Courier New" w:hint="default"/>
      </w:rPr>
    </w:lvl>
    <w:lvl w:ilvl="5" w:tplc="040C001B" w:tentative="1">
      <w:start w:val="1"/>
      <w:numFmt w:val="bullet"/>
      <w:lvlText w:val=""/>
      <w:lvlJc w:val="left"/>
      <w:pPr>
        <w:ind w:left="4320" w:hanging="360"/>
      </w:pPr>
      <w:rPr>
        <w:rFonts w:ascii="Wingdings" w:hAnsi="Wingdings" w:hint="default"/>
      </w:rPr>
    </w:lvl>
    <w:lvl w:ilvl="6" w:tplc="040C000F" w:tentative="1">
      <w:start w:val="1"/>
      <w:numFmt w:val="bullet"/>
      <w:lvlText w:val=""/>
      <w:lvlJc w:val="left"/>
      <w:pPr>
        <w:ind w:left="5040" w:hanging="360"/>
      </w:pPr>
      <w:rPr>
        <w:rFonts w:ascii="Symbol" w:hAnsi="Symbol" w:hint="default"/>
      </w:rPr>
    </w:lvl>
    <w:lvl w:ilvl="7" w:tplc="040C0019" w:tentative="1">
      <w:start w:val="1"/>
      <w:numFmt w:val="bullet"/>
      <w:lvlText w:val="o"/>
      <w:lvlJc w:val="left"/>
      <w:pPr>
        <w:ind w:left="5760" w:hanging="360"/>
      </w:pPr>
      <w:rPr>
        <w:rFonts w:ascii="Courier New" w:hAnsi="Courier New" w:cs="Courier New" w:hint="default"/>
      </w:rPr>
    </w:lvl>
    <w:lvl w:ilvl="8" w:tplc="040C001B" w:tentative="1">
      <w:start w:val="1"/>
      <w:numFmt w:val="bullet"/>
      <w:lvlText w:val=""/>
      <w:lvlJc w:val="left"/>
      <w:pPr>
        <w:ind w:left="6480" w:hanging="360"/>
      </w:pPr>
      <w:rPr>
        <w:rFonts w:ascii="Wingdings" w:hAnsi="Wingdings" w:hint="default"/>
      </w:rPr>
    </w:lvl>
  </w:abstractNum>
  <w:abstractNum w:abstractNumId="85" w15:restartNumberingAfterBreak="0">
    <w:nsid w:val="3B6E2C27"/>
    <w:multiLevelType w:val="hybridMultilevel"/>
    <w:tmpl w:val="3ADEA1D6"/>
    <w:lvl w:ilvl="0" w:tplc="019642B6">
      <w:numFmt w:val="bullet"/>
      <w:lvlText w:val="-"/>
      <w:lvlJc w:val="left"/>
      <w:pPr>
        <w:tabs>
          <w:tab w:val="num" w:pos="720"/>
        </w:tabs>
        <w:ind w:left="720" w:hanging="360"/>
      </w:pPr>
      <w:rPr>
        <w:rFonts w:ascii="Bookman Old Style" w:eastAsia="Calibri" w:hAnsi="Bookman Old Style" w:cs="Times New Roman" w:hint="default"/>
      </w:rPr>
    </w:lvl>
    <w:lvl w:ilvl="1" w:tplc="C38A2BA6" w:tentative="1">
      <w:start w:val="1"/>
      <w:numFmt w:val="bullet"/>
      <w:lvlText w:val="•"/>
      <w:lvlJc w:val="left"/>
      <w:pPr>
        <w:tabs>
          <w:tab w:val="num" w:pos="1440"/>
        </w:tabs>
        <w:ind w:left="1440" w:hanging="360"/>
      </w:pPr>
      <w:rPr>
        <w:rFonts w:ascii="Times New Roman" w:hAnsi="Times New Roman" w:hint="default"/>
      </w:rPr>
    </w:lvl>
    <w:lvl w:ilvl="2" w:tplc="F1505358" w:tentative="1">
      <w:start w:val="1"/>
      <w:numFmt w:val="bullet"/>
      <w:lvlText w:val="•"/>
      <w:lvlJc w:val="left"/>
      <w:pPr>
        <w:tabs>
          <w:tab w:val="num" w:pos="2160"/>
        </w:tabs>
        <w:ind w:left="2160" w:hanging="360"/>
      </w:pPr>
      <w:rPr>
        <w:rFonts w:ascii="Times New Roman" w:hAnsi="Times New Roman" w:hint="default"/>
      </w:rPr>
    </w:lvl>
    <w:lvl w:ilvl="3" w:tplc="D9623708" w:tentative="1">
      <w:start w:val="1"/>
      <w:numFmt w:val="bullet"/>
      <w:lvlText w:val="•"/>
      <w:lvlJc w:val="left"/>
      <w:pPr>
        <w:tabs>
          <w:tab w:val="num" w:pos="2880"/>
        </w:tabs>
        <w:ind w:left="2880" w:hanging="360"/>
      </w:pPr>
      <w:rPr>
        <w:rFonts w:ascii="Times New Roman" w:hAnsi="Times New Roman" w:hint="default"/>
      </w:rPr>
    </w:lvl>
    <w:lvl w:ilvl="4" w:tplc="8DB85344" w:tentative="1">
      <w:start w:val="1"/>
      <w:numFmt w:val="bullet"/>
      <w:lvlText w:val="•"/>
      <w:lvlJc w:val="left"/>
      <w:pPr>
        <w:tabs>
          <w:tab w:val="num" w:pos="3600"/>
        </w:tabs>
        <w:ind w:left="3600" w:hanging="360"/>
      </w:pPr>
      <w:rPr>
        <w:rFonts w:ascii="Times New Roman" w:hAnsi="Times New Roman" w:hint="default"/>
      </w:rPr>
    </w:lvl>
    <w:lvl w:ilvl="5" w:tplc="C31464E8" w:tentative="1">
      <w:start w:val="1"/>
      <w:numFmt w:val="bullet"/>
      <w:lvlText w:val="•"/>
      <w:lvlJc w:val="left"/>
      <w:pPr>
        <w:tabs>
          <w:tab w:val="num" w:pos="4320"/>
        </w:tabs>
        <w:ind w:left="4320" w:hanging="360"/>
      </w:pPr>
      <w:rPr>
        <w:rFonts w:ascii="Times New Roman" w:hAnsi="Times New Roman" w:hint="default"/>
      </w:rPr>
    </w:lvl>
    <w:lvl w:ilvl="6" w:tplc="8C726B8A" w:tentative="1">
      <w:start w:val="1"/>
      <w:numFmt w:val="bullet"/>
      <w:lvlText w:val="•"/>
      <w:lvlJc w:val="left"/>
      <w:pPr>
        <w:tabs>
          <w:tab w:val="num" w:pos="5040"/>
        </w:tabs>
        <w:ind w:left="5040" w:hanging="360"/>
      </w:pPr>
      <w:rPr>
        <w:rFonts w:ascii="Times New Roman" w:hAnsi="Times New Roman" w:hint="default"/>
      </w:rPr>
    </w:lvl>
    <w:lvl w:ilvl="7" w:tplc="251CEFE4" w:tentative="1">
      <w:start w:val="1"/>
      <w:numFmt w:val="bullet"/>
      <w:lvlText w:val="•"/>
      <w:lvlJc w:val="left"/>
      <w:pPr>
        <w:tabs>
          <w:tab w:val="num" w:pos="5760"/>
        </w:tabs>
        <w:ind w:left="5760" w:hanging="360"/>
      </w:pPr>
      <w:rPr>
        <w:rFonts w:ascii="Times New Roman" w:hAnsi="Times New Roman" w:hint="default"/>
      </w:rPr>
    </w:lvl>
    <w:lvl w:ilvl="8" w:tplc="8724E81C" w:tentative="1">
      <w:start w:val="1"/>
      <w:numFmt w:val="bullet"/>
      <w:lvlText w:val="•"/>
      <w:lvlJc w:val="left"/>
      <w:pPr>
        <w:tabs>
          <w:tab w:val="num" w:pos="6480"/>
        </w:tabs>
        <w:ind w:left="6480" w:hanging="360"/>
      </w:pPr>
      <w:rPr>
        <w:rFonts w:ascii="Times New Roman" w:hAnsi="Times New Roman" w:hint="default"/>
      </w:rPr>
    </w:lvl>
  </w:abstractNum>
  <w:abstractNum w:abstractNumId="86" w15:restartNumberingAfterBreak="0">
    <w:nsid w:val="3BC06DDD"/>
    <w:multiLevelType w:val="hybridMultilevel"/>
    <w:tmpl w:val="DB94390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7" w15:restartNumberingAfterBreak="0">
    <w:nsid w:val="3BE047AD"/>
    <w:multiLevelType w:val="hybridMultilevel"/>
    <w:tmpl w:val="D1F06A72"/>
    <w:lvl w:ilvl="0" w:tplc="7FFC7EE4">
      <w:start w:val="1"/>
      <w:numFmt w:val="decimal"/>
      <w:lvlText w:val="1.4.%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8" w15:restartNumberingAfterBreak="0">
    <w:nsid w:val="3CED1EFF"/>
    <w:multiLevelType w:val="hybridMultilevel"/>
    <w:tmpl w:val="CD0A8E3C"/>
    <w:lvl w:ilvl="0" w:tplc="AEAA2C48">
      <w:numFmt w:val="bullet"/>
      <w:lvlText w:val="-"/>
      <w:lvlJc w:val="left"/>
      <w:pPr>
        <w:ind w:left="720" w:hanging="360"/>
      </w:pPr>
      <w:rPr>
        <w:rFonts w:ascii="Times New Roman" w:eastAsia="Batang"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9" w15:restartNumberingAfterBreak="0">
    <w:nsid w:val="3D41309A"/>
    <w:multiLevelType w:val="hybridMultilevel"/>
    <w:tmpl w:val="6DA85A8E"/>
    <w:lvl w:ilvl="0" w:tplc="6E0654B8">
      <w:start w:val="1"/>
      <w:numFmt w:val="decimal"/>
      <w:lvlText w:val="1.2.2.%1."/>
      <w:lvlJc w:val="righ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0" w15:restartNumberingAfterBreak="0">
    <w:nsid w:val="3EDE1E6D"/>
    <w:multiLevelType w:val="hybridMultilevel"/>
    <w:tmpl w:val="05F61B44"/>
    <w:lvl w:ilvl="0" w:tplc="A5789A58">
      <w:start w:val="3"/>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15:restartNumberingAfterBreak="0">
    <w:nsid w:val="41521B7B"/>
    <w:multiLevelType w:val="hybridMultilevel"/>
    <w:tmpl w:val="24901EA6"/>
    <w:lvl w:ilvl="0" w:tplc="F168D716">
      <w:start w:val="1"/>
      <w:numFmt w:val="decimal"/>
      <w:lvlText w:val="%1."/>
      <w:lvlJc w:val="left"/>
      <w:pPr>
        <w:ind w:left="720" w:hanging="360"/>
      </w:pPr>
      <w:rPr>
        <w:rFonts w:ascii="Arial Narrow" w:hAnsi="Arial Narrow" w:hint="default"/>
        <w:b w:val="0"/>
        <w:sz w:val="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15:restartNumberingAfterBreak="0">
    <w:nsid w:val="438B76DD"/>
    <w:multiLevelType w:val="hybridMultilevel"/>
    <w:tmpl w:val="95902BA4"/>
    <w:lvl w:ilvl="0" w:tplc="49A4757E">
      <w:start w:val="1"/>
      <w:numFmt w:val="decimal"/>
      <w:lvlText w:val="1.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3" w15:restartNumberingAfterBreak="0">
    <w:nsid w:val="44E13CF8"/>
    <w:multiLevelType w:val="hybridMultilevel"/>
    <w:tmpl w:val="63FC56AC"/>
    <w:lvl w:ilvl="0" w:tplc="CE1C835E">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15:restartNumberingAfterBreak="0">
    <w:nsid w:val="45050205"/>
    <w:multiLevelType w:val="hybridMultilevel"/>
    <w:tmpl w:val="3D5C52DC"/>
    <w:lvl w:ilvl="0" w:tplc="AEAA2C48">
      <w:numFmt w:val="bullet"/>
      <w:lvlText w:val="-"/>
      <w:lvlJc w:val="left"/>
      <w:pPr>
        <w:ind w:left="720" w:hanging="360"/>
      </w:pPr>
      <w:rPr>
        <w:rFonts w:ascii="Times New Roman" w:eastAsia="Batang"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456A3C9A"/>
    <w:multiLevelType w:val="hybridMultilevel"/>
    <w:tmpl w:val="91E0B720"/>
    <w:styleLink w:val="BulletedNote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6" w15:restartNumberingAfterBreak="0">
    <w:nsid w:val="47096AF3"/>
    <w:multiLevelType w:val="hybridMultilevel"/>
    <w:tmpl w:val="8D78D3AA"/>
    <w:lvl w:ilvl="0" w:tplc="FFFFFFFF">
      <w:numFmt w:val="bullet"/>
      <w:lvlText w:val="-"/>
      <w:lvlJc w:val="left"/>
      <w:pPr>
        <w:tabs>
          <w:tab w:val="num" w:pos="720"/>
        </w:tabs>
        <w:ind w:left="720" w:hanging="360"/>
      </w:pPr>
      <w:rPr>
        <w:rFonts w:ascii="Times New Roman" w:eastAsia="Times New Roman" w:hAnsi="Times New Roman"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47705312"/>
    <w:multiLevelType w:val="hybridMultilevel"/>
    <w:tmpl w:val="2C9CC1D6"/>
    <w:lvl w:ilvl="0" w:tplc="3776F2F6">
      <w:start w:val="1"/>
      <w:numFmt w:val="decimal"/>
      <w:lvlText w:val="2.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8" w15:restartNumberingAfterBreak="0">
    <w:nsid w:val="47735C25"/>
    <w:multiLevelType w:val="hybridMultilevel"/>
    <w:tmpl w:val="709EBBF4"/>
    <w:lvl w:ilvl="0" w:tplc="9F8AECAE">
      <w:start w:val="1"/>
      <w:numFmt w:val="decimal"/>
      <w:lvlText w:val="3.2.2.%1."/>
      <w:lvlJc w:val="righ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9" w15:restartNumberingAfterBreak="0">
    <w:nsid w:val="478D1D9E"/>
    <w:multiLevelType w:val="hybridMultilevel"/>
    <w:tmpl w:val="ED5EEB10"/>
    <w:lvl w:ilvl="0" w:tplc="3D7C34EA">
      <w:numFmt w:val="bullet"/>
      <w:lvlText w:val="-"/>
      <w:lvlJc w:val="left"/>
      <w:pPr>
        <w:ind w:left="720" w:hanging="360"/>
      </w:pPr>
      <w:rPr>
        <w:rFonts w:ascii="Calibri" w:eastAsia="Times New Roman" w:hAnsi="Calibri"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0" w15:restartNumberingAfterBreak="0">
    <w:nsid w:val="47943C21"/>
    <w:multiLevelType w:val="hybridMultilevel"/>
    <w:tmpl w:val="3FA049EE"/>
    <w:lvl w:ilvl="0" w:tplc="AEAA2C48">
      <w:numFmt w:val="bullet"/>
      <w:lvlText w:val="-"/>
      <w:lvlJc w:val="left"/>
      <w:pPr>
        <w:ind w:left="720" w:hanging="360"/>
      </w:pPr>
      <w:rPr>
        <w:rFonts w:ascii="Times New Roman" w:eastAsia="Batang" w:hAnsi="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1" w15:restartNumberingAfterBreak="0">
    <w:nsid w:val="488B3FB2"/>
    <w:multiLevelType w:val="multilevel"/>
    <w:tmpl w:val="A06A73C4"/>
    <w:lvl w:ilvl="0">
      <w:start w:val="1"/>
      <w:numFmt w:val="bullet"/>
      <w:pStyle w:val="bullet1"/>
      <w:lvlText w:val="•"/>
      <w:lvlJc w:val="left"/>
      <w:pPr>
        <w:tabs>
          <w:tab w:val="num" w:pos="1080"/>
        </w:tabs>
        <w:ind w:left="720"/>
      </w:pPr>
      <w:rPr>
        <w:rFonts w:ascii="Times" w:hAnsi="Time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2" w15:restartNumberingAfterBreak="0">
    <w:nsid w:val="48BB7503"/>
    <w:multiLevelType w:val="singleLevel"/>
    <w:tmpl w:val="9264A114"/>
    <w:styleLink w:val="AlphaNote"/>
    <w:lvl w:ilvl="0">
      <w:start w:val="1"/>
      <w:numFmt w:val="lowerLetter"/>
      <w:lvlText w:val="%1."/>
      <w:lvlJc w:val="left"/>
      <w:pPr>
        <w:tabs>
          <w:tab w:val="num" w:pos="408"/>
        </w:tabs>
        <w:ind w:left="408" w:hanging="408"/>
      </w:pPr>
      <w:rPr>
        <w:rFonts w:cs="Times New Roman"/>
      </w:rPr>
    </w:lvl>
  </w:abstractNum>
  <w:abstractNum w:abstractNumId="103" w15:restartNumberingAfterBreak="0">
    <w:nsid w:val="48FA5625"/>
    <w:multiLevelType w:val="hybridMultilevel"/>
    <w:tmpl w:val="4496C0E6"/>
    <w:lvl w:ilvl="0" w:tplc="7108E35A">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4" w15:restartNumberingAfterBreak="0">
    <w:nsid w:val="4A6C5BBE"/>
    <w:multiLevelType w:val="hybridMultilevel"/>
    <w:tmpl w:val="F4FE40A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5" w15:restartNumberingAfterBreak="0">
    <w:nsid w:val="4AAE47B4"/>
    <w:multiLevelType w:val="singleLevel"/>
    <w:tmpl w:val="11507B40"/>
    <w:lvl w:ilvl="0">
      <w:start w:val="1"/>
      <w:numFmt w:val="bullet"/>
      <w:pStyle w:val="ListBulletBox2"/>
      <w:lvlText w:val="-"/>
      <w:lvlJc w:val="left"/>
      <w:pPr>
        <w:tabs>
          <w:tab w:val="num" w:pos="1191"/>
        </w:tabs>
        <w:ind w:left="1191" w:hanging="340"/>
      </w:pPr>
      <w:rPr>
        <w:rFonts w:ascii="Symbol" w:hAnsi="Symbol" w:hint="default"/>
        <w:b w:val="0"/>
        <w:i w:val="0"/>
        <w:sz w:val="22"/>
      </w:rPr>
    </w:lvl>
  </w:abstractNum>
  <w:abstractNum w:abstractNumId="106" w15:restartNumberingAfterBreak="0">
    <w:nsid w:val="4B536E84"/>
    <w:multiLevelType w:val="hybridMultilevel"/>
    <w:tmpl w:val="EF229B9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7" w15:restartNumberingAfterBreak="0">
    <w:nsid w:val="4B634AB9"/>
    <w:multiLevelType w:val="hybridMultilevel"/>
    <w:tmpl w:val="AAFC0E5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8" w15:restartNumberingAfterBreak="0">
    <w:nsid w:val="4D5C0160"/>
    <w:multiLevelType w:val="hybridMultilevel"/>
    <w:tmpl w:val="02E4682A"/>
    <w:lvl w:ilvl="0" w:tplc="689CB410">
      <w:start w:val="2"/>
      <w:numFmt w:val="bullet"/>
      <w:lvlText w:val="-"/>
      <w:lvlJc w:val="left"/>
      <w:pPr>
        <w:ind w:left="720" w:hanging="360"/>
      </w:pPr>
      <w:rPr>
        <w:rFonts w:ascii="Maiandra GD" w:eastAsia="Times New Roman" w:hAnsi="Maiandra GD"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9" w15:restartNumberingAfterBreak="0">
    <w:nsid w:val="4E9038EC"/>
    <w:multiLevelType w:val="multilevel"/>
    <w:tmpl w:val="3C561268"/>
    <w:styleLink w:val="Style4"/>
    <w:lvl w:ilvl="0">
      <w:start w:val="1"/>
      <w:numFmt w:val="upperRoman"/>
      <w:lvlText w:val="%1"/>
      <w:lvlJc w:val="left"/>
      <w:pPr>
        <w:ind w:left="1069" w:hanging="360"/>
      </w:pPr>
      <w:rPr>
        <w:rFonts w:hint="default"/>
      </w:rPr>
    </w:lvl>
    <w:lvl w:ilvl="1">
      <w:start w:val="1"/>
      <w:numFmt w:val="decimal"/>
      <w:lvlText w:val="III.2.1.%2."/>
      <w:lvlJc w:val="left"/>
      <w:pPr>
        <w:ind w:left="1789" w:hanging="360"/>
      </w:pPr>
      <w:rPr>
        <w:rFonts w:hint="default"/>
      </w:rPr>
    </w:lvl>
    <w:lvl w:ilvl="2">
      <w:start w:val="1"/>
      <w:numFmt w:val="lowerRoman"/>
      <w:lvlText w:val="%3."/>
      <w:lvlJc w:val="right"/>
      <w:pPr>
        <w:ind w:left="2509" w:hanging="180"/>
      </w:pPr>
      <w:rPr>
        <w:rFonts w:hint="default"/>
      </w:rPr>
    </w:lvl>
    <w:lvl w:ilvl="3">
      <w:start w:val="1"/>
      <w:numFmt w:val="decimal"/>
      <w:lvlText w:val="IV.2.1.%4."/>
      <w:lvlJc w:val="left"/>
      <w:pPr>
        <w:ind w:left="928" w:hanging="360"/>
      </w:pPr>
      <w:rPr>
        <w:rFonts w:hint="default"/>
      </w:rPr>
    </w:lvl>
    <w:lvl w:ilvl="4">
      <w:start w:val="1"/>
      <w:numFmt w:val="lowerLetter"/>
      <w:lvlText w:val="%5."/>
      <w:lvlJc w:val="left"/>
      <w:pPr>
        <w:ind w:left="3949" w:hanging="360"/>
      </w:pPr>
      <w:rPr>
        <w:rFonts w:hint="default"/>
      </w:rPr>
    </w:lvl>
    <w:lvl w:ilvl="5">
      <w:start w:val="1"/>
      <w:numFmt w:val="lowerRoman"/>
      <w:lvlText w:val="%6."/>
      <w:lvlJc w:val="right"/>
      <w:pPr>
        <w:ind w:left="4669" w:hanging="180"/>
      </w:pPr>
      <w:rPr>
        <w:rFonts w:hint="default"/>
      </w:rPr>
    </w:lvl>
    <w:lvl w:ilvl="6">
      <w:start w:val="1"/>
      <w:numFmt w:val="decimal"/>
      <w:lvlText w:val="%7."/>
      <w:lvlJc w:val="left"/>
      <w:pPr>
        <w:ind w:left="5389" w:hanging="360"/>
      </w:pPr>
      <w:rPr>
        <w:rFonts w:hint="default"/>
      </w:rPr>
    </w:lvl>
    <w:lvl w:ilvl="7">
      <w:start w:val="1"/>
      <w:numFmt w:val="lowerLetter"/>
      <w:lvlText w:val="%8."/>
      <w:lvlJc w:val="left"/>
      <w:pPr>
        <w:ind w:left="6109" w:hanging="360"/>
      </w:pPr>
      <w:rPr>
        <w:rFonts w:hint="default"/>
      </w:rPr>
    </w:lvl>
    <w:lvl w:ilvl="8">
      <w:start w:val="1"/>
      <w:numFmt w:val="lowerRoman"/>
      <w:lvlText w:val="%9."/>
      <w:lvlJc w:val="right"/>
      <w:pPr>
        <w:ind w:left="6829" w:hanging="180"/>
      </w:pPr>
      <w:rPr>
        <w:rFonts w:hint="default"/>
      </w:rPr>
    </w:lvl>
  </w:abstractNum>
  <w:abstractNum w:abstractNumId="110" w15:restartNumberingAfterBreak="0">
    <w:nsid w:val="51591C88"/>
    <w:multiLevelType w:val="hybridMultilevel"/>
    <w:tmpl w:val="7FBCBCF2"/>
    <w:lvl w:ilvl="0" w:tplc="7A381F6A">
      <w:start w:val="1"/>
      <w:numFmt w:val="decimal"/>
      <w:lvlText w:val="1.2.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1" w15:restartNumberingAfterBreak="0">
    <w:nsid w:val="519801C7"/>
    <w:multiLevelType w:val="hybridMultilevel"/>
    <w:tmpl w:val="B146382C"/>
    <w:lvl w:ilvl="0" w:tplc="1320328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2" w15:restartNumberingAfterBreak="0">
    <w:nsid w:val="519D3580"/>
    <w:multiLevelType w:val="hybridMultilevel"/>
    <w:tmpl w:val="D332C8D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3" w15:restartNumberingAfterBreak="0">
    <w:nsid w:val="52BE7CA3"/>
    <w:multiLevelType w:val="hybridMultilevel"/>
    <w:tmpl w:val="BD6C7DA8"/>
    <w:lvl w:ilvl="0" w:tplc="3D7C34EA">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4" w15:restartNumberingAfterBreak="0">
    <w:nsid w:val="533B32F2"/>
    <w:multiLevelType w:val="hybridMultilevel"/>
    <w:tmpl w:val="61D000BC"/>
    <w:lvl w:ilvl="0" w:tplc="ACF81A50">
      <w:start w:val="1"/>
      <w:numFmt w:val="bullet"/>
      <w:lvlText w:val="-"/>
      <w:lvlJc w:val="left"/>
      <w:pPr>
        <w:ind w:left="720" w:hanging="360"/>
      </w:pPr>
      <w:rPr>
        <w:rFonts w:ascii="Sylfaen" w:hAnsi="Sylfae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5" w15:restartNumberingAfterBreak="0">
    <w:nsid w:val="558D4B34"/>
    <w:multiLevelType w:val="multilevel"/>
    <w:tmpl w:val="A6D240FE"/>
    <w:lvl w:ilvl="0">
      <w:start w:val="1"/>
      <w:numFmt w:val="decimal"/>
      <w:pStyle w:val="bodytext1"/>
      <w:lvlText w:val="%1."/>
      <w:lvlJc w:val="left"/>
      <w:pPr>
        <w:tabs>
          <w:tab w:val="num" w:pos="360"/>
        </w:tabs>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6" w15:restartNumberingAfterBreak="0">
    <w:nsid w:val="55AD1144"/>
    <w:multiLevelType w:val="hybridMultilevel"/>
    <w:tmpl w:val="471A16A0"/>
    <w:lvl w:ilvl="0" w:tplc="6DFE4A8E">
      <w:start w:val="1"/>
      <w:numFmt w:val="decimal"/>
      <w:lvlText w:val="2.1.%1."/>
      <w:lvlJc w:val="righ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7" w15:restartNumberingAfterBreak="0">
    <w:nsid w:val="566B01EF"/>
    <w:multiLevelType w:val="hybridMultilevel"/>
    <w:tmpl w:val="AABC5F6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8" w15:restartNumberingAfterBreak="0">
    <w:nsid w:val="57CC6F4E"/>
    <w:multiLevelType w:val="hybridMultilevel"/>
    <w:tmpl w:val="903A99DC"/>
    <w:lvl w:ilvl="0" w:tplc="5238865A">
      <w:start w:val="1"/>
      <w:numFmt w:val="decimal"/>
      <w:lvlText w:val="1.3.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9" w15:restartNumberingAfterBreak="0">
    <w:nsid w:val="58587865"/>
    <w:multiLevelType w:val="hybridMultilevel"/>
    <w:tmpl w:val="2E42FBEA"/>
    <w:lvl w:ilvl="0" w:tplc="AF665158">
      <w:start w:val="1"/>
      <w:numFmt w:val="bullet"/>
      <w:lvlText w:val=""/>
      <w:lvlJc w:val="left"/>
      <w:pPr>
        <w:ind w:left="720" w:hanging="360"/>
      </w:pPr>
      <w:rPr>
        <w:rFonts w:ascii="Wingdings" w:hAnsi="Wingdings" w:hint="default"/>
        <w:b w:val="0"/>
        <w:i/>
        <w:sz w:val="18"/>
      </w:rPr>
    </w:lvl>
    <w:lvl w:ilvl="1" w:tplc="EDB4D764">
      <w:numFmt w:val="bullet"/>
      <w:lvlText w:val="•"/>
      <w:lvlJc w:val="left"/>
      <w:pPr>
        <w:ind w:left="1440" w:hanging="360"/>
      </w:pPr>
      <w:rPr>
        <w:rFonts w:ascii="Arial" w:eastAsiaTheme="minorHAnsi" w:hAnsi="Arial"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0" w15:restartNumberingAfterBreak="0">
    <w:nsid w:val="585A361C"/>
    <w:multiLevelType w:val="hybridMultilevel"/>
    <w:tmpl w:val="068A1E3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1" w15:restartNumberingAfterBreak="0">
    <w:nsid w:val="58910D3F"/>
    <w:multiLevelType w:val="hybridMultilevel"/>
    <w:tmpl w:val="D332C8D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2" w15:restartNumberingAfterBreak="0">
    <w:nsid w:val="599C790C"/>
    <w:multiLevelType w:val="hybridMultilevel"/>
    <w:tmpl w:val="3176DE06"/>
    <w:lvl w:ilvl="0" w:tplc="3D7C34EA">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3" w15:restartNumberingAfterBreak="0">
    <w:nsid w:val="59FC65B0"/>
    <w:multiLevelType w:val="hybridMultilevel"/>
    <w:tmpl w:val="ABC42892"/>
    <w:lvl w:ilvl="0" w:tplc="5E6E11EA">
      <w:start w:val="1"/>
      <w:numFmt w:val="decimal"/>
      <w:lvlText w:val="3.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4" w15:restartNumberingAfterBreak="0">
    <w:nsid w:val="5A4669C1"/>
    <w:multiLevelType w:val="hybridMultilevel"/>
    <w:tmpl w:val="C5A6E778"/>
    <w:lvl w:ilvl="0" w:tplc="3D7C34EA">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5" w15:restartNumberingAfterBreak="0">
    <w:nsid w:val="5A512679"/>
    <w:multiLevelType w:val="hybridMultilevel"/>
    <w:tmpl w:val="D3ECC270"/>
    <w:lvl w:ilvl="0" w:tplc="1390BD32">
      <w:start w:val="28"/>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6" w15:restartNumberingAfterBreak="0">
    <w:nsid w:val="5AC92178"/>
    <w:multiLevelType w:val="hybridMultilevel"/>
    <w:tmpl w:val="95C8B5E6"/>
    <w:lvl w:ilvl="0" w:tplc="040C0007">
      <w:start w:val="1"/>
      <w:numFmt w:val="bullet"/>
      <w:lvlText w:val=""/>
      <w:lvlPicBulletId w:val="0"/>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7" w15:restartNumberingAfterBreak="0">
    <w:nsid w:val="5B5B0B91"/>
    <w:multiLevelType w:val="hybridMultilevel"/>
    <w:tmpl w:val="FFDC34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8" w15:restartNumberingAfterBreak="0">
    <w:nsid w:val="5BBF7A89"/>
    <w:multiLevelType w:val="hybridMultilevel"/>
    <w:tmpl w:val="9B127B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9" w15:restartNumberingAfterBreak="0">
    <w:nsid w:val="5F0922B4"/>
    <w:multiLevelType w:val="hybridMultilevel"/>
    <w:tmpl w:val="2BC6B582"/>
    <w:lvl w:ilvl="0" w:tplc="CCC0831E">
      <w:start w:val="1"/>
      <w:numFmt w:val="decimal"/>
      <w:lvlText w:val="1.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0" w15:restartNumberingAfterBreak="0">
    <w:nsid w:val="5FB1620C"/>
    <w:multiLevelType w:val="hybridMultilevel"/>
    <w:tmpl w:val="591054DA"/>
    <w:lvl w:ilvl="0" w:tplc="ACF81A50">
      <w:start w:val="1"/>
      <w:numFmt w:val="bullet"/>
      <w:lvlText w:val="-"/>
      <w:lvlJc w:val="left"/>
      <w:pPr>
        <w:ind w:left="720" w:hanging="360"/>
      </w:pPr>
      <w:rPr>
        <w:rFonts w:ascii="Sylfaen" w:hAnsi="Sylfae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1" w15:restartNumberingAfterBreak="0">
    <w:nsid w:val="625F1165"/>
    <w:multiLevelType w:val="hybridMultilevel"/>
    <w:tmpl w:val="19AC206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2" w15:restartNumberingAfterBreak="0">
    <w:nsid w:val="62C55E9B"/>
    <w:multiLevelType w:val="hybridMultilevel"/>
    <w:tmpl w:val="65EA1FBE"/>
    <w:lvl w:ilvl="0" w:tplc="22BE2CCA">
      <w:start w:val="1"/>
      <w:numFmt w:val="decimal"/>
      <w:lvlText w:val="2.2.%1."/>
      <w:lvlJc w:val="righ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3" w15:restartNumberingAfterBreak="0">
    <w:nsid w:val="63E515CF"/>
    <w:multiLevelType w:val="singleLevel"/>
    <w:tmpl w:val="37FAFF84"/>
    <w:lvl w:ilvl="0">
      <w:start w:val="1"/>
      <w:numFmt w:val="bullet"/>
      <w:pStyle w:val="ListBulletBox"/>
      <w:lvlText w:val="·"/>
      <w:lvlJc w:val="left"/>
      <w:pPr>
        <w:tabs>
          <w:tab w:val="num" w:pos="850"/>
        </w:tabs>
        <w:ind w:left="850" w:hanging="408"/>
      </w:pPr>
      <w:rPr>
        <w:rFonts w:ascii="Symbol" w:hAnsi="Symbol" w:hint="default"/>
        <w:b w:val="0"/>
        <w:i w:val="0"/>
        <w:sz w:val="22"/>
      </w:rPr>
    </w:lvl>
  </w:abstractNum>
  <w:abstractNum w:abstractNumId="134" w15:restartNumberingAfterBreak="0">
    <w:nsid w:val="6418265C"/>
    <w:multiLevelType w:val="hybridMultilevel"/>
    <w:tmpl w:val="81D8E0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5" w15:restartNumberingAfterBreak="0">
    <w:nsid w:val="64AA26E8"/>
    <w:multiLevelType w:val="hybridMultilevel"/>
    <w:tmpl w:val="B79A2E80"/>
    <w:lvl w:ilvl="0" w:tplc="73A60202">
      <w:start w:val="1"/>
      <w:numFmt w:val="bullet"/>
      <w:lvlText w:val="-"/>
      <w:lvlJc w:val="left"/>
      <w:pPr>
        <w:ind w:left="1068" w:hanging="360"/>
      </w:pPr>
      <w:rPr>
        <w:rFonts w:ascii="Calibri" w:hAnsi="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36" w15:restartNumberingAfterBreak="0">
    <w:nsid w:val="658A39EE"/>
    <w:multiLevelType w:val="hybridMultilevel"/>
    <w:tmpl w:val="E1DC6F9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7" w15:restartNumberingAfterBreak="0">
    <w:nsid w:val="65A245AD"/>
    <w:multiLevelType w:val="hybridMultilevel"/>
    <w:tmpl w:val="7E1C573E"/>
    <w:lvl w:ilvl="0" w:tplc="73A60202">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8" w15:restartNumberingAfterBreak="0">
    <w:nsid w:val="65B344B9"/>
    <w:multiLevelType w:val="hybridMultilevel"/>
    <w:tmpl w:val="8E6C5D9C"/>
    <w:lvl w:ilvl="0" w:tplc="040C000B">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9" w15:restartNumberingAfterBreak="0">
    <w:nsid w:val="66645579"/>
    <w:multiLevelType w:val="hybridMultilevel"/>
    <w:tmpl w:val="9BE29C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0" w15:restartNumberingAfterBreak="0">
    <w:nsid w:val="682A567A"/>
    <w:multiLevelType w:val="hybridMultilevel"/>
    <w:tmpl w:val="C1C2B00A"/>
    <w:lvl w:ilvl="0" w:tplc="A5789A58">
      <w:start w:val="3"/>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1" w15:restartNumberingAfterBreak="0">
    <w:nsid w:val="69B91EFA"/>
    <w:multiLevelType w:val="hybridMultilevel"/>
    <w:tmpl w:val="2242AED0"/>
    <w:lvl w:ilvl="0" w:tplc="800E41FC">
      <w:start w:val="1"/>
      <w:numFmt w:val="decimal"/>
      <w:lvlText w:val="2.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2" w15:restartNumberingAfterBreak="0">
    <w:nsid w:val="6A853F65"/>
    <w:multiLevelType w:val="hybridMultilevel"/>
    <w:tmpl w:val="89668E10"/>
    <w:lvl w:ilvl="0" w:tplc="3DDEDFE4">
      <w:start w:val="1"/>
      <w:numFmt w:val="decimal"/>
      <w:lvlText w:val="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3" w15:restartNumberingAfterBreak="0">
    <w:nsid w:val="6AC01E9D"/>
    <w:multiLevelType w:val="hybridMultilevel"/>
    <w:tmpl w:val="5842433C"/>
    <w:lvl w:ilvl="0" w:tplc="73A60202">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4" w15:restartNumberingAfterBreak="0">
    <w:nsid w:val="6E685DED"/>
    <w:multiLevelType w:val="hybridMultilevel"/>
    <w:tmpl w:val="687E1B66"/>
    <w:lvl w:ilvl="0" w:tplc="AF665158">
      <w:start w:val="1"/>
      <w:numFmt w:val="bullet"/>
      <w:lvlText w:val=""/>
      <w:lvlJc w:val="left"/>
      <w:pPr>
        <w:ind w:left="360" w:hanging="360"/>
      </w:pPr>
      <w:rPr>
        <w:rFonts w:ascii="Wingdings" w:hAnsi="Wingdings" w:hint="default"/>
        <w:b w:val="0"/>
        <w:i/>
        <w:sz w:val="18"/>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5" w15:restartNumberingAfterBreak="0">
    <w:nsid w:val="6E725FFD"/>
    <w:multiLevelType w:val="hybridMultilevel"/>
    <w:tmpl w:val="618C9F6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6" w15:restartNumberingAfterBreak="0">
    <w:nsid w:val="6E80061B"/>
    <w:multiLevelType w:val="hybridMultilevel"/>
    <w:tmpl w:val="C550290A"/>
    <w:lvl w:ilvl="0" w:tplc="73A60202">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7" w15:restartNumberingAfterBreak="0">
    <w:nsid w:val="700C3982"/>
    <w:multiLevelType w:val="multilevel"/>
    <w:tmpl w:val="047AFFB0"/>
    <w:lvl w:ilvl="0">
      <w:start w:val="1"/>
      <w:numFmt w:val="upperRoman"/>
      <w:pStyle w:val="PNDES1"/>
      <w:lvlText w:val="%1."/>
      <w:lvlJc w:val="right"/>
      <w:pPr>
        <w:ind w:left="720" w:hanging="360"/>
      </w:pPr>
      <w:rPr>
        <w:color w:val="auto"/>
      </w:rPr>
    </w:lvl>
    <w:lvl w:ilvl="1">
      <w:start w:val="1"/>
      <w:numFmt w:val="decimal"/>
      <w:pStyle w:val="PNDES2"/>
      <w:isLgl/>
      <w:lvlText w:val="%1.%2."/>
      <w:lvlJc w:val="left"/>
      <w:pPr>
        <w:ind w:left="1080" w:hanging="720"/>
      </w:pPr>
      <w:rPr>
        <w:rFonts w:hint="default"/>
      </w:rPr>
    </w:lvl>
    <w:lvl w:ilvl="2">
      <w:start w:val="1"/>
      <w:numFmt w:val="decimal"/>
      <w:pStyle w:val="PNDES3"/>
      <w:isLgl/>
      <w:lvlText w:val="%1.%2.%3."/>
      <w:lvlJc w:val="left"/>
      <w:pPr>
        <w:ind w:left="1440" w:hanging="1080"/>
      </w:pPr>
      <w:rPr>
        <w:rFonts w:hint="default"/>
        <w:i w:val="0"/>
      </w:rPr>
    </w:lvl>
    <w:lvl w:ilvl="3">
      <w:start w:val="1"/>
      <w:numFmt w:val="decimal"/>
      <w:pStyle w:val="PNDES4"/>
      <w:isLgl/>
      <w:lvlText w:val="%1.%2.%3.%4."/>
      <w:lvlJc w:val="left"/>
      <w:pPr>
        <w:ind w:left="2008" w:hanging="1440"/>
      </w:pPr>
      <w:rPr>
        <w:rFonts w:hint="default"/>
      </w:rPr>
    </w:lvl>
    <w:lvl w:ilvl="4">
      <w:start w:val="1"/>
      <w:numFmt w:val="decimal"/>
      <w:isLgl/>
      <w:lvlText w:val="%1.%2.%3.%4.%5."/>
      <w:lvlJc w:val="left"/>
      <w:pPr>
        <w:ind w:left="2160" w:hanging="1800"/>
      </w:pPr>
      <w:rPr>
        <w:rFonts w:hint="default"/>
      </w:rPr>
    </w:lvl>
    <w:lvl w:ilvl="5">
      <w:start w:val="1"/>
      <w:numFmt w:val="decimal"/>
      <w:isLgl/>
      <w:lvlText w:val="%1.%2.%3.%4.%5.%6."/>
      <w:lvlJc w:val="left"/>
      <w:pPr>
        <w:ind w:left="2520" w:hanging="216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148" w15:restartNumberingAfterBreak="0">
    <w:nsid w:val="712D1D22"/>
    <w:multiLevelType w:val="hybridMultilevel"/>
    <w:tmpl w:val="C1520CF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9" w15:restartNumberingAfterBreak="0">
    <w:nsid w:val="72544ED0"/>
    <w:multiLevelType w:val="hybridMultilevel"/>
    <w:tmpl w:val="A1E8C802"/>
    <w:lvl w:ilvl="0" w:tplc="0198A080">
      <w:start w:val="1"/>
      <w:numFmt w:val="decimal"/>
      <w:lvlText w:val="1.1.2.%1."/>
      <w:lvlJc w:val="righ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0" w15:restartNumberingAfterBreak="0">
    <w:nsid w:val="73001321"/>
    <w:multiLevelType w:val="hybridMultilevel"/>
    <w:tmpl w:val="CA469B4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1" w15:restartNumberingAfterBreak="0">
    <w:nsid w:val="734736C8"/>
    <w:multiLevelType w:val="multilevel"/>
    <w:tmpl w:val="9F6C7E30"/>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2" w15:restartNumberingAfterBreak="0">
    <w:nsid w:val="740B2DA9"/>
    <w:multiLevelType w:val="hybridMultilevel"/>
    <w:tmpl w:val="EEA833CC"/>
    <w:lvl w:ilvl="0" w:tplc="3D7C34EA">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3" w15:restartNumberingAfterBreak="0">
    <w:nsid w:val="741B01B0"/>
    <w:multiLevelType w:val="multilevel"/>
    <w:tmpl w:val="B3148628"/>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4" w15:restartNumberingAfterBreak="0">
    <w:nsid w:val="7451151F"/>
    <w:multiLevelType w:val="hybridMultilevel"/>
    <w:tmpl w:val="F26E2C4A"/>
    <w:lvl w:ilvl="0" w:tplc="A62C7138">
      <w:numFmt w:val="bullet"/>
      <w:lvlText w:val="-"/>
      <w:lvlJc w:val="left"/>
      <w:pPr>
        <w:ind w:left="720" w:hanging="360"/>
      </w:pPr>
      <w:rPr>
        <w:rFonts w:ascii="Arial" w:eastAsia="Times New Roman" w:hAnsi="Arial" w:cs="Arial" w:hint="default"/>
        <w:color w:val="0000FF"/>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5" w15:restartNumberingAfterBreak="0">
    <w:nsid w:val="74982E19"/>
    <w:multiLevelType w:val="hybridMultilevel"/>
    <w:tmpl w:val="5112907A"/>
    <w:lvl w:ilvl="0" w:tplc="ACF81A50">
      <w:start w:val="1"/>
      <w:numFmt w:val="bullet"/>
      <w:lvlText w:val="-"/>
      <w:lvlJc w:val="left"/>
      <w:pPr>
        <w:ind w:left="720" w:hanging="360"/>
      </w:pPr>
      <w:rPr>
        <w:rFonts w:ascii="Sylfaen" w:hAnsi="Sylfae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6" w15:restartNumberingAfterBreak="0">
    <w:nsid w:val="74C9170B"/>
    <w:multiLevelType w:val="hybridMultilevel"/>
    <w:tmpl w:val="C9BE196E"/>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7" w15:restartNumberingAfterBreak="0">
    <w:nsid w:val="750516BF"/>
    <w:multiLevelType w:val="hybridMultilevel"/>
    <w:tmpl w:val="B85C3D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8" w15:restartNumberingAfterBreak="0">
    <w:nsid w:val="78063FCD"/>
    <w:multiLevelType w:val="hybridMultilevel"/>
    <w:tmpl w:val="B8542668"/>
    <w:lvl w:ilvl="0" w:tplc="3D7C34EA">
      <w:numFmt w:val="bullet"/>
      <w:lvlText w:val="-"/>
      <w:lvlJc w:val="left"/>
      <w:pPr>
        <w:ind w:left="734" w:hanging="360"/>
      </w:pPr>
      <w:rPr>
        <w:rFonts w:ascii="Calibri" w:eastAsia="Times New Roman" w:hAnsi="Calibri" w:cs="Times New Roman" w:hint="default"/>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159" w15:restartNumberingAfterBreak="0">
    <w:nsid w:val="78DD151C"/>
    <w:multiLevelType w:val="hybridMultilevel"/>
    <w:tmpl w:val="27DEC442"/>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0" w15:restartNumberingAfterBreak="0">
    <w:nsid w:val="78E77DBB"/>
    <w:multiLevelType w:val="hybridMultilevel"/>
    <w:tmpl w:val="B46E89FE"/>
    <w:styleLink w:val="NumberedNote2"/>
    <w:lvl w:ilvl="0" w:tplc="90A0BA3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1" w15:restartNumberingAfterBreak="0">
    <w:nsid w:val="793B1CE0"/>
    <w:multiLevelType w:val="hybridMultilevel"/>
    <w:tmpl w:val="0CB8696A"/>
    <w:lvl w:ilvl="0" w:tplc="9738EB92">
      <w:start w:val="1"/>
      <w:numFmt w:val="decimal"/>
      <w:lvlText w:val="3.%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2" w15:restartNumberingAfterBreak="0">
    <w:nsid w:val="7B90050C"/>
    <w:multiLevelType w:val="hybridMultilevel"/>
    <w:tmpl w:val="BF162412"/>
    <w:lvl w:ilvl="0" w:tplc="0B120E88">
      <w:start w:val="1"/>
      <w:numFmt w:val="decimal"/>
      <w:lvlText w:val="2.%1."/>
      <w:lvlJc w:val="righ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3" w15:restartNumberingAfterBreak="0">
    <w:nsid w:val="7C0F19A8"/>
    <w:multiLevelType w:val="hybridMultilevel"/>
    <w:tmpl w:val="8F5E889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4" w15:restartNumberingAfterBreak="0">
    <w:nsid w:val="7C9B099E"/>
    <w:multiLevelType w:val="hybridMultilevel"/>
    <w:tmpl w:val="744AC5D0"/>
    <w:lvl w:ilvl="0" w:tplc="040C000D">
      <w:start w:val="1"/>
      <w:numFmt w:val="bullet"/>
      <w:lvlText w:val=""/>
      <w:lvlJc w:val="left"/>
      <w:pPr>
        <w:ind w:left="778" w:hanging="360"/>
      </w:pPr>
      <w:rPr>
        <w:rFonts w:ascii="Wingdings" w:hAnsi="Wingdings" w:hint="default"/>
      </w:rPr>
    </w:lvl>
    <w:lvl w:ilvl="1" w:tplc="040C0003" w:tentative="1">
      <w:start w:val="1"/>
      <w:numFmt w:val="bullet"/>
      <w:lvlText w:val="o"/>
      <w:lvlJc w:val="left"/>
      <w:pPr>
        <w:ind w:left="1498" w:hanging="360"/>
      </w:pPr>
      <w:rPr>
        <w:rFonts w:ascii="Courier New" w:hAnsi="Courier New" w:cs="Courier New" w:hint="default"/>
      </w:rPr>
    </w:lvl>
    <w:lvl w:ilvl="2" w:tplc="040C0005" w:tentative="1">
      <w:start w:val="1"/>
      <w:numFmt w:val="bullet"/>
      <w:lvlText w:val=""/>
      <w:lvlJc w:val="left"/>
      <w:pPr>
        <w:ind w:left="2218" w:hanging="360"/>
      </w:pPr>
      <w:rPr>
        <w:rFonts w:ascii="Wingdings" w:hAnsi="Wingdings" w:hint="default"/>
      </w:rPr>
    </w:lvl>
    <w:lvl w:ilvl="3" w:tplc="040C0001" w:tentative="1">
      <w:start w:val="1"/>
      <w:numFmt w:val="bullet"/>
      <w:lvlText w:val=""/>
      <w:lvlJc w:val="left"/>
      <w:pPr>
        <w:ind w:left="2938" w:hanging="360"/>
      </w:pPr>
      <w:rPr>
        <w:rFonts w:ascii="Symbol" w:hAnsi="Symbol" w:hint="default"/>
      </w:rPr>
    </w:lvl>
    <w:lvl w:ilvl="4" w:tplc="040C0003" w:tentative="1">
      <w:start w:val="1"/>
      <w:numFmt w:val="bullet"/>
      <w:lvlText w:val="o"/>
      <w:lvlJc w:val="left"/>
      <w:pPr>
        <w:ind w:left="3658" w:hanging="360"/>
      </w:pPr>
      <w:rPr>
        <w:rFonts w:ascii="Courier New" w:hAnsi="Courier New" w:cs="Courier New" w:hint="default"/>
      </w:rPr>
    </w:lvl>
    <w:lvl w:ilvl="5" w:tplc="040C0005" w:tentative="1">
      <w:start w:val="1"/>
      <w:numFmt w:val="bullet"/>
      <w:lvlText w:val=""/>
      <w:lvlJc w:val="left"/>
      <w:pPr>
        <w:ind w:left="4378" w:hanging="360"/>
      </w:pPr>
      <w:rPr>
        <w:rFonts w:ascii="Wingdings" w:hAnsi="Wingdings" w:hint="default"/>
      </w:rPr>
    </w:lvl>
    <w:lvl w:ilvl="6" w:tplc="040C0001" w:tentative="1">
      <w:start w:val="1"/>
      <w:numFmt w:val="bullet"/>
      <w:lvlText w:val=""/>
      <w:lvlJc w:val="left"/>
      <w:pPr>
        <w:ind w:left="5098" w:hanging="360"/>
      </w:pPr>
      <w:rPr>
        <w:rFonts w:ascii="Symbol" w:hAnsi="Symbol" w:hint="default"/>
      </w:rPr>
    </w:lvl>
    <w:lvl w:ilvl="7" w:tplc="040C0003" w:tentative="1">
      <w:start w:val="1"/>
      <w:numFmt w:val="bullet"/>
      <w:lvlText w:val="o"/>
      <w:lvlJc w:val="left"/>
      <w:pPr>
        <w:ind w:left="5818" w:hanging="360"/>
      </w:pPr>
      <w:rPr>
        <w:rFonts w:ascii="Courier New" w:hAnsi="Courier New" w:cs="Courier New" w:hint="default"/>
      </w:rPr>
    </w:lvl>
    <w:lvl w:ilvl="8" w:tplc="040C0005" w:tentative="1">
      <w:start w:val="1"/>
      <w:numFmt w:val="bullet"/>
      <w:lvlText w:val=""/>
      <w:lvlJc w:val="left"/>
      <w:pPr>
        <w:ind w:left="6538" w:hanging="360"/>
      </w:pPr>
      <w:rPr>
        <w:rFonts w:ascii="Wingdings" w:hAnsi="Wingdings" w:hint="default"/>
      </w:rPr>
    </w:lvl>
  </w:abstractNum>
  <w:abstractNum w:abstractNumId="165" w15:restartNumberingAfterBreak="0">
    <w:nsid w:val="7E6B329B"/>
    <w:multiLevelType w:val="hybridMultilevel"/>
    <w:tmpl w:val="1FDCAC4C"/>
    <w:lvl w:ilvl="0" w:tplc="9028E5EC">
      <w:start w:val="1"/>
      <w:numFmt w:val="decimal"/>
      <w:lvlText w:val="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6" w15:restartNumberingAfterBreak="0">
    <w:nsid w:val="7F3A2402"/>
    <w:multiLevelType w:val="hybridMultilevel"/>
    <w:tmpl w:val="CE38C3CA"/>
    <w:lvl w:ilvl="0" w:tplc="40706FAE">
      <w:numFmt w:val="bullet"/>
      <w:lvlText w:val="-"/>
      <w:lvlJc w:val="left"/>
      <w:pPr>
        <w:ind w:left="720" w:hanging="360"/>
      </w:pPr>
      <w:rPr>
        <w:rFonts w:ascii="Garamond" w:eastAsia="Times New Roman" w:hAnsi="Garamond"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7" w15:restartNumberingAfterBreak="0">
    <w:nsid w:val="7FE5363C"/>
    <w:multiLevelType w:val="hybridMultilevel"/>
    <w:tmpl w:val="CCA2FFEA"/>
    <w:lvl w:ilvl="0" w:tplc="0DD28B3C">
      <w:start w:val="1"/>
      <w:numFmt w:val="decimal"/>
      <w:lvlText w:val="2.%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7"/>
  </w:num>
  <w:num w:numId="2">
    <w:abstractNumId w:val="134"/>
  </w:num>
  <w:num w:numId="3">
    <w:abstractNumId w:val="16"/>
  </w:num>
  <w:num w:numId="4">
    <w:abstractNumId w:val="34"/>
  </w:num>
  <w:num w:numId="5">
    <w:abstractNumId w:val="136"/>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115"/>
  </w:num>
  <w:num w:numId="17">
    <w:abstractNumId w:val="101"/>
  </w:num>
  <w:num w:numId="18">
    <w:abstractNumId w:val="105"/>
  </w:num>
  <w:num w:numId="19">
    <w:abstractNumId w:val="27"/>
  </w:num>
  <w:num w:numId="20">
    <w:abstractNumId w:val="133"/>
  </w:num>
  <w:num w:numId="21">
    <w:abstractNumId w:val="82"/>
  </w:num>
  <w:num w:numId="22">
    <w:abstractNumId w:val="31"/>
  </w:num>
  <w:num w:numId="23">
    <w:abstractNumId w:val="102"/>
  </w:num>
  <w:num w:numId="24">
    <w:abstractNumId w:val="39"/>
  </w:num>
  <w:num w:numId="25">
    <w:abstractNumId w:val="28"/>
  </w:num>
  <w:num w:numId="26">
    <w:abstractNumId w:val="69"/>
  </w:num>
  <w:num w:numId="27">
    <w:abstractNumId w:val="40"/>
  </w:num>
  <w:num w:numId="28">
    <w:abstractNumId w:val="160"/>
  </w:num>
  <w:num w:numId="29">
    <w:abstractNumId w:val="95"/>
  </w:num>
  <w:num w:numId="30">
    <w:abstractNumId w:val="100"/>
  </w:num>
  <w:num w:numId="31">
    <w:abstractNumId w:val="36"/>
  </w:num>
  <w:num w:numId="32">
    <w:abstractNumId w:val="94"/>
  </w:num>
  <w:num w:numId="33">
    <w:abstractNumId w:val="29"/>
  </w:num>
  <w:num w:numId="34">
    <w:abstractNumId w:val="109"/>
  </w:num>
  <w:num w:numId="35">
    <w:abstractNumId w:val="21"/>
  </w:num>
  <w:num w:numId="36">
    <w:abstractNumId w:val="44"/>
  </w:num>
  <w:num w:numId="37">
    <w:abstractNumId w:val="50"/>
  </w:num>
  <w:num w:numId="38">
    <w:abstractNumId w:val="23"/>
  </w:num>
  <w:num w:numId="39">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5"/>
  </w:num>
  <w:num w:numId="41">
    <w:abstractNumId w:val="130"/>
  </w:num>
  <w:num w:numId="42">
    <w:abstractNumId w:val="43"/>
  </w:num>
  <w:num w:numId="43">
    <w:abstractNumId w:val="62"/>
  </w:num>
  <w:num w:numId="44">
    <w:abstractNumId w:val="124"/>
  </w:num>
  <w:num w:numId="45">
    <w:abstractNumId w:val="84"/>
  </w:num>
  <w:num w:numId="46">
    <w:abstractNumId w:val="73"/>
  </w:num>
  <w:num w:numId="47">
    <w:abstractNumId w:val="113"/>
  </w:num>
  <w:num w:numId="48">
    <w:abstractNumId w:val="122"/>
  </w:num>
  <w:num w:numId="49">
    <w:abstractNumId w:val="49"/>
  </w:num>
  <w:num w:numId="50">
    <w:abstractNumId w:val="45"/>
  </w:num>
  <w:num w:numId="51">
    <w:abstractNumId w:val="85"/>
  </w:num>
  <w:num w:numId="52">
    <w:abstractNumId w:val="158"/>
  </w:num>
  <w:num w:numId="53">
    <w:abstractNumId w:val="104"/>
  </w:num>
  <w:num w:numId="54">
    <w:abstractNumId w:val="138"/>
  </w:num>
  <w:num w:numId="55">
    <w:abstractNumId w:val="35"/>
  </w:num>
  <w:num w:numId="56">
    <w:abstractNumId w:val="140"/>
  </w:num>
  <w:num w:numId="57">
    <w:abstractNumId w:val="90"/>
  </w:num>
  <w:num w:numId="58">
    <w:abstractNumId w:val="42"/>
  </w:num>
  <w:num w:numId="59">
    <w:abstractNumId w:val="33"/>
  </w:num>
  <w:num w:numId="60">
    <w:abstractNumId w:val="148"/>
  </w:num>
  <w:num w:numId="61">
    <w:abstractNumId w:val="58"/>
  </w:num>
  <w:num w:numId="62">
    <w:abstractNumId w:val="59"/>
  </w:num>
  <w:num w:numId="63">
    <w:abstractNumId w:val="54"/>
  </w:num>
  <w:num w:numId="64">
    <w:abstractNumId w:val="32"/>
  </w:num>
  <w:num w:numId="65">
    <w:abstractNumId w:val="46"/>
  </w:num>
  <w:num w:numId="66">
    <w:abstractNumId w:val="74"/>
  </w:num>
  <w:num w:numId="67">
    <w:abstractNumId w:val="26"/>
  </w:num>
  <w:num w:numId="68">
    <w:abstractNumId w:val="117"/>
  </w:num>
  <w:num w:numId="69">
    <w:abstractNumId w:val="99"/>
  </w:num>
  <w:num w:numId="70">
    <w:abstractNumId w:val="152"/>
  </w:num>
  <w:num w:numId="71">
    <w:abstractNumId w:val="111"/>
  </w:num>
  <w:num w:numId="72">
    <w:abstractNumId w:val="166"/>
  </w:num>
  <w:num w:numId="73">
    <w:abstractNumId w:val="12"/>
  </w:num>
  <w:num w:numId="74">
    <w:abstractNumId w:val="96"/>
  </w:num>
  <w:num w:numId="75">
    <w:abstractNumId w:val="107"/>
  </w:num>
  <w:num w:numId="76">
    <w:abstractNumId w:val="55"/>
  </w:num>
  <w:num w:numId="77">
    <w:abstractNumId w:val="153"/>
  </w:num>
  <w:num w:numId="78">
    <w:abstractNumId w:val="61"/>
  </w:num>
  <w:num w:numId="79">
    <w:abstractNumId w:val="14"/>
  </w:num>
  <w:num w:numId="80">
    <w:abstractNumId w:val="22"/>
  </w:num>
  <w:num w:numId="81">
    <w:abstractNumId w:val="126"/>
  </w:num>
  <w:num w:numId="82">
    <w:abstractNumId w:val="146"/>
  </w:num>
  <w:num w:numId="83">
    <w:abstractNumId w:val="15"/>
  </w:num>
  <w:num w:numId="84">
    <w:abstractNumId w:val="150"/>
  </w:num>
  <w:num w:numId="85">
    <w:abstractNumId w:val="79"/>
  </w:num>
  <w:num w:numId="86">
    <w:abstractNumId w:val="108"/>
  </w:num>
  <w:num w:numId="87">
    <w:abstractNumId w:val="127"/>
  </w:num>
  <w:num w:numId="88">
    <w:abstractNumId w:val="163"/>
  </w:num>
  <w:num w:numId="89">
    <w:abstractNumId w:val="78"/>
  </w:num>
  <w:num w:numId="90">
    <w:abstractNumId w:val="88"/>
  </w:num>
  <w:num w:numId="91">
    <w:abstractNumId w:val="103"/>
  </w:num>
  <w:num w:numId="92">
    <w:abstractNumId w:val="164"/>
  </w:num>
  <w:num w:numId="93">
    <w:abstractNumId w:val="20"/>
  </w:num>
  <w:num w:numId="94">
    <w:abstractNumId w:val="18"/>
  </w:num>
  <w:num w:numId="95">
    <w:abstractNumId w:val="156"/>
  </w:num>
  <w:num w:numId="96">
    <w:abstractNumId w:val="66"/>
  </w:num>
  <w:num w:numId="97">
    <w:abstractNumId w:val="119"/>
  </w:num>
  <w:num w:numId="98">
    <w:abstractNumId w:val="38"/>
  </w:num>
  <w:num w:numId="99">
    <w:abstractNumId w:val="144"/>
  </w:num>
  <w:num w:numId="100">
    <w:abstractNumId w:val="70"/>
  </w:num>
  <w:num w:numId="101">
    <w:abstractNumId w:val="143"/>
  </w:num>
  <w:num w:numId="102">
    <w:abstractNumId w:val="135"/>
  </w:num>
  <w:num w:numId="103">
    <w:abstractNumId w:val="137"/>
  </w:num>
  <w:num w:numId="104">
    <w:abstractNumId w:val="68"/>
  </w:num>
  <w:num w:numId="105">
    <w:abstractNumId w:val="106"/>
  </w:num>
  <w:num w:numId="106">
    <w:abstractNumId w:val="37"/>
  </w:num>
  <w:num w:numId="107">
    <w:abstractNumId w:val="80"/>
  </w:num>
  <w:num w:numId="108">
    <w:abstractNumId w:val="157"/>
  </w:num>
  <w:num w:numId="109">
    <w:abstractNumId w:val="159"/>
  </w:num>
  <w:num w:numId="110">
    <w:abstractNumId w:val="125"/>
  </w:num>
  <w:num w:numId="111">
    <w:abstractNumId w:val="114"/>
  </w:num>
  <w:num w:numId="112">
    <w:abstractNumId w:val="75"/>
  </w:num>
  <w:num w:numId="113">
    <w:abstractNumId w:val="151"/>
  </w:num>
  <w:num w:numId="114">
    <w:abstractNumId w:val="142"/>
  </w:num>
  <w:num w:numId="115">
    <w:abstractNumId w:val="76"/>
  </w:num>
  <w:num w:numId="116">
    <w:abstractNumId w:val="97"/>
  </w:num>
  <w:num w:numId="117">
    <w:abstractNumId w:val="161"/>
  </w:num>
  <w:num w:numId="118">
    <w:abstractNumId w:val="165"/>
  </w:num>
  <w:num w:numId="119">
    <w:abstractNumId w:val="167"/>
  </w:num>
  <w:num w:numId="120">
    <w:abstractNumId w:val="92"/>
  </w:num>
  <w:num w:numId="121">
    <w:abstractNumId w:val="47"/>
  </w:num>
  <w:num w:numId="122">
    <w:abstractNumId w:val="60"/>
  </w:num>
  <w:num w:numId="123">
    <w:abstractNumId w:val="83"/>
  </w:num>
  <w:num w:numId="124">
    <w:abstractNumId w:val="132"/>
  </w:num>
  <w:num w:numId="125">
    <w:abstractNumId w:val="149"/>
  </w:num>
  <w:num w:numId="126">
    <w:abstractNumId w:val="72"/>
  </w:num>
  <w:num w:numId="127">
    <w:abstractNumId w:val="89"/>
  </w:num>
  <w:num w:numId="128">
    <w:abstractNumId w:val="81"/>
  </w:num>
  <w:num w:numId="129">
    <w:abstractNumId w:val="98"/>
  </w:num>
  <w:num w:numId="130">
    <w:abstractNumId w:val="154"/>
  </w:num>
  <w:num w:numId="131">
    <w:abstractNumId w:val="25"/>
  </w:num>
  <w:num w:numId="132">
    <w:abstractNumId w:val="77"/>
  </w:num>
  <w:num w:numId="133">
    <w:abstractNumId w:val="10"/>
    <w:lvlOverride w:ilvl="0">
      <w:lvl w:ilvl="0">
        <w:numFmt w:val="bullet"/>
        <w:lvlText w:val=""/>
        <w:legacy w:legacy="1" w:legacySpace="0" w:legacyIndent="0"/>
        <w:lvlJc w:val="left"/>
        <w:pPr>
          <w:ind w:left="0" w:firstLine="0"/>
        </w:pPr>
        <w:rPr>
          <w:rFonts w:ascii="Symbol" w:hAnsi="Symbol" w:hint="default"/>
        </w:rPr>
      </w:lvl>
    </w:lvlOverride>
  </w:num>
  <w:num w:numId="134">
    <w:abstractNumId w:val="11"/>
  </w:num>
  <w:num w:numId="135">
    <w:abstractNumId w:val="51"/>
  </w:num>
  <w:num w:numId="136">
    <w:abstractNumId w:val="64"/>
  </w:num>
  <w:num w:numId="137">
    <w:abstractNumId w:val="41"/>
  </w:num>
  <w:num w:numId="138">
    <w:abstractNumId w:val="110"/>
  </w:num>
  <w:num w:numId="139">
    <w:abstractNumId w:val="162"/>
  </w:num>
  <w:num w:numId="140">
    <w:abstractNumId w:val="116"/>
  </w:num>
  <w:num w:numId="141">
    <w:abstractNumId w:val="141"/>
  </w:num>
  <w:num w:numId="142">
    <w:abstractNumId w:val="13"/>
  </w:num>
  <w:num w:numId="143">
    <w:abstractNumId w:val="63"/>
  </w:num>
  <w:num w:numId="144">
    <w:abstractNumId w:val="24"/>
  </w:num>
  <w:num w:numId="145">
    <w:abstractNumId w:val="129"/>
  </w:num>
  <w:num w:numId="146">
    <w:abstractNumId w:val="118"/>
  </w:num>
  <w:num w:numId="147">
    <w:abstractNumId w:val="56"/>
  </w:num>
  <w:num w:numId="148">
    <w:abstractNumId w:val="93"/>
  </w:num>
  <w:num w:numId="149">
    <w:abstractNumId w:val="87"/>
  </w:num>
  <w:num w:numId="150">
    <w:abstractNumId w:val="19"/>
  </w:num>
  <w:num w:numId="151">
    <w:abstractNumId w:val="123"/>
  </w:num>
  <w:num w:numId="152">
    <w:abstractNumId w:val="53"/>
  </w:num>
  <w:num w:numId="153">
    <w:abstractNumId w:val="48"/>
  </w:num>
  <w:num w:numId="154">
    <w:abstractNumId w:val="131"/>
  </w:num>
  <w:num w:numId="155">
    <w:abstractNumId w:val="147"/>
  </w:num>
  <w:num w:numId="156">
    <w:abstractNumId w:val="120"/>
  </w:num>
  <w:num w:numId="157">
    <w:abstractNumId w:val="71"/>
  </w:num>
  <w:num w:numId="158">
    <w:abstractNumId w:val="139"/>
  </w:num>
  <w:num w:numId="159">
    <w:abstractNumId w:val="67"/>
  </w:num>
  <w:num w:numId="160">
    <w:abstractNumId w:val="145"/>
  </w:num>
  <w:num w:numId="161">
    <w:abstractNumId w:val="121"/>
  </w:num>
  <w:num w:numId="162">
    <w:abstractNumId w:val="57"/>
  </w:num>
  <w:num w:numId="163">
    <w:abstractNumId w:val="86"/>
  </w:num>
  <w:num w:numId="164">
    <w:abstractNumId w:val="128"/>
  </w:num>
  <w:num w:numId="165">
    <w:abstractNumId w:val="91"/>
  </w:num>
  <w:num w:numId="166">
    <w:abstractNumId w:val="65"/>
  </w:num>
  <w:num w:numId="167">
    <w:abstractNumId w:val="112"/>
  </w:num>
  <w:num w:numId="168">
    <w:abstractNumId w:val="30"/>
  </w:num>
  <w:numIdMacAtCleanup w:val="1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98D"/>
    <w:rsid w:val="00000F89"/>
    <w:rsid w:val="00002B76"/>
    <w:rsid w:val="00005F10"/>
    <w:rsid w:val="00010DAC"/>
    <w:rsid w:val="000124A4"/>
    <w:rsid w:val="00013E00"/>
    <w:rsid w:val="0001651F"/>
    <w:rsid w:val="00021B5C"/>
    <w:rsid w:val="00022C85"/>
    <w:rsid w:val="0002689B"/>
    <w:rsid w:val="00027A29"/>
    <w:rsid w:val="00031678"/>
    <w:rsid w:val="00031AA8"/>
    <w:rsid w:val="00033316"/>
    <w:rsid w:val="0003603A"/>
    <w:rsid w:val="00040C1D"/>
    <w:rsid w:val="000413E6"/>
    <w:rsid w:val="00045B09"/>
    <w:rsid w:val="00047552"/>
    <w:rsid w:val="0005089E"/>
    <w:rsid w:val="00050C18"/>
    <w:rsid w:val="00051C3E"/>
    <w:rsid w:val="00054E45"/>
    <w:rsid w:val="0005545F"/>
    <w:rsid w:val="000628BF"/>
    <w:rsid w:val="00063DA5"/>
    <w:rsid w:val="000645B8"/>
    <w:rsid w:val="0006710B"/>
    <w:rsid w:val="000701C5"/>
    <w:rsid w:val="00070371"/>
    <w:rsid w:val="00070604"/>
    <w:rsid w:val="00076A6B"/>
    <w:rsid w:val="00082DFC"/>
    <w:rsid w:val="000865A1"/>
    <w:rsid w:val="00090E24"/>
    <w:rsid w:val="00090FED"/>
    <w:rsid w:val="000935A7"/>
    <w:rsid w:val="000940C1"/>
    <w:rsid w:val="00095647"/>
    <w:rsid w:val="00095C43"/>
    <w:rsid w:val="00095F91"/>
    <w:rsid w:val="00096021"/>
    <w:rsid w:val="00096584"/>
    <w:rsid w:val="000A22E6"/>
    <w:rsid w:val="000A3065"/>
    <w:rsid w:val="000B078D"/>
    <w:rsid w:val="000B0BA3"/>
    <w:rsid w:val="000B2466"/>
    <w:rsid w:val="000B24E4"/>
    <w:rsid w:val="000B3331"/>
    <w:rsid w:val="000B5013"/>
    <w:rsid w:val="000B5FEA"/>
    <w:rsid w:val="000C281B"/>
    <w:rsid w:val="000C2B2E"/>
    <w:rsid w:val="000C3ACE"/>
    <w:rsid w:val="000C4A3A"/>
    <w:rsid w:val="000D106B"/>
    <w:rsid w:val="000D3198"/>
    <w:rsid w:val="000D4CD4"/>
    <w:rsid w:val="000D5EF5"/>
    <w:rsid w:val="000D6992"/>
    <w:rsid w:val="000D6D99"/>
    <w:rsid w:val="000D78A8"/>
    <w:rsid w:val="000E49A6"/>
    <w:rsid w:val="000E4CEA"/>
    <w:rsid w:val="000E5AA3"/>
    <w:rsid w:val="000E669D"/>
    <w:rsid w:val="000E6F30"/>
    <w:rsid w:val="000E717D"/>
    <w:rsid w:val="000E7394"/>
    <w:rsid w:val="000F0BEA"/>
    <w:rsid w:val="000F2078"/>
    <w:rsid w:val="000F3381"/>
    <w:rsid w:val="000F34E0"/>
    <w:rsid w:val="000F5282"/>
    <w:rsid w:val="000F5CBF"/>
    <w:rsid w:val="000F7628"/>
    <w:rsid w:val="000F7D8E"/>
    <w:rsid w:val="001042C7"/>
    <w:rsid w:val="0010529E"/>
    <w:rsid w:val="00106F6F"/>
    <w:rsid w:val="0011469C"/>
    <w:rsid w:val="00115233"/>
    <w:rsid w:val="00120355"/>
    <w:rsid w:val="0012195C"/>
    <w:rsid w:val="00122B82"/>
    <w:rsid w:val="00123786"/>
    <w:rsid w:val="00123E4E"/>
    <w:rsid w:val="001244F1"/>
    <w:rsid w:val="001251D5"/>
    <w:rsid w:val="00125252"/>
    <w:rsid w:val="001252BD"/>
    <w:rsid w:val="00127717"/>
    <w:rsid w:val="0012796B"/>
    <w:rsid w:val="0013235E"/>
    <w:rsid w:val="001339CB"/>
    <w:rsid w:val="00134245"/>
    <w:rsid w:val="001365A5"/>
    <w:rsid w:val="001369C1"/>
    <w:rsid w:val="00136C2A"/>
    <w:rsid w:val="0014028C"/>
    <w:rsid w:val="00140667"/>
    <w:rsid w:val="00142A27"/>
    <w:rsid w:val="0014551C"/>
    <w:rsid w:val="00150989"/>
    <w:rsid w:val="0015344F"/>
    <w:rsid w:val="00154B96"/>
    <w:rsid w:val="0015524F"/>
    <w:rsid w:val="00156DAA"/>
    <w:rsid w:val="0016151D"/>
    <w:rsid w:val="00161A3D"/>
    <w:rsid w:val="00161B12"/>
    <w:rsid w:val="0016559E"/>
    <w:rsid w:val="00171D2B"/>
    <w:rsid w:val="00176180"/>
    <w:rsid w:val="00181DFA"/>
    <w:rsid w:val="00182620"/>
    <w:rsid w:val="00182680"/>
    <w:rsid w:val="00183747"/>
    <w:rsid w:val="00185991"/>
    <w:rsid w:val="00193365"/>
    <w:rsid w:val="00193AAD"/>
    <w:rsid w:val="00193D81"/>
    <w:rsid w:val="001950A5"/>
    <w:rsid w:val="0019774E"/>
    <w:rsid w:val="00197DFB"/>
    <w:rsid w:val="001A1A0C"/>
    <w:rsid w:val="001A21F4"/>
    <w:rsid w:val="001A6698"/>
    <w:rsid w:val="001B06CE"/>
    <w:rsid w:val="001B1ACE"/>
    <w:rsid w:val="001B4E2D"/>
    <w:rsid w:val="001B62CC"/>
    <w:rsid w:val="001B6394"/>
    <w:rsid w:val="001B7580"/>
    <w:rsid w:val="001B77E5"/>
    <w:rsid w:val="001C1E36"/>
    <w:rsid w:val="001C2B59"/>
    <w:rsid w:val="001C6354"/>
    <w:rsid w:val="001D1974"/>
    <w:rsid w:val="001D19D6"/>
    <w:rsid w:val="001D1FAC"/>
    <w:rsid w:val="001D3F3B"/>
    <w:rsid w:val="001D5C79"/>
    <w:rsid w:val="001D63AD"/>
    <w:rsid w:val="001D71C7"/>
    <w:rsid w:val="001D7FD6"/>
    <w:rsid w:val="001E0C07"/>
    <w:rsid w:val="001E0DB0"/>
    <w:rsid w:val="001E6874"/>
    <w:rsid w:val="001E6F40"/>
    <w:rsid w:val="001F0D74"/>
    <w:rsid w:val="001F2058"/>
    <w:rsid w:val="001F2698"/>
    <w:rsid w:val="001F2B6C"/>
    <w:rsid w:val="001F4294"/>
    <w:rsid w:val="001F59B4"/>
    <w:rsid w:val="001F6034"/>
    <w:rsid w:val="001F6324"/>
    <w:rsid w:val="00200EA9"/>
    <w:rsid w:val="00201074"/>
    <w:rsid w:val="002053FB"/>
    <w:rsid w:val="00206E37"/>
    <w:rsid w:val="002075C4"/>
    <w:rsid w:val="00210374"/>
    <w:rsid w:val="00210E83"/>
    <w:rsid w:val="0021108C"/>
    <w:rsid w:val="00213FE2"/>
    <w:rsid w:val="0022292C"/>
    <w:rsid w:val="00224F66"/>
    <w:rsid w:val="00225438"/>
    <w:rsid w:val="0023016B"/>
    <w:rsid w:val="00231A0E"/>
    <w:rsid w:val="00233908"/>
    <w:rsid w:val="0023440D"/>
    <w:rsid w:val="002347CE"/>
    <w:rsid w:val="00235F1C"/>
    <w:rsid w:val="002375AF"/>
    <w:rsid w:val="002375D2"/>
    <w:rsid w:val="0023780D"/>
    <w:rsid w:val="00240769"/>
    <w:rsid w:val="0024259A"/>
    <w:rsid w:val="00242A39"/>
    <w:rsid w:val="00242F00"/>
    <w:rsid w:val="00243045"/>
    <w:rsid w:val="002430EA"/>
    <w:rsid w:val="00247ABF"/>
    <w:rsid w:val="002501B9"/>
    <w:rsid w:val="00250C4E"/>
    <w:rsid w:val="00254014"/>
    <w:rsid w:val="0025555D"/>
    <w:rsid w:val="00256EE0"/>
    <w:rsid w:val="002570DC"/>
    <w:rsid w:val="00266ED3"/>
    <w:rsid w:val="00266FAE"/>
    <w:rsid w:val="00270405"/>
    <w:rsid w:val="00270AE9"/>
    <w:rsid w:val="00274BF1"/>
    <w:rsid w:val="00275194"/>
    <w:rsid w:val="00281E24"/>
    <w:rsid w:val="0028414B"/>
    <w:rsid w:val="00285BD3"/>
    <w:rsid w:val="002867D5"/>
    <w:rsid w:val="00291419"/>
    <w:rsid w:val="00293818"/>
    <w:rsid w:val="002958C5"/>
    <w:rsid w:val="00297A25"/>
    <w:rsid w:val="002A2F1B"/>
    <w:rsid w:val="002A410C"/>
    <w:rsid w:val="002B0156"/>
    <w:rsid w:val="002B51BA"/>
    <w:rsid w:val="002B595E"/>
    <w:rsid w:val="002B66F9"/>
    <w:rsid w:val="002C022F"/>
    <w:rsid w:val="002C0A51"/>
    <w:rsid w:val="002C2CCD"/>
    <w:rsid w:val="002C35FB"/>
    <w:rsid w:val="002C7316"/>
    <w:rsid w:val="002C7DFD"/>
    <w:rsid w:val="002D0472"/>
    <w:rsid w:val="002D1974"/>
    <w:rsid w:val="002D2210"/>
    <w:rsid w:val="002D3BCD"/>
    <w:rsid w:val="002D4717"/>
    <w:rsid w:val="002D4B78"/>
    <w:rsid w:val="002D783E"/>
    <w:rsid w:val="002E06BF"/>
    <w:rsid w:val="002E12F6"/>
    <w:rsid w:val="002E13B8"/>
    <w:rsid w:val="002E4F7F"/>
    <w:rsid w:val="002F0E02"/>
    <w:rsid w:val="002F2B03"/>
    <w:rsid w:val="003022DC"/>
    <w:rsid w:val="003027E8"/>
    <w:rsid w:val="00307F9E"/>
    <w:rsid w:val="00311505"/>
    <w:rsid w:val="00313381"/>
    <w:rsid w:val="003138B4"/>
    <w:rsid w:val="00315D22"/>
    <w:rsid w:val="00315F4F"/>
    <w:rsid w:val="00317A91"/>
    <w:rsid w:val="003206FB"/>
    <w:rsid w:val="00326A83"/>
    <w:rsid w:val="00326FEE"/>
    <w:rsid w:val="0032736F"/>
    <w:rsid w:val="0033650B"/>
    <w:rsid w:val="00336ED9"/>
    <w:rsid w:val="003406F7"/>
    <w:rsid w:val="003434D8"/>
    <w:rsid w:val="0034663D"/>
    <w:rsid w:val="00347B50"/>
    <w:rsid w:val="00352DED"/>
    <w:rsid w:val="003549B2"/>
    <w:rsid w:val="003566A0"/>
    <w:rsid w:val="00356AF2"/>
    <w:rsid w:val="00360758"/>
    <w:rsid w:val="0036318E"/>
    <w:rsid w:val="003642CB"/>
    <w:rsid w:val="003649E2"/>
    <w:rsid w:val="00365552"/>
    <w:rsid w:val="0036563F"/>
    <w:rsid w:val="0036646C"/>
    <w:rsid w:val="00371649"/>
    <w:rsid w:val="00371DE7"/>
    <w:rsid w:val="0037278A"/>
    <w:rsid w:val="0037449A"/>
    <w:rsid w:val="003750C1"/>
    <w:rsid w:val="00375BD2"/>
    <w:rsid w:val="003802ED"/>
    <w:rsid w:val="00380C15"/>
    <w:rsid w:val="00383C15"/>
    <w:rsid w:val="00383FA7"/>
    <w:rsid w:val="00384916"/>
    <w:rsid w:val="00386E22"/>
    <w:rsid w:val="00395A8C"/>
    <w:rsid w:val="0039632D"/>
    <w:rsid w:val="00396AB3"/>
    <w:rsid w:val="003A4BA8"/>
    <w:rsid w:val="003A5597"/>
    <w:rsid w:val="003A6205"/>
    <w:rsid w:val="003A6840"/>
    <w:rsid w:val="003B02EB"/>
    <w:rsid w:val="003B114C"/>
    <w:rsid w:val="003B2A65"/>
    <w:rsid w:val="003B4B1A"/>
    <w:rsid w:val="003B4F2C"/>
    <w:rsid w:val="003B5EF3"/>
    <w:rsid w:val="003B740E"/>
    <w:rsid w:val="003B7D48"/>
    <w:rsid w:val="003C03F1"/>
    <w:rsid w:val="003C1FD7"/>
    <w:rsid w:val="003C46FE"/>
    <w:rsid w:val="003C4D1B"/>
    <w:rsid w:val="003C6733"/>
    <w:rsid w:val="003C75E6"/>
    <w:rsid w:val="003D4E9B"/>
    <w:rsid w:val="003D53F6"/>
    <w:rsid w:val="003D6C65"/>
    <w:rsid w:val="003D6F3F"/>
    <w:rsid w:val="003E17E0"/>
    <w:rsid w:val="003E3EDB"/>
    <w:rsid w:val="003E5ABE"/>
    <w:rsid w:val="003F0816"/>
    <w:rsid w:val="003F133A"/>
    <w:rsid w:val="003F1F11"/>
    <w:rsid w:val="003F3223"/>
    <w:rsid w:val="00400E8A"/>
    <w:rsid w:val="00400F65"/>
    <w:rsid w:val="004011D5"/>
    <w:rsid w:val="00403DFF"/>
    <w:rsid w:val="00405DCC"/>
    <w:rsid w:val="004102E3"/>
    <w:rsid w:val="0041089A"/>
    <w:rsid w:val="00411DA3"/>
    <w:rsid w:val="004146D8"/>
    <w:rsid w:val="00414CA5"/>
    <w:rsid w:val="00416495"/>
    <w:rsid w:val="0041674D"/>
    <w:rsid w:val="004169CF"/>
    <w:rsid w:val="0042071E"/>
    <w:rsid w:val="00421139"/>
    <w:rsid w:val="00421AD7"/>
    <w:rsid w:val="004223CE"/>
    <w:rsid w:val="00426E37"/>
    <w:rsid w:val="004277C1"/>
    <w:rsid w:val="00430035"/>
    <w:rsid w:val="00430817"/>
    <w:rsid w:val="004316BB"/>
    <w:rsid w:val="00433D86"/>
    <w:rsid w:val="004352B3"/>
    <w:rsid w:val="00437B09"/>
    <w:rsid w:val="0044141F"/>
    <w:rsid w:val="00441886"/>
    <w:rsid w:val="004431ED"/>
    <w:rsid w:val="004457F8"/>
    <w:rsid w:val="00453332"/>
    <w:rsid w:val="00464E53"/>
    <w:rsid w:val="0046609B"/>
    <w:rsid w:val="00467A97"/>
    <w:rsid w:val="00473D42"/>
    <w:rsid w:val="00475F95"/>
    <w:rsid w:val="004765E5"/>
    <w:rsid w:val="004768D8"/>
    <w:rsid w:val="004774AA"/>
    <w:rsid w:val="004806D2"/>
    <w:rsid w:val="00486546"/>
    <w:rsid w:val="00487AD7"/>
    <w:rsid w:val="00487B88"/>
    <w:rsid w:val="00490595"/>
    <w:rsid w:val="004913C7"/>
    <w:rsid w:val="004922AE"/>
    <w:rsid w:val="00495159"/>
    <w:rsid w:val="004963C3"/>
    <w:rsid w:val="00496421"/>
    <w:rsid w:val="00496903"/>
    <w:rsid w:val="0049705B"/>
    <w:rsid w:val="004A0CB5"/>
    <w:rsid w:val="004A4E53"/>
    <w:rsid w:val="004A76BB"/>
    <w:rsid w:val="004A7A16"/>
    <w:rsid w:val="004B2654"/>
    <w:rsid w:val="004B46DC"/>
    <w:rsid w:val="004B4B42"/>
    <w:rsid w:val="004B5015"/>
    <w:rsid w:val="004C028D"/>
    <w:rsid w:val="004C1106"/>
    <w:rsid w:val="004C2762"/>
    <w:rsid w:val="004C3EFB"/>
    <w:rsid w:val="004D1607"/>
    <w:rsid w:val="004D1DDE"/>
    <w:rsid w:val="004D2943"/>
    <w:rsid w:val="004D2E60"/>
    <w:rsid w:val="004D41CA"/>
    <w:rsid w:val="004D58D8"/>
    <w:rsid w:val="004D590D"/>
    <w:rsid w:val="004D7A67"/>
    <w:rsid w:val="004D7F0F"/>
    <w:rsid w:val="004E08E5"/>
    <w:rsid w:val="004F64E0"/>
    <w:rsid w:val="0050088F"/>
    <w:rsid w:val="0050167C"/>
    <w:rsid w:val="00501D30"/>
    <w:rsid w:val="00502F1F"/>
    <w:rsid w:val="005034DA"/>
    <w:rsid w:val="00507F39"/>
    <w:rsid w:val="00510E4A"/>
    <w:rsid w:val="005121BB"/>
    <w:rsid w:val="00512346"/>
    <w:rsid w:val="00513B95"/>
    <w:rsid w:val="0051738F"/>
    <w:rsid w:val="00523BF8"/>
    <w:rsid w:val="005249AE"/>
    <w:rsid w:val="005307D1"/>
    <w:rsid w:val="0053231E"/>
    <w:rsid w:val="0053376B"/>
    <w:rsid w:val="005344C6"/>
    <w:rsid w:val="005368F8"/>
    <w:rsid w:val="00536B3B"/>
    <w:rsid w:val="00541614"/>
    <w:rsid w:val="00542861"/>
    <w:rsid w:val="00543007"/>
    <w:rsid w:val="0054433A"/>
    <w:rsid w:val="005456FA"/>
    <w:rsid w:val="00550705"/>
    <w:rsid w:val="00550DAD"/>
    <w:rsid w:val="005546DD"/>
    <w:rsid w:val="0055507B"/>
    <w:rsid w:val="0055607A"/>
    <w:rsid w:val="005562C7"/>
    <w:rsid w:val="00557D01"/>
    <w:rsid w:val="00562A1B"/>
    <w:rsid w:val="0056451E"/>
    <w:rsid w:val="00567E80"/>
    <w:rsid w:val="00571C91"/>
    <w:rsid w:val="0057227E"/>
    <w:rsid w:val="00573E93"/>
    <w:rsid w:val="00574796"/>
    <w:rsid w:val="00577354"/>
    <w:rsid w:val="005819EB"/>
    <w:rsid w:val="005833D2"/>
    <w:rsid w:val="00584290"/>
    <w:rsid w:val="0058471D"/>
    <w:rsid w:val="00584988"/>
    <w:rsid w:val="005852C3"/>
    <w:rsid w:val="005867C3"/>
    <w:rsid w:val="0058752A"/>
    <w:rsid w:val="00587AE8"/>
    <w:rsid w:val="00590EA3"/>
    <w:rsid w:val="005A0C0C"/>
    <w:rsid w:val="005A13A8"/>
    <w:rsid w:val="005A13BC"/>
    <w:rsid w:val="005A6A6E"/>
    <w:rsid w:val="005B6356"/>
    <w:rsid w:val="005B67E4"/>
    <w:rsid w:val="005B6BDC"/>
    <w:rsid w:val="005C05F0"/>
    <w:rsid w:val="005C2200"/>
    <w:rsid w:val="005C25A3"/>
    <w:rsid w:val="005C44F4"/>
    <w:rsid w:val="005C46FA"/>
    <w:rsid w:val="005C50B5"/>
    <w:rsid w:val="005C7A72"/>
    <w:rsid w:val="005E204F"/>
    <w:rsid w:val="005E4BC4"/>
    <w:rsid w:val="005F137F"/>
    <w:rsid w:val="005F18B5"/>
    <w:rsid w:val="005F1CD5"/>
    <w:rsid w:val="005F2E08"/>
    <w:rsid w:val="005F607F"/>
    <w:rsid w:val="005F6AD2"/>
    <w:rsid w:val="005F7117"/>
    <w:rsid w:val="005F7C3A"/>
    <w:rsid w:val="0060083A"/>
    <w:rsid w:val="006018BC"/>
    <w:rsid w:val="006065C8"/>
    <w:rsid w:val="006076C1"/>
    <w:rsid w:val="00607F46"/>
    <w:rsid w:val="006100D3"/>
    <w:rsid w:val="00614DD7"/>
    <w:rsid w:val="006162F3"/>
    <w:rsid w:val="00616984"/>
    <w:rsid w:val="00626E7B"/>
    <w:rsid w:val="00631827"/>
    <w:rsid w:val="00632323"/>
    <w:rsid w:val="006331E1"/>
    <w:rsid w:val="00633861"/>
    <w:rsid w:val="00634D70"/>
    <w:rsid w:val="00635AE1"/>
    <w:rsid w:val="00636AEF"/>
    <w:rsid w:val="00636D88"/>
    <w:rsid w:val="006375DB"/>
    <w:rsid w:val="00642014"/>
    <w:rsid w:val="00644A07"/>
    <w:rsid w:val="00645382"/>
    <w:rsid w:val="0064569D"/>
    <w:rsid w:val="00645BFA"/>
    <w:rsid w:val="00645FD9"/>
    <w:rsid w:val="006461DF"/>
    <w:rsid w:val="006504CC"/>
    <w:rsid w:val="00650ADA"/>
    <w:rsid w:val="0065740D"/>
    <w:rsid w:val="0066271E"/>
    <w:rsid w:val="0067104B"/>
    <w:rsid w:val="006713F9"/>
    <w:rsid w:val="006753B1"/>
    <w:rsid w:val="00675556"/>
    <w:rsid w:val="00676A34"/>
    <w:rsid w:val="0068332B"/>
    <w:rsid w:val="006853B6"/>
    <w:rsid w:val="00693560"/>
    <w:rsid w:val="0069485D"/>
    <w:rsid w:val="006A2270"/>
    <w:rsid w:val="006A39E3"/>
    <w:rsid w:val="006A4D2F"/>
    <w:rsid w:val="006B20F6"/>
    <w:rsid w:val="006B2DC1"/>
    <w:rsid w:val="006B3AB4"/>
    <w:rsid w:val="006B70ED"/>
    <w:rsid w:val="006B7C6D"/>
    <w:rsid w:val="006B7F7B"/>
    <w:rsid w:val="006C0AD5"/>
    <w:rsid w:val="006C1EC9"/>
    <w:rsid w:val="006C218C"/>
    <w:rsid w:val="006C3CAD"/>
    <w:rsid w:val="006C5AD1"/>
    <w:rsid w:val="006C6C4F"/>
    <w:rsid w:val="006C76BC"/>
    <w:rsid w:val="006D04B1"/>
    <w:rsid w:val="006D12BD"/>
    <w:rsid w:val="006D1EA2"/>
    <w:rsid w:val="006D2917"/>
    <w:rsid w:val="006D37DC"/>
    <w:rsid w:val="006D3FCF"/>
    <w:rsid w:val="006D4E7D"/>
    <w:rsid w:val="006E040B"/>
    <w:rsid w:val="006E0482"/>
    <w:rsid w:val="006E0820"/>
    <w:rsid w:val="006E340B"/>
    <w:rsid w:val="006E527E"/>
    <w:rsid w:val="006E7D00"/>
    <w:rsid w:val="006E7EAE"/>
    <w:rsid w:val="006F2809"/>
    <w:rsid w:val="006F2FFD"/>
    <w:rsid w:val="006F5A9E"/>
    <w:rsid w:val="00701D7E"/>
    <w:rsid w:val="00702ABD"/>
    <w:rsid w:val="00705FD7"/>
    <w:rsid w:val="00707F22"/>
    <w:rsid w:val="0071006D"/>
    <w:rsid w:val="007106BA"/>
    <w:rsid w:val="00711255"/>
    <w:rsid w:val="007114B3"/>
    <w:rsid w:val="007171F6"/>
    <w:rsid w:val="00721F34"/>
    <w:rsid w:val="007242CF"/>
    <w:rsid w:val="00724765"/>
    <w:rsid w:val="00724EF8"/>
    <w:rsid w:val="00724FBE"/>
    <w:rsid w:val="00725511"/>
    <w:rsid w:val="00725C13"/>
    <w:rsid w:val="007321D5"/>
    <w:rsid w:val="007326DC"/>
    <w:rsid w:val="00733715"/>
    <w:rsid w:val="007340D6"/>
    <w:rsid w:val="0073442A"/>
    <w:rsid w:val="00736C2D"/>
    <w:rsid w:val="0074127E"/>
    <w:rsid w:val="00742715"/>
    <w:rsid w:val="007444EB"/>
    <w:rsid w:val="007467D2"/>
    <w:rsid w:val="00746D30"/>
    <w:rsid w:val="007509E8"/>
    <w:rsid w:val="00751926"/>
    <w:rsid w:val="00752C67"/>
    <w:rsid w:val="007537DB"/>
    <w:rsid w:val="00755FC1"/>
    <w:rsid w:val="007614CB"/>
    <w:rsid w:val="007628BD"/>
    <w:rsid w:val="007709EC"/>
    <w:rsid w:val="00771E5F"/>
    <w:rsid w:val="007729FD"/>
    <w:rsid w:val="00774121"/>
    <w:rsid w:val="007805F4"/>
    <w:rsid w:val="0078164E"/>
    <w:rsid w:val="00782BF2"/>
    <w:rsid w:val="00784822"/>
    <w:rsid w:val="00785F21"/>
    <w:rsid w:val="007916B0"/>
    <w:rsid w:val="00792293"/>
    <w:rsid w:val="0079336A"/>
    <w:rsid w:val="007935C0"/>
    <w:rsid w:val="007945ED"/>
    <w:rsid w:val="00795852"/>
    <w:rsid w:val="007A1012"/>
    <w:rsid w:val="007A3077"/>
    <w:rsid w:val="007A37C3"/>
    <w:rsid w:val="007A5E31"/>
    <w:rsid w:val="007A7C26"/>
    <w:rsid w:val="007B00BF"/>
    <w:rsid w:val="007B1307"/>
    <w:rsid w:val="007B4D2A"/>
    <w:rsid w:val="007B594B"/>
    <w:rsid w:val="007B5BA7"/>
    <w:rsid w:val="007C32CF"/>
    <w:rsid w:val="007C3E5F"/>
    <w:rsid w:val="007C7325"/>
    <w:rsid w:val="007D0974"/>
    <w:rsid w:val="007D4AFB"/>
    <w:rsid w:val="007D5292"/>
    <w:rsid w:val="007D60A2"/>
    <w:rsid w:val="007E0445"/>
    <w:rsid w:val="007E0A25"/>
    <w:rsid w:val="007E1FDB"/>
    <w:rsid w:val="007E4CA6"/>
    <w:rsid w:val="007E793D"/>
    <w:rsid w:val="007E7D65"/>
    <w:rsid w:val="007F045E"/>
    <w:rsid w:val="007F18DB"/>
    <w:rsid w:val="007F4F1B"/>
    <w:rsid w:val="007F74B1"/>
    <w:rsid w:val="007F7A2E"/>
    <w:rsid w:val="00800000"/>
    <w:rsid w:val="00801CE2"/>
    <w:rsid w:val="00805DBA"/>
    <w:rsid w:val="00806065"/>
    <w:rsid w:val="0080692B"/>
    <w:rsid w:val="0081213A"/>
    <w:rsid w:val="008158BA"/>
    <w:rsid w:val="008213AB"/>
    <w:rsid w:val="0082238C"/>
    <w:rsid w:val="0082404B"/>
    <w:rsid w:val="00824F28"/>
    <w:rsid w:val="0082517E"/>
    <w:rsid w:val="00827105"/>
    <w:rsid w:val="008332D8"/>
    <w:rsid w:val="0084193F"/>
    <w:rsid w:val="008430F9"/>
    <w:rsid w:val="008436A2"/>
    <w:rsid w:val="008438DA"/>
    <w:rsid w:val="0084654F"/>
    <w:rsid w:val="00857395"/>
    <w:rsid w:val="00861DE5"/>
    <w:rsid w:val="00863484"/>
    <w:rsid w:val="00864B5B"/>
    <w:rsid w:val="00866EB9"/>
    <w:rsid w:val="00867607"/>
    <w:rsid w:val="0086765E"/>
    <w:rsid w:val="008678BB"/>
    <w:rsid w:val="00867B51"/>
    <w:rsid w:val="008718D6"/>
    <w:rsid w:val="00871BB1"/>
    <w:rsid w:val="00872CC4"/>
    <w:rsid w:val="00872D1A"/>
    <w:rsid w:val="0087480D"/>
    <w:rsid w:val="008751C8"/>
    <w:rsid w:val="0087787B"/>
    <w:rsid w:val="0088487C"/>
    <w:rsid w:val="00890465"/>
    <w:rsid w:val="00893AEA"/>
    <w:rsid w:val="00895283"/>
    <w:rsid w:val="008952CC"/>
    <w:rsid w:val="00896A18"/>
    <w:rsid w:val="008A23B5"/>
    <w:rsid w:val="008A45BB"/>
    <w:rsid w:val="008B1CC1"/>
    <w:rsid w:val="008B3692"/>
    <w:rsid w:val="008B398A"/>
    <w:rsid w:val="008C12E3"/>
    <w:rsid w:val="008C1CAF"/>
    <w:rsid w:val="008C545B"/>
    <w:rsid w:val="008D03DD"/>
    <w:rsid w:val="008D2BCA"/>
    <w:rsid w:val="008D3C2D"/>
    <w:rsid w:val="008D7758"/>
    <w:rsid w:val="008E0461"/>
    <w:rsid w:val="008E0F9F"/>
    <w:rsid w:val="008E1F33"/>
    <w:rsid w:val="008E2D99"/>
    <w:rsid w:val="008E33DC"/>
    <w:rsid w:val="008E46F4"/>
    <w:rsid w:val="008F16B8"/>
    <w:rsid w:val="008F199C"/>
    <w:rsid w:val="008F1FA9"/>
    <w:rsid w:val="008F2F17"/>
    <w:rsid w:val="008F3320"/>
    <w:rsid w:val="008F4954"/>
    <w:rsid w:val="00900813"/>
    <w:rsid w:val="0090132B"/>
    <w:rsid w:val="009016A3"/>
    <w:rsid w:val="00901B8E"/>
    <w:rsid w:val="0090408D"/>
    <w:rsid w:val="00906606"/>
    <w:rsid w:val="009066BC"/>
    <w:rsid w:val="009109A3"/>
    <w:rsid w:val="00911A6B"/>
    <w:rsid w:val="00916378"/>
    <w:rsid w:val="0092232D"/>
    <w:rsid w:val="009233FD"/>
    <w:rsid w:val="00923F42"/>
    <w:rsid w:val="0092475B"/>
    <w:rsid w:val="00924896"/>
    <w:rsid w:val="00924FEC"/>
    <w:rsid w:val="0092607F"/>
    <w:rsid w:val="0092630A"/>
    <w:rsid w:val="009268C3"/>
    <w:rsid w:val="00926CFC"/>
    <w:rsid w:val="00931984"/>
    <w:rsid w:val="00935176"/>
    <w:rsid w:val="00935509"/>
    <w:rsid w:val="0093610D"/>
    <w:rsid w:val="00937780"/>
    <w:rsid w:val="0093799B"/>
    <w:rsid w:val="00944B0C"/>
    <w:rsid w:val="00945A9A"/>
    <w:rsid w:val="00950DC4"/>
    <w:rsid w:val="009512E0"/>
    <w:rsid w:val="00951990"/>
    <w:rsid w:val="009534FD"/>
    <w:rsid w:val="00954344"/>
    <w:rsid w:val="00956E8F"/>
    <w:rsid w:val="00957DDD"/>
    <w:rsid w:val="00960A66"/>
    <w:rsid w:val="00961EB5"/>
    <w:rsid w:val="009623BA"/>
    <w:rsid w:val="00963BA2"/>
    <w:rsid w:val="00966F2E"/>
    <w:rsid w:val="009670DC"/>
    <w:rsid w:val="00971224"/>
    <w:rsid w:val="009733A3"/>
    <w:rsid w:val="00980BB0"/>
    <w:rsid w:val="00981CCC"/>
    <w:rsid w:val="009825D0"/>
    <w:rsid w:val="0098349A"/>
    <w:rsid w:val="0098468A"/>
    <w:rsid w:val="009861CA"/>
    <w:rsid w:val="00987EBF"/>
    <w:rsid w:val="00990AAA"/>
    <w:rsid w:val="00991430"/>
    <w:rsid w:val="00992535"/>
    <w:rsid w:val="00993E5C"/>
    <w:rsid w:val="00994406"/>
    <w:rsid w:val="0099570E"/>
    <w:rsid w:val="009A0755"/>
    <w:rsid w:val="009A1402"/>
    <w:rsid w:val="009A1DE3"/>
    <w:rsid w:val="009A2002"/>
    <w:rsid w:val="009A2F45"/>
    <w:rsid w:val="009A466A"/>
    <w:rsid w:val="009A4CAB"/>
    <w:rsid w:val="009A4DF8"/>
    <w:rsid w:val="009A5EA5"/>
    <w:rsid w:val="009A5FE6"/>
    <w:rsid w:val="009A7979"/>
    <w:rsid w:val="009B4AC5"/>
    <w:rsid w:val="009B4DF6"/>
    <w:rsid w:val="009B5BC6"/>
    <w:rsid w:val="009B71CE"/>
    <w:rsid w:val="009C563C"/>
    <w:rsid w:val="009C7788"/>
    <w:rsid w:val="009D0A96"/>
    <w:rsid w:val="009D6450"/>
    <w:rsid w:val="009D68AB"/>
    <w:rsid w:val="009D7CC1"/>
    <w:rsid w:val="009E3B6D"/>
    <w:rsid w:val="009E3D6F"/>
    <w:rsid w:val="009E4D66"/>
    <w:rsid w:val="009E7787"/>
    <w:rsid w:val="009F0E05"/>
    <w:rsid w:val="009F1831"/>
    <w:rsid w:val="009F1E8D"/>
    <w:rsid w:val="009F1F8A"/>
    <w:rsid w:val="009F4188"/>
    <w:rsid w:val="009F4A8A"/>
    <w:rsid w:val="009F4E19"/>
    <w:rsid w:val="009F68D3"/>
    <w:rsid w:val="009F74BC"/>
    <w:rsid w:val="00A00022"/>
    <w:rsid w:val="00A033CD"/>
    <w:rsid w:val="00A034BB"/>
    <w:rsid w:val="00A03926"/>
    <w:rsid w:val="00A052DB"/>
    <w:rsid w:val="00A05C2D"/>
    <w:rsid w:val="00A05E9C"/>
    <w:rsid w:val="00A1078D"/>
    <w:rsid w:val="00A126B1"/>
    <w:rsid w:val="00A139BD"/>
    <w:rsid w:val="00A13E75"/>
    <w:rsid w:val="00A15D1A"/>
    <w:rsid w:val="00A16433"/>
    <w:rsid w:val="00A1666B"/>
    <w:rsid w:val="00A16F58"/>
    <w:rsid w:val="00A17B97"/>
    <w:rsid w:val="00A20416"/>
    <w:rsid w:val="00A22371"/>
    <w:rsid w:val="00A25658"/>
    <w:rsid w:val="00A25A8D"/>
    <w:rsid w:val="00A30187"/>
    <w:rsid w:val="00A32C02"/>
    <w:rsid w:val="00A36221"/>
    <w:rsid w:val="00A37544"/>
    <w:rsid w:val="00A43569"/>
    <w:rsid w:val="00A43810"/>
    <w:rsid w:val="00A44257"/>
    <w:rsid w:val="00A44A47"/>
    <w:rsid w:val="00A4759A"/>
    <w:rsid w:val="00A50C88"/>
    <w:rsid w:val="00A53A69"/>
    <w:rsid w:val="00A55CDF"/>
    <w:rsid w:val="00A6098D"/>
    <w:rsid w:val="00A60D96"/>
    <w:rsid w:val="00A61421"/>
    <w:rsid w:val="00A61F1B"/>
    <w:rsid w:val="00A6659D"/>
    <w:rsid w:val="00A6746A"/>
    <w:rsid w:val="00A70A87"/>
    <w:rsid w:val="00A70C62"/>
    <w:rsid w:val="00A72009"/>
    <w:rsid w:val="00A75550"/>
    <w:rsid w:val="00A83489"/>
    <w:rsid w:val="00A8522B"/>
    <w:rsid w:val="00A86E99"/>
    <w:rsid w:val="00A872EA"/>
    <w:rsid w:val="00A873C5"/>
    <w:rsid w:val="00A9132B"/>
    <w:rsid w:val="00A96755"/>
    <w:rsid w:val="00A97308"/>
    <w:rsid w:val="00AA08FE"/>
    <w:rsid w:val="00AA2B46"/>
    <w:rsid w:val="00AA3988"/>
    <w:rsid w:val="00AA68AF"/>
    <w:rsid w:val="00AA7503"/>
    <w:rsid w:val="00AB08D6"/>
    <w:rsid w:val="00AB0CC0"/>
    <w:rsid w:val="00AB0E0C"/>
    <w:rsid w:val="00AB3F21"/>
    <w:rsid w:val="00AB538E"/>
    <w:rsid w:val="00AB5584"/>
    <w:rsid w:val="00AB6839"/>
    <w:rsid w:val="00AB6859"/>
    <w:rsid w:val="00AC2AD1"/>
    <w:rsid w:val="00AC52A0"/>
    <w:rsid w:val="00AC7A62"/>
    <w:rsid w:val="00AD013C"/>
    <w:rsid w:val="00AD1BCE"/>
    <w:rsid w:val="00AD5EC5"/>
    <w:rsid w:val="00AD6496"/>
    <w:rsid w:val="00AE002C"/>
    <w:rsid w:val="00AE0AC1"/>
    <w:rsid w:val="00AE6113"/>
    <w:rsid w:val="00AE67ED"/>
    <w:rsid w:val="00AE6E16"/>
    <w:rsid w:val="00AE780E"/>
    <w:rsid w:val="00AF1896"/>
    <w:rsid w:val="00AF2E2C"/>
    <w:rsid w:val="00AF5AB8"/>
    <w:rsid w:val="00AF5B42"/>
    <w:rsid w:val="00B00B33"/>
    <w:rsid w:val="00B024B3"/>
    <w:rsid w:val="00B1061E"/>
    <w:rsid w:val="00B11D65"/>
    <w:rsid w:val="00B12B5A"/>
    <w:rsid w:val="00B132AB"/>
    <w:rsid w:val="00B1534A"/>
    <w:rsid w:val="00B17172"/>
    <w:rsid w:val="00B17853"/>
    <w:rsid w:val="00B21821"/>
    <w:rsid w:val="00B22191"/>
    <w:rsid w:val="00B261A1"/>
    <w:rsid w:val="00B346C0"/>
    <w:rsid w:val="00B36AAF"/>
    <w:rsid w:val="00B45A73"/>
    <w:rsid w:val="00B46C1E"/>
    <w:rsid w:val="00B46D4D"/>
    <w:rsid w:val="00B52E67"/>
    <w:rsid w:val="00B52E69"/>
    <w:rsid w:val="00B56068"/>
    <w:rsid w:val="00B5608B"/>
    <w:rsid w:val="00B569D9"/>
    <w:rsid w:val="00B60219"/>
    <w:rsid w:val="00B6171A"/>
    <w:rsid w:val="00B62C93"/>
    <w:rsid w:val="00B638E5"/>
    <w:rsid w:val="00B64BB4"/>
    <w:rsid w:val="00B65EF9"/>
    <w:rsid w:val="00B6785D"/>
    <w:rsid w:val="00B70DBB"/>
    <w:rsid w:val="00B73494"/>
    <w:rsid w:val="00B73F69"/>
    <w:rsid w:val="00B757CE"/>
    <w:rsid w:val="00B82A86"/>
    <w:rsid w:val="00B83150"/>
    <w:rsid w:val="00B83A86"/>
    <w:rsid w:val="00B8428C"/>
    <w:rsid w:val="00B92776"/>
    <w:rsid w:val="00B92B11"/>
    <w:rsid w:val="00BA2E6C"/>
    <w:rsid w:val="00BA455D"/>
    <w:rsid w:val="00BA47B3"/>
    <w:rsid w:val="00BA488E"/>
    <w:rsid w:val="00BA49B1"/>
    <w:rsid w:val="00BB0476"/>
    <w:rsid w:val="00BB3C30"/>
    <w:rsid w:val="00BB405E"/>
    <w:rsid w:val="00BB44FD"/>
    <w:rsid w:val="00BC2125"/>
    <w:rsid w:val="00BC3760"/>
    <w:rsid w:val="00BC4FA5"/>
    <w:rsid w:val="00BD109B"/>
    <w:rsid w:val="00BD226D"/>
    <w:rsid w:val="00BD6917"/>
    <w:rsid w:val="00BE1098"/>
    <w:rsid w:val="00BE1A64"/>
    <w:rsid w:val="00BE3BA5"/>
    <w:rsid w:val="00BE55C0"/>
    <w:rsid w:val="00BE604C"/>
    <w:rsid w:val="00BF127B"/>
    <w:rsid w:val="00BF6A17"/>
    <w:rsid w:val="00C00942"/>
    <w:rsid w:val="00C07C3E"/>
    <w:rsid w:val="00C107B9"/>
    <w:rsid w:val="00C14283"/>
    <w:rsid w:val="00C14C01"/>
    <w:rsid w:val="00C14C4F"/>
    <w:rsid w:val="00C14EE0"/>
    <w:rsid w:val="00C1674A"/>
    <w:rsid w:val="00C16B25"/>
    <w:rsid w:val="00C172D0"/>
    <w:rsid w:val="00C2003C"/>
    <w:rsid w:val="00C240C2"/>
    <w:rsid w:val="00C2487D"/>
    <w:rsid w:val="00C3210E"/>
    <w:rsid w:val="00C332E3"/>
    <w:rsid w:val="00C34444"/>
    <w:rsid w:val="00C35184"/>
    <w:rsid w:val="00C357B0"/>
    <w:rsid w:val="00C36118"/>
    <w:rsid w:val="00C44F5D"/>
    <w:rsid w:val="00C45339"/>
    <w:rsid w:val="00C46548"/>
    <w:rsid w:val="00C46B38"/>
    <w:rsid w:val="00C46BF9"/>
    <w:rsid w:val="00C46C57"/>
    <w:rsid w:val="00C47A9B"/>
    <w:rsid w:val="00C54C61"/>
    <w:rsid w:val="00C55273"/>
    <w:rsid w:val="00C554E8"/>
    <w:rsid w:val="00C55E8B"/>
    <w:rsid w:val="00C55EC4"/>
    <w:rsid w:val="00C56E3E"/>
    <w:rsid w:val="00C57B43"/>
    <w:rsid w:val="00C65E18"/>
    <w:rsid w:val="00C725D6"/>
    <w:rsid w:val="00C72F84"/>
    <w:rsid w:val="00C7432D"/>
    <w:rsid w:val="00C74F60"/>
    <w:rsid w:val="00C75999"/>
    <w:rsid w:val="00C76965"/>
    <w:rsid w:val="00C778FB"/>
    <w:rsid w:val="00C80BA4"/>
    <w:rsid w:val="00C83D2E"/>
    <w:rsid w:val="00C84C2A"/>
    <w:rsid w:val="00C8650D"/>
    <w:rsid w:val="00C870D7"/>
    <w:rsid w:val="00C879AE"/>
    <w:rsid w:val="00C93359"/>
    <w:rsid w:val="00C94B93"/>
    <w:rsid w:val="00CA0DB9"/>
    <w:rsid w:val="00CA26F9"/>
    <w:rsid w:val="00CA349E"/>
    <w:rsid w:val="00CA375C"/>
    <w:rsid w:val="00CA5CEE"/>
    <w:rsid w:val="00CA6919"/>
    <w:rsid w:val="00CA6955"/>
    <w:rsid w:val="00CA71CD"/>
    <w:rsid w:val="00CA78FD"/>
    <w:rsid w:val="00CA7EBD"/>
    <w:rsid w:val="00CB06D6"/>
    <w:rsid w:val="00CB311E"/>
    <w:rsid w:val="00CB45BC"/>
    <w:rsid w:val="00CB45CC"/>
    <w:rsid w:val="00CB4BCA"/>
    <w:rsid w:val="00CB5ACB"/>
    <w:rsid w:val="00CB5D5E"/>
    <w:rsid w:val="00CB60C9"/>
    <w:rsid w:val="00CC1D95"/>
    <w:rsid w:val="00CC240F"/>
    <w:rsid w:val="00CC64D8"/>
    <w:rsid w:val="00CD0E62"/>
    <w:rsid w:val="00CD408A"/>
    <w:rsid w:val="00CD5E76"/>
    <w:rsid w:val="00CE05E1"/>
    <w:rsid w:val="00CE4670"/>
    <w:rsid w:val="00CE5483"/>
    <w:rsid w:val="00CE5C7C"/>
    <w:rsid w:val="00CE6B5C"/>
    <w:rsid w:val="00CF1708"/>
    <w:rsid w:val="00CF2A36"/>
    <w:rsid w:val="00CF46B3"/>
    <w:rsid w:val="00CF4B29"/>
    <w:rsid w:val="00CF572C"/>
    <w:rsid w:val="00CF58BC"/>
    <w:rsid w:val="00CF6308"/>
    <w:rsid w:val="00D05A09"/>
    <w:rsid w:val="00D0707B"/>
    <w:rsid w:val="00D07E81"/>
    <w:rsid w:val="00D1024A"/>
    <w:rsid w:val="00D1449D"/>
    <w:rsid w:val="00D20A77"/>
    <w:rsid w:val="00D2129A"/>
    <w:rsid w:val="00D234CC"/>
    <w:rsid w:val="00D23C87"/>
    <w:rsid w:val="00D25393"/>
    <w:rsid w:val="00D3523B"/>
    <w:rsid w:val="00D35D37"/>
    <w:rsid w:val="00D42FDE"/>
    <w:rsid w:val="00D43C53"/>
    <w:rsid w:val="00D45006"/>
    <w:rsid w:val="00D4638A"/>
    <w:rsid w:val="00D46DE0"/>
    <w:rsid w:val="00D5111A"/>
    <w:rsid w:val="00D519DE"/>
    <w:rsid w:val="00D56DD5"/>
    <w:rsid w:val="00D56F22"/>
    <w:rsid w:val="00D60199"/>
    <w:rsid w:val="00D602E7"/>
    <w:rsid w:val="00D602F2"/>
    <w:rsid w:val="00D6048C"/>
    <w:rsid w:val="00D60E4B"/>
    <w:rsid w:val="00D60EDF"/>
    <w:rsid w:val="00D61AE6"/>
    <w:rsid w:val="00D65A74"/>
    <w:rsid w:val="00D66166"/>
    <w:rsid w:val="00D67D3B"/>
    <w:rsid w:val="00D70263"/>
    <w:rsid w:val="00D70C5F"/>
    <w:rsid w:val="00D70F98"/>
    <w:rsid w:val="00D76555"/>
    <w:rsid w:val="00D76F44"/>
    <w:rsid w:val="00D821D8"/>
    <w:rsid w:val="00D827A4"/>
    <w:rsid w:val="00D86DB7"/>
    <w:rsid w:val="00D87AC8"/>
    <w:rsid w:val="00D923B6"/>
    <w:rsid w:val="00D92FFA"/>
    <w:rsid w:val="00D944D5"/>
    <w:rsid w:val="00DA1416"/>
    <w:rsid w:val="00DA2A39"/>
    <w:rsid w:val="00DA3AE7"/>
    <w:rsid w:val="00DA5F52"/>
    <w:rsid w:val="00DA6B34"/>
    <w:rsid w:val="00DA7A16"/>
    <w:rsid w:val="00DB0131"/>
    <w:rsid w:val="00DB1DD6"/>
    <w:rsid w:val="00DB2D09"/>
    <w:rsid w:val="00DB30BA"/>
    <w:rsid w:val="00DB3696"/>
    <w:rsid w:val="00DB4CEA"/>
    <w:rsid w:val="00DB5766"/>
    <w:rsid w:val="00DB6D77"/>
    <w:rsid w:val="00DB756F"/>
    <w:rsid w:val="00DB762B"/>
    <w:rsid w:val="00DC0068"/>
    <w:rsid w:val="00DC0FF2"/>
    <w:rsid w:val="00DC56EC"/>
    <w:rsid w:val="00DC630E"/>
    <w:rsid w:val="00DC6935"/>
    <w:rsid w:val="00DC7431"/>
    <w:rsid w:val="00DD53DC"/>
    <w:rsid w:val="00DD5B54"/>
    <w:rsid w:val="00DD7AED"/>
    <w:rsid w:val="00DE05B8"/>
    <w:rsid w:val="00DE45D1"/>
    <w:rsid w:val="00DE4799"/>
    <w:rsid w:val="00DE69E6"/>
    <w:rsid w:val="00DF3833"/>
    <w:rsid w:val="00DF7B96"/>
    <w:rsid w:val="00E0190B"/>
    <w:rsid w:val="00E0199A"/>
    <w:rsid w:val="00E026AB"/>
    <w:rsid w:val="00E03E6C"/>
    <w:rsid w:val="00E04796"/>
    <w:rsid w:val="00E06137"/>
    <w:rsid w:val="00E0773F"/>
    <w:rsid w:val="00E14ABA"/>
    <w:rsid w:val="00E16EA2"/>
    <w:rsid w:val="00E175BD"/>
    <w:rsid w:val="00E26533"/>
    <w:rsid w:val="00E30967"/>
    <w:rsid w:val="00E354C9"/>
    <w:rsid w:val="00E372AC"/>
    <w:rsid w:val="00E37425"/>
    <w:rsid w:val="00E40DD3"/>
    <w:rsid w:val="00E416FD"/>
    <w:rsid w:val="00E456C3"/>
    <w:rsid w:val="00E46101"/>
    <w:rsid w:val="00E476AA"/>
    <w:rsid w:val="00E524E6"/>
    <w:rsid w:val="00E52630"/>
    <w:rsid w:val="00E53EDF"/>
    <w:rsid w:val="00E55552"/>
    <w:rsid w:val="00E57D12"/>
    <w:rsid w:val="00E605A1"/>
    <w:rsid w:val="00E60B1A"/>
    <w:rsid w:val="00E6131F"/>
    <w:rsid w:val="00E63221"/>
    <w:rsid w:val="00E632CC"/>
    <w:rsid w:val="00E6558C"/>
    <w:rsid w:val="00E66D58"/>
    <w:rsid w:val="00E705F2"/>
    <w:rsid w:val="00E71131"/>
    <w:rsid w:val="00E71233"/>
    <w:rsid w:val="00E71378"/>
    <w:rsid w:val="00E7252D"/>
    <w:rsid w:val="00E740D0"/>
    <w:rsid w:val="00E7441A"/>
    <w:rsid w:val="00E745BE"/>
    <w:rsid w:val="00E755F7"/>
    <w:rsid w:val="00E767B6"/>
    <w:rsid w:val="00E821E2"/>
    <w:rsid w:val="00E83065"/>
    <w:rsid w:val="00E8560A"/>
    <w:rsid w:val="00E878C2"/>
    <w:rsid w:val="00E93247"/>
    <w:rsid w:val="00E933FF"/>
    <w:rsid w:val="00E95BEE"/>
    <w:rsid w:val="00EA07FD"/>
    <w:rsid w:val="00EA2AAE"/>
    <w:rsid w:val="00EA3F20"/>
    <w:rsid w:val="00EA621E"/>
    <w:rsid w:val="00EB1835"/>
    <w:rsid w:val="00EB2D04"/>
    <w:rsid w:val="00EB499D"/>
    <w:rsid w:val="00EC1B72"/>
    <w:rsid w:val="00EC23D6"/>
    <w:rsid w:val="00EC3CB4"/>
    <w:rsid w:val="00EC4963"/>
    <w:rsid w:val="00ED0C4D"/>
    <w:rsid w:val="00ED1C3D"/>
    <w:rsid w:val="00ED2383"/>
    <w:rsid w:val="00ED24CE"/>
    <w:rsid w:val="00ED4CB0"/>
    <w:rsid w:val="00EE317E"/>
    <w:rsid w:val="00EE4554"/>
    <w:rsid w:val="00EE5BFE"/>
    <w:rsid w:val="00EE73C6"/>
    <w:rsid w:val="00EF24D7"/>
    <w:rsid w:val="00EF3673"/>
    <w:rsid w:val="00EF3D9D"/>
    <w:rsid w:val="00EF5308"/>
    <w:rsid w:val="00F007F4"/>
    <w:rsid w:val="00F04774"/>
    <w:rsid w:val="00F078B4"/>
    <w:rsid w:val="00F103DA"/>
    <w:rsid w:val="00F11086"/>
    <w:rsid w:val="00F11571"/>
    <w:rsid w:val="00F13B21"/>
    <w:rsid w:val="00F15993"/>
    <w:rsid w:val="00F20A1F"/>
    <w:rsid w:val="00F241A1"/>
    <w:rsid w:val="00F25A25"/>
    <w:rsid w:val="00F3222F"/>
    <w:rsid w:val="00F32518"/>
    <w:rsid w:val="00F34183"/>
    <w:rsid w:val="00F34CE8"/>
    <w:rsid w:val="00F4187A"/>
    <w:rsid w:val="00F4321F"/>
    <w:rsid w:val="00F4705F"/>
    <w:rsid w:val="00F50330"/>
    <w:rsid w:val="00F50D11"/>
    <w:rsid w:val="00F52C65"/>
    <w:rsid w:val="00F538F7"/>
    <w:rsid w:val="00F55B1C"/>
    <w:rsid w:val="00F5676B"/>
    <w:rsid w:val="00F56BBD"/>
    <w:rsid w:val="00F61E4A"/>
    <w:rsid w:val="00F64DD5"/>
    <w:rsid w:val="00F65DDE"/>
    <w:rsid w:val="00F65DED"/>
    <w:rsid w:val="00F678BA"/>
    <w:rsid w:val="00F679D8"/>
    <w:rsid w:val="00F701FD"/>
    <w:rsid w:val="00F71A4B"/>
    <w:rsid w:val="00F749A1"/>
    <w:rsid w:val="00F74F55"/>
    <w:rsid w:val="00F75ABA"/>
    <w:rsid w:val="00F7674D"/>
    <w:rsid w:val="00F76D92"/>
    <w:rsid w:val="00F801C6"/>
    <w:rsid w:val="00F804B5"/>
    <w:rsid w:val="00F834D2"/>
    <w:rsid w:val="00F87BDC"/>
    <w:rsid w:val="00F916A0"/>
    <w:rsid w:val="00F938B3"/>
    <w:rsid w:val="00F96F49"/>
    <w:rsid w:val="00FA04C1"/>
    <w:rsid w:val="00FA463A"/>
    <w:rsid w:val="00FA4E2B"/>
    <w:rsid w:val="00FB415F"/>
    <w:rsid w:val="00FB460A"/>
    <w:rsid w:val="00FC016D"/>
    <w:rsid w:val="00FC1777"/>
    <w:rsid w:val="00FC726D"/>
    <w:rsid w:val="00FC7EE0"/>
    <w:rsid w:val="00FD050B"/>
    <w:rsid w:val="00FD06FB"/>
    <w:rsid w:val="00FD0C17"/>
    <w:rsid w:val="00FD269F"/>
    <w:rsid w:val="00FD733F"/>
    <w:rsid w:val="00FE3149"/>
    <w:rsid w:val="00FE60C6"/>
    <w:rsid w:val="00FE64B7"/>
    <w:rsid w:val="00FE673D"/>
    <w:rsid w:val="00FE7767"/>
    <w:rsid w:val="00FE78B2"/>
    <w:rsid w:val="00FF011C"/>
    <w:rsid w:val="00FF17D1"/>
    <w:rsid w:val="00FF3225"/>
    <w:rsid w:val="00FF452A"/>
    <w:rsid w:val="00FF5161"/>
    <w:rsid w:val="00FF6FF1"/>
    <w:rsid w:val="00FF7A3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35D4DB-4A76-435C-AAF8-262561B01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qFormat="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666B"/>
    <w:pPr>
      <w:spacing w:after="200" w:line="276" w:lineRule="auto"/>
    </w:pPr>
    <w:rPr>
      <w:sz w:val="22"/>
      <w:szCs w:val="22"/>
      <w:lang w:eastAsia="en-US"/>
    </w:rPr>
  </w:style>
  <w:style w:type="paragraph" w:styleId="Titre1">
    <w:name w:val="heading 1"/>
    <w:basedOn w:val="Normal"/>
    <w:next w:val="Normal"/>
    <w:link w:val="Titre1Car"/>
    <w:uiPriority w:val="9"/>
    <w:qFormat/>
    <w:rsid w:val="00D234CC"/>
    <w:pPr>
      <w:pBdr>
        <w:bottom w:val="single" w:sz="4" w:space="1" w:color="auto"/>
      </w:pBdr>
      <w:spacing w:after="360" w:line="240" w:lineRule="auto"/>
      <w:outlineLvl w:val="0"/>
    </w:pPr>
    <w:rPr>
      <w:rFonts w:ascii="Cambria" w:eastAsia="Times New Roman" w:hAnsi="Cambria" w:cs="Arial"/>
      <w:b/>
      <w:sz w:val="24"/>
      <w:szCs w:val="20"/>
    </w:rPr>
  </w:style>
  <w:style w:type="paragraph" w:styleId="Titre2">
    <w:name w:val="heading 2"/>
    <w:basedOn w:val="Normal"/>
    <w:next w:val="Normal"/>
    <w:link w:val="Titre2Car"/>
    <w:uiPriority w:val="9"/>
    <w:unhideWhenUsed/>
    <w:qFormat/>
    <w:rsid w:val="00A6746A"/>
    <w:pPr>
      <w:keepNext/>
      <w:keepLines/>
      <w:spacing w:before="280" w:after="240" w:line="240" w:lineRule="auto"/>
      <w:outlineLvl w:val="1"/>
    </w:pPr>
    <w:rPr>
      <w:rFonts w:asciiTheme="majorHAnsi" w:eastAsiaTheme="majorEastAsia" w:hAnsiTheme="majorHAnsi" w:cstheme="majorBidi"/>
      <w:b/>
      <w:bCs/>
      <w:sz w:val="26"/>
      <w:szCs w:val="26"/>
    </w:rPr>
  </w:style>
  <w:style w:type="paragraph" w:styleId="Titre3">
    <w:name w:val="heading 3"/>
    <w:aliases w:val="Centered,Heading 3 Char,Centered Char,centered Char,centered,alec3"/>
    <w:basedOn w:val="Normal"/>
    <w:next w:val="Normal"/>
    <w:link w:val="Titre3Car"/>
    <w:qFormat/>
    <w:rsid w:val="00C47A9B"/>
    <w:pPr>
      <w:keepNext/>
      <w:spacing w:before="240" w:after="160" w:line="240" w:lineRule="auto"/>
      <w:outlineLvl w:val="2"/>
    </w:pPr>
    <w:rPr>
      <w:rFonts w:ascii="Cambria" w:eastAsia="Times New Roman" w:hAnsi="Cambria"/>
      <w:b/>
      <w:bCs/>
      <w:sz w:val="24"/>
      <w:szCs w:val="26"/>
    </w:rPr>
  </w:style>
  <w:style w:type="paragraph" w:styleId="Titre4">
    <w:name w:val="heading 4"/>
    <w:basedOn w:val="Normal"/>
    <w:next w:val="Normal"/>
    <w:link w:val="Titre4Car"/>
    <w:unhideWhenUsed/>
    <w:qFormat/>
    <w:rsid w:val="00243045"/>
    <w:pPr>
      <w:keepNext/>
      <w:keepLines/>
      <w:spacing w:before="200" w:after="120" w:line="240" w:lineRule="auto"/>
      <w:outlineLvl w:val="3"/>
    </w:pPr>
    <w:rPr>
      <w:rFonts w:asciiTheme="majorHAnsi" w:eastAsiaTheme="majorEastAsia" w:hAnsiTheme="majorHAnsi" w:cstheme="majorBidi"/>
      <w:b/>
      <w:bCs/>
      <w:i/>
      <w:iCs/>
      <w:szCs w:val="20"/>
    </w:rPr>
  </w:style>
  <w:style w:type="paragraph" w:styleId="Titre5">
    <w:name w:val="heading 5"/>
    <w:basedOn w:val="Normal"/>
    <w:next w:val="Normal"/>
    <w:link w:val="Titre5Car"/>
    <w:uiPriority w:val="9"/>
    <w:unhideWhenUsed/>
    <w:qFormat/>
    <w:rsid w:val="002D0472"/>
    <w:pPr>
      <w:keepNext/>
      <w:keepLines/>
      <w:spacing w:before="160" w:after="120" w:line="240" w:lineRule="auto"/>
      <w:outlineLvl w:val="4"/>
    </w:pPr>
    <w:rPr>
      <w:rFonts w:asciiTheme="majorHAnsi" w:eastAsiaTheme="majorEastAsia" w:hAnsiTheme="majorHAnsi" w:cstheme="majorBidi"/>
      <w:b/>
      <w:i/>
      <w:szCs w:val="20"/>
    </w:rPr>
  </w:style>
  <w:style w:type="paragraph" w:styleId="Titre6">
    <w:name w:val="heading 6"/>
    <w:aliases w:val="ann,(a,b,..)"/>
    <w:basedOn w:val="Normal"/>
    <w:next w:val="Normal"/>
    <w:link w:val="Titre6Car"/>
    <w:uiPriority w:val="9"/>
    <w:qFormat/>
    <w:rsid w:val="00486546"/>
    <w:pPr>
      <w:spacing w:before="240" w:after="60" w:line="240" w:lineRule="auto"/>
      <w:outlineLvl w:val="5"/>
    </w:pPr>
    <w:rPr>
      <w:b/>
      <w:bCs/>
      <w:sz w:val="20"/>
      <w:szCs w:val="20"/>
    </w:rPr>
  </w:style>
  <w:style w:type="paragraph" w:styleId="Titre7">
    <w:name w:val="heading 7"/>
    <w:basedOn w:val="Normal"/>
    <w:next w:val="Normal"/>
    <w:link w:val="Titre7Car"/>
    <w:uiPriority w:val="9"/>
    <w:qFormat/>
    <w:rsid w:val="00486546"/>
    <w:pPr>
      <w:spacing w:before="240" w:after="60" w:line="240" w:lineRule="auto"/>
      <w:outlineLvl w:val="6"/>
    </w:pPr>
    <w:rPr>
      <w:rFonts w:ascii="Times New Roman" w:hAnsi="Times New Roman"/>
      <w:sz w:val="24"/>
      <w:szCs w:val="24"/>
      <w:lang w:eastAsia="fr-FR"/>
    </w:rPr>
  </w:style>
  <w:style w:type="paragraph" w:styleId="Titre8">
    <w:name w:val="heading 8"/>
    <w:basedOn w:val="Normal"/>
    <w:next w:val="Normal"/>
    <w:link w:val="Titre8Car"/>
    <w:uiPriority w:val="99"/>
    <w:qFormat/>
    <w:rsid w:val="00486546"/>
    <w:pPr>
      <w:spacing w:before="240" w:after="60" w:line="240" w:lineRule="auto"/>
      <w:outlineLvl w:val="7"/>
    </w:pPr>
    <w:rPr>
      <w:rFonts w:ascii="Times New Roman" w:hAnsi="Times New Roman"/>
      <w:i/>
      <w:iCs/>
      <w:sz w:val="24"/>
      <w:szCs w:val="24"/>
      <w:lang w:eastAsia="fr-FR"/>
    </w:rPr>
  </w:style>
  <w:style w:type="paragraph" w:styleId="Titre9">
    <w:name w:val="heading 9"/>
    <w:aliases w:val="Heading 9-paranum"/>
    <w:basedOn w:val="Normal"/>
    <w:next w:val="Normal"/>
    <w:link w:val="Titre9Car"/>
    <w:uiPriority w:val="99"/>
    <w:qFormat/>
    <w:rsid w:val="00486546"/>
    <w:pPr>
      <w:keepNext/>
      <w:overflowPunct w:val="0"/>
      <w:autoSpaceDE w:val="0"/>
      <w:autoSpaceDN w:val="0"/>
      <w:adjustRightInd w:val="0"/>
      <w:spacing w:after="0" w:line="240" w:lineRule="auto"/>
      <w:jc w:val="both"/>
      <w:textAlignment w:val="baseline"/>
      <w:outlineLvl w:val="8"/>
    </w:pPr>
    <w:rPr>
      <w:rFonts w:ascii="Times New Roman" w:hAnsi="Times New Roman"/>
      <w:sz w:val="26"/>
      <w:szCs w:val="2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unhideWhenUsed/>
    <w:rsid w:val="00E745BE"/>
    <w:pPr>
      <w:spacing w:after="0" w:line="240" w:lineRule="auto"/>
    </w:pPr>
    <w:rPr>
      <w:rFonts w:ascii="Tahoma" w:hAnsi="Tahoma"/>
      <w:sz w:val="16"/>
      <w:szCs w:val="16"/>
    </w:rPr>
  </w:style>
  <w:style w:type="character" w:customStyle="1" w:styleId="TextedebullesCar">
    <w:name w:val="Texte de bulles Car"/>
    <w:link w:val="Textedebulles"/>
    <w:uiPriority w:val="99"/>
    <w:rsid w:val="00E745BE"/>
    <w:rPr>
      <w:rFonts w:ascii="Tahoma" w:hAnsi="Tahoma" w:cs="Tahoma"/>
      <w:sz w:val="16"/>
      <w:szCs w:val="16"/>
    </w:rPr>
  </w:style>
  <w:style w:type="table" w:styleId="Grilledutableau">
    <w:name w:val="Table Grid"/>
    <w:basedOn w:val="TableauNormal"/>
    <w:uiPriority w:val="39"/>
    <w:rsid w:val="00701D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uiPriority w:val="99"/>
    <w:semiHidden/>
    <w:unhideWhenUsed/>
    <w:rsid w:val="00E0199A"/>
    <w:rPr>
      <w:sz w:val="16"/>
      <w:szCs w:val="16"/>
    </w:rPr>
  </w:style>
  <w:style w:type="paragraph" w:styleId="Commentaire">
    <w:name w:val="annotation text"/>
    <w:basedOn w:val="Normal"/>
    <w:link w:val="CommentaireCar"/>
    <w:uiPriority w:val="99"/>
    <w:unhideWhenUsed/>
    <w:rsid w:val="00E0199A"/>
    <w:rPr>
      <w:sz w:val="20"/>
      <w:szCs w:val="20"/>
    </w:rPr>
  </w:style>
  <w:style w:type="character" w:customStyle="1" w:styleId="CommentaireCar">
    <w:name w:val="Commentaire Car"/>
    <w:basedOn w:val="Policepardfaut"/>
    <w:link w:val="Commentaire"/>
    <w:uiPriority w:val="99"/>
    <w:rsid w:val="00E0199A"/>
    <w:rPr>
      <w:lang w:eastAsia="en-US"/>
    </w:rPr>
  </w:style>
  <w:style w:type="paragraph" w:styleId="Paragraphedeliste">
    <w:name w:val="List Paragraph"/>
    <w:aliases w:val="Glossaire,liste de tableaux,Titre1,List Paragraph,Bullets,References,Numbered List Paragraph,ReferencesCxSpLast,L_4,Paragraphe de liste4,figure,List Paragraph1,Lapis Bulleted List,I..1,U 5,Paragraphe 2,Paragraphe de liste41,Premier"/>
    <w:basedOn w:val="Normal"/>
    <w:uiPriority w:val="34"/>
    <w:qFormat/>
    <w:rsid w:val="00365552"/>
    <w:pPr>
      <w:ind w:left="720"/>
      <w:contextualSpacing/>
    </w:pPr>
  </w:style>
  <w:style w:type="character" w:customStyle="1" w:styleId="Titre1Car">
    <w:name w:val="Titre 1 Car"/>
    <w:basedOn w:val="Policepardfaut"/>
    <w:link w:val="Titre1"/>
    <w:uiPriority w:val="9"/>
    <w:rsid w:val="00D234CC"/>
    <w:rPr>
      <w:rFonts w:ascii="Cambria" w:eastAsia="Times New Roman" w:hAnsi="Cambria" w:cs="Arial"/>
      <w:b/>
      <w:sz w:val="24"/>
      <w:lang w:eastAsia="en-US"/>
    </w:rPr>
  </w:style>
  <w:style w:type="character" w:customStyle="1" w:styleId="Titre2Car">
    <w:name w:val="Titre 2 Car"/>
    <w:basedOn w:val="Policepardfaut"/>
    <w:link w:val="Titre2"/>
    <w:uiPriority w:val="9"/>
    <w:rsid w:val="00A6746A"/>
    <w:rPr>
      <w:rFonts w:asciiTheme="majorHAnsi" w:eastAsiaTheme="majorEastAsia" w:hAnsiTheme="majorHAnsi" w:cstheme="majorBidi"/>
      <w:b/>
      <w:bCs/>
      <w:sz w:val="26"/>
      <w:szCs w:val="26"/>
      <w:lang w:eastAsia="en-US"/>
    </w:rPr>
  </w:style>
  <w:style w:type="character" w:customStyle="1" w:styleId="Titre3Car">
    <w:name w:val="Titre 3 Car"/>
    <w:aliases w:val="Centered Car,Heading 3 Char Car,Centered Char Car,centered Char Car,centered Car,alec3 Car"/>
    <w:basedOn w:val="Policepardfaut"/>
    <w:link w:val="Titre3"/>
    <w:rsid w:val="00C47A9B"/>
    <w:rPr>
      <w:rFonts w:ascii="Cambria" w:eastAsia="Times New Roman" w:hAnsi="Cambria"/>
      <w:b/>
      <w:bCs/>
      <w:sz w:val="24"/>
      <w:szCs w:val="26"/>
      <w:lang w:eastAsia="en-US"/>
    </w:rPr>
  </w:style>
  <w:style w:type="character" w:customStyle="1" w:styleId="Titre4Car">
    <w:name w:val="Titre 4 Car"/>
    <w:basedOn w:val="Policepardfaut"/>
    <w:link w:val="Titre4"/>
    <w:rsid w:val="00243045"/>
    <w:rPr>
      <w:rFonts w:asciiTheme="majorHAnsi" w:eastAsiaTheme="majorEastAsia" w:hAnsiTheme="majorHAnsi" w:cstheme="majorBidi"/>
      <w:b/>
      <w:bCs/>
      <w:i/>
      <w:iCs/>
      <w:sz w:val="22"/>
      <w:lang w:eastAsia="en-US"/>
    </w:rPr>
  </w:style>
  <w:style w:type="character" w:customStyle="1" w:styleId="Titre5Car">
    <w:name w:val="Titre 5 Car"/>
    <w:basedOn w:val="Policepardfaut"/>
    <w:link w:val="Titre5"/>
    <w:uiPriority w:val="9"/>
    <w:rsid w:val="002D0472"/>
    <w:rPr>
      <w:rFonts w:asciiTheme="majorHAnsi" w:eastAsiaTheme="majorEastAsia" w:hAnsiTheme="majorHAnsi" w:cstheme="majorBidi"/>
      <w:b/>
      <w:i/>
      <w:sz w:val="22"/>
      <w:lang w:eastAsia="en-US"/>
    </w:rPr>
  </w:style>
  <w:style w:type="character" w:customStyle="1" w:styleId="Titre6Car">
    <w:name w:val="Titre 6 Car"/>
    <w:aliases w:val="ann Car,(a Car,b Car,..) Car"/>
    <w:basedOn w:val="Policepardfaut"/>
    <w:link w:val="Titre6"/>
    <w:uiPriority w:val="9"/>
    <w:rsid w:val="00486546"/>
    <w:rPr>
      <w:b/>
      <w:bCs/>
      <w:lang w:eastAsia="en-US"/>
    </w:rPr>
  </w:style>
  <w:style w:type="character" w:customStyle="1" w:styleId="Titre7Car">
    <w:name w:val="Titre 7 Car"/>
    <w:basedOn w:val="Policepardfaut"/>
    <w:link w:val="Titre7"/>
    <w:uiPriority w:val="9"/>
    <w:rsid w:val="00486546"/>
    <w:rPr>
      <w:rFonts w:ascii="Times New Roman" w:hAnsi="Times New Roman"/>
      <w:sz w:val="24"/>
      <w:szCs w:val="24"/>
    </w:rPr>
  </w:style>
  <w:style w:type="character" w:customStyle="1" w:styleId="Titre8Car">
    <w:name w:val="Titre 8 Car"/>
    <w:basedOn w:val="Policepardfaut"/>
    <w:link w:val="Titre8"/>
    <w:uiPriority w:val="99"/>
    <w:rsid w:val="00486546"/>
    <w:rPr>
      <w:rFonts w:ascii="Times New Roman" w:hAnsi="Times New Roman"/>
      <w:i/>
      <w:iCs/>
      <w:sz w:val="24"/>
      <w:szCs w:val="24"/>
    </w:rPr>
  </w:style>
  <w:style w:type="character" w:customStyle="1" w:styleId="Titre9Car">
    <w:name w:val="Titre 9 Car"/>
    <w:aliases w:val="Heading 9-paranum Car"/>
    <w:basedOn w:val="Policepardfaut"/>
    <w:link w:val="Titre9"/>
    <w:uiPriority w:val="99"/>
    <w:rsid w:val="00486546"/>
    <w:rPr>
      <w:rFonts w:ascii="Times New Roman" w:hAnsi="Times New Roman"/>
      <w:sz w:val="26"/>
      <w:szCs w:val="26"/>
    </w:rPr>
  </w:style>
  <w:style w:type="paragraph" w:styleId="Notedebasdepage">
    <w:name w:val="footnote text"/>
    <w:aliases w:val="ALTS FOOTNOTE,fn,single space,FOOTNOTES,ft,Texto nota pie Car,ft Car,ft Car Car,Texto nota pie2,ft1,ft Car Car Car1,Texto nota pie Car2,ft Car Car2,ft Car Car Car,Footnote Text1,Fodnotetekst Tegn,footnote text Char,f,single space Cha"/>
    <w:basedOn w:val="Normal"/>
    <w:link w:val="NotedebasdepageCar"/>
    <w:uiPriority w:val="99"/>
    <w:qFormat/>
    <w:rsid w:val="00486546"/>
    <w:pPr>
      <w:spacing w:after="0" w:line="240" w:lineRule="auto"/>
    </w:pPr>
    <w:rPr>
      <w:rFonts w:eastAsia="Times New Roman"/>
      <w:sz w:val="20"/>
      <w:szCs w:val="20"/>
    </w:rPr>
  </w:style>
  <w:style w:type="character" w:customStyle="1" w:styleId="NotedebasdepageCar">
    <w:name w:val="Note de bas de page Car"/>
    <w:aliases w:val="ALTS FOOTNOTE Car,fn Car,single space Car,FOOTNOTES Car,ft Car1,Texto nota pie Car Car,ft Car Car1,ft Car Car Car2,Texto nota pie2 Car,ft1 Car,ft Car Car Car1 Car,Texto nota pie Car2 Car,ft Car Car2 Car,ft Car Car Car Car,f Car"/>
    <w:basedOn w:val="Policepardfaut"/>
    <w:link w:val="Notedebasdepage"/>
    <w:uiPriority w:val="99"/>
    <w:rsid w:val="00486546"/>
    <w:rPr>
      <w:rFonts w:eastAsia="Times New Roman"/>
      <w:lang w:eastAsia="en-US"/>
    </w:rPr>
  </w:style>
  <w:style w:type="paragraph" w:styleId="Lgende">
    <w:name w:val="caption"/>
    <w:aliases w:val="graphique,Légendetab, Car,Car Car Car,Légende1,Légende21,Légende111,Car111,Car Car Car Car Car Car Car Car Car111,Car Car Car Car Car111,Car Car Car Car111,Car Car Car Car Car Car Car Car211,C,LVT Table Heading,Caption Char"/>
    <w:basedOn w:val="Normal"/>
    <w:next w:val="Normal"/>
    <w:link w:val="LgendeCar"/>
    <w:qFormat/>
    <w:rsid w:val="00486546"/>
    <w:pPr>
      <w:suppressAutoHyphens/>
      <w:spacing w:after="0" w:line="240" w:lineRule="auto"/>
    </w:pPr>
    <w:rPr>
      <w:rFonts w:ascii="Arial" w:hAnsi="Arial" w:cs="Arial"/>
      <w:b/>
      <w:bCs/>
      <w:color w:val="0000CC"/>
      <w:sz w:val="20"/>
      <w:szCs w:val="20"/>
      <w:u w:val="single"/>
      <w:lang w:eastAsia="ar-SA"/>
    </w:rPr>
  </w:style>
  <w:style w:type="paragraph" w:styleId="Titre">
    <w:name w:val="Title"/>
    <w:basedOn w:val="Normal"/>
    <w:link w:val="TitreCar"/>
    <w:qFormat/>
    <w:rsid w:val="00A1666B"/>
    <w:pPr>
      <w:spacing w:after="360" w:line="240" w:lineRule="auto"/>
      <w:jc w:val="center"/>
    </w:pPr>
    <w:rPr>
      <w:rFonts w:ascii="Cambria" w:hAnsi="Cambria"/>
      <w:b/>
      <w:bCs/>
      <w:sz w:val="28"/>
      <w:szCs w:val="24"/>
      <w:lang w:val="fr-BE" w:eastAsia="fr-FR"/>
    </w:rPr>
  </w:style>
  <w:style w:type="character" w:customStyle="1" w:styleId="TitreCar">
    <w:name w:val="Titre Car"/>
    <w:basedOn w:val="Policepardfaut"/>
    <w:link w:val="Titre"/>
    <w:rsid w:val="00A1666B"/>
    <w:rPr>
      <w:rFonts w:ascii="Cambria" w:hAnsi="Cambria"/>
      <w:b/>
      <w:bCs/>
      <w:sz w:val="28"/>
      <w:szCs w:val="24"/>
      <w:lang w:val="fr-BE"/>
    </w:rPr>
  </w:style>
  <w:style w:type="paragraph" w:styleId="Sous-titre">
    <w:name w:val="Subtitle"/>
    <w:basedOn w:val="Normal"/>
    <w:link w:val="Sous-titreCar"/>
    <w:qFormat/>
    <w:rsid w:val="00486546"/>
    <w:pPr>
      <w:spacing w:after="0" w:line="240" w:lineRule="auto"/>
      <w:jc w:val="center"/>
    </w:pPr>
    <w:rPr>
      <w:rFonts w:ascii="Arial" w:hAnsi="Arial"/>
      <w:b/>
      <w:bCs/>
      <w:caps/>
      <w:sz w:val="20"/>
      <w:szCs w:val="20"/>
      <w:lang w:eastAsia="fr-FR"/>
    </w:rPr>
  </w:style>
  <w:style w:type="character" w:customStyle="1" w:styleId="Sous-titreCar">
    <w:name w:val="Sous-titre Car"/>
    <w:basedOn w:val="Policepardfaut"/>
    <w:link w:val="Sous-titre"/>
    <w:rsid w:val="00486546"/>
    <w:rPr>
      <w:rFonts w:ascii="Arial" w:hAnsi="Arial"/>
      <w:b/>
      <w:bCs/>
      <w:caps/>
    </w:rPr>
  </w:style>
  <w:style w:type="character" w:styleId="lev">
    <w:name w:val="Strong"/>
    <w:aliases w:val="Tableau"/>
    <w:uiPriority w:val="22"/>
    <w:qFormat/>
    <w:rsid w:val="00486546"/>
    <w:rPr>
      <w:rFonts w:cs="Times New Roman"/>
      <w:b/>
      <w:bCs/>
    </w:rPr>
  </w:style>
  <w:style w:type="character" w:styleId="Accentuation">
    <w:name w:val="Emphasis"/>
    <w:uiPriority w:val="20"/>
    <w:qFormat/>
    <w:rsid w:val="00486546"/>
    <w:rPr>
      <w:rFonts w:cs="Times New Roman"/>
      <w:i/>
      <w:iCs/>
    </w:rPr>
  </w:style>
  <w:style w:type="paragraph" w:styleId="Sansinterligne">
    <w:name w:val="No Spacing"/>
    <w:link w:val="SansinterligneCar"/>
    <w:uiPriority w:val="1"/>
    <w:qFormat/>
    <w:rsid w:val="00486546"/>
    <w:rPr>
      <w:rFonts w:eastAsia="Times New Roman"/>
      <w:lang w:eastAsia="en-US"/>
    </w:rPr>
  </w:style>
  <w:style w:type="paragraph" w:styleId="Citation">
    <w:name w:val="Quote"/>
    <w:basedOn w:val="Corpsdetexte"/>
    <w:link w:val="CitationCar1"/>
    <w:uiPriority w:val="99"/>
    <w:qFormat/>
    <w:rsid w:val="00486546"/>
    <w:pPr>
      <w:tabs>
        <w:tab w:val="left" w:pos="850"/>
        <w:tab w:val="left" w:pos="1191"/>
        <w:tab w:val="left" w:pos="1531"/>
      </w:tabs>
      <w:spacing w:after="240"/>
      <w:ind w:left="850"/>
    </w:pPr>
    <w:rPr>
      <w:rFonts w:ascii="Times New Roman" w:hAnsi="Times New Roman"/>
      <w:lang w:val="en-US" w:eastAsia="zh-CN"/>
    </w:rPr>
  </w:style>
  <w:style w:type="character" w:customStyle="1" w:styleId="CitationCar">
    <w:name w:val="Citation Car"/>
    <w:basedOn w:val="Policepardfaut"/>
    <w:link w:val="Citation1"/>
    <w:rsid w:val="00486546"/>
    <w:rPr>
      <w:i/>
      <w:iCs/>
      <w:color w:val="000000" w:themeColor="text1"/>
      <w:sz w:val="22"/>
      <w:szCs w:val="22"/>
      <w:lang w:eastAsia="en-US"/>
    </w:rPr>
  </w:style>
  <w:style w:type="paragraph" w:styleId="Corpsdetexte">
    <w:name w:val="Body Text"/>
    <w:basedOn w:val="Normal"/>
    <w:link w:val="CorpsdetexteCar"/>
    <w:uiPriority w:val="99"/>
    <w:unhideWhenUsed/>
    <w:rsid w:val="00486546"/>
    <w:pPr>
      <w:spacing w:after="120" w:line="240" w:lineRule="auto"/>
    </w:pPr>
    <w:rPr>
      <w:rFonts w:eastAsia="Times New Roman"/>
      <w:sz w:val="20"/>
      <w:szCs w:val="20"/>
    </w:rPr>
  </w:style>
  <w:style w:type="character" w:customStyle="1" w:styleId="CorpsdetexteCar">
    <w:name w:val="Corps de texte Car"/>
    <w:basedOn w:val="Policepardfaut"/>
    <w:link w:val="Corpsdetexte"/>
    <w:uiPriority w:val="99"/>
    <w:rsid w:val="00486546"/>
    <w:rPr>
      <w:rFonts w:eastAsia="Times New Roman"/>
      <w:lang w:eastAsia="en-US"/>
    </w:rPr>
  </w:style>
  <w:style w:type="character" w:customStyle="1" w:styleId="CitationCar1">
    <w:name w:val="Citation Car1"/>
    <w:basedOn w:val="Policepardfaut"/>
    <w:link w:val="Citation"/>
    <w:uiPriority w:val="99"/>
    <w:rsid w:val="00486546"/>
    <w:rPr>
      <w:rFonts w:ascii="Times New Roman" w:eastAsia="Times New Roman" w:hAnsi="Times New Roman"/>
      <w:lang w:val="en-US" w:eastAsia="zh-CN"/>
    </w:rPr>
  </w:style>
  <w:style w:type="character" w:styleId="Titredulivre">
    <w:name w:val="Book Title"/>
    <w:uiPriority w:val="99"/>
    <w:qFormat/>
    <w:rsid w:val="00486546"/>
    <w:rPr>
      <w:rFonts w:cs="Times New Roman"/>
      <w:b/>
      <w:bCs/>
      <w:smallCaps/>
      <w:spacing w:val="5"/>
    </w:rPr>
  </w:style>
  <w:style w:type="paragraph" w:styleId="En-ttedetabledesmatires">
    <w:name w:val="TOC Heading"/>
    <w:basedOn w:val="Titre1"/>
    <w:next w:val="Normal"/>
    <w:uiPriority w:val="39"/>
    <w:qFormat/>
    <w:rsid w:val="00486546"/>
    <w:pPr>
      <w:spacing w:line="276" w:lineRule="auto"/>
      <w:outlineLvl w:val="9"/>
    </w:pPr>
    <w:rPr>
      <w:rFonts w:cs="Cambria"/>
      <w:iCs/>
      <w:color w:val="365F91"/>
    </w:rPr>
  </w:style>
  <w:style w:type="paragraph" w:customStyle="1" w:styleId="Arial">
    <w:name w:val="Arial"/>
    <w:aliases w:val="Italic 2"/>
    <w:basedOn w:val="Normal"/>
    <w:link w:val="ArialCar"/>
    <w:qFormat/>
    <w:rsid w:val="00486546"/>
    <w:pPr>
      <w:autoSpaceDE w:val="0"/>
      <w:autoSpaceDN w:val="0"/>
      <w:adjustRightInd w:val="0"/>
      <w:spacing w:after="0" w:line="240" w:lineRule="auto"/>
      <w:jc w:val="both"/>
    </w:pPr>
    <w:rPr>
      <w:rFonts w:ascii="Arial,Italic" w:hAnsi="Arial,Italic"/>
      <w:i/>
      <w:iCs/>
      <w:sz w:val="24"/>
      <w:szCs w:val="24"/>
    </w:rPr>
  </w:style>
  <w:style w:type="character" w:customStyle="1" w:styleId="ArialCar">
    <w:name w:val="Arial Car"/>
    <w:aliases w:val="Italic 2 Car"/>
    <w:link w:val="Arial"/>
    <w:rsid w:val="00486546"/>
    <w:rPr>
      <w:rFonts w:ascii="Arial,Italic" w:hAnsi="Arial,Italic"/>
      <w:i/>
      <w:iCs/>
      <w:sz w:val="24"/>
      <w:szCs w:val="24"/>
      <w:lang w:eastAsia="en-US"/>
    </w:rPr>
  </w:style>
  <w:style w:type="character" w:customStyle="1" w:styleId="SansinterligneCar">
    <w:name w:val="Sans interligne Car"/>
    <w:link w:val="Sansinterligne"/>
    <w:uiPriority w:val="1"/>
    <w:rsid w:val="00486546"/>
    <w:rPr>
      <w:rFonts w:eastAsia="Times New Roman"/>
      <w:lang w:eastAsia="en-US"/>
    </w:rPr>
  </w:style>
  <w:style w:type="paragraph" w:customStyle="1" w:styleId="Text2">
    <w:name w:val="Text 2"/>
    <w:basedOn w:val="Normal"/>
    <w:rsid w:val="00486546"/>
    <w:pPr>
      <w:tabs>
        <w:tab w:val="left" w:pos="2160"/>
      </w:tabs>
      <w:spacing w:after="240" w:line="240" w:lineRule="auto"/>
      <w:ind w:left="1077"/>
      <w:jc w:val="both"/>
    </w:pPr>
    <w:rPr>
      <w:rFonts w:ascii="Times New Roman" w:hAnsi="Times New Roman"/>
      <w:sz w:val="24"/>
      <w:szCs w:val="20"/>
    </w:rPr>
  </w:style>
  <w:style w:type="paragraph" w:customStyle="1" w:styleId="Graphic">
    <w:name w:val="Graphic"/>
    <w:basedOn w:val="Normal"/>
    <w:next w:val="Corpsdetexte"/>
    <w:rsid w:val="00486546"/>
    <w:pPr>
      <w:tabs>
        <w:tab w:val="left" w:pos="850"/>
        <w:tab w:val="left" w:pos="1191"/>
        <w:tab w:val="left" w:pos="1531"/>
      </w:tabs>
      <w:spacing w:after="240" w:line="240" w:lineRule="auto"/>
      <w:jc w:val="center"/>
    </w:pPr>
    <w:rPr>
      <w:rFonts w:ascii="Times" w:eastAsia="Times New Roman" w:hAnsi="Times"/>
      <w:sz w:val="20"/>
      <w:szCs w:val="20"/>
    </w:rPr>
  </w:style>
  <w:style w:type="paragraph" w:styleId="Corpsdetexte2">
    <w:name w:val="Body Text 2"/>
    <w:basedOn w:val="Normal"/>
    <w:link w:val="Corpsdetexte2Car"/>
    <w:rsid w:val="00486546"/>
    <w:pPr>
      <w:spacing w:after="120" w:line="480" w:lineRule="auto"/>
    </w:pPr>
    <w:rPr>
      <w:rFonts w:eastAsia="Times New Roman"/>
      <w:sz w:val="20"/>
      <w:szCs w:val="20"/>
    </w:rPr>
  </w:style>
  <w:style w:type="character" w:customStyle="1" w:styleId="Corpsdetexte2Car">
    <w:name w:val="Corps de texte 2 Car"/>
    <w:basedOn w:val="Policepardfaut"/>
    <w:link w:val="Corpsdetexte2"/>
    <w:rsid w:val="00486546"/>
    <w:rPr>
      <w:rFonts w:eastAsia="Times New Roman"/>
      <w:lang w:eastAsia="en-US"/>
    </w:rPr>
  </w:style>
  <w:style w:type="paragraph" w:styleId="Retraitcorpsdetexte2">
    <w:name w:val="Body Text Indent 2"/>
    <w:basedOn w:val="Normal"/>
    <w:link w:val="Retraitcorpsdetexte2Car"/>
    <w:rsid w:val="00486546"/>
    <w:pPr>
      <w:spacing w:after="120" w:line="480" w:lineRule="auto"/>
      <w:ind w:left="283"/>
    </w:pPr>
    <w:rPr>
      <w:rFonts w:eastAsia="Times New Roman"/>
      <w:sz w:val="20"/>
      <w:szCs w:val="20"/>
    </w:rPr>
  </w:style>
  <w:style w:type="character" w:customStyle="1" w:styleId="Retraitcorpsdetexte2Car">
    <w:name w:val="Retrait corps de texte 2 Car"/>
    <w:basedOn w:val="Policepardfaut"/>
    <w:link w:val="Retraitcorpsdetexte2"/>
    <w:rsid w:val="00486546"/>
    <w:rPr>
      <w:rFonts w:eastAsia="Times New Roman"/>
      <w:lang w:eastAsia="en-US"/>
    </w:rPr>
  </w:style>
  <w:style w:type="paragraph" w:customStyle="1" w:styleId="Paragraphedeliste1">
    <w:name w:val="Paragraphe de liste1"/>
    <w:basedOn w:val="Normal"/>
    <w:link w:val="ParagraphedelisteCar"/>
    <w:qFormat/>
    <w:rsid w:val="00486546"/>
    <w:pPr>
      <w:spacing w:after="0" w:line="240" w:lineRule="auto"/>
      <w:ind w:left="720"/>
      <w:contextualSpacing/>
    </w:pPr>
    <w:rPr>
      <w:rFonts w:eastAsia="Times New Roman"/>
      <w:sz w:val="20"/>
      <w:szCs w:val="20"/>
    </w:rPr>
  </w:style>
  <w:style w:type="character" w:styleId="Appelnotedebasdep">
    <w:name w:val="footnote reference"/>
    <w:aliases w:val="Car Car Char Car Char Car Car Char Car Char Char,Car Car Car Car Car Car Car Car Char Car Car Char Car Car Car Char Car Char Char Char,ftref,16 Point,Superscript 6 Point,SUPERS, Car Car Char Car Char Car Car Char Car Char Char,FO"/>
    <w:link w:val="BVIfnrCharCharCharCharCharChar1CharCharCharCharCharChar"/>
    <w:uiPriority w:val="99"/>
    <w:qFormat/>
    <w:rsid w:val="00486546"/>
    <w:rPr>
      <w:rFonts w:cs="Times New Roman"/>
      <w:vertAlign w:val="superscript"/>
    </w:rPr>
  </w:style>
  <w:style w:type="paragraph" w:customStyle="1" w:styleId="spip">
    <w:name w:val="spip"/>
    <w:basedOn w:val="Normal"/>
    <w:rsid w:val="00486546"/>
    <w:pPr>
      <w:spacing w:before="100" w:beforeAutospacing="1" w:after="100" w:afterAutospacing="1" w:line="240" w:lineRule="auto"/>
    </w:pPr>
    <w:rPr>
      <w:rFonts w:ascii="Times New Roman" w:hAnsi="Times New Roman"/>
      <w:sz w:val="24"/>
      <w:szCs w:val="24"/>
      <w:lang w:eastAsia="fr-FR"/>
    </w:rPr>
  </w:style>
  <w:style w:type="paragraph" w:styleId="NormalWeb">
    <w:name w:val="Normal (Web)"/>
    <w:basedOn w:val="Normal"/>
    <w:link w:val="NormalWebCar"/>
    <w:uiPriority w:val="99"/>
    <w:rsid w:val="00486546"/>
    <w:pPr>
      <w:spacing w:before="100" w:beforeAutospacing="1" w:after="100" w:afterAutospacing="1" w:line="240" w:lineRule="auto"/>
    </w:pPr>
    <w:rPr>
      <w:rFonts w:ascii="Arial" w:eastAsia="Arial Unicode MS" w:hAnsi="Arial" w:cs="Arial"/>
      <w:sz w:val="20"/>
      <w:szCs w:val="20"/>
      <w:lang w:eastAsia="fr-FR"/>
    </w:rPr>
  </w:style>
  <w:style w:type="paragraph" w:customStyle="1" w:styleId="StyleTitre114ptNoirComicSansMS">
    <w:name w:val="Style Titre 1 + 14 pt Noir + Comic Sans MS"/>
    <w:aliases w:val="Non Gras,Automatique + (Latin) Ari..."/>
    <w:basedOn w:val="Normal"/>
    <w:uiPriority w:val="99"/>
    <w:rsid w:val="00486546"/>
    <w:pPr>
      <w:spacing w:after="0" w:line="240" w:lineRule="auto"/>
      <w:jc w:val="center"/>
    </w:pPr>
    <w:rPr>
      <w:rFonts w:ascii="Comic Sans MS" w:eastAsia="Arial Unicode MS" w:hAnsi="Comic Sans MS" w:cs="Tahoma"/>
      <w:sz w:val="28"/>
      <w:szCs w:val="28"/>
      <w:lang w:eastAsia="fr-FR"/>
    </w:rPr>
  </w:style>
  <w:style w:type="character" w:customStyle="1" w:styleId="ParagraphedelisteCar">
    <w:name w:val="Paragraphe de liste Car"/>
    <w:aliases w:val="Glossaire Car,liste de tableaux Car,Titre1 Car,List Paragraph Car,Bullets Car,References Car,Numbered List Paragraph Car,ReferencesCxSpLast Car,L_4 Car,Paragraphe de liste4 Car,figure Car,List Paragraph1 Car,I..1 Car,U 5 Car"/>
    <w:link w:val="Paragraphedeliste1"/>
    <w:uiPriority w:val="34"/>
    <w:qFormat/>
    <w:locked/>
    <w:rsid w:val="00486546"/>
    <w:rPr>
      <w:rFonts w:eastAsia="Times New Roman"/>
      <w:lang w:eastAsia="en-US"/>
    </w:rPr>
  </w:style>
  <w:style w:type="paragraph" w:customStyle="1" w:styleId="Paragraphedeliste2">
    <w:name w:val="Paragraphe de liste2"/>
    <w:basedOn w:val="Normal"/>
    <w:rsid w:val="00486546"/>
    <w:pPr>
      <w:spacing w:after="0" w:line="240" w:lineRule="auto"/>
      <w:ind w:left="720"/>
      <w:contextualSpacing/>
    </w:pPr>
    <w:rPr>
      <w:sz w:val="20"/>
      <w:szCs w:val="20"/>
    </w:rPr>
  </w:style>
  <w:style w:type="paragraph" w:customStyle="1" w:styleId="Listecouleur-Accent11">
    <w:name w:val="Liste couleur - Accent 11"/>
    <w:basedOn w:val="Normal"/>
    <w:link w:val="Listecouleur-Accent1Car"/>
    <w:rsid w:val="00486546"/>
    <w:pPr>
      <w:spacing w:after="0" w:line="240" w:lineRule="auto"/>
      <w:ind w:left="720"/>
    </w:pPr>
    <w:rPr>
      <w:rFonts w:ascii="Arial" w:eastAsia="Times New Roman" w:hAnsi="Arial"/>
      <w:sz w:val="18"/>
      <w:szCs w:val="20"/>
    </w:rPr>
  </w:style>
  <w:style w:type="character" w:customStyle="1" w:styleId="Listecouleur-Accent1Car">
    <w:name w:val="Liste couleur - Accent 1 Car"/>
    <w:link w:val="Listecouleur-Accent11"/>
    <w:locked/>
    <w:rsid w:val="00486546"/>
    <w:rPr>
      <w:rFonts w:ascii="Arial" w:eastAsia="Times New Roman" w:hAnsi="Arial"/>
      <w:sz w:val="18"/>
      <w:lang w:eastAsia="en-US"/>
    </w:rPr>
  </w:style>
  <w:style w:type="paragraph" w:customStyle="1" w:styleId="Paragraphedeliste3">
    <w:name w:val="Paragraphe de liste3"/>
    <w:basedOn w:val="Normal"/>
    <w:link w:val="ListParagraphChar"/>
    <w:rsid w:val="00486546"/>
    <w:pPr>
      <w:spacing w:after="0" w:line="240" w:lineRule="auto"/>
      <w:ind w:left="720"/>
      <w:contextualSpacing/>
    </w:pPr>
    <w:rPr>
      <w:sz w:val="20"/>
      <w:szCs w:val="20"/>
    </w:rPr>
  </w:style>
  <w:style w:type="character" w:customStyle="1" w:styleId="ListParagraphChar">
    <w:name w:val="List Paragraph Char"/>
    <w:link w:val="Paragraphedeliste3"/>
    <w:locked/>
    <w:rsid w:val="00486546"/>
    <w:rPr>
      <w:lang w:eastAsia="en-US"/>
    </w:rPr>
  </w:style>
  <w:style w:type="paragraph" w:customStyle="1" w:styleId="CharCar">
    <w:name w:val="Char Car"/>
    <w:basedOn w:val="Normal"/>
    <w:rsid w:val="00486546"/>
    <w:pPr>
      <w:spacing w:after="160" w:line="240" w:lineRule="exact"/>
    </w:pPr>
    <w:rPr>
      <w:rFonts w:ascii="Arial" w:hAnsi="Arial"/>
      <w:sz w:val="20"/>
      <w:szCs w:val="20"/>
      <w:lang w:val="en-US"/>
    </w:rPr>
  </w:style>
  <w:style w:type="character" w:customStyle="1" w:styleId="Saisiedelutilisateur">
    <w:name w:val="Saisie de l'utilisateur"/>
    <w:rsid w:val="00486546"/>
    <w:rPr>
      <w:rFonts w:ascii="Arial" w:hAnsi="Arial"/>
      <w:sz w:val="21"/>
    </w:rPr>
  </w:style>
  <w:style w:type="paragraph" w:customStyle="1" w:styleId="WW-Retraitcorpsdetexte31">
    <w:name w:val="WW-Retrait corps de texte 31"/>
    <w:basedOn w:val="Normal"/>
    <w:rsid w:val="00486546"/>
    <w:pPr>
      <w:widowControl w:val="0"/>
      <w:suppressAutoHyphens/>
      <w:spacing w:before="120" w:after="120" w:line="360" w:lineRule="auto"/>
      <w:ind w:left="851" w:firstLine="1418"/>
      <w:jc w:val="both"/>
    </w:pPr>
    <w:rPr>
      <w:rFonts w:ascii="Univers (PCL6)" w:eastAsia="Arial Unicode MS" w:hAnsi="Univers (PCL6)"/>
      <w:sz w:val="20"/>
      <w:szCs w:val="24"/>
    </w:rPr>
  </w:style>
  <w:style w:type="paragraph" w:customStyle="1" w:styleId="WW-Corpsdetexte2">
    <w:name w:val="WW-Corps de texte 2"/>
    <w:basedOn w:val="Normal"/>
    <w:rsid w:val="00486546"/>
    <w:pPr>
      <w:widowControl w:val="0"/>
      <w:suppressAutoHyphens/>
      <w:spacing w:after="100" w:line="400" w:lineRule="exact"/>
      <w:jc w:val="center"/>
    </w:pPr>
    <w:rPr>
      <w:rFonts w:ascii="Univers" w:eastAsia="Times New Roman" w:hAnsi="Univers"/>
      <w:b/>
      <w:sz w:val="28"/>
      <w:szCs w:val="20"/>
      <w:lang w:eastAsia="ar-SA"/>
    </w:rPr>
  </w:style>
  <w:style w:type="paragraph" w:customStyle="1" w:styleId="CharChar1CharCharCharCarCarCarCar">
    <w:name w:val="Char Char1 Char Char Char Car Car Car Car"/>
    <w:basedOn w:val="Normal"/>
    <w:rsid w:val="00486546"/>
    <w:pPr>
      <w:spacing w:after="160" w:line="240" w:lineRule="exact"/>
    </w:pPr>
    <w:rPr>
      <w:rFonts w:ascii="Tahoma" w:hAnsi="Tahoma"/>
      <w:sz w:val="20"/>
      <w:szCs w:val="20"/>
      <w:lang w:val="en-US"/>
    </w:rPr>
  </w:style>
  <w:style w:type="character" w:customStyle="1" w:styleId="CarCar33">
    <w:name w:val="Car Car33"/>
    <w:semiHidden/>
    <w:rsid w:val="00486546"/>
    <w:rPr>
      <w:rFonts w:cs="Times New Roman"/>
      <w:b/>
      <w:bCs/>
      <w:sz w:val="28"/>
      <w:szCs w:val="28"/>
      <w:lang w:val="fr-FR" w:eastAsia="fr-FR" w:bidi="ar-SA"/>
    </w:rPr>
  </w:style>
  <w:style w:type="paragraph" w:customStyle="1" w:styleId="Corpsdetexte21">
    <w:name w:val="Corps de texte 21"/>
    <w:basedOn w:val="Normal"/>
    <w:rsid w:val="00486546"/>
    <w:pPr>
      <w:widowControl w:val="0"/>
      <w:spacing w:after="0" w:line="240" w:lineRule="auto"/>
      <w:jc w:val="both"/>
    </w:pPr>
    <w:rPr>
      <w:rFonts w:ascii="Arial" w:hAnsi="Arial"/>
      <w:sz w:val="24"/>
      <w:szCs w:val="20"/>
      <w:lang w:eastAsia="fr-FR"/>
    </w:rPr>
  </w:style>
  <w:style w:type="paragraph" w:styleId="Pieddepage">
    <w:name w:val="footer"/>
    <w:basedOn w:val="Normal"/>
    <w:link w:val="PieddepageCar"/>
    <w:uiPriority w:val="99"/>
    <w:rsid w:val="00486546"/>
    <w:pPr>
      <w:tabs>
        <w:tab w:val="center" w:pos="4536"/>
        <w:tab w:val="right" w:pos="9072"/>
      </w:tabs>
      <w:spacing w:after="0" w:line="240" w:lineRule="auto"/>
    </w:pPr>
    <w:rPr>
      <w:rFonts w:eastAsia="Times New Roman"/>
      <w:sz w:val="20"/>
      <w:szCs w:val="20"/>
    </w:rPr>
  </w:style>
  <w:style w:type="character" w:customStyle="1" w:styleId="PieddepageCar">
    <w:name w:val="Pied de page Car"/>
    <w:basedOn w:val="Policepardfaut"/>
    <w:link w:val="Pieddepage"/>
    <w:uiPriority w:val="99"/>
    <w:rsid w:val="00486546"/>
    <w:rPr>
      <w:rFonts w:eastAsia="Times New Roman"/>
      <w:lang w:eastAsia="en-US"/>
    </w:rPr>
  </w:style>
  <w:style w:type="character" w:styleId="Numrodepage">
    <w:name w:val="page number"/>
    <w:rsid w:val="00486546"/>
    <w:rPr>
      <w:rFonts w:cs="Times New Roman"/>
    </w:rPr>
  </w:style>
  <w:style w:type="paragraph" w:styleId="En-tte">
    <w:name w:val="header"/>
    <w:basedOn w:val="Normal"/>
    <w:link w:val="En-tteCar"/>
    <w:uiPriority w:val="99"/>
    <w:rsid w:val="00486546"/>
    <w:pPr>
      <w:tabs>
        <w:tab w:val="center" w:pos="4536"/>
        <w:tab w:val="right" w:pos="9072"/>
      </w:tabs>
      <w:spacing w:after="0" w:line="240" w:lineRule="auto"/>
    </w:pPr>
    <w:rPr>
      <w:rFonts w:eastAsia="Times New Roman"/>
      <w:sz w:val="20"/>
      <w:szCs w:val="20"/>
    </w:rPr>
  </w:style>
  <w:style w:type="character" w:customStyle="1" w:styleId="En-tteCar">
    <w:name w:val="En-tête Car"/>
    <w:basedOn w:val="Policepardfaut"/>
    <w:link w:val="En-tte"/>
    <w:uiPriority w:val="99"/>
    <w:rsid w:val="00486546"/>
    <w:rPr>
      <w:rFonts w:eastAsia="Times New Roman"/>
      <w:lang w:eastAsia="en-US"/>
    </w:rPr>
  </w:style>
  <w:style w:type="paragraph" w:customStyle="1" w:styleId="Car">
    <w:name w:val="Car"/>
    <w:basedOn w:val="Normal"/>
    <w:rsid w:val="00486546"/>
    <w:pPr>
      <w:spacing w:after="160" w:line="240" w:lineRule="exact"/>
    </w:pPr>
    <w:rPr>
      <w:rFonts w:ascii="Arial" w:hAnsi="Arial"/>
      <w:sz w:val="20"/>
      <w:szCs w:val="20"/>
      <w:lang w:val="en-US"/>
    </w:rPr>
  </w:style>
  <w:style w:type="paragraph" w:styleId="Corpsdetexte3">
    <w:name w:val="Body Text 3"/>
    <w:basedOn w:val="Normal"/>
    <w:link w:val="Corpsdetexte3Car"/>
    <w:rsid w:val="00486546"/>
    <w:pPr>
      <w:spacing w:after="120" w:line="240" w:lineRule="auto"/>
    </w:pPr>
    <w:rPr>
      <w:rFonts w:ascii="Times New Roman" w:hAnsi="Times New Roman"/>
      <w:sz w:val="16"/>
      <w:szCs w:val="16"/>
      <w:lang w:eastAsia="fr-FR"/>
    </w:rPr>
  </w:style>
  <w:style w:type="character" w:customStyle="1" w:styleId="Corpsdetexte3Car">
    <w:name w:val="Corps de texte 3 Car"/>
    <w:basedOn w:val="Policepardfaut"/>
    <w:link w:val="Corpsdetexte3"/>
    <w:rsid w:val="00486546"/>
    <w:rPr>
      <w:rFonts w:ascii="Times New Roman" w:hAnsi="Times New Roman"/>
      <w:sz w:val="16"/>
      <w:szCs w:val="16"/>
    </w:rPr>
  </w:style>
  <w:style w:type="paragraph" w:customStyle="1" w:styleId="BankNormal">
    <w:name w:val="BankNormal"/>
    <w:basedOn w:val="Normal"/>
    <w:rsid w:val="00486546"/>
    <w:pPr>
      <w:autoSpaceDE w:val="0"/>
      <w:autoSpaceDN w:val="0"/>
      <w:spacing w:after="240" w:line="240" w:lineRule="auto"/>
      <w:jc w:val="both"/>
    </w:pPr>
    <w:rPr>
      <w:rFonts w:ascii="Times New Roman" w:hAnsi="Times New Roman"/>
      <w:sz w:val="24"/>
      <w:szCs w:val="20"/>
      <w:lang w:eastAsia="fr-FR"/>
    </w:rPr>
  </w:style>
  <w:style w:type="paragraph" w:styleId="Retraitcorpsdetexte">
    <w:name w:val="Body Text Indent"/>
    <w:basedOn w:val="Normal"/>
    <w:link w:val="RetraitcorpsdetexteCar"/>
    <w:rsid w:val="00486546"/>
    <w:pPr>
      <w:spacing w:after="120" w:line="240" w:lineRule="auto"/>
      <w:ind w:left="283"/>
    </w:pPr>
    <w:rPr>
      <w:rFonts w:ascii="Times New Roman" w:hAnsi="Times New Roman"/>
      <w:sz w:val="24"/>
      <w:szCs w:val="24"/>
      <w:lang w:eastAsia="fr-FR"/>
    </w:rPr>
  </w:style>
  <w:style w:type="character" w:customStyle="1" w:styleId="RetraitcorpsdetexteCar">
    <w:name w:val="Retrait corps de texte Car"/>
    <w:basedOn w:val="Policepardfaut"/>
    <w:link w:val="Retraitcorpsdetexte"/>
    <w:rsid w:val="00486546"/>
    <w:rPr>
      <w:rFonts w:ascii="Times New Roman" w:hAnsi="Times New Roman"/>
      <w:sz w:val="24"/>
      <w:szCs w:val="24"/>
    </w:rPr>
  </w:style>
  <w:style w:type="paragraph" w:customStyle="1" w:styleId="Default">
    <w:name w:val="Default"/>
    <w:rsid w:val="00486546"/>
    <w:pPr>
      <w:autoSpaceDE w:val="0"/>
      <w:autoSpaceDN w:val="0"/>
      <w:adjustRightInd w:val="0"/>
    </w:pPr>
    <w:rPr>
      <w:rFonts w:ascii="Arial" w:hAnsi="Arial" w:cs="Arial"/>
      <w:color w:val="000000"/>
      <w:sz w:val="24"/>
      <w:szCs w:val="24"/>
    </w:rPr>
  </w:style>
  <w:style w:type="paragraph" w:customStyle="1" w:styleId="content">
    <w:name w:val="content"/>
    <w:basedOn w:val="Normal"/>
    <w:rsid w:val="00486546"/>
    <w:pPr>
      <w:spacing w:before="75" w:after="75" w:line="240" w:lineRule="auto"/>
    </w:pPr>
    <w:rPr>
      <w:rFonts w:ascii="Times New Roman" w:hAnsi="Times New Roman"/>
      <w:color w:val="333333"/>
      <w:sz w:val="20"/>
      <w:szCs w:val="20"/>
      <w:lang w:eastAsia="fr-FR"/>
    </w:rPr>
  </w:style>
  <w:style w:type="paragraph" w:styleId="Textebrut">
    <w:name w:val="Plain Text"/>
    <w:aliases w:val="Texte brut Car Car Car,Texte brut Car Char Char,Texte brut Car Char"/>
    <w:basedOn w:val="Normal"/>
    <w:link w:val="TextebrutCar"/>
    <w:rsid w:val="00486546"/>
    <w:pPr>
      <w:spacing w:after="0" w:line="240" w:lineRule="auto"/>
    </w:pPr>
    <w:rPr>
      <w:rFonts w:ascii="Courier New" w:hAnsi="Courier New"/>
      <w:sz w:val="20"/>
      <w:szCs w:val="20"/>
      <w:lang w:eastAsia="fr-FR"/>
    </w:rPr>
  </w:style>
  <w:style w:type="character" w:customStyle="1" w:styleId="TextebrutCar">
    <w:name w:val="Texte brut Car"/>
    <w:aliases w:val="Texte brut Car Car Car Car,Texte brut Car Char Char Car,Texte brut Car Char Car"/>
    <w:basedOn w:val="Policepardfaut"/>
    <w:link w:val="Textebrut"/>
    <w:rsid w:val="00486546"/>
    <w:rPr>
      <w:rFonts w:ascii="Courier New" w:hAnsi="Courier New"/>
    </w:rPr>
  </w:style>
  <w:style w:type="character" w:customStyle="1" w:styleId="PlainTextChar">
    <w:name w:val="Plain Text Char"/>
    <w:aliases w:val="Texte brut Car Car Car Char,Texte brut Car Char1,Texte brut Car Char Char Char,Texte brut Car Char Char1"/>
    <w:semiHidden/>
    <w:rsid w:val="00486546"/>
    <w:rPr>
      <w:rFonts w:ascii="Courier New" w:hAnsi="Courier New" w:cs="Courier New"/>
      <w:sz w:val="20"/>
      <w:szCs w:val="20"/>
    </w:rPr>
  </w:style>
  <w:style w:type="paragraph" w:customStyle="1" w:styleId="PlainText1">
    <w:name w:val="Plain Text1"/>
    <w:basedOn w:val="Normal"/>
    <w:rsid w:val="00486546"/>
    <w:pPr>
      <w:overflowPunct w:val="0"/>
      <w:autoSpaceDE w:val="0"/>
      <w:autoSpaceDN w:val="0"/>
      <w:adjustRightInd w:val="0"/>
      <w:spacing w:after="0" w:line="240" w:lineRule="auto"/>
      <w:textAlignment w:val="baseline"/>
    </w:pPr>
    <w:rPr>
      <w:rFonts w:ascii="Courier New" w:hAnsi="Courier New" w:cs="Courier New"/>
      <w:sz w:val="20"/>
      <w:szCs w:val="20"/>
      <w:lang w:eastAsia="fr-FR"/>
    </w:rPr>
  </w:style>
  <w:style w:type="paragraph" w:customStyle="1" w:styleId="CharCar1">
    <w:name w:val="Char Car1"/>
    <w:basedOn w:val="Normal"/>
    <w:rsid w:val="00486546"/>
    <w:pPr>
      <w:spacing w:after="160" w:line="240" w:lineRule="exact"/>
    </w:pPr>
    <w:rPr>
      <w:rFonts w:ascii="Arial" w:hAnsi="Arial" w:cs="Arial"/>
      <w:sz w:val="20"/>
      <w:szCs w:val="20"/>
      <w:lang w:val="en-US"/>
    </w:rPr>
  </w:style>
  <w:style w:type="paragraph" w:styleId="Objetducommentaire">
    <w:name w:val="annotation subject"/>
    <w:basedOn w:val="Commentaire"/>
    <w:next w:val="Commentaire"/>
    <w:link w:val="ObjetducommentaireCar"/>
    <w:uiPriority w:val="99"/>
    <w:semiHidden/>
    <w:rsid w:val="00486546"/>
    <w:pPr>
      <w:spacing w:after="0" w:line="240" w:lineRule="auto"/>
    </w:pPr>
    <w:rPr>
      <w:rFonts w:ascii="Times New Roman" w:hAnsi="Times New Roman"/>
      <w:b/>
      <w:bCs/>
      <w:lang w:eastAsia="fr-FR"/>
    </w:rPr>
  </w:style>
  <w:style w:type="character" w:customStyle="1" w:styleId="ObjetducommentaireCar">
    <w:name w:val="Objet du commentaire Car"/>
    <w:basedOn w:val="CommentaireCar"/>
    <w:link w:val="Objetducommentaire"/>
    <w:uiPriority w:val="99"/>
    <w:semiHidden/>
    <w:rsid w:val="00486546"/>
    <w:rPr>
      <w:rFonts w:ascii="Times New Roman" w:hAnsi="Times New Roman"/>
      <w:b/>
      <w:bCs/>
      <w:lang w:eastAsia="en-US"/>
    </w:rPr>
  </w:style>
  <w:style w:type="paragraph" w:customStyle="1" w:styleId="BodyText31">
    <w:name w:val="Body Text 31"/>
    <w:basedOn w:val="Normal"/>
    <w:rsid w:val="00486546"/>
    <w:pPr>
      <w:widowControl w:val="0"/>
      <w:overflowPunct w:val="0"/>
      <w:autoSpaceDE w:val="0"/>
      <w:autoSpaceDN w:val="0"/>
      <w:adjustRightInd w:val="0"/>
      <w:spacing w:after="0" w:line="240" w:lineRule="auto"/>
      <w:jc w:val="both"/>
      <w:textAlignment w:val="baseline"/>
    </w:pPr>
    <w:rPr>
      <w:rFonts w:ascii="Times New Roman" w:hAnsi="Times New Roman"/>
      <w:sz w:val="20"/>
      <w:szCs w:val="20"/>
      <w:lang w:eastAsia="fr-FR"/>
    </w:rPr>
  </w:style>
  <w:style w:type="paragraph" w:customStyle="1" w:styleId="BodyTextIndent21">
    <w:name w:val="Body Text Indent 21"/>
    <w:basedOn w:val="Normal"/>
    <w:rsid w:val="00486546"/>
    <w:pPr>
      <w:overflowPunct w:val="0"/>
      <w:autoSpaceDE w:val="0"/>
      <w:autoSpaceDN w:val="0"/>
      <w:adjustRightInd w:val="0"/>
      <w:spacing w:after="0" w:line="240" w:lineRule="auto"/>
      <w:ind w:firstLine="708"/>
      <w:jc w:val="both"/>
      <w:textAlignment w:val="baseline"/>
    </w:pPr>
    <w:rPr>
      <w:rFonts w:ascii="Times New Roman" w:hAnsi="Times New Roman"/>
      <w:sz w:val="24"/>
      <w:szCs w:val="24"/>
      <w:lang w:eastAsia="fr-FR"/>
    </w:rPr>
  </w:style>
  <w:style w:type="paragraph" w:customStyle="1" w:styleId="indicator">
    <w:name w:val="indicator"/>
    <w:basedOn w:val="Normal"/>
    <w:autoRedefine/>
    <w:rsid w:val="00486546"/>
    <w:pPr>
      <w:tabs>
        <w:tab w:val="num" w:pos="720"/>
      </w:tabs>
      <w:spacing w:before="120" w:after="120" w:line="240" w:lineRule="auto"/>
      <w:ind w:left="720" w:hanging="360"/>
    </w:pPr>
    <w:rPr>
      <w:rFonts w:ascii="Arial" w:hAnsi="Arial" w:cs="Arial"/>
      <w:b/>
      <w:bCs/>
      <w:color w:val="000000"/>
      <w:sz w:val="20"/>
      <w:szCs w:val="20"/>
    </w:rPr>
  </w:style>
  <w:style w:type="paragraph" w:customStyle="1" w:styleId="subindicator">
    <w:name w:val="subindicator"/>
    <w:basedOn w:val="Normal"/>
    <w:rsid w:val="00486546"/>
    <w:pPr>
      <w:tabs>
        <w:tab w:val="left" w:pos="720"/>
        <w:tab w:val="num" w:pos="1080"/>
      </w:tabs>
      <w:spacing w:before="120" w:after="120" w:line="240" w:lineRule="auto"/>
      <w:ind w:left="1080" w:hanging="360"/>
    </w:pPr>
    <w:rPr>
      <w:rFonts w:ascii="Times New Roman" w:hAnsi="Times New Roman"/>
      <w:i/>
      <w:iCs/>
      <w:sz w:val="24"/>
      <w:szCs w:val="24"/>
      <w:lang w:val="en-US"/>
    </w:rPr>
  </w:style>
  <w:style w:type="paragraph" w:customStyle="1" w:styleId="10TEXT">
    <w:name w:val="10 TEXT #"/>
    <w:basedOn w:val="Normal"/>
    <w:link w:val="10TEXTChar"/>
    <w:rsid w:val="00486546"/>
    <w:pPr>
      <w:tabs>
        <w:tab w:val="num" w:pos="720"/>
      </w:tabs>
      <w:spacing w:after="120" w:line="240" w:lineRule="auto"/>
      <w:ind w:left="720" w:hanging="360"/>
      <w:jc w:val="both"/>
    </w:pPr>
    <w:rPr>
      <w:rFonts w:ascii="Times New Roman" w:hAnsi="Times New Roman"/>
      <w:sz w:val="24"/>
      <w:szCs w:val="24"/>
      <w:lang w:eastAsia="fr-FR"/>
    </w:rPr>
  </w:style>
  <w:style w:type="character" w:customStyle="1" w:styleId="10TEXTChar">
    <w:name w:val="10 TEXT # Char"/>
    <w:link w:val="10TEXT"/>
    <w:locked/>
    <w:rsid w:val="00486546"/>
    <w:rPr>
      <w:rFonts w:ascii="Times New Roman" w:hAnsi="Times New Roman"/>
      <w:sz w:val="24"/>
      <w:szCs w:val="24"/>
    </w:rPr>
  </w:style>
  <w:style w:type="character" w:styleId="Lienhypertexte">
    <w:name w:val="Hyperlink"/>
    <w:uiPriority w:val="99"/>
    <w:rsid w:val="00486546"/>
    <w:rPr>
      <w:rFonts w:cs="Times New Roman"/>
      <w:color w:val="0000FF"/>
      <w:u w:val="single"/>
    </w:rPr>
  </w:style>
  <w:style w:type="paragraph" w:customStyle="1" w:styleId="00PDPIllar">
    <w:name w:val="00 PD PIllar"/>
    <w:basedOn w:val="Normal"/>
    <w:rsid w:val="00486546"/>
    <w:pPr>
      <w:spacing w:after="0" w:line="240" w:lineRule="auto"/>
    </w:pPr>
    <w:rPr>
      <w:rFonts w:ascii="Times New Roman Bold" w:hAnsi="Times New Roman Bold" w:cs="Times New Roman Bold"/>
      <w:b/>
      <w:bCs/>
      <w:smallCaps/>
      <w:color w:val="9D2B2B"/>
      <w:sz w:val="24"/>
      <w:szCs w:val="24"/>
      <w:lang w:val="en-US"/>
    </w:rPr>
  </w:style>
  <w:style w:type="paragraph" w:styleId="Liste">
    <w:name w:val="List"/>
    <w:basedOn w:val="Normal"/>
    <w:rsid w:val="00486546"/>
    <w:pPr>
      <w:widowControl w:val="0"/>
      <w:tabs>
        <w:tab w:val="num" w:pos="397"/>
      </w:tabs>
      <w:spacing w:before="120" w:after="120" w:line="240" w:lineRule="auto"/>
      <w:ind w:left="397" w:hanging="284"/>
      <w:jc w:val="both"/>
    </w:pPr>
    <w:rPr>
      <w:rFonts w:ascii="Arial" w:hAnsi="Arial" w:cs="Arial"/>
      <w:sz w:val="20"/>
      <w:szCs w:val="20"/>
      <w:lang w:eastAsia="fr-FR"/>
    </w:rPr>
  </w:style>
  <w:style w:type="character" w:customStyle="1" w:styleId="cap1">
    <w:name w:val="cap1"/>
    <w:rsid w:val="00486546"/>
    <w:rPr>
      <w:rFonts w:ascii="Arial" w:hAnsi="Arial" w:cs="Arial"/>
      <w:sz w:val="17"/>
      <w:szCs w:val="17"/>
    </w:rPr>
  </w:style>
  <w:style w:type="paragraph" w:styleId="Retraitcorpsdetexte3">
    <w:name w:val="Body Text Indent 3"/>
    <w:basedOn w:val="Normal"/>
    <w:link w:val="Retraitcorpsdetexte3Car"/>
    <w:rsid w:val="00486546"/>
    <w:pPr>
      <w:spacing w:after="0" w:line="240" w:lineRule="auto"/>
      <w:ind w:left="708"/>
      <w:jc w:val="both"/>
    </w:pPr>
    <w:rPr>
      <w:rFonts w:ascii="Times New Roman" w:hAnsi="Times New Roman"/>
      <w:b/>
      <w:bCs/>
      <w:sz w:val="20"/>
      <w:szCs w:val="20"/>
      <w:lang w:eastAsia="fr-FR"/>
    </w:rPr>
  </w:style>
  <w:style w:type="character" w:customStyle="1" w:styleId="Retraitcorpsdetexte3Car">
    <w:name w:val="Retrait corps de texte 3 Car"/>
    <w:basedOn w:val="Policepardfaut"/>
    <w:link w:val="Retraitcorpsdetexte3"/>
    <w:rsid w:val="00486546"/>
    <w:rPr>
      <w:rFonts w:ascii="Times New Roman" w:hAnsi="Times New Roman"/>
      <w:b/>
      <w:bCs/>
    </w:rPr>
  </w:style>
  <w:style w:type="paragraph" w:customStyle="1" w:styleId="BodyText23">
    <w:name w:val="Body Text 23"/>
    <w:basedOn w:val="Normal"/>
    <w:rsid w:val="00486546"/>
    <w:pPr>
      <w:widowControl w:val="0"/>
      <w:spacing w:after="0" w:line="240" w:lineRule="auto"/>
      <w:jc w:val="both"/>
    </w:pPr>
    <w:rPr>
      <w:rFonts w:ascii="Arial" w:hAnsi="Arial" w:cs="Arial"/>
      <w:sz w:val="24"/>
      <w:szCs w:val="24"/>
      <w:lang w:eastAsia="fr-FR"/>
    </w:rPr>
  </w:style>
  <w:style w:type="paragraph" w:customStyle="1" w:styleId="xl24">
    <w:name w:val="xl24"/>
    <w:basedOn w:val="Normal"/>
    <w:rsid w:val="00486546"/>
    <w:pPr>
      <w:pBdr>
        <w:left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lang w:eastAsia="fr-FR"/>
    </w:rPr>
  </w:style>
  <w:style w:type="paragraph" w:customStyle="1" w:styleId="xl25">
    <w:name w:val="xl25"/>
    <w:basedOn w:val="Normal"/>
    <w:rsid w:val="00486546"/>
    <w:pPr>
      <w:pBdr>
        <w:left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sz w:val="24"/>
      <w:szCs w:val="24"/>
      <w:lang w:eastAsia="fr-FR"/>
    </w:rPr>
  </w:style>
  <w:style w:type="paragraph" w:customStyle="1" w:styleId="xl26">
    <w:name w:val="xl26"/>
    <w:basedOn w:val="Normal"/>
    <w:rsid w:val="00486546"/>
    <w:pPr>
      <w:pBdr>
        <w:left w:val="single" w:sz="4" w:space="0" w:color="auto"/>
        <w:bottom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lang w:eastAsia="fr-FR"/>
    </w:rPr>
  </w:style>
  <w:style w:type="paragraph" w:customStyle="1" w:styleId="xl27">
    <w:name w:val="xl27"/>
    <w:basedOn w:val="Normal"/>
    <w:rsid w:val="00486546"/>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sz w:val="24"/>
      <w:szCs w:val="24"/>
      <w:lang w:eastAsia="fr-FR"/>
    </w:rPr>
  </w:style>
  <w:style w:type="paragraph" w:customStyle="1" w:styleId="xl28">
    <w:name w:val="xl28"/>
    <w:basedOn w:val="Normal"/>
    <w:rsid w:val="00486546"/>
    <w:pPr>
      <w:pBdr>
        <w:left w:val="single" w:sz="4" w:space="0" w:color="auto"/>
        <w:right w:val="single" w:sz="4" w:space="0" w:color="auto"/>
      </w:pBdr>
      <w:spacing w:before="100" w:beforeAutospacing="1" w:after="100" w:afterAutospacing="1" w:line="240" w:lineRule="auto"/>
    </w:pPr>
    <w:rPr>
      <w:rFonts w:ascii="Arial Unicode MS" w:eastAsia="Arial Unicode MS" w:hAnsi="Arial Unicode MS" w:cs="Arial Unicode MS"/>
      <w:sz w:val="24"/>
      <w:szCs w:val="24"/>
      <w:lang w:eastAsia="fr-FR"/>
    </w:rPr>
  </w:style>
  <w:style w:type="paragraph" w:customStyle="1" w:styleId="xl29">
    <w:name w:val="xl29"/>
    <w:basedOn w:val="Normal"/>
    <w:rsid w:val="00486546"/>
    <w:pPr>
      <w:pBdr>
        <w:left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sz w:val="24"/>
      <w:szCs w:val="24"/>
      <w:lang w:eastAsia="fr-FR"/>
    </w:rPr>
  </w:style>
  <w:style w:type="paragraph" w:customStyle="1" w:styleId="xl30">
    <w:name w:val="xl30"/>
    <w:basedOn w:val="Normal"/>
    <w:rsid w:val="00486546"/>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sz w:val="24"/>
      <w:szCs w:val="24"/>
      <w:lang w:eastAsia="fr-FR"/>
    </w:rPr>
  </w:style>
  <w:style w:type="paragraph" w:customStyle="1" w:styleId="xl31">
    <w:name w:val="xl31"/>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b/>
      <w:bCs/>
      <w:sz w:val="24"/>
      <w:szCs w:val="24"/>
      <w:lang w:eastAsia="fr-FR"/>
    </w:rPr>
  </w:style>
  <w:style w:type="paragraph" w:customStyle="1" w:styleId="xl32">
    <w:name w:val="xl32"/>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sz w:val="24"/>
      <w:szCs w:val="24"/>
      <w:lang w:eastAsia="fr-FR"/>
    </w:rPr>
  </w:style>
  <w:style w:type="paragraph" w:customStyle="1" w:styleId="xl33">
    <w:name w:val="xl33"/>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sz w:val="24"/>
      <w:szCs w:val="24"/>
      <w:lang w:eastAsia="fr-FR"/>
    </w:rPr>
  </w:style>
  <w:style w:type="paragraph" w:customStyle="1" w:styleId="xl34">
    <w:name w:val="xl34"/>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sz w:val="24"/>
      <w:szCs w:val="24"/>
      <w:lang w:eastAsia="fr-FR"/>
    </w:rPr>
  </w:style>
  <w:style w:type="paragraph" w:customStyle="1" w:styleId="PlainText2">
    <w:name w:val="Plain Text2"/>
    <w:basedOn w:val="Normal"/>
    <w:rsid w:val="00486546"/>
    <w:pPr>
      <w:overflowPunct w:val="0"/>
      <w:autoSpaceDE w:val="0"/>
      <w:autoSpaceDN w:val="0"/>
      <w:adjustRightInd w:val="0"/>
      <w:spacing w:after="0" w:line="240" w:lineRule="auto"/>
      <w:textAlignment w:val="baseline"/>
    </w:pPr>
    <w:rPr>
      <w:rFonts w:ascii="Courier New" w:hAnsi="Courier New" w:cs="Courier New"/>
      <w:sz w:val="20"/>
      <w:szCs w:val="20"/>
      <w:lang w:eastAsia="fr-FR"/>
    </w:rPr>
  </w:style>
  <w:style w:type="paragraph" w:styleId="Normalcentr">
    <w:name w:val="Block Text"/>
    <w:basedOn w:val="Normal"/>
    <w:rsid w:val="00486546"/>
    <w:pPr>
      <w:spacing w:before="67" w:after="0" w:line="230" w:lineRule="exact"/>
      <w:ind w:left="100" w:right="65" w:firstLine="100"/>
    </w:pPr>
    <w:rPr>
      <w:rFonts w:ascii="Times New Roman" w:hAnsi="Times New Roman"/>
      <w:sz w:val="24"/>
      <w:szCs w:val="24"/>
      <w:lang w:eastAsia="fr-FR"/>
    </w:rPr>
  </w:style>
  <w:style w:type="paragraph" w:customStyle="1" w:styleId="CorpsdeTexteConserver">
    <w:name w:val="Corps de Texte Conserver"/>
    <w:basedOn w:val="Corpsdetexte"/>
    <w:rsid w:val="00486546"/>
    <w:pPr>
      <w:keepNext/>
      <w:tabs>
        <w:tab w:val="right" w:pos="8640"/>
      </w:tabs>
      <w:spacing w:after="280" w:line="360" w:lineRule="auto"/>
      <w:jc w:val="both"/>
    </w:pPr>
    <w:rPr>
      <w:rFonts w:ascii="Garamond" w:eastAsia="Calibri" w:hAnsi="Garamond" w:cs="Garamond"/>
      <w:spacing w:val="-2"/>
      <w:sz w:val="24"/>
      <w:szCs w:val="24"/>
    </w:rPr>
  </w:style>
  <w:style w:type="paragraph" w:customStyle="1" w:styleId="BodyText32">
    <w:name w:val="Body Text 32"/>
    <w:basedOn w:val="Normal"/>
    <w:rsid w:val="00486546"/>
    <w:pPr>
      <w:widowControl w:val="0"/>
      <w:overflowPunct w:val="0"/>
      <w:autoSpaceDE w:val="0"/>
      <w:autoSpaceDN w:val="0"/>
      <w:adjustRightInd w:val="0"/>
      <w:spacing w:after="0" w:line="240" w:lineRule="auto"/>
      <w:jc w:val="both"/>
      <w:textAlignment w:val="baseline"/>
    </w:pPr>
    <w:rPr>
      <w:rFonts w:ascii="Times New Roman" w:hAnsi="Times New Roman"/>
      <w:sz w:val="20"/>
      <w:szCs w:val="20"/>
    </w:rPr>
  </w:style>
  <w:style w:type="character" w:customStyle="1" w:styleId="CarCar">
    <w:name w:val="Car Car"/>
    <w:rsid w:val="00486546"/>
    <w:rPr>
      <w:rFonts w:cs="Times New Roman"/>
      <w:b/>
      <w:bCs/>
      <w:sz w:val="23"/>
      <w:szCs w:val="23"/>
      <w:lang w:val="fr-FR" w:eastAsia="fr-FR"/>
    </w:rPr>
  </w:style>
  <w:style w:type="character" w:styleId="Lienhypertextesuivivisit">
    <w:name w:val="FollowedHyperlink"/>
    <w:uiPriority w:val="99"/>
    <w:rsid w:val="00486546"/>
    <w:rPr>
      <w:rFonts w:cs="Times New Roman"/>
      <w:color w:val="800080"/>
      <w:u w:val="single"/>
    </w:rPr>
  </w:style>
  <w:style w:type="character" w:customStyle="1" w:styleId="Titre2CarCarCarCarCarCarCarCarCarCar">
    <w:name w:val="Titre 2 Car Car Car Car Car Car Car Car Car Car"/>
    <w:rsid w:val="00486546"/>
    <w:rPr>
      <w:rFonts w:ascii="Arial" w:hAnsi="Arial" w:cs="Arial"/>
      <w:b/>
      <w:bCs/>
      <w:i/>
      <w:iCs/>
      <w:sz w:val="24"/>
      <w:szCs w:val="24"/>
      <w:lang w:val="fr-FR" w:eastAsia="fr-FR"/>
    </w:rPr>
  </w:style>
  <w:style w:type="paragraph" w:customStyle="1" w:styleId="BodyTextIndent22">
    <w:name w:val="Body Text Indent 22"/>
    <w:basedOn w:val="Normal"/>
    <w:rsid w:val="00486546"/>
    <w:pPr>
      <w:overflowPunct w:val="0"/>
      <w:autoSpaceDE w:val="0"/>
      <w:autoSpaceDN w:val="0"/>
      <w:adjustRightInd w:val="0"/>
      <w:spacing w:after="0" w:line="240" w:lineRule="auto"/>
      <w:ind w:firstLine="708"/>
      <w:jc w:val="both"/>
      <w:textAlignment w:val="baseline"/>
    </w:pPr>
    <w:rPr>
      <w:rFonts w:ascii="Times New Roman" w:hAnsi="Times New Roman"/>
      <w:sz w:val="24"/>
      <w:szCs w:val="24"/>
      <w:lang w:eastAsia="fr-FR"/>
    </w:rPr>
  </w:style>
  <w:style w:type="paragraph" w:customStyle="1" w:styleId="PlainTextTextebrutCarCarCarTextebrutCar">
    <w:name w:val="Plain Text.Texte brut Car Car Car.Texte brut Car"/>
    <w:basedOn w:val="Normal"/>
    <w:rsid w:val="00486546"/>
    <w:pPr>
      <w:overflowPunct w:val="0"/>
      <w:autoSpaceDE w:val="0"/>
      <w:autoSpaceDN w:val="0"/>
      <w:adjustRightInd w:val="0"/>
      <w:spacing w:after="0" w:line="240" w:lineRule="auto"/>
      <w:textAlignment w:val="baseline"/>
    </w:pPr>
    <w:rPr>
      <w:rFonts w:ascii="Courier New" w:hAnsi="Courier New" w:cs="Courier New"/>
      <w:sz w:val="20"/>
      <w:szCs w:val="20"/>
      <w:lang w:eastAsia="fr-FR"/>
    </w:rPr>
  </w:style>
  <w:style w:type="paragraph" w:customStyle="1" w:styleId="xl38">
    <w:name w:val="xl38"/>
    <w:basedOn w:val="Normal"/>
    <w:rsid w:val="00486546"/>
    <w:pPr>
      <w:pBdr>
        <w:bottom w:val="single" w:sz="8" w:space="0" w:color="auto"/>
      </w:pBdr>
      <w:spacing w:before="100" w:beforeAutospacing="1" w:after="100" w:afterAutospacing="1" w:line="240" w:lineRule="auto"/>
      <w:jc w:val="center"/>
      <w:textAlignment w:val="center"/>
    </w:pPr>
    <w:rPr>
      <w:rFonts w:ascii="Arial" w:hAnsi="Arial" w:cs="Arial"/>
      <w:b/>
      <w:bCs/>
      <w:sz w:val="16"/>
      <w:szCs w:val="16"/>
      <w:lang w:eastAsia="fr-FR"/>
    </w:rPr>
  </w:style>
  <w:style w:type="paragraph" w:customStyle="1" w:styleId="xl39">
    <w:name w:val="xl39"/>
    <w:basedOn w:val="Normal"/>
    <w:rsid w:val="00486546"/>
    <w:pPr>
      <w:pBdr>
        <w:bottom w:val="single" w:sz="8" w:space="0" w:color="auto"/>
      </w:pBdr>
      <w:spacing w:before="100" w:beforeAutospacing="1" w:after="100" w:afterAutospacing="1" w:line="240" w:lineRule="auto"/>
    </w:pPr>
    <w:rPr>
      <w:rFonts w:ascii="Arial" w:hAnsi="Arial" w:cs="Arial"/>
      <w:sz w:val="16"/>
      <w:szCs w:val="16"/>
      <w:lang w:eastAsia="fr-FR"/>
    </w:rPr>
  </w:style>
  <w:style w:type="paragraph" w:customStyle="1" w:styleId="BodyText21">
    <w:name w:val="Body Text 21"/>
    <w:basedOn w:val="Normal"/>
    <w:rsid w:val="00486546"/>
    <w:pPr>
      <w:widowControl w:val="0"/>
      <w:spacing w:after="0" w:line="240" w:lineRule="auto"/>
      <w:jc w:val="both"/>
    </w:pPr>
    <w:rPr>
      <w:rFonts w:ascii="Arial" w:hAnsi="Arial" w:cs="Arial"/>
      <w:sz w:val="24"/>
      <w:szCs w:val="24"/>
      <w:lang w:eastAsia="fr-FR"/>
    </w:rPr>
  </w:style>
  <w:style w:type="paragraph" w:customStyle="1" w:styleId="BodyText22">
    <w:name w:val="Body Text 22"/>
    <w:basedOn w:val="Normal"/>
    <w:rsid w:val="00486546"/>
    <w:pPr>
      <w:widowControl w:val="0"/>
      <w:spacing w:after="0" w:line="240" w:lineRule="auto"/>
      <w:jc w:val="both"/>
    </w:pPr>
    <w:rPr>
      <w:rFonts w:ascii="Arial" w:hAnsi="Arial" w:cs="Arial"/>
      <w:sz w:val="24"/>
      <w:szCs w:val="24"/>
      <w:lang w:eastAsia="fr-FR"/>
    </w:rPr>
  </w:style>
  <w:style w:type="paragraph" w:customStyle="1" w:styleId="xl76">
    <w:name w:val="xl76"/>
    <w:basedOn w:val="Normal"/>
    <w:rsid w:val="00486546"/>
    <w:pPr>
      <w:pBdr>
        <w:left w:val="single" w:sz="8" w:space="0" w:color="auto"/>
        <w:bottom w:val="single" w:sz="8" w:space="0" w:color="auto"/>
        <w:right w:val="single" w:sz="8" w:space="0" w:color="auto"/>
      </w:pBdr>
      <w:spacing w:before="100" w:beforeAutospacing="1" w:after="100" w:afterAutospacing="1" w:line="240" w:lineRule="auto"/>
      <w:jc w:val="right"/>
    </w:pPr>
    <w:rPr>
      <w:rFonts w:ascii="Arial" w:hAnsi="Arial" w:cs="Arial"/>
      <w:sz w:val="24"/>
      <w:szCs w:val="24"/>
      <w:lang w:eastAsia="fr-FR"/>
    </w:rPr>
  </w:style>
  <w:style w:type="character" w:customStyle="1" w:styleId="CarCar1">
    <w:name w:val="Car Car1"/>
    <w:rsid w:val="00486546"/>
    <w:rPr>
      <w:rFonts w:cs="Times New Roman"/>
      <w:sz w:val="24"/>
      <w:szCs w:val="24"/>
      <w:lang w:val="fr-FR" w:eastAsia="fr-FR"/>
    </w:rPr>
  </w:style>
  <w:style w:type="character" w:customStyle="1" w:styleId="CarCar11">
    <w:name w:val="Car Car11"/>
    <w:locked/>
    <w:rsid w:val="00486546"/>
    <w:rPr>
      <w:rFonts w:cs="Times New Roman"/>
      <w:sz w:val="24"/>
      <w:szCs w:val="24"/>
      <w:lang w:val="fr-FR" w:eastAsia="fr-FR"/>
    </w:rPr>
  </w:style>
  <w:style w:type="character" w:customStyle="1" w:styleId="CarCar3">
    <w:name w:val="Car Car3"/>
    <w:locked/>
    <w:rsid w:val="00486546"/>
    <w:rPr>
      <w:rFonts w:cs="Times New Roman"/>
      <w:b/>
      <w:bCs/>
      <w:sz w:val="23"/>
      <w:szCs w:val="23"/>
      <w:lang w:val="fr-FR" w:eastAsia="fr-FR"/>
    </w:rPr>
  </w:style>
  <w:style w:type="paragraph" w:styleId="Explorateurdedocuments">
    <w:name w:val="Document Map"/>
    <w:basedOn w:val="Normal"/>
    <w:link w:val="ExplorateurdedocumentsCar"/>
    <w:uiPriority w:val="99"/>
    <w:semiHidden/>
    <w:rsid w:val="00486546"/>
    <w:pPr>
      <w:shd w:val="clear" w:color="auto" w:fill="000080"/>
      <w:spacing w:after="0" w:line="240" w:lineRule="auto"/>
    </w:pPr>
    <w:rPr>
      <w:rFonts w:ascii="Tahoma" w:hAnsi="Tahoma"/>
      <w:sz w:val="20"/>
      <w:szCs w:val="20"/>
      <w:lang w:eastAsia="fr-FR"/>
    </w:rPr>
  </w:style>
  <w:style w:type="character" w:customStyle="1" w:styleId="ExplorateurdedocumentsCar">
    <w:name w:val="Explorateur de documents Car"/>
    <w:basedOn w:val="Policepardfaut"/>
    <w:link w:val="Explorateurdedocuments"/>
    <w:uiPriority w:val="99"/>
    <w:semiHidden/>
    <w:rsid w:val="00486546"/>
    <w:rPr>
      <w:rFonts w:ascii="Tahoma" w:hAnsi="Tahoma"/>
      <w:shd w:val="clear" w:color="auto" w:fill="000080"/>
    </w:rPr>
  </w:style>
  <w:style w:type="paragraph" w:styleId="Adressedestinataire">
    <w:name w:val="envelope address"/>
    <w:basedOn w:val="Normal"/>
    <w:rsid w:val="00486546"/>
    <w:pPr>
      <w:framePr w:w="7938" w:h="1985" w:hRule="exact" w:hSpace="141" w:wrap="auto" w:hAnchor="page" w:xAlign="center" w:yAlign="bottom"/>
      <w:spacing w:after="0" w:line="240" w:lineRule="auto"/>
      <w:ind w:left="2835"/>
    </w:pPr>
    <w:rPr>
      <w:rFonts w:ascii="Arial" w:hAnsi="Arial" w:cs="Arial"/>
      <w:sz w:val="24"/>
      <w:szCs w:val="24"/>
      <w:lang w:eastAsia="fr-FR"/>
    </w:rPr>
  </w:style>
  <w:style w:type="paragraph" w:styleId="TM1">
    <w:name w:val="toc 1"/>
    <w:basedOn w:val="Normal"/>
    <w:next w:val="Normal"/>
    <w:autoRedefine/>
    <w:uiPriority w:val="39"/>
    <w:qFormat/>
    <w:rsid w:val="007D0974"/>
    <w:pPr>
      <w:tabs>
        <w:tab w:val="right" w:leader="dot" w:pos="9771"/>
      </w:tabs>
      <w:spacing w:before="120" w:after="80"/>
    </w:pPr>
    <w:rPr>
      <w:rFonts w:ascii="Arial" w:eastAsia="Times New Roman" w:hAnsi="Arial" w:cs="Arial"/>
      <w:b/>
      <w:bCs/>
      <w:i/>
      <w:caps/>
      <w:noProof/>
      <w:sz w:val="20"/>
      <w:szCs w:val="20"/>
    </w:rPr>
  </w:style>
  <w:style w:type="paragraph" w:styleId="Adresseexpditeur">
    <w:name w:val="envelope return"/>
    <w:basedOn w:val="Normal"/>
    <w:rsid w:val="00486546"/>
    <w:pPr>
      <w:spacing w:after="0" w:line="240" w:lineRule="auto"/>
    </w:pPr>
    <w:rPr>
      <w:rFonts w:ascii="Arial" w:hAnsi="Arial" w:cs="Arial"/>
      <w:sz w:val="20"/>
      <w:szCs w:val="20"/>
      <w:lang w:eastAsia="fr-FR"/>
    </w:rPr>
  </w:style>
  <w:style w:type="paragraph" w:styleId="AdresseHTML">
    <w:name w:val="HTML Address"/>
    <w:basedOn w:val="Normal"/>
    <w:link w:val="AdresseHTMLCar"/>
    <w:rsid w:val="00486546"/>
    <w:pPr>
      <w:spacing w:after="0" w:line="240" w:lineRule="auto"/>
    </w:pPr>
    <w:rPr>
      <w:rFonts w:ascii="Times New Roman" w:hAnsi="Times New Roman"/>
      <w:i/>
      <w:iCs/>
      <w:sz w:val="24"/>
      <w:szCs w:val="24"/>
      <w:lang w:eastAsia="fr-FR"/>
    </w:rPr>
  </w:style>
  <w:style w:type="character" w:customStyle="1" w:styleId="AdresseHTMLCar">
    <w:name w:val="Adresse HTML Car"/>
    <w:basedOn w:val="Policepardfaut"/>
    <w:link w:val="AdresseHTML"/>
    <w:rsid w:val="00486546"/>
    <w:rPr>
      <w:rFonts w:ascii="Times New Roman" w:hAnsi="Times New Roman"/>
      <w:i/>
      <w:iCs/>
      <w:sz w:val="24"/>
      <w:szCs w:val="24"/>
    </w:rPr>
  </w:style>
  <w:style w:type="paragraph" w:styleId="Date">
    <w:name w:val="Date"/>
    <w:basedOn w:val="Normal"/>
    <w:next w:val="Normal"/>
    <w:link w:val="DateCar"/>
    <w:rsid w:val="00486546"/>
    <w:pPr>
      <w:spacing w:after="0" w:line="240" w:lineRule="auto"/>
    </w:pPr>
    <w:rPr>
      <w:rFonts w:ascii="Times New Roman" w:hAnsi="Times New Roman"/>
      <w:sz w:val="24"/>
      <w:szCs w:val="24"/>
      <w:lang w:eastAsia="fr-FR"/>
    </w:rPr>
  </w:style>
  <w:style w:type="character" w:customStyle="1" w:styleId="DateCar">
    <w:name w:val="Date Car"/>
    <w:basedOn w:val="Policepardfaut"/>
    <w:link w:val="Date"/>
    <w:rsid w:val="00486546"/>
    <w:rPr>
      <w:rFonts w:ascii="Times New Roman" w:hAnsi="Times New Roman"/>
      <w:sz w:val="24"/>
      <w:szCs w:val="24"/>
    </w:rPr>
  </w:style>
  <w:style w:type="paragraph" w:styleId="En-ttedemessage">
    <w:name w:val="Message Header"/>
    <w:basedOn w:val="Normal"/>
    <w:link w:val="En-ttedemessageCar"/>
    <w:rsid w:val="00486546"/>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Arial" w:hAnsi="Arial"/>
      <w:sz w:val="24"/>
      <w:szCs w:val="24"/>
      <w:lang w:eastAsia="fr-FR"/>
    </w:rPr>
  </w:style>
  <w:style w:type="character" w:customStyle="1" w:styleId="En-ttedemessageCar">
    <w:name w:val="En-tête de message Car"/>
    <w:basedOn w:val="Policepardfaut"/>
    <w:link w:val="En-ttedemessage"/>
    <w:rsid w:val="00486546"/>
    <w:rPr>
      <w:rFonts w:ascii="Arial" w:hAnsi="Arial"/>
      <w:sz w:val="24"/>
      <w:szCs w:val="24"/>
      <w:shd w:val="pct20" w:color="auto" w:fill="auto"/>
    </w:rPr>
  </w:style>
  <w:style w:type="paragraph" w:styleId="Formuledepolitesse">
    <w:name w:val="Closing"/>
    <w:basedOn w:val="Normal"/>
    <w:link w:val="FormuledepolitesseCar"/>
    <w:rsid w:val="00486546"/>
    <w:pPr>
      <w:spacing w:after="0" w:line="240" w:lineRule="auto"/>
      <w:ind w:left="4252"/>
    </w:pPr>
    <w:rPr>
      <w:rFonts w:ascii="Times New Roman" w:hAnsi="Times New Roman"/>
      <w:sz w:val="24"/>
      <w:szCs w:val="24"/>
      <w:lang w:eastAsia="fr-FR"/>
    </w:rPr>
  </w:style>
  <w:style w:type="character" w:customStyle="1" w:styleId="FormuledepolitesseCar">
    <w:name w:val="Formule de politesse Car"/>
    <w:basedOn w:val="Policepardfaut"/>
    <w:link w:val="Formuledepolitesse"/>
    <w:rsid w:val="00486546"/>
    <w:rPr>
      <w:rFonts w:ascii="Times New Roman" w:hAnsi="Times New Roman"/>
      <w:sz w:val="24"/>
      <w:szCs w:val="24"/>
    </w:rPr>
  </w:style>
  <w:style w:type="paragraph" w:styleId="Index1">
    <w:name w:val="index 1"/>
    <w:basedOn w:val="Normal"/>
    <w:next w:val="Normal"/>
    <w:autoRedefine/>
    <w:semiHidden/>
    <w:rsid w:val="00486546"/>
    <w:pPr>
      <w:spacing w:after="0" w:line="240" w:lineRule="auto"/>
      <w:ind w:left="240" w:hanging="240"/>
    </w:pPr>
    <w:rPr>
      <w:rFonts w:ascii="Times New Roman" w:hAnsi="Times New Roman"/>
      <w:sz w:val="24"/>
      <w:szCs w:val="24"/>
      <w:lang w:eastAsia="fr-FR"/>
    </w:rPr>
  </w:style>
  <w:style w:type="paragraph" w:styleId="Index2">
    <w:name w:val="index 2"/>
    <w:basedOn w:val="Normal"/>
    <w:next w:val="Normal"/>
    <w:autoRedefine/>
    <w:semiHidden/>
    <w:rsid w:val="00486546"/>
    <w:pPr>
      <w:spacing w:after="0" w:line="240" w:lineRule="auto"/>
      <w:ind w:left="480" w:hanging="240"/>
    </w:pPr>
    <w:rPr>
      <w:rFonts w:ascii="Times New Roman" w:hAnsi="Times New Roman"/>
      <w:sz w:val="24"/>
      <w:szCs w:val="24"/>
      <w:lang w:eastAsia="fr-FR"/>
    </w:rPr>
  </w:style>
  <w:style w:type="paragraph" w:styleId="Index3">
    <w:name w:val="index 3"/>
    <w:basedOn w:val="Normal"/>
    <w:next w:val="Normal"/>
    <w:autoRedefine/>
    <w:semiHidden/>
    <w:rsid w:val="00486546"/>
    <w:pPr>
      <w:spacing w:after="0" w:line="240" w:lineRule="auto"/>
      <w:ind w:left="720" w:hanging="240"/>
    </w:pPr>
    <w:rPr>
      <w:rFonts w:ascii="Times New Roman" w:hAnsi="Times New Roman"/>
      <w:sz w:val="24"/>
      <w:szCs w:val="24"/>
      <w:lang w:eastAsia="fr-FR"/>
    </w:rPr>
  </w:style>
  <w:style w:type="paragraph" w:styleId="Index4">
    <w:name w:val="index 4"/>
    <w:basedOn w:val="Normal"/>
    <w:next w:val="Normal"/>
    <w:autoRedefine/>
    <w:semiHidden/>
    <w:rsid w:val="00486546"/>
    <w:pPr>
      <w:spacing w:after="0" w:line="240" w:lineRule="auto"/>
      <w:ind w:left="960" w:hanging="240"/>
    </w:pPr>
    <w:rPr>
      <w:rFonts w:ascii="Times New Roman" w:hAnsi="Times New Roman"/>
      <w:sz w:val="24"/>
      <w:szCs w:val="24"/>
      <w:lang w:eastAsia="fr-FR"/>
    </w:rPr>
  </w:style>
  <w:style w:type="paragraph" w:styleId="Index5">
    <w:name w:val="index 5"/>
    <w:basedOn w:val="Normal"/>
    <w:next w:val="Normal"/>
    <w:autoRedefine/>
    <w:semiHidden/>
    <w:rsid w:val="00486546"/>
    <w:pPr>
      <w:spacing w:after="0" w:line="240" w:lineRule="auto"/>
      <w:ind w:left="1200" w:hanging="240"/>
    </w:pPr>
    <w:rPr>
      <w:rFonts w:ascii="Times New Roman" w:hAnsi="Times New Roman"/>
      <w:sz w:val="24"/>
      <w:szCs w:val="24"/>
      <w:lang w:eastAsia="fr-FR"/>
    </w:rPr>
  </w:style>
  <w:style w:type="paragraph" w:styleId="Index6">
    <w:name w:val="index 6"/>
    <w:basedOn w:val="Normal"/>
    <w:next w:val="Normal"/>
    <w:autoRedefine/>
    <w:semiHidden/>
    <w:rsid w:val="00486546"/>
    <w:pPr>
      <w:spacing w:after="0" w:line="240" w:lineRule="auto"/>
      <w:ind w:left="1440" w:hanging="240"/>
    </w:pPr>
    <w:rPr>
      <w:rFonts w:ascii="Times New Roman" w:hAnsi="Times New Roman"/>
      <w:sz w:val="24"/>
      <w:szCs w:val="24"/>
      <w:lang w:eastAsia="fr-FR"/>
    </w:rPr>
  </w:style>
  <w:style w:type="paragraph" w:styleId="Index7">
    <w:name w:val="index 7"/>
    <w:basedOn w:val="Normal"/>
    <w:next w:val="Normal"/>
    <w:autoRedefine/>
    <w:semiHidden/>
    <w:rsid w:val="00486546"/>
    <w:pPr>
      <w:spacing w:after="0" w:line="240" w:lineRule="auto"/>
      <w:ind w:left="1680" w:hanging="240"/>
    </w:pPr>
    <w:rPr>
      <w:rFonts w:ascii="Times New Roman" w:hAnsi="Times New Roman"/>
      <w:sz w:val="24"/>
      <w:szCs w:val="24"/>
      <w:lang w:eastAsia="fr-FR"/>
    </w:rPr>
  </w:style>
  <w:style w:type="paragraph" w:styleId="Index8">
    <w:name w:val="index 8"/>
    <w:basedOn w:val="Normal"/>
    <w:next w:val="Normal"/>
    <w:autoRedefine/>
    <w:semiHidden/>
    <w:rsid w:val="00486546"/>
    <w:pPr>
      <w:spacing w:after="0" w:line="240" w:lineRule="auto"/>
      <w:ind w:left="1920" w:hanging="240"/>
    </w:pPr>
    <w:rPr>
      <w:rFonts w:ascii="Times New Roman" w:hAnsi="Times New Roman"/>
      <w:sz w:val="24"/>
      <w:szCs w:val="24"/>
      <w:lang w:eastAsia="fr-FR"/>
    </w:rPr>
  </w:style>
  <w:style w:type="paragraph" w:styleId="Index9">
    <w:name w:val="index 9"/>
    <w:basedOn w:val="Normal"/>
    <w:next w:val="Normal"/>
    <w:autoRedefine/>
    <w:semiHidden/>
    <w:rsid w:val="00486546"/>
    <w:pPr>
      <w:spacing w:after="0" w:line="240" w:lineRule="auto"/>
      <w:ind w:left="2160" w:hanging="240"/>
    </w:pPr>
    <w:rPr>
      <w:rFonts w:ascii="Times New Roman" w:hAnsi="Times New Roman"/>
      <w:sz w:val="24"/>
      <w:szCs w:val="24"/>
      <w:lang w:eastAsia="fr-FR"/>
    </w:rPr>
  </w:style>
  <w:style w:type="paragraph" w:styleId="Liste2">
    <w:name w:val="List 2"/>
    <w:basedOn w:val="Normal"/>
    <w:rsid w:val="00486546"/>
    <w:pPr>
      <w:spacing w:after="0" w:line="240" w:lineRule="auto"/>
      <w:ind w:left="566" w:hanging="283"/>
    </w:pPr>
    <w:rPr>
      <w:rFonts w:ascii="Times New Roman" w:hAnsi="Times New Roman"/>
      <w:sz w:val="24"/>
      <w:szCs w:val="24"/>
      <w:lang w:eastAsia="fr-FR"/>
    </w:rPr>
  </w:style>
  <w:style w:type="paragraph" w:styleId="Liste3">
    <w:name w:val="List 3"/>
    <w:basedOn w:val="Normal"/>
    <w:rsid w:val="00486546"/>
    <w:pPr>
      <w:spacing w:after="0" w:line="240" w:lineRule="auto"/>
      <w:ind w:left="849" w:hanging="283"/>
    </w:pPr>
    <w:rPr>
      <w:rFonts w:ascii="Times New Roman" w:hAnsi="Times New Roman"/>
      <w:sz w:val="24"/>
      <w:szCs w:val="24"/>
      <w:lang w:eastAsia="fr-FR"/>
    </w:rPr>
  </w:style>
  <w:style w:type="paragraph" w:styleId="Liste4">
    <w:name w:val="List 4"/>
    <w:basedOn w:val="Normal"/>
    <w:rsid w:val="00486546"/>
    <w:pPr>
      <w:spacing w:after="0" w:line="240" w:lineRule="auto"/>
      <w:ind w:left="1132" w:hanging="283"/>
    </w:pPr>
    <w:rPr>
      <w:rFonts w:ascii="Times New Roman" w:hAnsi="Times New Roman"/>
      <w:sz w:val="24"/>
      <w:szCs w:val="24"/>
      <w:lang w:eastAsia="fr-FR"/>
    </w:rPr>
  </w:style>
  <w:style w:type="paragraph" w:styleId="Liste5">
    <w:name w:val="List 5"/>
    <w:basedOn w:val="Normal"/>
    <w:rsid w:val="00486546"/>
    <w:pPr>
      <w:spacing w:after="0" w:line="240" w:lineRule="auto"/>
      <w:ind w:left="1415" w:hanging="283"/>
    </w:pPr>
    <w:rPr>
      <w:rFonts w:ascii="Times New Roman" w:hAnsi="Times New Roman"/>
      <w:sz w:val="24"/>
      <w:szCs w:val="24"/>
      <w:lang w:eastAsia="fr-FR"/>
    </w:rPr>
  </w:style>
  <w:style w:type="paragraph" w:styleId="Listenumros">
    <w:name w:val="List Number"/>
    <w:basedOn w:val="Normal"/>
    <w:uiPriority w:val="99"/>
    <w:rsid w:val="00486546"/>
    <w:pPr>
      <w:numPr>
        <w:numId w:val="6"/>
      </w:numPr>
      <w:spacing w:after="0" w:line="240" w:lineRule="auto"/>
    </w:pPr>
    <w:rPr>
      <w:rFonts w:ascii="Times New Roman" w:hAnsi="Times New Roman"/>
      <w:sz w:val="24"/>
      <w:szCs w:val="24"/>
      <w:lang w:eastAsia="fr-FR"/>
    </w:rPr>
  </w:style>
  <w:style w:type="paragraph" w:styleId="Listenumros2">
    <w:name w:val="List Number 2"/>
    <w:basedOn w:val="Normal"/>
    <w:rsid w:val="00486546"/>
    <w:pPr>
      <w:numPr>
        <w:numId w:val="7"/>
      </w:numPr>
      <w:spacing w:after="0" w:line="240" w:lineRule="auto"/>
    </w:pPr>
    <w:rPr>
      <w:rFonts w:ascii="Times New Roman" w:hAnsi="Times New Roman"/>
      <w:sz w:val="24"/>
      <w:szCs w:val="24"/>
      <w:lang w:eastAsia="fr-FR"/>
    </w:rPr>
  </w:style>
  <w:style w:type="paragraph" w:styleId="Listenumros3">
    <w:name w:val="List Number 3"/>
    <w:basedOn w:val="Normal"/>
    <w:rsid w:val="00486546"/>
    <w:pPr>
      <w:numPr>
        <w:numId w:val="8"/>
      </w:numPr>
      <w:spacing w:after="0" w:line="240" w:lineRule="auto"/>
    </w:pPr>
    <w:rPr>
      <w:rFonts w:ascii="Times New Roman" w:hAnsi="Times New Roman"/>
      <w:sz w:val="24"/>
      <w:szCs w:val="24"/>
      <w:lang w:eastAsia="fr-FR"/>
    </w:rPr>
  </w:style>
  <w:style w:type="paragraph" w:styleId="Listenumros4">
    <w:name w:val="List Number 4"/>
    <w:basedOn w:val="Normal"/>
    <w:rsid w:val="00486546"/>
    <w:pPr>
      <w:numPr>
        <w:numId w:val="9"/>
      </w:numPr>
      <w:spacing w:after="0" w:line="240" w:lineRule="auto"/>
    </w:pPr>
    <w:rPr>
      <w:rFonts w:ascii="Times New Roman" w:hAnsi="Times New Roman"/>
      <w:sz w:val="24"/>
      <w:szCs w:val="24"/>
      <w:lang w:eastAsia="fr-FR"/>
    </w:rPr>
  </w:style>
  <w:style w:type="paragraph" w:styleId="Listenumros5">
    <w:name w:val="List Number 5"/>
    <w:basedOn w:val="Normal"/>
    <w:rsid w:val="00486546"/>
    <w:pPr>
      <w:numPr>
        <w:numId w:val="10"/>
      </w:numPr>
      <w:spacing w:after="0" w:line="240" w:lineRule="auto"/>
    </w:pPr>
    <w:rPr>
      <w:rFonts w:ascii="Times New Roman" w:hAnsi="Times New Roman"/>
      <w:sz w:val="24"/>
      <w:szCs w:val="24"/>
      <w:lang w:eastAsia="fr-FR"/>
    </w:rPr>
  </w:style>
  <w:style w:type="paragraph" w:styleId="Listepuces">
    <w:name w:val="List Bullet"/>
    <w:basedOn w:val="Normal"/>
    <w:rsid w:val="00486546"/>
    <w:pPr>
      <w:numPr>
        <w:numId w:val="11"/>
      </w:numPr>
      <w:spacing w:after="0" w:line="240" w:lineRule="auto"/>
    </w:pPr>
    <w:rPr>
      <w:rFonts w:ascii="Times New Roman" w:hAnsi="Times New Roman"/>
      <w:sz w:val="24"/>
      <w:szCs w:val="24"/>
      <w:lang w:eastAsia="fr-FR"/>
    </w:rPr>
  </w:style>
  <w:style w:type="paragraph" w:styleId="Listepuces2">
    <w:name w:val="List Bullet 2"/>
    <w:basedOn w:val="Normal"/>
    <w:rsid w:val="00486546"/>
    <w:pPr>
      <w:numPr>
        <w:numId w:val="12"/>
      </w:numPr>
      <w:spacing w:after="0" w:line="240" w:lineRule="auto"/>
    </w:pPr>
    <w:rPr>
      <w:rFonts w:ascii="Times New Roman" w:hAnsi="Times New Roman"/>
      <w:sz w:val="24"/>
      <w:szCs w:val="24"/>
      <w:lang w:eastAsia="fr-FR"/>
    </w:rPr>
  </w:style>
  <w:style w:type="paragraph" w:styleId="Listepuces3">
    <w:name w:val="List Bullet 3"/>
    <w:basedOn w:val="Normal"/>
    <w:rsid w:val="00486546"/>
    <w:pPr>
      <w:numPr>
        <w:numId w:val="13"/>
      </w:numPr>
      <w:spacing w:after="0" w:line="240" w:lineRule="auto"/>
    </w:pPr>
    <w:rPr>
      <w:rFonts w:ascii="Times New Roman" w:hAnsi="Times New Roman"/>
      <w:sz w:val="24"/>
      <w:szCs w:val="24"/>
      <w:lang w:eastAsia="fr-FR"/>
    </w:rPr>
  </w:style>
  <w:style w:type="paragraph" w:styleId="Listepuces4">
    <w:name w:val="List Bullet 4"/>
    <w:basedOn w:val="Normal"/>
    <w:rsid w:val="00486546"/>
    <w:pPr>
      <w:numPr>
        <w:numId w:val="14"/>
      </w:numPr>
      <w:spacing w:after="0" w:line="240" w:lineRule="auto"/>
    </w:pPr>
    <w:rPr>
      <w:rFonts w:ascii="Times New Roman" w:hAnsi="Times New Roman"/>
      <w:sz w:val="24"/>
      <w:szCs w:val="24"/>
      <w:lang w:eastAsia="fr-FR"/>
    </w:rPr>
  </w:style>
  <w:style w:type="paragraph" w:styleId="Listepuces5">
    <w:name w:val="List Bullet 5"/>
    <w:basedOn w:val="Normal"/>
    <w:rsid w:val="00486546"/>
    <w:pPr>
      <w:numPr>
        <w:numId w:val="15"/>
      </w:numPr>
      <w:spacing w:after="0" w:line="240" w:lineRule="auto"/>
    </w:pPr>
    <w:rPr>
      <w:rFonts w:ascii="Times New Roman" w:hAnsi="Times New Roman"/>
      <w:sz w:val="24"/>
      <w:szCs w:val="24"/>
      <w:lang w:eastAsia="fr-FR"/>
    </w:rPr>
  </w:style>
  <w:style w:type="paragraph" w:styleId="Listecontinue">
    <w:name w:val="List Continue"/>
    <w:basedOn w:val="Normal"/>
    <w:rsid w:val="00486546"/>
    <w:pPr>
      <w:spacing w:after="120" w:line="240" w:lineRule="auto"/>
      <w:ind w:left="283"/>
    </w:pPr>
    <w:rPr>
      <w:rFonts w:ascii="Times New Roman" w:hAnsi="Times New Roman"/>
      <w:sz w:val="24"/>
      <w:szCs w:val="24"/>
      <w:lang w:eastAsia="fr-FR"/>
    </w:rPr>
  </w:style>
  <w:style w:type="paragraph" w:styleId="Listecontinue2">
    <w:name w:val="List Continue 2"/>
    <w:basedOn w:val="Normal"/>
    <w:rsid w:val="00486546"/>
    <w:pPr>
      <w:spacing w:after="120" w:line="240" w:lineRule="auto"/>
      <w:ind w:left="566"/>
    </w:pPr>
    <w:rPr>
      <w:rFonts w:ascii="Times New Roman" w:hAnsi="Times New Roman"/>
      <w:sz w:val="24"/>
      <w:szCs w:val="24"/>
      <w:lang w:eastAsia="fr-FR"/>
    </w:rPr>
  </w:style>
  <w:style w:type="paragraph" w:styleId="Listecontinue3">
    <w:name w:val="List Continue 3"/>
    <w:basedOn w:val="Normal"/>
    <w:rsid w:val="00486546"/>
    <w:pPr>
      <w:spacing w:after="120" w:line="240" w:lineRule="auto"/>
      <w:ind w:left="849"/>
    </w:pPr>
    <w:rPr>
      <w:rFonts w:ascii="Times New Roman" w:hAnsi="Times New Roman"/>
      <w:sz w:val="24"/>
      <w:szCs w:val="24"/>
      <w:lang w:eastAsia="fr-FR"/>
    </w:rPr>
  </w:style>
  <w:style w:type="paragraph" w:styleId="Listecontinue4">
    <w:name w:val="List Continue 4"/>
    <w:basedOn w:val="Normal"/>
    <w:rsid w:val="00486546"/>
    <w:pPr>
      <w:spacing w:after="120" w:line="240" w:lineRule="auto"/>
      <w:ind w:left="1132"/>
    </w:pPr>
    <w:rPr>
      <w:rFonts w:ascii="Times New Roman" w:hAnsi="Times New Roman"/>
      <w:sz w:val="24"/>
      <w:szCs w:val="24"/>
      <w:lang w:eastAsia="fr-FR"/>
    </w:rPr>
  </w:style>
  <w:style w:type="paragraph" w:styleId="Listecontinue5">
    <w:name w:val="List Continue 5"/>
    <w:basedOn w:val="Normal"/>
    <w:rsid w:val="00486546"/>
    <w:pPr>
      <w:spacing w:after="120" w:line="240" w:lineRule="auto"/>
      <w:ind w:left="1415"/>
    </w:pPr>
    <w:rPr>
      <w:rFonts w:ascii="Times New Roman" w:hAnsi="Times New Roman"/>
      <w:sz w:val="24"/>
      <w:szCs w:val="24"/>
      <w:lang w:eastAsia="fr-FR"/>
    </w:rPr>
  </w:style>
  <w:style w:type="paragraph" w:styleId="Notedefin">
    <w:name w:val="endnote text"/>
    <w:basedOn w:val="Normal"/>
    <w:link w:val="NotedefinCar"/>
    <w:rsid w:val="00486546"/>
    <w:pPr>
      <w:spacing w:after="0" w:line="240" w:lineRule="auto"/>
    </w:pPr>
    <w:rPr>
      <w:rFonts w:ascii="Times New Roman" w:hAnsi="Times New Roman"/>
      <w:sz w:val="20"/>
      <w:szCs w:val="20"/>
      <w:lang w:eastAsia="fr-FR"/>
    </w:rPr>
  </w:style>
  <w:style w:type="character" w:customStyle="1" w:styleId="NotedefinCar">
    <w:name w:val="Note de fin Car"/>
    <w:basedOn w:val="Policepardfaut"/>
    <w:link w:val="Notedefin"/>
    <w:rsid w:val="00486546"/>
    <w:rPr>
      <w:rFonts w:ascii="Times New Roman" w:hAnsi="Times New Roman"/>
    </w:rPr>
  </w:style>
  <w:style w:type="paragraph" w:styleId="PrformatHTML">
    <w:name w:val="HTML Preformatted"/>
    <w:basedOn w:val="Normal"/>
    <w:link w:val="PrformatHTMLCar"/>
    <w:rsid w:val="00486546"/>
    <w:pPr>
      <w:spacing w:after="0" w:line="240" w:lineRule="auto"/>
    </w:pPr>
    <w:rPr>
      <w:rFonts w:ascii="Courier New" w:hAnsi="Courier New"/>
      <w:sz w:val="20"/>
      <w:szCs w:val="20"/>
      <w:lang w:eastAsia="fr-FR"/>
    </w:rPr>
  </w:style>
  <w:style w:type="character" w:customStyle="1" w:styleId="PrformatHTMLCar">
    <w:name w:val="Préformaté HTML Car"/>
    <w:basedOn w:val="Policepardfaut"/>
    <w:link w:val="PrformatHTML"/>
    <w:rsid w:val="00486546"/>
    <w:rPr>
      <w:rFonts w:ascii="Courier New" w:hAnsi="Courier New"/>
    </w:rPr>
  </w:style>
  <w:style w:type="paragraph" w:styleId="Retrait1religne">
    <w:name w:val="Body Text First Indent"/>
    <w:basedOn w:val="Corpsdetexte"/>
    <w:link w:val="Retrait1religneCar"/>
    <w:rsid w:val="00486546"/>
    <w:pPr>
      <w:ind w:firstLine="210"/>
    </w:pPr>
    <w:rPr>
      <w:rFonts w:ascii="Times New Roman" w:eastAsia="Calibri" w:hAnsi="Times New Roman"/>
      <w:sz w:val="24"/>
      <w:szCs w:val="24"/>
      <w:lang w:eastAsia="fr-FR"/>
    </w:rPr>
  </w:style>
  <w:style w:type="character" w:customStyle="1" w:styleId="Retrait1religneCar">
    <w:name w:val="Retrait 1re ligne Car"/>
    <w:basedOn w:val="CorpsdetexteCar"/>
    <w:link w:val="Retrait1religne"/>
    <w:rsid w:val="00486546"/>
    <w:rPr>
      <w:rFonts w:ascii="Times New Roman" w:eastAsia="Times New Roman" w:hAnsi="Times New Roman"/>
      <w:sz w:val="24"/>
      <w:szCs w:val="24"/>
      <w:lang w:eastAsia="en-US"/>
    </w:rPr>
  </w:style>
  <w:style w:type="paragraph" w:styleId="Retraitcorpset1relig">
    <w:name w:val="Body Text First Indent 2"/>
    <w:basedOn w:val="Retraitcorpsdetexte"/>
    <w:link w:val="Retraitcorpset1religCar"/>
    <w:rsid w:val="00486546"/>
    <w:pPr>
      <w:ind w:firstLine="210"/>
    </w:pPr>
  </w:style>
  <w:style w:type="character" w:customStyle="1" w:styleId="Retraitcorpset1religCar">
    <w:name w:val="Retrait corps et 1re lig. Car"/>
    <w:basedOn w:val="RetraitcorpsdetexteCar"/>
    <w:link w:val="Retraitcorpset1relig"/>
    <w:rsid w:val="00486546"/>
    <w:rPr>
      <w:rFonts w:ascii="Times New Roman" w:hAnsi="Times New Roman"/>
      <w:sz w:val="24"/>
      <w:szCs w:val="24"/>
    </w:rPr>
  </w:style>
  <w:style w:type="paragraph" w:styleId="Retraitnormal">
    <w:name w:val="Normal Indent"/>
    <w:basedOn w:val="Normal"/>
    <w:rsid w:val="00486546"/>
    <w:pPr>
      <w:spacing w:after="0" w:line="240" w:lineRule="auto"/>
      <w:ind w:left="708"/>
    </w:pPr>
    <w:rPr>
      <w:rFonts w:ascii="Times New Roman" w:hAnsi="Times New Roman"/>
      <w:sz w:val="24"/>
      <w:szCs w:val="24"/>
      <w:lang w:eastAsia="fr-FR"/>
    </w:rPr>
  </w:style>
  <w:style w:type="paragraph" w:styleId="Salutations">
    <w:name w:val="Salutation"/>
    <w:basedOn w:val="Normal"/>
    <w:next w:val="Normal"/>
    <w:link w:val="SalutationsCar"/>
    <w:rsid w:val="00486546"/>
    <w:pPr>
      <w:spacing w:after="0" w:line="240" w:lineRule="auto"/>
    </w:pPr>
    <w:rPr>
      <w:rFonts w:ascii="Times New Roman" w:hAnsi="Times New Roman"/>
      <w:sz w:val="24"/>
      <w:szCs w:val="24"/>
      <w:lang w:eastAsia="fr-FR"/>
    </w:rPr>
  </w:style>
  <w:style w:type="character" w:customStyle="1" w:styleId="SalutationsCar">
    <w:name w:val="Salutations Car"/>
    <w:basedOn w:val="Policepardfaut"/>
    <w:link w:val="Salutations"/>
    <w:rsid w:val="00486546"/>
    <w:rPr>
      <w:rFonts w:ascii="Times New Roman" w:hAnsi="Times New Roman"/>
      <w:sz w:val="24"/>
      <w:szCs w:val="24"/>
    </w:rPr>
  </w:style>
  <w:style w:type="paragraph" w:styleId="Signature">
    <w:name w:val="Signature"/>
    <w:basedOn w:val="Normal"/>
    <w:link w:val="SignatureCar"/>
    <w:rsid w:val="00486546"/>
    <w:pPr>
      <w:spacing w:after="0" w:line="240" w:lineRule="auto"/>
      <w:ind w:left="4252"/>
    </w:pPr>
    <w:rPr>
      <w:rFonts w:ascii="Times New Roman" w:hAnsi="Times New Roman"/>
      <w:sz w:val="24"/>
      <w:szCs w:val="24"/>
      <w:lang w:eastAsia="fr-FR"/>
    </w:rPr>
  </w:style>
  <w:style w:type="character" w:customStyle="1" w:styleId="SignatureCar">
    <w:name w:val="Signature Car"/>
    <w:basedOn w:val="Policepardfaut"/>
    <w:link w:val="Signature"/>
    <w:rsid w:val="00486546"/>
    <w:rPr>
      <w:rFonts w:ascii="Times New Roman" w:hAnsi="Times New Roman"/>
      <w:sz w:val="24"/>
      <w:szCs w:val="24"/>
    </w:rPr>
  </w:style>
  <w:style w:type="paragraph" w:styleId="Signaturelectronique">
    <w:name w:val="E-mail Signature"/>
    <w:basedOn w:val="Normal"/>
    <w:link w:val="SignaturelectroniqueCar"/>
    <w:rsid w:val="00486546"/>
    <w:pPr>
      <w:spacing w:after="0" w:line="240" w:lineRule="auto"/>
    </w:pPr>
    <w:rPr>
      <w:rFonts w:ascii="Times New Roman" w:hAnsi="Times New Roman"/>
      <w:sz w:val="24"/>
      <w:szCs w:val="24"/>
      <w:lang w:eastAsia="fr-FR"/>
    </w:rPr>
  </w:style>
  <w:style w:type="character" w:customStyle="1" w:styleId="SignaturelectroniqueCar">
    <w:name w:val="Signature électronique Car"/>
    <w:basedOn w:val="Policepardfaut"/>
    <w:link w:val="Signaturelectronique"/>
    <w:rsid w:val="00486546"/>
    <w:rPr>
      <w:rFonts w:ascii="Times New Roman" w:hAnsi="Times New Roman"/>
      <w:sz w:val="24"/>
      <w:szCs w:val="24"/>
    </w:rPr>
  </w:style>
  <w:style w:type="paragraph" w:styleId="Tabledesillustrations">
    <w:name w:val="table of figures"/>
    <w:basedOn w:val="Normal"/>
    <w:next w:val="Normal"/>
    <w:uiPriority w:val="99"/>
    <w:rsid w:val="00486546"/>
    <w:pPr>
      <w:spacing w:after="0" w:line="240" w:lineRule="auto"/>
      <w:ind w:left="400" w:hanging="400"/>
    </w:pPr>
    <w:rPr>
      <w:rFonts w:asciiTheme="minorHAnsi" w:eastAsia="Times New Roman" w:hAnsiTheme="minorHAnsi" w:cstheme="minorHAnsi"/>
      <w:caps/>
      <w:sz w:val="20"/>
      <w:szCs w:val="20"/>
    </w:rPr>
  </w:style>
  <w:style w:type="paragraph" w:styleId="Tabledesrfrencesjuridiques">
    <w:name w:val="table of authorities"/>
    <w:basedOn w:val="Normal"/>
    <w:next w:val="Normal"/>
    <w:semiHidden/>
    <w:rsid w:val="00486546"/>
    <w:pPr>
      <w:spacing w:after="0" w:line="240" w:lineRule="auto"/>
      <w:ind w:left="240" w:hanging="240"/>
    </w:pPr>
    <w:rPr>
      <w:rFonts w:ascii="Times New Roman" w:hAnsi="Times New Roman"/>
      <w:sz w:val="24"/>
      <w:szCs w:val="24"/>
      <w:lang w:eastAsia="fr-FR"/>
    </w:rPr>
  </w:style>
  <w:style w:type="paragraph" w:styleId="Textedemacro">
    <w:name w:val="macro"/>
    <w:link w:val="TextedemacroCar"/>
    <w:semiHidden/>
    <w:rsid w:val="0048654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TextedemacroCar">
    <w:name w:val="Texte de macro Car"/>
    <w:basedOn w:val="Policepardfaut"/>
    <w:link w:val="Textedemacro"/>
    <w:semiHidden/>
    <w:rsid w:val="00486546"/>
    <w:rPr>
      <w:rFonts w:ascii="Courier New" w:hAnsi="Courier New" w:cs="Courier New"/>
    </w:rPr>
  </w:style>
  <w:style w:type="paragraph" w:styleId="Titredenote">
    <w:name w:val="Note Heading"/>
    <w:basedOn w:val="Normal"/>
    <w:next w:val="Normal"/>
    <w:link w:val="TitredenoteCar"/>
    <w:rsid w:val="00486546"/>
    <w:pPr>
      <w:spacing w:after="0" w:line="240" w:lineRule="auto"/>
    </w:pPr>
    <w:rPr>
      <w:rFonts w:ascii="Times New Roman" w:hAnsi="Times New Roman"/>
      <w:sz w:val="24"/>
      <w:szCs w:val="24"/>
      <w:lang w:eastAsia="fr-FR"/>
    </w:rPr>
  </w:style>
  <w:style w:type="character" w:customStyle="1" w:styleId="TitredenoteCar">
    <w:name w:val="Titre de note Car"/>
    <w:basedOn w:val="Policepardfaut"/>
    <w:link w:val="Titredenote"/>
    <w:rsid w:val="00486546"/>
    <w:rPr>
      <w:rFonts w:ascii="Times New Roman" w:hAnsi="Times New Roman"/>
      <w:sz w:val="24"/>
      <w:szCs w:val="24"/>
    </w:rPr>
  </w:style>
  <w:style w:type="paragraph" w:styleId="Titreindex">
    <w:name w:val="index heading"/>
    <w:basedOn w:val="Normal"/>
    <w:next w:val="Index1"/>
    <w:semiHidden/>
    <w:rsid w:val="00486546"/>
    <w:pPr>
      <w:spacing w:after="0" w:line="240" w:lineRule="auto"/>
    </w:pPr>
    <w:rPr>
      <w:rFonts w:ascii="Arial" w:hAnsi="Arial" w:cs="Arial"/>
      <w:b/>
      <w:bCs/>
      <w:sz w:val="24"/>
      <w:szCs w:val="24"/>
      <w:lang w:eastAsia="fr-FR"/>
    </w:rPr>
  </w:style>
  <w:style w:type="paragraph" w:styleId="TitreTR">
    <w:name w:val="toa heading"/>
    <w:basedOn w:val="Normal"/>
    <w:next w:val="Normal"/>
    <w:semiHidden/>
    <w:rsid w:val="00486546"/>
    <w:pPr>
      <w:spacing w:before="120" w:after="0" w:line="240" w:lineRule="auto"/>
    </w:pPr>
    <w:rPr>
      <w:rFonts w:ascii="Arial" w:hAnsi="Arial" w:cs="Arial"/>
      <w:b/>
      <w:bCs/>
      <w:sz w:val="24"/>
      <w:szCs w:val="24"/>
      <w:lang w:eastAsia="fr-FR"/>
    </w:rPr>
  </w:style>
  <w:style w:type="paragraph" w:styleId="TM2">
    <w:name w:val="toc 2"/>
    <w:basedOn w:val="Normal"/>
    <w:next w:val="Normal"/>
    <w:autoRedefine/>
    <w:uiPriority w:val="39"/>
    <w:qFormat/>
    <w:rsid w:val="007D0974"/>
    <w:pPr>
      <w:tabs>
        <w:tab w:val="right" w:leader="dot" w:pos="9771"/>
      </w:tabs>
      <w:spacing w:before="120" w:after="40" w:line="240" w:lineRule="auto"/>
      <w:ind w:left="198"/>
    </w:pPr>
    <w:rPr>
      <w:rFonts w:ascii="Arial" w:eastAsia="Times New Roman" w:hAnsi="Arial" w:cs="Arial"/>
      <w:b/>
      <w:smallCaps/>
      <w:noProof/>
      <w:sz w:val="18"/>
      <w:szCs w:val="18"/>
    </w:rPr>
  </w:style>
  <w:style w:type="paragraph" w:styleId="TM3">
    <w:name w:val="toc 3"/>
    <w:basedOn w:val="Normal"/>
    <w:next w:val="Normal"/>
    <w:autoRedefine/>
    <w:uiPriority w:val="39"/>
    <w:qFormat/>
    <w:rsid w:val="00FD733F"/>
    <w:pPr>
      <w:tabs>
        <w:tab w:val="left" w:pos="1000"/>
        <w:tab w:val="left" w:pos="1600"/>
        <w:tab w:val="right" w:leader="dot" w:pos="10206"/>
      </w:tabs>
      <w:spacing w:before="120" w:after="80"/>
      <w:ind w:left="403"/>
    </w:pPr>
    <w:rPr>
      <w:rFonts w:ascii="Arial" w:hAnsi="Arial" w:cs="Arial"/>
      <w:bCs/>
      <w:iCs/>
      <w:noProof/>
      <w:sz w:val="18"/>
      <w:szCs w:val="18"/>
      <w:lang w:val="fr-BE" w:eastAsia="fr-FR"/>
    </w:rPr>
  </w:style>
  <w:style w:type="paragraph" w:styleId="TM4">
    <w:name w:val="toc 4"/>
    <w:basedOn w:val="Normal"/>
    <w:next w:val="Normal"/>
    <w:autoRedefine/>
    <w:uiPriority w:val="39"/>
    <w:rsid w:val="00486546"/>
    <w:pPr>
      <w:spacing w:after="0" w:line="240" w:lineRule="auto"/>
      <w:ind w:left="600"/>
    </w:pPr>
    <w:rPr>
      <w:rFonts w:asciiTheme="minorHAnsi" w:eastAsia="Times New Roman" w:hAnsiTheme="minorHAnsi"/>
      <w:sz w:val="18"/>
      <w:szCs w:val="18"/>
    </w:rPr>
  </w:style>
  <w:style w:type="paragraph" w:styleId="TM5">
    <w:name w:val="toc 5"/>
    <w:basedOn w:val="Normal"/>
    <w:next w:val="Normal"/>
    <w:autoRedefine/>
    <w:uiPriority w:val="39"/>
    <w:rsid w:val="00486546"/>
    <w:pPr>
      <w:spacing w:after="0" w:line="240" w:lineRule="auto"/>
      <w:ind w:left="800"/>
    </w:pPr>
    <w:rPr>
      <w:rFonts w:asciiTheme="minorHAnsi" w:eastAsia="Times New Roman" w:hAnsiTheme="minorHAnsi"/>
      <w:sz w:val="18"/>
      <w:szCs w:val="18"/>
    </w:rPr>
  </w:style>
  <w:style w:type="paragraph" w:styleId="TM6">
    <w:name w:val="toc 6"/>
    <w:basedOn w:val="Normal"/>
    <w:next w:val="Normal"/>
    <w:autoRedefine/>
    <w:uiPriority w:val="39"/>
    <w:rsid w:val="00486546"/>
    <w:pPr>
      <w:spacing w:after="0" w:line="240" w:lineRule="auto"/>
      <w:ind w:left="1000"/>
    </w:pPr>
    <w:rPr>
      <w:rFonts w:asciiTheme="minorHAnsi" w:eastAsia="Times New Roman" w:hAnsiTheme="minorHAnsi"/>
      <w:sz w:val="18"/>
      <w:szCs w:val="18"/>
    </w:rPr>
  </w:style>
  <w:style w:type="paragraph" w:styleId="TM7">
    <w:name w:val="toc 7"/>
    <w:basedOn w:val="Normal"/>
    <w:next w:val="Normal"/>
    <w:autoRedefine/>
    <w:uiPriority w:val="39"/>
    <w:rsid w:val="00486546"/>
    <w:pPr>
      <w:spacing w:after="0" w:line="240" w:lineRule="auto"/>
      <w:ind w:left="1200"/>
    </w:pPr>
    <w:rPr>
      <w:rFonts w:asciiTheme="minorHAnsi" w:eastAsia="Times New Roman" w:hAnsiTheme="minorHAnsi"/>
      <w:sz w:val="18"/>
      <w:szCs w:val="18"/>
    </w:rPr>
  </w:style>
  <w:style w:type="paragraph" w:styleId="TM8">
    <w:name w:val="toc 8"/>
    <w:basedOn w:val="Normal"/>
    <w:next w:val="Normal"/>
    <w:autoRedefine/>
    <w:uiPriority w:val="39"/>
    <w:rsid w:val="00486546"/>
    <w:pPr>
      <w:spacing w:after="0" w:line="240" w:lineRule="auto"/>
      <w:ind w:left="1400"/>
    </w:pPr>
    <w:rPr>
      <w:rFonts w:asciiTheme="minorHAnsi" w:eastAsia="Times New Roman" w:hAnsiTheme="minorHAnsi"/>
      <w:sz w:val="18"/>
      <w:szCs w:val="18"/>
    </w:rPr>
  </w:style>
  <w:style w:type="paragraph" w:styleId="TM9">
    <w:name w:val="toc 9"/>
    <w:basedOn w:val="Normal"/>
    <w:next w:val="Normal"/>
    <w:autoRedefine/>
    <w:uiPriority w:val="39"/>
    <w:rsid w:val="00486546"/>
    <w:pPr>
      <w:spacing w:after="0" w:line="240" w:lineRule="auto"/>
      <w:ind w:left="1600"/>
    </w:pPr>
    <w:rPr>
      <w:rFonts w:asciiTheme="minorHAnsi" w:eastAsia="Times New Roman" w:hAnsiTheme="minorHAnsi"/>
      <w:sz w:val="18"/>
      <w:szCs w:val="18"/>
    </w:rPr>
  </w:style>
  <w:style w:type="paragraph" w:customStyle="1" w:styleId="En-ttedetabledesmatires1">
    <w:name w:val="En-tête de table des matières1"/>
    <w:basedOn w:val="Titre1"/>
    <w:next w:val="Normal"/>
    <w:uiPriority w:val="39"/>
    <w:qFormat/>
    <w:rsid w:val="00486546"/>
    <w:pPr>
      <w:shd w:val="clear" w:color="auto" w:fill="FFFFFF" w:themeFill="background1"/>
      <w:outlineLvl w:val="9"/>
    </w:pPr>
    <w:rPr>
      <w:rFonts w:eastAsia="Calibri" w:cs="Cambria"/>
      <w:iCs/>
      <w:color w:val="365F91"/>
    </w:rPr>
  </w:style>
  <w:style w:type="character" w:customStyle="1" w:styleId="txtcourant">
    <w:name w:val="txtcourant"/>
    <w:rsid w:val="00486546"/>
    <w:rPr>
      <w:rFonts w:cs="Times New Roman"/>
    </w:rPr>
  </w:style>
  <w:style w:type="paragraph" w:customStyle="1" w:styleId="NormalWeb1">
    <w:name w:val="Normal (Web)1"/>
    <w:basedOn w:val="Normal"/>
    <w:rsid w:val="00486546"/>
    <w:pPr>
      <w:spacing w:before="100" w:beforeAutospacing="1" w:after="100" w:afterAutospacing="1" w:line="240" w:lineRule="auto"/>
    </w:pPr>
    <w:rPr>
      <w:rFonts w:ascii="Arial" w:eastAsia="SimSun" w:hAnsi="Arial" w:cs="Arial"/>
      <w:color w:val="000066"/>
      <w:sz w:val="20"/>
      <w:szCs w:val="20"/>
      <w:lang w:val="en-GB" w:eastAsia="zh-CN"/>
    </w:rPr>
  </w:style>
  <w:style w:type="character" w:customStyle="1" w:styleId="lev1">
    <w:name w:val="Élevé1"/>
    <w:rsid w:val="00486546"/>
    <w:rPr>
      <w:rFonts w:cs="Times New Roman"/>
      <w:b/>
      <w:bCs/>
      <w:color w:val="000066"/>
      <w:sz w:val="20"/>
      <w:szCs w:val="20"/>
    </w:rPr>
  </w:style>
  <w:style w:type="paragraph" w:customStyle="1" w:styleId="Style105ptLeft">
    <w:name w:val="Style 10.5 pt Left"/>
    <w:basedOn w:val="Normal"/>
    <w:link w:val="Style105ptLeftChar"/>
    <w:rsid w:val="00486546"/>
    <w:pPr>
      <w:spacing w:after="0" w:line="240" w:lineRule="auto"/>
      <w:jc w:val="both"/>
    </w:pPr>
    <w:rPr>
      <w:rFonts w:ascii="Verdana" w:hAnsi="Verdana"/>
      <w:sz w:val="21"/>
      <w:szCs w:val="20"/>
      <w:lang w:val="en-GB"/>
    </w:rPr>
  </w:style>
  <w:style w:type="character" w:customStyle="1" w:styleId="Style105ptLeftChar">
    <w:name w:val="Style 10.5 pt Left Char"/>
    <w:link w:val="Style105ptLeft"/>
    <w:locked/>
    <w:rsid w:val="00486546"/>
    <w:rPr>
      <w:rFonts w:ascii="Verdana" w:hAnsi="Verdana"/>
      <w:sz w:val="21"/>
      <w:lang w:val="en-GB" w:eastAsia="en-US"/>
    </w:rPr>
  </w:style>
  <w:style w:type="paragraph" w:customStyle="1" w:styleId="StyleTitre114ptNoir">
    <w:name w:val="Style Titre 1 + 14 pt Noir"/>
    <w:basedOn w:val="Titre"/>
    <w:next w:val="Textebrut"/>
    <w:autoRedefine/>
    <w:rsid w:val="00486546"/>
    <w:rPr>
      <w:rFonts w:ascii="Arial" w:hAnsi="Arial"/>
      <w:color w:val="000000"/>
    </w:rPr>
  </w:style>
  <w:style w:type="paragraph" w:customStyle="1" w:styleId="Num-DocParagraph">
    <w:name w:val="Num-Doc Paragraph"/>
    <w:basedOn w:val="Corpsdetexte"/>
    <w:rsid w:val="00486546"/>
    <w:pPr>
      <w:tabs>
        <w:tab w:val="left" w:pos="850"/>
        <w:tab w:val="left" w:pos="1191"/>
        <w:tab w:val="left" w:pos="1531"/>
      </w:tabs>
      <w:spacing w:after="240"/>
      <w:jc w:val="both"/>
    </w:pPr>
    <w:rPr>
      <w:rFonts w:ascii="Times" w:eastAsia="Calibri" w:hAnsi="Times"/>
    </w:rPr>
  </w:style>
  <w:style w:type="paragraph" w:customStyle="1" w:styleId="AnnexHeading">
    <w:name w:val="Annex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Annotation">
    <w:name w:val="Annotation"/>
    <w:basedOn w:val="Corpsdetexte"/>
    <w:rsid w:val="00486546"/>
    <w:pPr>
      <w:tabs>
        <w:tab w:val="left" w:pos="850"/>
        <w:tab w:val="left" w:pos="1191"/>
        <w:tab w:val="left" w:pos="1531"/>
      </w:tabs>
      <w:spacing w:after="240"/>
    </w:pPr>
    <w:rPr>
      <w:rFonts w:ascii="Times" w:eastAsia="Calibri" w:hAnsi="Times"/>
      <w:b/>
      <w:i/>
    </w:rPr>
  </w:style>
  <w:style w:type="paragraph" w:customStyle="1" w:styleId="AppendixHeading">
    <w:name w:val="Appendix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Biblio-Entry">
    <w:name w:val="Biblio-Entry"/>
    <w:basedOn w:val="Corpsdetexte"/>
    <w:rsid w:val="00486546"/>
    <w:pPr>
      <w:tabs>
        <w:tab w:val="left" w:pos="850"/>
        <w:tab w:val="left" w:pos="1191"/>
        <w:tab w:val="left" w:pos="1531"/>
      </w:tabs>
      <w:spacing w:after="240"/>
      <w:ind w:left="567" w:hanging="567"/>
    </w:pPr>
    <w:rPr>
      <w:rFonts w:ascii="Times" w:eastAsia="Calibri" w:hAnsi="Times"/>
    </w:rPr>
  </w:style>
  <w:style w:type="paragraph" w:customStyle="1" w:styleId="BibliographyHeading">
    <w:name w:val="Bibliography Heading"/>
    <w:basedOn w:val="Normal"/>
    <w:next w:val="Biblio-Entry"/>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BoxHeading">
    <w:name w:val="Box Heading"/>
    <w:basedOn w:val="Normal"/>
    <w:next w:val="Corpsdetexte"/>
    <w:rsid w:val="00486546"/>
    <w:pPr>
      <w:tabs>
        <w:tab w:val="left" w:pos="850"/>
        <w:tab w:val="left" w:pos="1191"/>
        <w:tab w:val="left" w:pos="1531"/>
      </w:tabs>
      <w:spacing w:before="240" w:after="240" w:line="240" w:lineRule="auto"/>
      <w:jc w:val="center"/>
    </w:pPr>
    <w:rPr>
      <w:rFonts w:ascii="Times" w:hAnsi="Times"/>
      <w:b/>
      <w:sz w:val="20"/>
      <w:szCs w:val="20"/>
    </w:rPr>
  </w:style>
  <w:style w:type="paragraph" w:customStyle="1" w:styleId="Cell">
    <w:name w:val="Cell"/>
    <w:basedOn w:val="Normal"/>
    <w:rsid w:val="00486546"/>
    <w:pPr>
      <w:spacing w:after="0" w:line="240" w:lineRule="auto"/>
    </w:pPr>
    <w:rPr>
      <w:rFonts w:ascii="Helvetica" w:hAnsi="Helvetica"/>
      <w:sz w:val="18"/>
      <w:szCs w:val="20"/>
    </w:rPr>
  </w:style>
  <w:style w:type="paragraph" w:customStyle="1" w:styleId="ColumnsHeading">
    <w:name w:val="Columns Heading"/>
    <w:basedOn w:val="Normal"/>
    <w:rsid w:val="00486546"/>
    <w:pPr>
      <w:spacing w:after="0" w:line="240" w:lineRule="auto"/>
      <w:jc w:val="center"/>
    </w:pPr>
    <w:rPr>
      <w:rFonts w:ascii="Helvetica" w:hAnsi="Helvetica"/>
      <w:sz w:val="18"/>
      <w:szCs w:val="20"/>
    </w:rPr>
  </w:style>
  <w:style w:type="paragraph" w:customStyle="1" w:styleId="ConclusionHeading">
    <w:name w:val="Conclusion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DefinitionList">
    <w:name w:val="Definition List"/>
    <w:basedOn w:val="Corpsdetexte"/>
    <w:rsid w:val="00486546"/>
    <w:pPr>
      <w:spacing w:after="240"/>
      <w:ind w:left="1984" w:hanging="1984"/>
      <w:jc w:val="center"/>
    </w:pPr>
    <w:rPr>
      <w:rFonts w:ascii="Times" w:eastAsia="Calibri" w:hAnsi="Times"/>
    </w:rPr>
  </w:style>
  <w:style w:type="paragraph" w:customStyle="1" w:styleId="EndnotesHeading">
    <w:name w:val="Endnotes Heading"/>
    <w:basedOn w:val="Normal"/>
    <w:next w:val="Corpsdetexte"/>
    <w:rsid w:val="00486546"/>
    <w:pPr>
      <w:keepNext/>
      <w:tabs>
        <w:tab w:val="left" w:pos="850"/>
        <w:tab w:val="left" w:pos="1191"/>
        <w:tab w:val="left" w:pos="1531"/>
      </w:tabs>
      <w:spacing w:before="1200" w:after="480" w:line="240" w:lineRule="auto"/>
      <w:jc w:val="center"/>
    </w:pPr>
    <w:rPr>
      <w:rFonts w:ascii="Times" w:hAnsi="Times"/>
      <w:b/>
      <w:caps/>
      <w:sz w:val="20"/>
      <w:szCs w:val="20"/>
    </w:rPr>
  </w:style>
  <w:style w:type="paragraph" w:customStyle="1" w:styleId="ExecutiveSummaryHeading">
    <w:name w:val="Executive Summary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FigureNote">
    <w:name w:val="Figure Note"/>
    <w:basedOn w:val="Normal"/>
    <w:rsid w:val="00486546"/>
    <w:pPr>
      <w:tabs>
        <w:tab w:val="left" w:pos="850"/>
        <w:tab w:val="left" w:pos="1191"/>
        <w:tab w:val="left" w:pos="1531"/>
      </w:tabs>
      <w:spacing w:after="0" w:line="240" w:lineRule="auto"/>
      <w:jc w:val="both"/>
    </w:pPr>
    <w:rPr>
      <w:rFonts w:ascii="Helvetica" w:hAnsi="Helvetica"/>
      <w:sz w:val="18"/>
      <w:szCs w:val="20"/>
    </w:rPr>
  </w:style>
  <w:style w:type="paragraph" w:customStyle="1" w:styleId="FigureSub-title">
    <w:name w:val="Figure Sub-title"/>
    <w:basedOn w:val="Normal"/>
    <w:rsid w:val="00486546"/>
    <w:pPr>
      <w:keepNext/>
      <w:tabs>
        <w:tab w:val="left" w:pos="850"/>
        <w:tab w:val="left" w:pos="1191"/>
        <w:tab w:val="left" w:pos="1531"/>
      </w:tabs>
      <w:spacing w:after="240" w:line="240" w:lineRule="auto"/>
      <w:jc w:val="center"/>
    </w:pPr>
    <w:rPr>
      <w:rFonts w:ascii="Helvetica" w:hAnsi="Helvetica"/>
      <w:sz w:val="20"/>
      <w:szCs w:val="20"/>
    </w:rPr>
  </w:style>
  <w:style w:type="paragraph" w:customStyle="1" w:styleId="FigureTitle">
    <w:name w:val="Figure Title"/>
    <w:basedOn w:val="Normal"/>
    <w:next w:val="FigureSub-title"/>
    <w:rsid w:val="00486546"/>
    <w:pPr>
      <w:keepNext/>
      <w:tabs>
        <w:tab w:val="left" w:pos="850"/>
        <w:tab w:val="left" w:pos="1191"/>
        <w:tab w:val="left" w:pos="1531"/>
      </w:tabs>
      <w:spacing w:after="240" w:line="240" w:lineRule="auto"/>
      <w:jc w:val="center"/>
    </w:pPr>
    <w:rPr>
      <w:rFonts w:ascii="Helvetica" w:hAnsi="Helvetica"/>
      <w:b/>
      <w:sz w:val="20"/>
      <w:szCs w:val="20"/>
    </w:rPr>
  </w:style>
  <w:style w:type="paragraph" w:customStyle="1" w:styleId="ForewordHeading">
    <w:name w:val="Foreword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GlossaryHeading">
    <w:name w:val="Glossary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HiddenText">
    <w:name w:val="Hidden Text"/>
    <w:basedOn w:val="Corpsdetexte"/>
    <w:rsid w:val="00486546"/>
    <w:pPr>
      <w:keepNext/>
      <w:tabs>
        <w:tab w:val="left" w:pos="850"/>
        <w:tab w:val="left" w:pos="1191"/>
        <w:tab w:val="left" w:pos="1531"/>
      </w:tabs>
      <w:spacing w:after="0"/>
      <w:jc w:val="both"/>
    </w:pPr>
    <w:rPr>
      <w:rFonts w:ascii="Times" w:eastAsia="Calibri" w:hAnsi="Times"/>
      <w:sz w:val="2"/>
    </w:rPr>
  </w:style>
  <w:style w:type="paragraph" w:customStyle="1" w:styleId="Highlight">
    <w:name w:val="Highlight"/>
    <w:basedOn w:val="Corpsdetexte"/>
    <w:rsid w:val="00486546"/>
    <w:pPr>
      <w:tabs>
        <w:tab w:val="left" w:pos="850"/>
        <w:tab w:val="left" w:pos="1191"/>
        <w:tab w:val="left" w:pos="1531"/>
      </w:tabs>
      <w:spacing w:after="240"/>
      <w:jc w:val="both"/>
    </w:pPr>
    <w:rPr>
      <w:rFonts w:ascii="Times" w:eastAsia="Calibri" w:hAnsi="Times"/>
      <w:i/>
    </w:rPr>
  </w:style>
  <w:style w:type="paragraph" w:customStyle="1" w:styleId="HighlightHeading">
    <w:name w:val="Highlight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IntroductionHeading">
    <w:name w:val="Introduction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Num-ChapParagraph">
    <w:name w:val="Num-Chap Paragraph"/>
    <w:basedOn w:val="Corpsdetexte"/>
    <w:rsid w:val="00486546"/>
    <w:pPr>
      <w:tabs>
        <w:tab w:val="left" w:pos="850"/>
        <w:tab w:val="left" w:pos="1191"/>
        <w:tab w:val="left" w:pos="1531"/>
      </w:tabs>
      <w:spacing w:after="240"/>
      <w:jc w:val="both"/>
    </w:pPr>
    <w:rPr>
      <w:rFonts w:ascii="Times" w:eastAsia="Calibri" w:hAnsi="Times"/>
    </w:rPr>
  </w:style>
  <w:style w:type="paragraph" w:customStyle="1" w:styleId="PartHeading">
    <w:name w:val="Part Heading"/>
    <w:basedOn w:val="Normal"/>
    <w:next w:val="Corpsdetexte"/>
    <w:rsid w:val="00486546"/>
    <w:pPr>
      <w:keepNext/>
      <w:tabs>
        <w:tab w:val="left" w:pos="850"/>
        <w:tab w:val="left" w:pos="1191"/>
        <w:tab w:val="left" w:pos="1531"/>
      </w:tabs>
      <w:spacing w:before="1200" w:after="720" w:line="240" w:lineRule="auto"/>
      <w:jc w:val="center"/>
    </w:pPr>
    <w:rPr>
      <w:rFonts w:ascii="Times New Roman" w:hAnsi="Times New Roman"/>
      <w:b/>
      <w:caps/>
      <w:sz w:val="20"/>
      <w:szCs w:val="20"/>
    </w:rPr>
  </w:style>
  <w:style w:type="paragraph" w:customStyle="1" w:styleId="RowsHeading">
    <w:name w:val="Rows Heading"/>
    <w:basedOn w:val="Normal"/>
    <w:rsid w:val="00486546"/>
    <w:pPr>
      <w:spacing w:after="0" w:line="240" w:lineRule="auto"/>
    </w:pPr>
    <w:rPr>
      <w:rFonts w:ascii="Helvetica" w:hAnsi="Helvetica"/>
      <w:sz w:val="18"/>
      <w:szCs w:val="20"/>
    </w:rPr>
  </w:style>
  <w:style w:type="paragraph" w:customStyle="1" w:styleId="SourceDescription">
    <w:name w:val="Source Description"/>
    <w:basedOn w:val="Normal"/>
    <w:rsid w:val="00486546"/>
    <w:pPr>
      <w:tabs>
        <w:tab w:val="left" w:pos="850"/>
        <w:tab w:val="left" w:pos="1191"/>
        <w:tab w:val="left" w:pos="1531"/>
      </w:tabs>
      <w:spacing w:after="0" w:line="240" w:lineRule="auto"/>
      <w:jc w:val="both"/>
    </w:pPr>
    <w:rPr>
      <w:rFonts w:ascii="Helvetica" w:hAnsi="Helvetica"/>
      <w:sz w:val="18"/>
      <w:szCs w:val="20"/>
    </w:rPr>
  </w:style>
  <w:style w:type="paragraph" w:customStyle="1" w:styleId="SubHeading">
    <w:name w:val="SubHeading"/>
    <w:basedOn w:val="Corpsdetexte"/>
    <w:rsid w:val="00486546"/>
    <w:pPr>
      <w:tabs>
        <w:tab w:val="left" w:pos="850"/>
        <w:tab w:val="left" w:pos="1191"/>
        <w:tab w:val="left" w:pos="1531"/>
      </w:tabs>
      <w:spacing w:after="240"/>
      <w:jc w:val="both"/>
    </w:pPr>
    <w:rPr>
      <w:rFonts w:ascii="Times" w:eastAsia="Calibri" w:hAnsi="Times"/>
      <w:i/>
    </w:rPr>
  </w:style>
  <w:style w:type="paragraph" w:customStyle="1" w:styleId="SummaryHeading">
    <w:name w:val="Summary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Table">
    <w:name w:val="Table"/>
    <w:basedOn w:val="Normal"/>
    <w:rsid w:val="00486546"/>
    <w:pPr>
      <w:tabs>
        <w:tab w:val="left" w:pos="850"/>
        <w:tab w:val="left" w:pos="1191"/>
        <w:tab w:val="left" w:pos="1531"/>
      </w:tabs>
      <w:spacing w:after="240" w:line="240" w:lineRule="auto"/>
      <w:jc w:val="center"/>
    </w:pPr>
    <w:rPr>
      <w:rFonts w:ascii="Times" w:hAnsi="Times"/>
      <w:sz w:val="20"/>
      <w:szCs w:val="20"/>
    </w:rPr>
  </w:style>
  <w:style w:type="paragraph" w:customStyle="1" w:styleId="TableNote">
    <w:name w:val="Table Note"/>
    <w:basedOn w:val="Normal"/>
    <w:rsid w:val="00486546"/>
    <w:pPr>
      <w:tabs>
        <w:tab w:val="left" w:pos="850"/>
        <w:tab w:val="left" w:pos="1191"/>
        <w:tab w:val="left" w:pos="1531"/>
      </w:tabs>
      <w:spacing w:after="0" w:line="240" w:lineRule="auto"/>
      <w:jc w:val="both"/>
    </w:pPr>
    <w:rPr>
      <w:rFonts w:ascii="Helvetica" w:hAnsi="Helvetica"/>
      <w:sz w:val="18"/>
      <w:szCs w:val="20"/>
    </w:rPr>
  </w:style>
  <w:style w:type="paragraph" w:customStyle="1" w:styleId="TableofContentsHeading">
    <w:name w:val="Table of Contents Heading"/>
    <w:basedOn w:val="Normal"/>
    <w:next w:val="Corpsdetexte"/>
    <w:rsid w:val="00486546"/>
    <w:pPr>
      <w:keepNext/>
      <w:tabs>
        <w:tab w:val="left" w:pos="850"/>
        <w:tab w:val="left" w:pos="1191"/>
        <w:tab w:val="left" w:pos="1531"/>
      </w:tabs>
      <w:spacing w:before="1200" w:after="720" w:line="240" w:lineRule="auto"/>
      <w:jc w:val="center"/>
    </w:pPr>
    <w:rPr>
      <w:rFonts w:ascii="Times" w:hAnsi="Times"/>
      <w:b/>
      <w:caps/>
      <w:sz w:val="20"/>
      <w:szCs w:val="20"/>
    </w:rPr>
  </w:style>
  <w:style w:type="paragraph" w:customStyle="1" w:styleId="TableSub-title">
    <w:name w:val="Table Sub-title"/>
    <w:basedOn w:val="Normal"/>
    <w:rsid w:val="00486546"/>
    <w:pPr>
      <w:keepNext/>
      <w:tabs>
        <w:tab w:val="left" w:pos="850"/>
        <w:tab w:val="left" w:pos="1191"/>
        <w:tab w:val="left" w:pos="1531"/>
      </w:tabs>
      <w:spacing w:after="240" w:line="240" w:lineRule="auto"/>
      <w:jc w:val="center"/>
    </w:pPr>
    <w:rPr>
      <w:rFonts w:ascii="Helvetica" w:hAnsi="Helvetica"/>
      <w:sz w:val="20"/>
      <w:szCs w:val="20"/>
    </w:rPr>
  </w:style>
  <w:style w:type="paragraph" w:customStyle="1" w:styleId="TableTitle">
    <w:name w:val="Table Title"/>
    <w:basedOn w:val="Normal"/>
    <w:rsid w:val="00486546"/>
    <w:pPr>
      <w:keepNext/>
      <w:tabs>
        <w:tab w:val="left" w:pos="850"/>
        <w:tab w:val="left" w:pos="1191"/>
        <w:tab w:val="left" w:pos="1531"/>
      </w:tabs>
      <w:spacing w:after="240" w:line="240" w:lineRule="auto"/>
      <w:jc w:val="center"/>
    </w:pPr>
    <w:rPr>
      <w:rFonts w:ascii="Helvetica" w:hAnsi="Helvetica"/>
      <w:b/>
      <w:sz w:val="20"/>
      <w:szCs w:val="20"/>
    </w:rPr>
  </w:style>
  <w:style w:type="paragraph" w:customStyle="1" w:styleId="TextBox">
    <w:name w:val="Text Box"/>
    <w:basedOn w:val="Corpsdetexte"/>
    <w:rsid w:val="00486546"/>
    <w:pPr>
      <w:pBdr>
        <w:top w:val="single" w:sz="6" w:space="1" w:color="auto"/>
        <w:left w:val="single" w:sz="6" w:space="1" w:color="auto"/>
        <w:bottom w:val="single" w:sz="6" w:space="1" w:color="auto"/>
        <w:right w:val="single" w:sz="6" w:space="1" w:color="auto"/>
      </w:pBdr>
      <w:tabs>
        <w:tab w:val="left" w:pos="850"/>
        <w:tab w:val="left" w:pos="1191"/>
        <w:tab w:val="left" w:pos="1531"/>
      </w:tabs>
      <w:spacing w:after="240"/>
      <w:jc w:val="both"/>
    </w:pPr>
    <w:rPr>
      <w:rFonts w:ascii="Times" w:eastAsia="Calibri" w:hAnsi="Times"/>
    </w:rPr>
  </w:style>
  <w:style w:type="paragraph" w:customStyle="1" w:styleId="TextBoxHeading">
    <w:name w:val="Text Box Heading"/>
    <w:basedOn w:val="TextBox"/>
    <w:next w:val="TextBox"/>
    <w:rsid w:val="00486546"/>
    <w:pPr>
      <w:jc w:val="center"/>
    </w:pPr>
    <w:rPr>
      <w:b/>
    </w:rPr>
  </w:style>
  <w:style w:type="character" w:styleId="Appeldenotedefin">
    <w:name w:val="endnote reference"/>
    <w:rsid w:val="00486546"/>
    <w:rPr>
      <w:rFonts w:cs="Times New Roman"/>
      <w:vertAlign w:val="superscript"/>
      <w:lang w:val="en-GB"/>
    </w:rPr>
  </w:style>
  <w:style w:type="character" w:styleId="Numrodeligne">
    <w:name w:val="line number"/>
    <w:rsid w:val="00486546"/>
    <w:rPr>
      <w:rFonts w:cs="Times New Roman"/>
      <w:lang w:val="en-GB"/>
    </w:rPr>
  </w:style>
  <w:style w:type="paragraph" w:customStyle="1" w:styleId="list1">
    <w:name w:val="@list 1"/>
    <w:basedOn w:val="bodytext1"/>
    <w:rsid w:val="00486546"/>
    <w:pPr>
      <w:numPr>
        <w:numId w:val="0"/>
      </w:numPr>
      <w:tabs>
        <w:tab w:val="num" w:pos="360"/>
      </w:tabs>
      <w:ind w:left="360" w:hanging="360"/>
    </w:pPr>
  </w:style>
  <w:style w:type="paragraph" w:customStyle="1" w:styleId="bodytext1">
    <w:name w:val="@body text 1"/>
    <w:basedOn w:val="Normal"/>
    <w:rsid w:val="00486546"/>
    <w:pPr>
      <w:numPr>
        <w:numId w:val="16"/>
      </w:numPr>
      <w:tabs>
        <w:tab w:val="clear" w:pos="360"/>
      </w:tabs>
      <w:spacing w:after="240" w:line="240" w:lineRule="auto"/>
    </w:pPr>
    <w:rPr>
      <w:rFonts w:ascii="Times New Roman" w:hAnsi="Times New Roman"/>
      <w:sz w:val="20"/>
      <w:szCs w:val="20"/>
    </w:rPr>
  </w:style>
  <w:style w:type="paragraph" w:customStyle="1" w:styleId="bullet1">
    <w:name w:val="@bullet 1"/>
    <w:basedOn w:val="bodytext1"/>
    <w:rsid w:val="00486546"/>
    <w:pPr>
      <w:numPr>
        <w:numId w:val="17"/>
      </w:numPr>
      <w:tabs>
        <w:tab w:val="num" w:pos="643"/>
      </w:tabs>
      <w:ind w:hanging="360"/>
    </w:pPr>
  </w:style>
  <w:style w:type="paragraph" w:customStyle="1" w:styleId="kwNOTE1">
    <w:name w:val="kwNOTE1"/>
    <w:rsid w:val="00486546"/>
    <w:rPr>
      <w:rFonts w:ascii="Times New Roman" w:hAnsi="Times New Roman"/>
      <w:lang w:val="en-US" w:eastAsia="en-US"/>
    </w:rPr>
  </w:style>
  <w:style w:type="paragraph" w:customStyle="1" w:styleId="Abstract">
    <w:name w:val="Abstract"/>
    <w:basedOn w:val="Corpsdetexte"/>
    <w:rsid w:val="00486546"/>
    <w:pPr>
      <w:pBdr>
        <w:top w:val="single" w:sz="4" w:space="1" w:color="auto"/>
        <w:left w:val="single" w:sz="4" w:space="4" w:color="auto"/>
        <w:bottom w:val="single" w:sz="4" w:space="1" w:color="auto"/>
        <w:right w:val="single" w:sz="4" w:space="4" w:color="auto"/>
      </w:pBdr>
      <w:tabs>
        <w:tab w:val="left" w:pos="850"/>
        <w:tab w:val="left" w:pos="1191"/>
        <w:tab w:val="left" w:pos="1531"/>
      </w:tabs>
      <w:spacing w:after="240"/>
      <w:ind w:left="442"/>
      <w:jc w:val="both"/>
    </w:pPr>
    <w:rPr>
      <w:rFonts w:ascii="Times New Roman" w:eastAsia="Calibri" w:hAnsi="Times New Roman"/>
      <w:lang w:val="en-US" w:eastAsia="zh-CN"/>
    </w:rPr>
  </w:style>
  <w:style w:type="paragraph" w:customStyle="1" w:styleId="AcknowledgementHeading">
    <w:name w:val="Acknowledgement Heading"/>
    <w:basedOn w:val="Normal"/>
    <w:next w:val="Corpsdetexte"/>
    <w:rsid w:val="00486546"/>
    <w:pPr>
      <w:keepNext/>
      <w:tabs>
        <w:tab w:val="left" w:pos="850"/>
        <w:tab w:val="left" w:pos="1191"/>
        <w:tab w:val="left" w:pos="1531"/>
      </w:tabs>
      <w:spacing w:before="1200" w:after="720" w:line="240" w:lineRule="auto"/>
      <w:jc w:val="center"/>
    </w:pPr>
    <w:rPr>
      <w:rFonts w:ascii="Times New Roman" w:hAnsi="Times New Roman"/>
      <w:b/>
      <w:caps/>
      <w:sz w:val="20"/>
      <w:szCs w:val="20"/>
      <w:lang w:val="en-US" w:eastAsia="zh-CN"/>
    </w:rPr>
  </w:style>
  <w:style w:type="paragraph" w:customStyle="1" w:styleId="Author">
    <w:name w:val="Author"/>
    <w:basedOn w:val="Corpsdetexte"/>
    <w:rsid w:val="00486546"/>
    <w:pPr>
      <w:tabs>
        <w:tab w:val="left" w:pos="850"/>
        <w:tab w:val="left" w:pos="1191"/>
        <w:tab w:val="left" w:pos="1531"/>
      </w:tabs>
      <w:spacing w:after="240"/>
      <w:jc w:val="both"/>
    </w:pPr>
    <w:rPr>
      <w:rFonts w:ascii="Times New Roman" w:eastAsia="Calibri" w:hAnsi="Times New Roman"/>
      <w:lang w:val="en-US" w:eastAsia="zh-CN"/>
    </w:rPr>
  </w:style>
  <w:style w:type="paragraph" w:customStyle="1" w:styleId="BoxHeading2">
    <w:name w:val="Box Heading 2"/>
    <w:basedOn w:val="Normal"/>
    <w:next w:val="Normal"/>
    <w:rsid w:val="00486546"/>
    <w:pPr>
      <w:tabs>
        <w:tab w:val="left" w:pos="850"/>
        <w:tab w:val="left" w:pos="1191"/>
        <w:tab w:val="left" w:pos="1531"/>
      </w:tabs>
      <w:spacing w:before="240" w:after="240" w:line="240" w:lineRule="auto"/>
    </w:pPr>
    <w:rPr>
      <w:rFonts w:ascii="Arial" w:hAnsi="Arial" w:cs="Arial"/>
      <w:b/>
      <w:sz w:val="18"/>
      <w:szCs w:val="20"/>
      <w:lang w:val="en-US" w:eastAsia="zh-CN"/>
    </w:rPr>
  </w:style>
  <w:style w:type="paragraph" w:customStyle="1" w:styleId="BoxHeading3">
    <w:name w:val="Box Heading 3"/>
    <w:basedOn w:val="Normal"/>
    <w:next w:val="Normal"/>
    <w:rsid w:val="00486546"/>
    <w:pPr>
      <w:tabs>
        <w:tab w:val="left" w:pos="850"/>
        <w:tab w:val="left" w:pos="1191"/>
        <w:tab w:val="left" w:pos="1531"/>
      </w:tabs>
      <w:spacing w:before="240" w:after="240" w:line="240" w:lineRule="auto"/>
    </w:pPr>
    <w:rPr>
      <w:rFonts w:ascii="Arial" w:hAnsi="Arial" w:cs="Arial"/>
      <w:b/>
      <w:i/>
      <w:sz w:val="18"/>
      <w:szCs w:val="20"/>
      <w:lang w:val="en-US" w:eastAsia="zh-CN"/>
    </w:rPr>
  </w:style>
  <w:style w:type="paragraph" w:customStyle="1" w:styleId="BoxNote">
    <w:name w:val="Box Note"/>
    <w:basedOn w:val="Normal"/>
    <w:rsid w:val="00486546"/>
    <w:pPr>
      <w:tabs>
        <w:tab w:val="left" w:pos="340"/>
      </w:tabs>
      <w:spacing w:after="120" w:line="240" w:lineRule="auto"/>
    </w:pPr>
    <w:rPr>
      <w:rFonts w:ascii="Arial" w:hAnsi="Arial" w:cs="Arial"/>
      <w:sz w:val="18"/>
      <w:szCs w:val="20"/>
      <w:lang w:val="en-US" w:eastAsia="zh-CN"/>
    </w:rPr>
  </w:style>
  <w:style w:type="paragraph" w:customStyle="1" w:styleId="BoxSource">
    <w:name w:val="Box Source"/>
    <w:basedOn w:val="Normal"/>
    <w:next w:val="Corpsdetexte"/>
    <w:rsid w:val="00486546"/>
    <w:pPr>
      <w:tabs>
        <w:tab w:val="left" w:pos="850"/>
        <w:tab w:val="left" w:pos="1191"/>
        <w:tab w:val="left" w:pos="1531"/>
      </w:tabs>
      <w:spacing w:after="360" w:line="240" w:lineRule="auto"/>
      <w:jc w:val="both"/>
    </w:pPr>
    <w:rPr>
      <w:rFonts w:ascii="Arial" w:hAnsi="Arial" w:cs="Arial"/>
      <w:sz w:val="16"/>
      <w:szCs w:val="20"/>
      <w:lang w:val="en-US" w:eastAsia="zh-CN"/>
    </w:rPr>
  </w:style>
  <w:style w:type="paragraph" w:customStyle="1" w:styleId="Chart">
    <w:name w:val="Chart"/>
    <w:basedOn w:val="Normal"/>
    <w:next w:val="Corpsdetexte"/>
    <w:rsid w:val="00486546"/>
    <w:pPr>
      <w:tabs>
        <w:tab w:val="left" w:pos="850"/>
        <w:tab w:val="left" w:pos="1191"/>
        <w:tab w:val="left" w:pos="1531"/>
      </w:tabs>
      <w:spacing w:after="240" w:line="240" w:lineRule="auto"/>
      <w:jc w:val="center"/>
    </w:pPr>
    <w:rPr>
      <w:rFonts w:ascii="Times New Roman" w:hAnsi="Times New Roman"/>
      <w:sz w:val="20"/>
      <w:szCs w:val="20"/>
      <w:lang w:val="en-US" w:eastAsia="zh-CN"/>
    </w:rPr>
  </w:style>
  <w:style w:type="paragraph" w:customStyle="1" w:styleId="ChartNote">
    <w:name w:val="Chart Note"/>
    <w:basedOn w:val="Normal"/>
    <w:rsid w:val="00486546"/>
    <w:pPr>
      <w:tabs>
        <w:tab w:val="left" w:pos="850"/>
        <w:tab w:val="left" w:pos="1191"/>
        <w:tab w:val="left" w:pos="1531"/>
      </w:tabs>
      <w:spacing w:after="120" w:line="240" w:lineRule="auto"/>
    </w:pPr>
    <w:rPr>
      <w:rFonts w:ascii="Arial" w:hAnsi="Arial" w:cs="Arial"/>
      <w:sz w:val="16"/>
      <w:szCs w:val="20"/>
      <w:lang w:val="en-US" w:eastAsia="zh-CN"/>
    </w:rPr>
  </w:style>
  <w:style w:type="paragraph" w:customStyle="1" w:styleId="ChartSub-title">
    <w:name w:val="Chart Sub-title"/>
    <w:basedOn w:val="Normal"/>
    <w:rsid w:val="00486546"/>
    <w:pPr>
      <w:keepNext/>
      <w:tabs>
        <w:tab w:val="left" w:pos="850"/>
        <w:tab w:val="left" w:pos="1191"/>
        <w:tab w:val="left" w:pos="1531"/>
      </w:tabs>
      <w:spacing w:after="120" w:line="240" w:lineRule="auto"/>
      <w:jc w:val="center"/>
    </w:pPr>
    <w:rPr>
      <w:rFonts w:ascii="Arial" w:hAnsi="Arial" w:cs="Arial"/>
      <w:sz w:val="18"/>
      <w:szCs w:val="20"/>
      <w:lang w:val="en-US" w:eastAsia="zh-CN"/>
    </w:rPr>
  </w:style>
  <w:style w:type="paragraph" w:customStyle="1" w:styleId="ChartTitle">
    <w:name w:val="Chart Title"/>
    <w:basedOn w:val="Normal"/>
    <w:next w:val="ChartSub-title"/>
    <w:rsid w:val="00486546"/>
    <w:pPr>
      <w:keepNext/>
      <w:tabs>
        <w:tab w:val="left" w:pos="850"/>
        <w:tab w:val="left" w:pos="1191"/>
        <w:tab w:val="left" w:pos="1531"/>
      </w:tabs>
      <w:spacing w:after="240" w:line="240" w:lineRule="auto"/>
      <w:jc w:val="center"/>
    </w:pPr>
    <w:rPr>
      <w:rFonts w:ascii="Arial" w:hAnsi="Arial" w:cs="Arial"/>
      <w:b/>
      <w:sz w:val="18"/>
      <w:szCs w:val="20"/>
      <w:lang w:val="en-US" w:eastAsia="zh-CN"/>
    </w:rPr>
  </w:style>
  <w:style w:type="paragraph" w:customStyle="1" w:styleId="Citation1">
    <w:name w:val="Citation1"/>
    <w:basedOn w:val="Corpsdetexte"/>
    <w:link w:val="CitationCar"/>
    <w:rsid w:val="00486546"/>
    <w:pPr>
      <w:tabs>
        <w:tab w:val="left" w:pos="850"/>
        <w:tab w:val="left" w:pos="1191"/>
        <w:tab w:val="left" w:pos="1531"/>
      </w:tabs>
      <w:spacing w:after="240"/>
      <w:ind w:left="850"/>
    </w:pPr>
    <w:rPr>
      <w:rFonts w:eastAsia="Calibri"/>
      <w:i/>
      <w:iCs/>
      <w:color w:val="000000" w:themeColor="text1"/>
      <w:sz w:val="22"/>
      <w:szCs w:val="22"/>
    </w:rPr>
  </w:style>
  <w:style w:type="paragraph" w:customStyle="1" w:styleId="ListBulletBox2">
    <w:name w:val="List Bullet Box 2"/>
    <w:basedOn w:val="Normal"/>
    <w:rsid w:val="00486546"/>
    <w:pPr>
      <w:numPr>
        <w:numId w:val="18"/>
      </w:numPr>
      <w:spacing w:after="240" w:line="240" w:lineRule="auto"/>
      <w:jc w:val="both"/>
    </w:pPr>
    <w:rPr>
      <w:rFonts w:ascii="Arial" w:hAnsi="Arial" w:cs="Arial"/>
      <w:sz w:val="18"/>
      <w:szCs w:val="20"/>
      <w:lang w:val="en-US" w:eastAsia="zh-CN"/>
    </w:rPr>
  </w:style>
  <w:style w:type="paragraph" w:customStyle="1" w:styleId="ListBulletBox3">
    <w:name w:val="List Bullet Box 3"/>
    <w:basedOn w:val="Normal"/>
    <w:rsid w:val="00486546"/>
    <w:pPr>
      <w:numPr>
        <w:numId w:val="19"/>
      </w:numPr>
      <w:spacing w:after="240" w:line="240" w:lineRule="auto"/>
      <w:jc w:val="both"/>
    </w:pPr>
    <w:rPr>
      <w:rFonts w:ascii="Arial" w:hAnsi="Arial" w:cs="Arial"/>
      <w:sz w:val="18"/>
      <w:szCs w:val="20"/>
      <w:lang w:val="en-US" w:eastAsia="zh-CN"/>
    </w:rPr>
  </w:style>
  <w:style w:type="paragraph" w:customStyle="1" w:styleId="ListBulletBox">
    <w:name w:val="List Bullet Box"/>
    <w:basedOn w:val="Normal"/>
    <w:rsid w:val="00486546"/>
    <w:pPr>
      <w:numPr>
        <w:numId w:val="20"/>
      </w:numPr>
      <w:spacing w:after="240" w:line="240" w:lineRule="auto"/>
      <w:jc w:val="both"/>
    </w:pPr>
    <w:rPr>
      <w:rFonts w:ascii="Arial" w:hAnsi="Arial" w:cs="Arial"/>
      <w:sz w:val="18"/>
      <w:szCs w:val="20"/>
      <w:lang w:val="en-US" w:eastAsia="zh-CN"/>
    </w:rPr>
  </w:style>
  <w:style w:type="paragraph" w:customStyle="1" w:styleId="ListContinueBox">
    <w:name w:val="List Continue Box"/>
    <w:basedOn w:val="Normal"/>
    <w:rsid w:val="00486546"/>
    <w:pPr>
      <w:spacing w:after="240" w:line="240" w:lineRule="auto"/>
      <w:ind w:left="850"/>
      <w:jc w:val="both"/>
    </w:pPr>
    <w:rPr>
      <w:rFonts w:ascii="Arial" w:hAnsi="Arial" w:cs="Arial"/>
      <w:sz w:val="18"/>
      <w:szCs w:val="20"/>
      <w:lang w:val="en-US" w:eastAsia="zh-CN"/>
    </w:rPr>
  </w:style>
  <w:style w:type="paragraph" w:customStyle="1" w:styleId="ListContinueBox2">
    <w:name w:val="List Continue Box 2"/>
    <w:basedOn w:val="Normal"/>
    <w:rsid w:val="00486546"/>
    <w:pPr>
      <w:spacing w:after="240" w:line="240" w:lineRule="auto"/>
      <w:ind w:left="1191"/>
      <w:jc w:val="both"/>
    </w:pPr>
    <w:rPr>
      <w:rFonts w:ascii="Arial" w:hAnsi="Arial" w:cs="Arial"/>
      <w:sz w:val="18"/>
      <w:szCs w:val="20"/>
      <w:lang w:val="en-US" w:eastAsia="zh-CN"/>
    </w:rPr>
  </w:style>
  <w:style w:type="paragraph" w:customStyle="1" w:styleId="ListContinueBox3">
    <w:name w:val="List Continue Box 3"/>
    <w:basedOn w:val="Normal"/>
    <w:rsid w:val="00486546"/>
    <w:pPr>
      <w:spacing w:after="240" w:line="240" w:lineRule="auto"/>
      <w:ind w:left="1474"/>
      <w:jc w:val="both"/>
    </w:pPr>
    <w:rPr>
      <w:rFonts w:ascii="Arial" w:hAnsi="Arial" w:cs="Arial"/>
      <w:sz w:val="18"/>
      <w:szCs w:val="20"/>
      <w:lang w:val="en-US" w:eastAsia="zh-CN"/>
    </w:rPr>
  </w:style>
  <w:style w:type="paragraph" w:customStyle="1" w:styleId="ListNumberBox">
    <w:name w:val="List Number Box"/>
    <w:basedOn w:val="Normal"/>
    <w:rsid w:val="00486546"/>
    <w:pPr>
      <w:numPr>
        <w:numId w:val="21"/>
      </w:numPr>
      <w:tabs>
        <w:tab w:val="left" w:pos="850"/>
      </w:tabs>
      <w:spacing w:after="240" w:line="240" w:lineRule="auto"/>
      <w:jc w:val="both"/>
    </w:pPr>
    <w:rPr>
      <w:rFonts w:ascii="Arial" w:hAnsi="Arial" w:cs="Arial"/>
      <w:sz w:val="18"/>
      <w:szCs w:val="20"/>
      <w:lang w:val="en-US" w:eastAsia="zh-CN"/>
    </w:rPr>
  </w:style>
  <w:style w:type="paragraph" w:customStyle="1" w:styleId="ListNumberBox2">
    <w:name w:val="List Number Box 2"/>
    <w:basedOn w:val="Normal"/>
    <w:rsid w:val="00486546"/>
    <w:pPr>
      <w:numPr>
        <w:ilvl w:val="1"/>
        <w:numId w:val="21"/>
      </w:numPr>
      <w:tabs>
        <w:tab w:val="left" w:pos="1191"/>
      </w:tabs>
      <w:spacing w:after="240" w:line="240" w:lineRule="auto"/>
      <w:jc w:val="both"/>
    </w:pPr>
    <w:rPr>
      <w:rFonts w:ascii="Arial" w:hAnsi="Arial" w:cs="Arial"/>
      <w:sz w:val="18"/>
      <w:szCs w:val="20"/>
      <w:lang w:val="en-US" w:eastAsia="zh-CN"/>
    </w:rPr>
  </w:style>
  <w:style w:type="paragraph" w:customStyle="1" w:styleId="ListNumberBox3">
    <w:name w:val="List Number Box 3"/>
    <w:basedOn w:val="Normal"/>
    <w:rsid w:val="00486546"/>
    <w:pPr>
      <w:numPr>
        <w:ilvl w:val="2"/>
        <w:numId w:val="21"/>
      </w:numPr>
      <w:tabs>
        <w:tab w:val="left" w:pos="1474"/>
      </w:tabs>
      <w:spacing w:after="240" w:line="240" w:lineRule="auto"/>
      <w:jc w:val="both"/>
    </w:pPr>
    <w:rPr>
      <w:rFonts w:ascii="Arial" w:hAnsi="Arial" w:cs="Arial"/>
      <w:sz w:val="18"/>
      <w:szCs w:val="20"/>
      <w:lang w:val="en-US" w:eastAsia="zh-CN"/>
    </w:rPr>
  </w:style>
  <w:style w:type="character" w:customStyle="1" w:styleId="Cote">
    <w:name w:val="Cote"/>
    <w:rsid w:val="00486546"/>
    <w:rPr>
      <w:rFonts w:cs="Times New Roman"/>
      <w:caps/>
      <w:lang w:val="en-US"/>
    </w:rPr>
  </w:style>
  <w:style w:type="paragraph" w:customStyle="1" w:styleId="IndexHeading1">
    <w:name w:val="Index Heading1"/>
    <w:basedOn w:val="Normal"/>
    <w:next w:val="Corpsdetexte"/>
    <w:rsid w:val="00486546"/>
    <w:pPr>
      <w:keepNext/>
      <w:tabs>
        <w:tab w:val="left" w:pos="850"/>
        <w:tab w:val="left" w:pos="1191"/>
        <w:tab w:val="left" w:pos="1531"/>
      </w:tabs>
      <w:spacing w:before="1200" w:after="720" w:line="240" w:lineRule="auto"/>
      <w:jc w:val="center"/>
    </w:pPr>
    <w:rPr>
      <w:rFonts w:ascii="Times New Roman" w:hAnsi="Times New Roman"/>
      <w:b/>
      <w:caps/>
      <w:sz w:val="20"/>
      <w:szCs w:val="20"/>
      <w:lang w:val="en-US" w:eastAsia="zh-CN"/>
    </w:rPr>
  </w:style>
  <w:style w:type="paragraph" w:customStyle="1" w:styleId="AcknowledgmentHeading">
    <w:name w:val="Acknowledgment Heading"/>
    <w:basedOn w:val="Normal"/>
    <w:next w:val="Corpsdetexte"/>
    <w:rsid w:val="00486546"/>
    <w:pPr>
      <w:keepNext/>
      <w:tabs>
        <w:tab w:val="left" w:pos="850"/>
        <w:tab w:val="left" w:pos="1191"/>
        <w:tab w:val="left" w:pos="1531"/>
      </w:tabs>
      <w:spacing w:before="1200" w:after="720" w:line="240" w:lineRule="auto"/>
      <w:jc w:val="center"/>
    </w:pPr>
    <w:rPr>
      <w:rFonts w:ascii="Times New Roman" w:hAnsi="Times New Roman"/>
      <w:b/>
      <w:caps/>
      <w:sz w:val="20"/>
      <w:szCs w:val="20"/>
      <w:lang w:val="en-US" w:eastAsia="zh-CN"/>
    </w:rPr>
  </w:style>
  <w:style w:type="paragraph" w:customStyle="1" w:styleId="BoxBodyText">
    <w:name w:val="Box Body Text"/>
    <w:basedOn w:val="Normal"/>
    <w:rsid w:val="00486546"/>
    <w:pPr>
      <w:tabs>
        <w:tab w:val="left" w:pos="850"/>
        <w:tab w:val="left" w:pos="1191"/>
        <w:tab w:val="left" w:pos="1531"/>
      </w:tabs>
      <w:spacing w:after="240" w:line="240" w:lineRule="auto"/>
      <w:ind w:firstLine="442"/>
      <w:jc w:val="both"/>
    </w:pPr>
    <w:rPr>
      <w:rFonts w:ascii="Arial" w:hAnsi="Arial" w:cs="Arial"/>
      <w:sz w:val="18"/>
      <w:szCs w:val="20"/>
      <w:lang w:val="en-US" w:eastAsia="zh-CN"/>
    </w:rPr>
  </w:style>
  <w:style w:type="paragraph" w:customStyle="1" w:styleId="BoxBodyTextIndent">
    <w:name w:val="Box Body Text Indent"/>
    <w:basedOn w:val="Normal"/>
    <w:rsid w:val="00486546"/>
    <w:pPr>
      <w:tabs>
        <w:tab w:val="left" w:pos="850"/>
        <w:tab w:val="left" w:pos="1191"/>
        <w:tab w:val="left" w:pos="1531"/>
      </w:tabs>
      <w:spacing w:after="240" w:line="240" w:lineRule="auto"/>
      <w:ind w:left="442"/>
      <w:jc w:val="both"/>
    </w:pPr>
    <w:rPr>
      <w:rFonts w:ascii="Arial" w:hAnsi="Arial" w:cs="Arial"/>
      <w:sz w:val="18"/>
      <w:szCs w:val="20"/>
      <w:lang w:val="en-US" w:eastAsia="zh-CN"/>
    </w:rPr>
  </w:style>
  <w:style w:type="paragraph" w:customStyle="1" w:styleId="Head-Sub2">
    <w:name w:val="Head-Sub2"/>
    <w:basedOn w:val="Normal"/>
    <w:next w:val="Para-Num-Doc"/>
    <w:rsid w:val="00486546"/>
    <w:pPr>
      <w:keepNext/>
      <w:tabs>
        <w:tab w:val="left" w:pos="851"/>
        <w:tab w:val="left" w:pos="1191"/>
        <w:tab w:val="left" w:pos="1531"/>
      </w:tabs>
      <w:spacing w:after="240" w:line="240" w:lineRule="auto"/>
      <w:jc w:val="both"/>
    </w:pPr>
    <w:rPr>
      <w:rFonts w:ascii="Times" w:hAnsi="Times"/>
      <w:b/>
      <w:i/>
      <w:sz w:val="20"/>
      <w:szCs w:val="20"/>
      <w:lang w:val="en-GB"/>
    </w:rPr>
  </w:style>
  <w:style w:type="paragraph" w:customStyle="1" w:styleId="Para-Num-Doc">
    <w:name w:val="Para-Num-Doc"/>
    <w:basedOn w:val="Normal"/>
    <w:rsid w:val="00486546"/>
    <w:pPr>
      <w:tabs>
        <w:tab w:val="left" w:pos="851"/>
        <w:tab w:val="left" w:pos="1191"/>
        <w:tab w:val="left" w:pos="1531"/>
      </w:tabs>
      <w:spacing w:after="240" w:line="240" w:lineRule="auto"/>
      <w:jc w:val="both"/>
    </w:pPr>
    <w:rPr>
      <w:rFonts w:ascii="Times" w:hAnsi="Times"/>
      <w:sz w:val="20"/>
      <w:szCs w:val="20"/>
      <w:lang w:val="en-GB"/>
    </w:rPr>
  </w:style>
  <w:style w:type="paragraph" w:customStyle="1" w:styleId="xl63">
    <w:name w:val="xl63"/>
    <w:basedOn w:val="Normal"/>
    <w:rsid w:val="00486546"/>
    <w:pPr>
      <w:spacing w:before="100" w:beforeAutospacing="1" w:after="100" w:afterAutospacing="1" w:line="240" w:lineRule="auto"/>
    </w:pPr>
    <w:rPr>
      <w:rFonts w:ascii="Arial" w:hAnsi="Arial" w:cs="Arial"/>
      <w:sz w:val="24"/>
      <w:szCs w:val="24"/>
      <w:lang w:eastAsia="fr-FR"/>
    </w:rPr>
  </w:style>
  <w:style w:type="paragraph" w:customStyle="1" w:styleId="xl64">
    <w:name w:val="xl64"/>
    <w:basedOn w:val="Normal"/>
    <w:rsid w:val="00486546"/>
    <w:pPr>
      <w:pBdr>
        <w:top w:val="single" w:sz="4" w:space="0" w:color="000000"/>
        <w:left w:val="single" w:sz="8" w:space="0" w:color="000000"/>
        <w:bottom w:val="single" w:sz="4" w:space="0" w:color="000000"/>
        <w:right w:val="single" w:sz="4" w:space="0" w:color="000000"/>
      </w:pBdr>
      <w:shd w:val="clear" w:color="auto" w:fill="FFFFFF"/>
      <w:spacing w:before="100" w:beforeAutospacing="1" w:after="100" w:afterAutospacing="1" w:line="240" w:lineRule="auto"/>
    </w:pPr>
    <w:rPr>
      <w:rFonts w:ascii="Arial" w:hAnsi="Arial" w:cs="Arial"/>
      <w:b/>
      <w:bCs/>
      <w:sz w:val="24"/>
      <w:szCs w:val="24"/>
      <w:lang w:eastAsia="fr-FR"/>
    </w:rPr>
  </w:style>
  <w:style w:type="paragraph" w:customStyle="1" w:styleId="xl65">
    <w:name w:val="xl65"/>
    <w:basedOn w:val="Normal"/>
    <w:rsid w:val="00486546"/>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textAlignment w:val="top"/>
    </w:pPr>
    <w:rPr>
      <w:rFonts w:ascii="Arial" w:hAnsi="Arial" w:cs="Arial"/>
      <w:sz w:val="24"/>
      <w:szCs w:val="24"/>
      <w:lang w:eastAsia="fr-FR"/>
    </w:rPr>
  </w:style>
  <w:style w:type="paragraph" w:customStyle="1" w:styleId="xl66">
    <w:name w:val="xl66"/>
    <w:basedOn w:val="Normal"/>
    <w:rsid w:val="00486546"/>
    <w:pPr>
      <w:pBdr>
        <w:top w:val="single" w:sz="4" w:space="0" w:color="000000"/>
        <w:left w:val="single" w:sz="8" w:space="0" w:color="000000"/>
        <w:bottom w:val="single" w:sz="4" w:space="0" w:color="000000"/>
        <w:right w:val="single" w:sz="4" w:space="0" w:color="000000"/>
      </w:pBdr>
      <w:shd w:val="clear" w:color="auto" w:fill="FFFFFF"/>
      <w:spacing w:before="100" w:beforeAutospacing="1" w:after="100" w:afterAutospacing="1" w:line="240" w:lineRule="auto"/>
    </w:pPr>
    <w:rPr>
      <w:rFonts w:ascii="Arial" w:hAnsi="Arial" w:cs="Arial"/>
      <w:sz w:val="24"/>
      <w:szCs w:val="24"/>
      <w:lang w:eastAsia="fr-FR"/>
    </w:rPr>
  </w:style>
  <w:style w:type="paragraph" w:customStyle="1" w:styleId="xl67">
    <w:name w:val="xl67"/>
    <w:basedOn w:val="Normal"/>
    <w:rsid w:val="00486546"/>
    <w:pPr>
      <w:pBdr>
        <w:top w:val="single" w:sz="4" w:space="0" w:color="000000"/>
        <w:left w:val="single" w:sz="8" w:space="0" w:color="000000"/>
        <w:bottom w:val="single" w:sz="8" w:space="0" w:color="000000"/>
        <w:right w:val="single" w:sz="4" w:space="0" w:color="000000"/>
      </w:pBdr>
      <w:shd w:val="clear" w:color="auto" w:fill="FFFFFF"/>
      <w:spacing w:before="100" w:beforeAutospacing="1" w:after="100" w:afterAutospacing="1" w:line="240" w:lineRule="auto"/>
    </w:pPr>
    <w:rPr>
      <w:rFonts w:ascii="Arial" w:hAnsi="Arial" w:cs="Arial"/>
      <w:sz w:val="24"/>
      <w:szCs w:val="24"/>
      <w:lang w:eastAsia="fr-FR"/>
    </w:rPr>
  </w:style>
  <w:style w:type="paragraph" w:customStyle="1" w:styleId="xl68">
    <w:name w:val="xl68"/>
    <w:basedOn w:val="Normal"/>
    <w:rsid w:val="00486546"/>
    <w:pPr>
      <w:pBdr>
        <w:top w:val="single" w:sz="4" w:space="0" w:color="000000"/>
        <w:left w:val="single" w:sz="4" w:space="0" w:color="000000"/>
        <w:bottom w:val="single" w:sz="8" w:space="0" w:color="000000"/>
        <w:right w:val="single" w:sz="8" w:space="0" w:color="000000"/>
      </w:pBdr>
      <w:spacing w:before="100" w:beforeAutospacing="1" w:after="100" w:afterAutospacing="1" w:line="240" w:lineRule="auto"/>
      <w:textAlignment w:val="top"/>
    </w:pPr>
    <w:rPr>
      <w:rFonts w:ascii="Arial" w:hAnsi="Arial" w:cs="Arial"/>
      <w:sz w:val="24"/>
      <w:szCs w:val="24"/>
      <w:lang w:eastAsia="fr-FR"/>
    </w:rPr>
  </w:style>
  <w:style w:type="paragraph" w:customStyle="1" w:styleId="xl69">
    <w:name w:val="xl69"/>
    <w:basedOn w:val="Normal"/>
    <w:rsid w:val="00486546"/>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textAlignment w:val="top"/>
    </w:pPr>
    <w:rPr>
      <w:rFonts w:ascii="Arial" w:hAnsi="Arial" w:cs="Arial"/>
      <w:b/>
      <w:bCs/>
      <w:sz w:val="24"/>
      <w:szCs w:val="24"/>
      <w:lang w:eastAsia="fr-FR"/>
    </w:rPr>
  </w:style>
  <w:style w:type="paragraph" w:customStyle="1" w:styleId="xl70">
    <w:name w:val="xl70"/>
    <w:basedOn w:val="Normal"/>
    <w:rsid w:val="00486546"/>
    <w:pPr>
      <w:pBdr>
        <w:top w:val="single" w:sz="8" w:space="0" w:color="000000"/>
        <w:left w:val="single" w:sz="8" w:space="0" w:color="000000"/>
        <w:bottom w:val="single" w:sz="4" w:space="0" w:color="000000"/>
        <w:right w:val="single" w:sz="4" w:space="0" w:color="000000"/>
      </w:pBdr>
      <w:shd w:val="clear" w:color="auto" w:fill="FFFFFF"/>
      <w:spacing w:before="100" w:beforeAutospacing="1" w:after="100" w:afterAutospacing="1" w:line="240" w:lineRule="auto"/>
    </w:pPr>
    <w:rPr>
      <w:rFonts w:ascii="Arial" w:hAnsi="Arial" w:cs="Arial"/>
      <w:b/>
      <w:bCs/>
      <w:sz w:val="24"/>
      <w:szCs w:val="24"/>
      <w:lang w:eastAsia="fr-FR"/>
    </w:rPr>
  </w:style>
  <w:style w:type="paragraph" w:customStyle="1" w:styleId="xl71">
    <w:name w:val="xl71"/>
    <w:basedOn w:val="Normal"/>
    <w:rsid w:val="00486546"/>
    <w:pPr>
      <w:pBdr>
        <w:top w:val="single" w:sz="8" w:space="0" w:color="000000"/>
        <w:left w:val="single" w:sz="4" w:space="0" w:color="000000"/>
        <w:bottom w:val="single" w:sz="4" w:space="0" w:color="000000"/>
        <w:right w:val="single" w:sz="8" w:space="0" w:color="000000"/>
      </w:pBdr>
      <w:spacing w:before="100" w:beforeAutospacing="1" w:after="100" w:afterAutospacing="1" w:line="240" w:lineRule="auto"/>
      <w:textAlignment w:val="top"/>
    </w:pPr>
    <w:rPr>
      <w:rFonts w:ascii="Arial" w:hAnsi="Arial" w:cs="Arial"/>
      <w:b/>
      <w:bCs/>
      <w:sz w:val="24"/>
      <w:szCs w:val="24"/>
      <w:lang w:eastAsia="fr-FR"/>
    </w:rPr>
  </w:style>
  <w:style w:type="paragraph" w:customStyle="1" w:styleId="xl72">
    <w:name w:val="xl72"/>
    <w:basedOn w:val="Normal"/>
    <w:rsid w:val="00486546"/>
    <w:pPr>
      <w:pBdr>
        <w:top w:val="single" w:sz="4" w:space="0" w:color="000000"/>
        <w:left w:val="single" w:sz="8" w:space="0" w:color="000000"/>
        <w:bottom w:val="single" w:sz="4" w:space="0" w:color="000000"/>
        <w:right w:val="single" w:sz="4" w:space="0" w:color="000000"/>
      </w:pBdr>
      <w:shd w:val="clear" w:color="auto" w:fill="FFFFFF"/>
      <w:spacing w:before="100" w:beforeAutospacing="1" w:after="100" w:afterAutospacing="1" w:line="240" w:lineRule="auto"/>
    </w:pPr>
    <w:rPr>
      <w:rFonts w:ascii="Arial" w:hAnsi="Arial" w:cs="Arial"/>
      <w:b/>
      <w:bCs/>
      <w:sz w:val="24"/>
      <w:szCs w:val="24"/>
      <w:lang w:eastAsia="fr-FR"/>
    </w:rPr>
  </w:style>
  <w:style w:type="paragraph" w:customStyle="1" w:styleId="xl73">
    <w:name w:val="xl73"/>
    <w:basedOn w:val="Normal"/>
    <w:rsid w:val="00486546"/>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textAlignment w:val="top"/>
    </w:pPr>
    <w:rPr>
      <w:rFonts w:ascii="Arial" w:hAnsi="Arial" w:cs="Arial"/>
      <w:b/>
      <w:bCs/>
      <w:sz w:val="24"/>
      <w:szCs w:val="24"/>
      <w:lang w:eastAsia="fr-FR"/>
    </w:rPr>
  </w:style>
  <w:style w:type="paragraph" w:customStyle="1" w:styleId="xl74">
    <w:name w:val="xl74"/>
    <w:basedOn w:val="Normal"/>
    <w:rsid w:val="00486546"/>
    <w:pPr>
      <w:pBdr>
        <w:top w:val="single" w:sz="4" w:space="0" w:color="000000"/>
        <w:left w:val="single" w:sz="4" w:space="0" w:color="000000"/>
        <w:bottom w:val="single" w:sz="4" w:space="0" w:color="000000"/>
        <w:right w:val="single" w:sz="8" w:space="0" w:color="000000"/>
      </w:pBdr>
      <w:spacing w:before="100" w:beforeAutospacing="1" w:after="100" w:afterAutospacing="1" w:line="240" w:lineRule="auto"/>
      <w:textAlignment w:val="top"/>
    </w:pPr>
    <w:rPr>
      <w:rFonts w:ascii="Arial" w:hAnsi="Arial" w:cs="Arial"/>
      <w:sz w:val="24"/>
      <w:szCs w:val="24"/>
      <w:lang w:eastAsia="fr-FR"/>
    </w:rPr>
  </w:style>
  <w:style w:type="paragraph" w:customStyle="1" w:styleId="xl75">
    <w:name w:val="xl75"/>
    <w:basedOn w:val="Normal"/>
    <w:rsid w:val="00486546"/>
    <w:pPr>
      <w:pBdr>
        <w:top w:val="single" w:sz="4" w:space="0" w:color="000000"/>
        <w:left w:val="single" w:sz="8" w:space="0" w:color="000000"/>
        <w:bottom w:val="single" w:sz="4" w:space="0" w:color="000000"/>
        <w:right w:val="single" w:sz="4" w:space="0" w:color="000000"/>
      </w:pBdr>
      <w:shd w:val="clear" w:color="auto" w:fill="FFFFFF"/>
      <w:spacing w:before="100" w:beforeAutospacing="1" w:after="100" w:afterAutospacing="1" w:line="240" w:lineRule="auto"/>
    </w:pPr>
    <w:rPr>
      <w:rFonts w:ascii="Arial" w:hAnsi="Arial" w:cs="Arial"/>
      <w:b/>
      <w:bCs/>
      <w:sz w:val="24"/>
      <w:szCs w:val="24"/>
      <w:lang w:eastAsia="fr-FR"/>
    </w:rPr>
  </w:style>
  <w:style w:type="paragraph" w:customStyle="1" w:styleId="xl77">
    <w:name w:val="xl77"/>
    <w:basedOn w:val="Normal"/>
    <w:rsid w:val="00486546"/>
    <w:pPr>
      <w:pBdr>
        <w:bottom w:val="single" w:sz="8" w:space="0" w:color="000000"/>
      </w:pBdr>
      <w:spacing w:before="100" w:beforeAutospacing="1" w:after="100" w:afterAutospacing="1" w:line="240" w:lineRule="auto"/>
      <w:jc w:val="right"/>
    </w:pPr>
    <w:rPr>
      <w:rFonts w:ascii="Times New Roman" w:hAnsi="Times New Roman"/>
      <w:sz w:val="24"/>
      <w:szCs w:val="24"/>
      <w:lang w:eastAsia="fr-FR"/>
    </w:rPr>
  </w:style>
  <w:style w:type="paragraph" w:customStyle="1" w:styleId="xl78">
    <w:name w:val="xl78"/>
    <w:basedOn w:val="Normal"/>
    <w:rsid w:val="00486546"/>
    <w:pPr>
      <w:spacing w:before="100" w:beforeAutospacing="1" w:after="100" w:afterAutospacing="1" w:line="240" w:lineRule="auto"/>
    </w:pPr>
    <w:rPr>
      <w:rFonts w:ascii="Arial" w:hAnsi="Arial" w:cs="Arial"/>
      <w:b/>
      <w:bCs/>
      <w:sz w:val="28"/>
      <w:szCs w:val="28"/>
      <w:lang w:eastAsia="fr-FR"/>
    </w:rPr>
  </w:style>
  <w:style w:type="paragraph" w:customStyle="1" w:styleId="xl79">
    <w:name w:val="xl79"/>
    <w:basedOn w:val="Normal"/>
    <w:rsid w:val="00486546"/>
    <w:pPr>
      <w:spacing w:before="100" w:beforeAutospacing="1" w:after="100" w:afterAutospacing="1" w:line="240" w:lineRule="auto"/>
    </w:pPr>
    <w:rPr>
      <w:rFonts w:ascii="Arial" w:hAnsi="Arial" w:cs="Arial"/>
      <w:sz w:val="28"/>
      <w:szCs w:val="28"/>
      <w:lang w:eastAsia="fr-FR"/>
    </w:rPr>
  </w:style>
  <w:style w:type="paragraph" w:customStyle="1" w:styleId="xl80">
    <w:name w:val="xl80"/>
    <w:basedOn w:val="Normal"/>
    <w:rsid w:val="00486546"/>
    <w:pPr>
      <w:pBdr>
        <w:top w:val="single" w:sz="8" w:space="0" w:color="000000"/>
        <w:left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Arial" w:hAnsi="Arial" w:cs="Arial"/>
      <w:b/>
      <w:bCs/>
      <w:sz w:val="24"/>
      <w:szCs w:val="24"/>
      <w:lang w:eastAsia="fr-FR"/>
    </w:rPr>
  </w:style>
  <w:style w:type="paragraph" w:customStyle="1" w:styleId="xl81">
    <w:name w:val="xl81"/>
    <w:basedOn w:val="Normal"/>
    <w:rsid w:val="00486546"/>
    <w:pPr>
      <w:pBdr>
        <w:left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Arial" w:hAnsi="Arial" w:cs="Arial"/>
      <w:b/>
      <w:bCs/>
      <w:sz w:val="24"/>
      <w:szCs w:val="24"/>
      <w:lang w:eastAsia="fr-FR"/>
    </w:rPr>
  </w:style>
  <w:style w:type="paragraph" w:customStyle="1" w:styleId="xl82">
    <w:name w:val="xl82"/>
    <w:basedOn w:val="Normal"/>
    <w:rsid w:val="00486546"/>
    <w:pPr>
      <w:pBdr>
        <w:left w:val="single" w:sz="8" w:space="0" w:color="000000"/>
        <w:bottom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Arial" w:hAnsi="Arial" w:cs="Arial"/>
      <w:b/>
      <w:bCs/>
      <w:sz w:val="24"/>
      <w:szCs w:val="24"/>
      <w:lang w:eastAsia="fr-FR"/>
    </w:rPr>
  </w:style>
  <w:style w:type="paragraph" w:customStyle="1" w:styleId="xl83">
    <w:name w:val="xl83"/>
    <w:basedOn w:val="Normal"/>
    <w:rsid w:val="00486546"/>
    <w:pPr>
      <w:pBdr>
        <w:top w:val="single" w:sz="8" w:space="0" w:color="000000"/>
        <w:left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Arial" w:hAnsi="Arial" w:cs="Arial"/>
      <w:b/>
      <w:bCs/>
      <w:sz w:val="24"/>
      <w:szCs w:val="24"/>
      <w:lang w:eastAsia="fr-FR"/>
    </w:rPr>
  </w:style>
  <w:style w:type="paragraph" w:customStyle="1" w:styleId="xl84">
    <w:name w:val="xl84"/>
    <w:basedOn w:val="Normal"/>
    <w:rsid w:val="00486546"/>
    <w:pPr>
      <w:pBdr>
        <w:left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Arial" w:hAnsi="Arial" w:cs="Arial"/>
      <w:b/>
      <w:bCs/>
      <w:sz w:val="24"/>
      <w:szCs w:val="24"/>
      <w:lang w:eastAsia="fr-FR"/>
    </w:rPr>
  </w:style>
  <w:style w:type="paragraph" w:customStyle="1" w:styleId="xl85">
    <w:name w:val="xl85"/>
    <w:basedOn w:val="Normal"/>
    <w:rsid w:val="00486546"/>
    <w:pPr>
      <w:pBdr>
        <w:left w:val="single" w:sz="8" w:space="0" w:color="000000"/>
        <w:bottom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Arial" w:hAnsi="Arial" w:cs="Arial"/>
      <w:b/>
      <w:bCs/>
      <w:sz w:val="24"/>
      <w:szCs w:val="24"/>
      <w:lang w:eastAsia="fr-FR"/>
    </w:rPr>
  </w:style>
  <w:style w:type="paragraph" w:customStyle="1" w:styleId="xl86">
    <w:name w:val="xl86"/>
    <w:basedOn w:val="Normal"/>
    <w:rsid w:val="00486546"/>
    <w:pPr>
      <w:pBdr>
        <w:top w:val="single" w:sz="8" w:space="0" w:color="000000"/>
        <w:left w:val="single" w:sz="8" w:space="0" w:color="000000"/>
        <w:right w:val="single" w:sz="4" w:space="0" w:color="000000"/>
      </w:pBdr>
      <w:shd w:val="clear" w:color="auto" w:fill="FFFFFF"/>
      <w:spacing w:before="100" w:beforeAutospacing="1" w:after="100" w:afterAutospacing="1" w:line="240" w:lineRule="auto"/>
      <w:textAlignment w:val="center"/>
    </w:pPr>
    <w:rPr>
      <w:rFonts w:ascii="Arial" w:hAnsi="Arial" w:cs="Arial"/>
      <w:b/>
      <w:bCs/>
      <w:sz w:val="24"/>
      <w:szCs w:val="24"/>
      <w:lang w:eastAsia="fr-FR"/>
    </w:rPr>
  </w:style>
  <w:style w:type="paragraph" w:customStyle="1" w:styleId="xl87">
    <w:name w:val="xl87"/>
    <w:basedOn w:val="Normal"/>
    <w:rsid w:val="00486546"/>
    <w:pPr>
      <w:pBdr>
        <w:left w:val="single" w:sz="8" w:space="0" w:color="000000"/>
        <w:bottom w:val="single" w:sz="8" w:space="0" w:color="000000"/>
        <w:right w:val="single" w:sz="4" w:space="0" w:color="000000"/>
      </w:pBdr>
      <w:shd w:val="clear" w:color="auto" w:fill="FFFFFF"/>
      <w:spacing w:before="100" w:beforeAutospacing="1" w:after="100" w:afterAutospacing="1" w:line="240" w:lineRule="auto"/>
      <w:textAlignment w:val="center"/>
    </w:pPr>
    <w:rPr>
      <w:rFonts w:ascii="Arial" w:hAnsi="Arial" w:cs="Arial"/>
      <w:b/>
      <w:bCs/>
      <w:sz w:val="24"/>
      <w:szCs w:val="24"/>
      <w:lang w:eastAsia="fr-FR"/>
    </w:rPr>
  </w:style>
  <w:style w:type="paragraph" w:customStyle="1" w:styleId="xl88">
    <w:name w:val="xl88"/>
    <w:basedOn w:val="Normal"/>
    <w:rsid w:val="00486546"/>
    <w:pPr>
      <w:pBdr>
        <w:top w:val="single" w:sz="8" w:space="0" w:color="000000"/>
        <w:left w:val="single" w:sz="4" w:space="0" w:color="000000"/>
        <w:right w:val="single" w:sz="8" w:space="0" w:color="000000"/>
      </w:pBdr>
      <w:spacing w:before="100" w:beforeAutospacing="1" w:after="100" w:afterAutospacing="1" w:line="240" w:lineRule="auto"/>
      <w:jc w:val="center"/>
      <w:textAlignment w:val="top"/>
    </w:pPr>
    <w:rPr>
      <w:rFonts w:ascii="Arial" w:hAnsi="Arial" w:cs="Arial"/>
      <w:b/>
      <w:bCs/>
      <w:sz w:val="24"/>
      <w:szCs w:val="24"/>
      <w:lang w:eastAsia="fr-FR"/>
    </w:rPr>
  </w:style>
  <w:style w:type="paragraph" w:customStyle="1" w:styleId="xl89">
    <w:name w:val="xl89"/>
    <w:basedOn w:val="Normal"/>
    <w:rsid w:val="00486546"/>
    <w:pPr>
      <w:pBdr>
        <w:left w:val="single" w:sz="4" w:space="0" w:color="000000"/>
        <w:bottom w:val="single" w:sz="8" w:space="0" w:color="000000"/>
        <w:right w:val="single" w:sz="8" w:space="0" w:color="000000"/>
      </w:pBdr>
      <w:spacing w:before="100" w:beforeAutospacing="1" w:after="100" w:afterAutospacing="1" w:line="240" w:lineRule="auto"/>
      <w:jc w:val="center"/>
      <w:textAlignment w:val="top"/>
    </w:pPr>
    <w:rPr>
      <w:rFonts w:ascii="Arial" w:hAnsi="Arial" w:cs="Arial"/>
      <w:b/>
      <w:bCs/>
      <w:sz w:val="24"/>
      <w:szCs w:val="24"/>
      <w:lang w:eastAsia="fr-FR"/>
    </w:rPr>
  </w:style>
  <w:style w:type="paragraph" w:customStyle="1" w:styleId="xl90">
    <w:name w:val="xl90"/>
    <w:basedOn w:val="Normal"/>
    <w:rsid w:val="00486546"/>
    <w:pPr>
      <w:spacing w:before="100" w:beforeAutospacing="1" w:after="100" w:afterAutospacing="1" w:line="240" w:lineRule="auto"/>
    </w:pPr>
    <w:rPr>
      <w:rFonts w:ascii="Arial" w:hAnsi="Arial" w:cs="Arial"/>
      <w:b/>
      <w:bCs/>
      <w:sz w:val="36"/>
      <w:szCs w:val="36"/>
      <w:lang w:eastAsia="fr-FR"/>
    </w:rPr>
  </w:style>
  <w:style w:type="paragraph" w:customStyle="1" w:styleId="xl91">
    <w:name w:val="xl91"/>
    <w:basedOn w:val="Normal"/>
    <w:rsid w:val="00486546"/>
    <w:pPr>
      <w:pBdr>
        <w:top w:val="single" w:sz="8" w:space="0" w:color="000000"/>
        <w:left w:val="single" w:sz="8" w:space="0" w:color="000000"/>
        <w:bottom w:val="single" w:sz="4" w:space="0" w:color="000000"/>
        <w:right w:val="single" w:sz="4" w:space="0" w:color="000000"/>
      </w:pBdr>
      <w:shd w:val="clear" w:color="auto" w:fill="FFFFFF"/>
      <w:spacing w:before="100" w:beforeAutospacing="1" w:after="100" w:afterAutospacing="1" w:line="240" w:lineRule="auto"/>
      <w:jc w:val="center"/>
    </w:pPr>
    <w:rPr>
      <w:rFonts w:ascii="Arial" w:hAnsi="Arial" w:cs="Arial"/>
      <w:b/>
      <w:bCs/>
      <w:sz w:val="24"/>
      <w:szCs w:val="24"/>
      <w:lang w:eastAsia="fr-FR"/>
    </w:rPr>
  </w:style>
  <w:style w:type="paragraph" w:customStyle="1" w:styleId="xl92">
    <w:name w:val="xl92"/>
    <w:basedOn w:val="Normal"/>
    <w:rsid w:val="00486546"/>
    <w:pPr>
      <w:pBdr>
        <w:top w:val="single" w:sz="4" w:space="0" w:color="000000"/>
        <w:left w:val="single" w:sz="8" w:space="0" w:color="000000"/>
        <w:bottom w:val="single" w:sz="4" w:space="0" w:color="000000"/>
        <w:right w:val="single" w:sz="4" w:space="0" w:color="000000"/>
      </w:pBdr>
      <w:shd w:val="clear" w:color="auto" w:fill="FFFFFF"/>
      <w:spacing w:before="100" w:beforeAutospacing="1" w:after="100" w:afterAutospacing="1" w:line="240" w:lineRule="auto"/>
    </w:pPr>
    <w:rPr>
      <w:rFonts w:ascii="Arial" w:hAnsi="Arial" w:cs="Arial"/>
      <w:b/>
      <w:bCs/>
      <w:sz w:val="24"/>
      <w:szCs w:val="24"/>
      <w:lang w:eastAsia="fr-FR"/>
    </w:rPr>
  </w:style>
  <w:style w:type="paragraph" w:customStyle="1" w:styleId="xl93">
    <w:name w:val="xl93"/>
    <w:basedOn w:val="Normal"/>
    <w:rsid w:val="00486546"/>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Arial" w:hAnsi="Arial" w:cs="Arial"/>
      <w:b/>
      <w:bCs/>
      <w:sz w:val="24"/>
      <w:szCs w:val="24"/>
      <w:lang w:eastAsia="fr-FR"/>
    </w:rPr>
  </w:style>
  <w:style w:type="paragraph" w:customStyle="1" w:styleId="xl94">
    <w:name w:val="xl94"/>
    <w:basedOn w:val="Normal"/>
    <w:rsid w:val="00486546"/>
    <w:pPr>
      <w:pBdr>
        <w:top w:val="single" w:sz="8" w:space="0" w:color="000000"/>
        <w:left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Arial" w:hAnsi="Arial" w:cs="Arial"/>
      <w:b/>
      <w:bCs/>
      <w:sz w:val="24"/>
      <w:szCs w:val="24"/>
      <w:lang w:eastAsia="fr-FR"/>
    </w:rPr>
  </w:style>
  <w:style w:type="paragraph" w:customStyle="1" w:styleId="xl95">
    <w:name w:val="xl95"/>
    <w:basedOn w:val="Normal"/>
    <w:rsid w:val="00486546"/>
    <w:pPr>
      <w:pBdr>
        <w:left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Arial" w:hAnsi="Arial" w:cs="Arial"/>
      <w:b/>
      <w:bCs/>
      <w:sz w:val="24"/>
      <w:szCs w:val="24"/>
      <w:lang w:eastAsia="fr-FR"/>
    </w:rPr>
  </w:style>
  <w:style w:type="paragraph" w:customStyle="1" w:styleId="xl96">
    <w:name w:val="xl96"/>
    <w:basedOn w:val="Normal"/>
    <w:rsid w:val="0048654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Arial" w:hAnsi="Arial" w:cs="Arial"/>
      <w:sz w:val="24"/>
      <w:szCs w:val="24"/>
      <w:lang w:eastAsia="fr-FR"/>
    </w:rPr>
  </w:style>
  <w:style w:type="paragraph" w:customStyle="1" w:styleId="xl97">
    <w:name w:val="xl97"/>
    <w:basedOn w:val="Normal"/>
    <w:rsid w:val="00486546"/>
    <w:pPr>
      <w:pBdr>
        <w:top w:val="single" w:sz="8" w:space="0" w:color="000000"/>
        <w:left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Arial" w:hAnsi="Arial" w:cs="Arial"/>
      <w:b/>
      <w:bCs/>
      <w:sz w:val="24"/>
      <w:szCs w:val="24"/>
      <w:lang w:eastAsia="fr-FR"/>
    </w:rPr>
  </w:style>
  <w:style w:type="paragraph" w:customStyle="1" w:styleId="xl98">
    <w:name w:val="xl98"/>
    <w:basedOn w:val="Normal"/>
    <w:rsid w:val="00486546"/>
    <w:pPr>
      <w:pBdr>
        <w:left w:val="single" w:sz="8" w:space="0" w:color="000000"/>
        <w:right w:val="single" w:sz="8" w:space="0" w:color="000000"/>
      </w:pBdr>
      <w:spacing w:before="100" w:beforeAutospacing="1" w:after="100" w:afterAutospacing="1" w:line="240" w:lineRule="auto"/>
      <w:jc w:val="center"/>
      <w:textAlignment w:val="center"/>
    </w:pPr>
    <w:rPr>
      <w:rFonts w:ascii="Times New Roman" w:hAnsi="Times New Roman"/>
      <w:sz w:val="24"/>
      <w:szCs w:val="24"/>
      <w:lang w:eastAsia="fr-FR"/>
    </w:rPr>
  </w:style>
  <w:style w:type="paragraph" w:customStyle="1" w:styleId="xl99">
    <w:name w:val="xl99"/>
    <w:basedOn w:val="Normal"/>
    <w:rsid w:val="0048654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hAnsi="Times New Roman"/>
      <w:sz w:val="24"/>
      <w:szCs w:val="24"/>
      <w:lang w:eastAsia="fr-FR"/>
    </w:rPr>
  </w:style>
  <w:style w:type="paragraph" w:customStyle="1" w:styleId="xl100">
    <w:name w:val="xl100"/>
    <w:basedOn w:val="Normal"/>
    <w:rsid w:val="00486546"/>
    <w:pPr>
      <w:pBdr>
        <w:top w:val="single" w:sz="8" w:space="0" w:color="000000"/>
        <w:left w:val="single" w:sz="8" w:space="0" w:color="000000"/>
        <w:right w:val="single" w:sz="8" w:space="0" w:color="000000"/>
      </w:pBdr>
      <w:shd w:val="clear" w:color="auto" w:fill="FFFFFF"/>
      <w:spacing w:before="100" w:beforeAutospacing="1" w:after="100" w:afterAutospacing="1" w:line="240" w:lineRule="auto"/>
      <w:jc w:val="center"/>
      <w:textAlignment w:val="center"/>
    </w:pPr>
    <w:rPr>
      <w:rFonts w:ascii="Times New Roman" w:hAnsi="Times New Roman"/>
      <w:b/>
      <w:bCs/>
      <w:sz w:val="24"/>
      <w:szCs w:val="24"/>
      <w:lang w:eastAsia="fr-FR"/>
    </w:rPr>
  </w:style>
  <w:style w:type="paragraph" w:customStyle="1" w:styleId="Sansinterligne1">
    <w:name w:val="Sans interligne1"/>
    <w:rsid w:val="00486546"/>
    <w:rPr>
      <w:rFonts w:eastAsia="Times New Roman"/>
      <w:lang w:eastAsia="en-US"/>
    </w:rPr>
  </w:style>
  <w:style w:type="character" w:customStyle="1" w:styleId="Neutre">
    <w:name w:val="Neutre"/>
    <w:rsid w:val="00486546"/>
    <w:rPr>
      <w:rFonts w:cs="Times New Roman"/>
    </w:rPr>
  </w:style>
  <w:style w:type="character" w:customStyle="1" w:styleId="CorpsdetexteCar1">
    <w:name w:val="Corps de texte Car1"/>
    <w:uiPriority w:val="99"/>
    <w:rsid w:val="00486546"/>
    <w:rPr>
      <w:rFonts w:cs="Times New Roman"/>
      <w:sz w:val="22"/>
      <w:szCs w:val="22"/>
      <w:lang w:eastAsia="en-US"/>
    </w:rPr>
  </w:style>
  <w:style w:type="paragraph" w:customStyle="1" w:styleId="CharChar1CharCharCharCarCarCarCar1">
    <w:name w:val="Char Char1 Char Char Char Car Car Car Car1"/>
    <w:basedOn w:val="Normal"/>
    <w:rsid w:val="00486546"/>
    <w:pPr>
      <w:spacing w:after="160" w:line="240" w:lineRule="exact"/>
    </w:pPr>
    <w:rPr>
      <w:rFonts w:ascii="Tahoma" w:hAnsi="Tahoma"/>
      <w:sz w:val="20"/>
      <w:szCs w:val="20"/>
      <w:lang w:val="en-US"/>
    </w:rPr>
  </w:style>
  <w:style w:type="paragraph" w:customStyle="1" w:styleId="corpsdetexte0">
    <w:name w:val="corps de texte"/>
    <w:basedOn w:val="Normal"/>
    <w:rsid w:val="00486546"/>
    <w:pPr>
      <w:spacing w:after="120" w:line="240" w:lineRule="auto"/>
      <w:ind w:firstLine="709"/>
      <w:jc w:val="both"/>
    </w:pPr>
    <w:rPr>
      <w:rFonts w:ascii="Times New Roman" w:hAnsi="Times New Roman"/>
      <w:sz w:val="24"/>
      <w:szCs w:val="20"/>
      <w:lang w:eastAsia="fr-FR"/>
    </w:rPr>
  </w:style>
  <w:style w:type="paragraph" w:customStyle="1" w:styleId="CharCar2">
    <w:name w:val="Char Car2"/>
    <w:basedOn w:val="Normal"/>
    <w:rsid w:val="00486546"/>
    <w:pPr>
      <w:spacing w:after="160" w:line="240" w:lineRule="exact"/>
    </w:pPr>
    <w:rPr>
      <w:rFonts w:ascii="Arial" w:hAnsi="Arial"/>
      <w:sz w:val="20"/>
      <w:szCs w:val="20"/>
      <w:lang w:val="en-US"/>
    </w:rPr>
  </w:style>
  <w:style w:type="character" w:customStyle="1" w:styleId="CarCar331">
    <w:name w:val="Car Car331"/>
    <w:semiHidden/>
    <w:rsid w:val="00486546"/>
    <w:rPr>
      <w:rFonts w:cs="Times New Roman"/>
      <w:b/>
      <w:bCs/>
      <w:sz w:val="28"/>
      <w:szCs w:val="28"/>
      <w:lang w:val="fr-FR" w:eastAsia="fr-FR" w:bidi="ar-SA"/>
    </w:rPr>
  </w:style>
  <w:style w:type="paragraph" w:customStyle="1" w:styleId="Car1">
    <w:name w:val="Car1"/>
    <w:basedOn w:val="Normal"/>
    <w:rsid w:val="00486546"/>
    <w:pPr>
      <w:spacing w:after="160" w:line="240" w:lineRule="exact"/>
    </w:pPr>
    <w:rPr>
      <w:rFonts w:ascii="Arial" w:hAnsi="Arial"/>
      <w:sz w:val="20"/>
      <w:szCs w:val="20"/>
      <w:lang w:val="en-US"/>
    </w:rPr>
  </w:style>
  <w:style w:type="paragraph" w:customStyle="1" w:styleId="xl101">
    <w:name w:val="xl101"/>
    <w:basedOn w:val="Normal"/>
    <w:rsid w:val="00486546"/>
    <w:pPr>
      <w:pBdr>
        <w:top w:val="single" w:sz="4" w:space="0" w:color="auto"/>
        <w:left w:val="single" w:sz="4" w:space="0" w:color="auto"/>
        <w:right w:val="single" w:sz="4" w:space="0" w:color="auto"/>
      </w:pBdr>
      <w:shd w:val="clear" w:color="000000" w:fill="A5A5A5"/>
      <w:spacing w:before="100" w:beforeAutospacing="1" w:after="100" w:afterAutospacing="1" w:line="240" w:lineRule="auto"/>
    </w:pPr>
    <w:rPr>
      <w:rFonts w:ascii="Arial" w:hAnsi="Arial" w:cs="Arial"/>
      <w:b/>
      <w:bCs/>
      <w:sz w:val="18"/>
      <w:szCs w:val="18"/>
      <w:lang w:eastAsia="fr-FR"/>
    </w:rPr>
  </w:style>
  <w:style w:type="paragraph" w:customStyle="1" w:styleId="xl102">
    <w:name w:val="xl102"/>
    <w:basedOn w:val="Normal"/>
    <w:rsid w:val="00486546"/>
    <w:pPr>
      <w:pBdr>
        <w:left w:val="single" w:sz="8" w:space="0" w:color="000000"/>
        <w:right w:val="single" w:sz="8" w:space="0" w:color="000000"/>
      </w:pBdr>
      <w:shd w:val="clear" w:color="000000" w:fill="A5A5A5"/>
      <w:spacing w:before="100" w:beforeAutospacing="1" w:after="100" w:afterAutospacing="1" w:line="240" w:lineRule="auto"/>
    </w:pPr>
    <w:rPr>
      <w:rFonts w:ascii="Arial" w:hAnsi="Arial" w:cs="Arial"/>
      <w:b/>
      <w:bCs/>
      <w:sz w:val="18"/>
      <w:szCs w:val="18"/>
      <w:lang w:eastAsia="fr-FR"/>
    </w:rPr>
  </w:style>
  <w:style w:type="paragraph" w:customStyle="1" w:styleId="xl103">
    <w:name w:val="xl103"/>
    <w:basedOn w:val="Normal"/>
    <w:rsid w:val="00486546"/>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18"/>
      <w:szCs w:val="18"/>
      <w:lang w:eastAsia="fr-FR"/>
    </w:rPr>
  </w:style>
  <w:style w:type="paragraph" w:customStyle="1" w:styleId="xl104">
    <w:name w:val="xl104"/>
    <w:basedOn w:val="Normal"/>
    <w:rsid w:val="00486546"/>
    <w:pPr>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eastAsia="fr-FR"/>
    </w:rPr>
  </w:style>
  <w:style w:type="paragraph" w:customStyle="1" w:styleId="xl105">
    <w:name w:val="xl105"/>
    <w:basedOn w:val="Normal"/>
    <w:rsid w:val="00486546"/>
    <w:pPr>
      <w:pBdr>
        <w:bottom w:val="single" w:sz="4" w:space="0" w:color="auto"/>
      </w:pBdr>
      <w:spacing w:before="100" w:beforeAutospacing="1" w:after="100" w:afterAutospacing="1" w:line="240" w:lineRule="auto"/>
      <w:jc w:val="right"/>
    </w:pPr>
    <w:rPr>
      <w:rFonts w:ascii="Arial" w:hAnsi="Arial" w:cs="Arial"/>
      <w:sz w:val="24"/>
      <w:szCs w:val="24"/>
      <w:lang w:eastAsia="fr-FR"/>
    </w:rPr>
  </w:style>
  <w:style w:type="paragraph" w:customStyle="1" w:styleId="xl106">
    <w:name w:val="xl106"/>
    <w:basedOn w:val="Normal"/>
    <w:rsid w:val="00486546"/>
    <w:pPr>
      <w:pBdr>
        <w:top w:val="single" w:sz="4" w:space="0" w:color="auto"/>
        <w:left w:val="single" w:sz="4" w:space="0" w:color="auto"/>
      </w:pBdr>
      <w:shd w:val="clear" w:color="000000" w:fill="FFFFFF"/>
      <w:spacing w:before="100" w:beforeAutospacing="1" w:after="100" w:afterAutospacing="1" w:line="240" w:lineRule="auto"/>
    </w:pPr>
    <w:rPr>
      <w:rFonts w:ascii="Arial" w:hAnsi="Arial" w:cs="Arial"/>
      <w:b/>
      <w:bCs/>
      <w:sz w:val="18"/>
      <w:szCs w:val="18"/>
      <w:lang w:eastAsia="fr-FR"/>
    </w:rPr>
  </w:style>
  <w:style w:type="paragraph" w:customStyle="1" w:styleId="xl107">
    <w:name w:val="xl107"/>
    <w:basedOn w:val="Normal"/>
    <w:rsid w:val="00486546"/>
    <w:pPr>
      <w:pBdr>
        <w:top w:val="single" w:sz="4" w:space="0" w:color="auto"/>
      </w:pBdr>
      <w:shd w:val="clear" w:color="000000" w:fill="FFFFFF"/>
      <w:spacing w:before="100" w:beforeAutospacing="1" w:after="100" w:afterAutospacing="1" w:line="240" w:lineRule="auto"/>
    </w:pPr>
    <w:rPr>
      <w:rFonts w:ascii="Arial" w:hAnsi="Arial" w:cs="Arial"/>
      <w:b/>
      <w:bCs/>
      <w:sz w:val="18"/>
      <w:szCs w:val="18"/>
      <w:lang w:eastAsia="fr-FR"/>
    </w:rPr>
  </w:style>
  <w:style w:type="paragraph" w:customStyle="1" w:styleId="xl108">
    <w:name w:val="xl108"/>
    <w:basedOn w:val="Normal"/>
    <w:rsid w:val="00486546"/>
    <w:pPr>
      <w:pBdr>
        <w:top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18"/>
      <w:szCs w:val="18"/>
      <w:lang w:eastAsia="fr-FR"/>
    </w:rPr>
  </w:style>
  <w:style w:type="paragraph" w:customStyle="1" w:styleId="xl109">
    <w:name w:val="xl109"/>
    <w:basedOn w:val="Normal"/>
    <w:rsid w:val="00486546"/>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pPr>
    <w:rPr>
      <w:rFonts w:ascii="Arial" w:hAnsi="Arial" w:cs="Arial"/>
      <w:b/>
      <w:bCs/>
      <w:sz w:val="18"/>
      <w:szCs w:val="18"/>
      <w:lang w:eastAsia="fr-FR"/>
    </w:rPr>
  </w:style>
  <w:style w:type="paragraph" w:customStyle="1" w:styleId="xl110">
    <w:name w:val="xl110"/>
    <w:basedOn w:val="Normal"/>
    <w:rsid w:val="00486546"/>
    <w:pPr>
      <w:pBdr>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pPr>
    <w:rPr>
      <w:rFonts w:ascii="Arial" w:hAnsi="Arial" w:cs="Arial"/>
      <w:b/>
      <w:bCs/>
      <w:sz w:val="18"/>
      <w:szCs w:val="18"/>
      <w:lang w:eastAsia="fr-FR"/>
    </w:rPr>
  </w:style>
  <w:style w:type="paragraph" w:customStyle="1" w:styleId="xl111">
    <w:name w:val="xl111"/>
    <w:basedOn w:val="Normal"/>
    <w:rsid w:val="00486546"/>
    <w:pPr>
      <w:pBdr>
        <w:top w:val="single" w:sz="4" w:space="0" w:color="auto"/>
        <w:left w:val="single" w:sz="8" w:space="0" w:color="000000"/>
      </w:pBdr>
      <w:shd w:val="clear" w:color="000000" w:fill="FFFFFF"/>
      <w:spacing w:before="100" w:beforeAutospacing="1" w:after="100" w:afterAutospacing="1" w:line="240" w:lineRule="auto"/>
    </w:pPr>
    <w:rPr>
      <w:rFonts w:ascii="Arial" w:hAnsi="Arial" w:cs="Arial"/>
      <w:b/>
      <w:bCs/>
      <w:sz w:val="18"/>
      <w:szCs w:val="18"/>
      <w:lang w:eastAsia="fr-FR"/>
    </w:rPr>
  </w:style>
  <w:style w:type="paragraph" w:customStyle="1" w:styleId="xl112">
    <w:name w:val="xl112"/>
    <w:basedOn w:val="Normal"/>
    <w:rsid w:val="00486546"/>
    <w:pPr>
      <w:pBdr>
        <w:top w:val="single" w:sz="4" w:space="0" w:color="auto"/>
        <w:left w:val="single" w:sz="4" w:space="0" w:color="auto"/>
        <w:bottom w:val="single" w:sz="4" w:space="0" w:color="auto"/>
      </w:pBdr>
      <w:shd w:val="clear" w:color="000000" w:fill="A5A5A5"/>
      <w:spacing w:before="100" w:beforeAutospacing="1" w:after="100" w:afterAutospacing="1" w:line="240" w:lineRule="auto"/>
      <w:jc w:val="center"/>
    </w:pPr>
    <w:rPr>
      <w:rFonts w:ascii="Arial" w:hAnsi="Arial" w:cs="Arial"/>
      <w:b/>
      <w:bCs/>
      <w:sz w:val="18"/>
      <w:szCs w:val="18"/>
      <w:lang w:eastAsia="fr-FR"/>
    </w:rPr>
  </w:style>
  <w:style w:type="paragraph" w:customStyle="1" w:styleId="xl113">
    <w:name w:val="xl113"/>
    <w:basedOn w:val="Normal"/>
    <w:rsid w:val="00486546"/>
    <w:pPr>
      <w:pBdr>
        <w:top w:val="single" w:sz="4" w:space="0" w:color="auto"/>
        <w:bottom w:val="single" w:sz="4" w:space="0" w:color="auto"/>
      </w:pBdr>
      <w:shd w:val="clear" w:color="000000" w:fill="A5A5A5"/>
      <w:spacing w:before="100" w:beforeAutospacing="1" w:after="100" w:afterAutospacing="1" w:line="240" w:lineRule="auto"/>
      <w:jc w:val="center"/>
    </w:pPr>
    <w:rPr>
      <w:rFonts w:ascii="Arial" w:hAnsi="Arial" w:cs="Arial"/>
      <w:b/>
      <w:bCs/>
      <w:sz w:val="18"/>
      <w:szCs w:val="18"/>
      <w:lang w:eastAsia="fr-FR"/>
    </w:rPr>
  </w:style>
  <w:style w:type="paragraph" w:customStyle="1" w:styleId="xl114">
    <w:name w:val="xl114"/>
    <w:basedOn w:val="Normal"/>
    <w:rsid w:val="00486546"/>
    <w:pPr>
      <w:pBdr>
        <w:top w:val="single" w:sz="4" w:space="0" w:color="auto"/>
        <w:bottom w:val="single" w:sz="4" w:space="0" w:color="auto"/>
        <w:right w:val="single" w:sz="4" w:space="0" w:color="auto"/>
      </w:pBdr>
      <w:shd w:val="clear" w:color="000000" w:fill="A5A5A5"/>
      <w:spacing w:before="100" w:beforeAutospacing="1" w:after="100" w:afterAutospacing="1" w:line="240" w:lineRule="auto"/>
      <w:jc w:val="center"/>
    </w:pPr>
    <w:rPr>
      <w:rFonts w:ascii="Arial" w:hAnsi="Arial" w:cs="Arial"/>
      <w:b/>
      <w:bCs/>
      <w:sz w:val="18"/>
      <w:szCs w:val="18"/>
      <w:lang w:eastAsia="fr-FR"/>
    </w:rPr>
  </w:style>
  <w:style w:type="paragraph" w:customStyle="1" w:styleId="xl115">
    <w:name w:val="xl115"/>
    <w:basedOn w:val="Normal"/>
    <w:rsid w:val="00486546"/>
    <w:pPr>
      <w:pBdr>
        <w:top w:val="single" w:sz="4" w:space="0" w:color="auto"/>
        <w:bottom w:val="single" w:sz="4" w:space="0" w:color="auto"/>
      </w:pBdr>
      <w:spacing w:before="100" w:beforeAutospacing="1" w:after="100" w:afterAutospacing="1" w:line="240" w:lineRule="auto"/>
    </w:pPr>
    <w:rPr>
      <w:rFonts w:ascii="Arial" w:hAnsi="Arial" w:cs="Arial"/>
      <w:b/>
      <w:bCs/>
      <w:sz w:val="24"/>
      <w:szCs w:val="24"/>
      <w:lang w:eastAsia="fr-FR"/>
    </w:rPr>
  </w:style>
  <w:style w:type="paragraph" w:customStyle="1" w:styleId="xl116">
    <w:name w:val="xl116"/>
    <w:basedOn w:val="Normal"/>
    <w:rsid w:val="00486546"/>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w:hAnsi="Arial" w:cs="Arial"/>
      <w:b/>
      <w:bCs/>
      <w:sz w:val="18"/>
      <w:szCs w:val="18"/>
      <w:lang w:eastAsia="fr-FR"/>
    </w:rPr>
  </w:style>
  <w:style w:type="paragraph" w:customStyle="1" w:styleId="xl117">
    <w:name w:val="xl117"/>
    <w:basedOn w:val="Normal"/>
    <w:rsid w:val="00486546"/>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w:hAnsi="Arial" w:cs="Arial"/>
      <w:b/>
      <w:bCs/>
      <w:sz w:val="18"/>
      <w:szCs w:val="18"/>
      <w:lang w:eastAsia="fr-FR"/>
    </w:rPr>
  </w:style>
  <w:style w:type="paragraph" w:customStyle="1" w:styleId="xl118">
    <w:name w:val="xl118"/>
    <w:basedOn w:val="Normal"/>
    <w:rsid w:val="00486546"/>
    <w:pPr>
      <w:pBdr>
        <w:top w:val="single" w:sz="4" w:space="0" w:color="auto"/>
        <w:left w:val="single" w:sz="4" w:space="0" w:color="auto"/>
        <w:bottom w:val="single" w:sz="4" w:space="0" w:color="auto"/>
      </w:pBdr>
      <w:shd w:val="clear" w:color="000000" w:fill="A5A5A5"/>
      <w:spacing w:before="100" w:beforeAutospacing="1" w:after="100" w:afterAutospacing="1" w:line="240" w:lineRule="auto"/>
      <w:jc w:val="center"/>
      <w:textAlignment w:val="center"/>
    </w:pPr>
    <w:rPr>
      <w:rFonts w:ascii="Arial" w:hAnsi="Arial" w:cs="Arial"/>
      <w:b/>
      <w:bCs/>
      <w:sz w:val="18"/>
      <w:szCs w:val="18"/>
      <w:lang w:eastAsia="fr-FR"/>
    </w:rPr>
  </w:style>
  <w:style w:type="paragraph" w:customStyle="1" w:styleId="xl119">
    <w:name w:val="xl119"/>
    <w:basedOn w:val="Normal"/>
    <w:rsid w:val="00486546"/>
    <w:pPr>
      <w:pBdr>
        <w:top w:val="single" w:sz="4" w:space="0" w:color="auto"/>
        <w:bottom w:val="single" w:sz="4" w:space="0" w:color="auto"/>
      </w:pBdr>
      <w:shd w:val="clear" w:color="000000" w:fill="A5A5A5"/>
      <w:spacing w:before="100" w:beforeAutospacing="1" w:after="100" w:afterAutospacing="1" w:line="240" w:lineRule="auto"/>
      <w:jc w:val="center"/>
      <w:textAlignment w:val="center"/>
    </w:pPr>
    <w:rPr>
      <w:rFonts w:ascii="Arial" w:hAnsi="Arial" w:cs="Arial"/>
      <w:b/>
      <w:bCs/>
      <w:sz w:val="18"/>
      <w:szCs w:val="18"/>
      <w:lang w:eastAsia="fr-FR"/>
    </w:rPr>
  </w:style>
  <w:style w:type="paragraph" w:customStyle="1" w:styleId="xl120">
    <w:name w:val="xl120"/>
    <w:basedOn w:val="Normal"/>
    <w:rsid w:val="00486546"/>
    <w:pPr>
      <w:pBdr>
        <w:top w:val="single" w:sz="4" w:space="0" w:color="auto"/>
        <w:bottom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w:hAnsi="Arial" w:cs="Arial"/>
      <w:b/>
      <w:bCs/>
      <w:sz w:val="18"/>
      <w:szCs w:val="18"/>
      <w:lang w:eastAsia="fr-FR"/>
    </w:rPr>
  </w:style>
  <w:style w:type="paragraph" w:customStyle="1" w:styleId="xl121">
    <w:name w:val="xl121"/>
    <w:basedOn w:val="Normal"/>
    <w:rsid w:val="0048654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fr-FR"/>
    </w:rPr>
  </w:style>
  <w:style w:type="paragraph" w:customStyle="1" w:styleId="xl122">
    <w:name w:val="xl122"/>
    <w:basedOn w:val="Normal"/>
    <w:rsid w:val="00486546"/>
    <w:pPr>
      <w:pBdr>
        <w:top w:val="single" w:sz="4" w:space="0" w:color="auto"/>
        <w:left w:val="single" w:sz="4" w:space="0" w:color="auto"/>
        <w:bottom w:val="single" w:sz="4" w:space="0" w:color="auto"/>
      </w:pBdr>
      <w:shd w:val="clear" w:color="000000" w:fill="A5A5A5"/>
      <w:spacing w:before="100" w:beforeAutospacing="1" w:after="100" w:afterAutospacing="1" w:line="240" w:lineRule="auto"/>
    </w:pPr>
    <w:rPr>
      <w:rFonts w:ascii="Arial" w:hAnsi="Arial" w:cs="Arial"/>
      <w:b/>
      <w:bCs/>
      <w:sz w:val="18"/>
      <w:szCs w:val="18"/>
      <w:lang w:eastAsia="fr-FR"/>
    </w:rPr>
  </w:style>
  <w:style w:type="paragraph" w:customStyle="1" w:styleId="xl123">
    <w:name w:val="xl123"/>
    <w:basedOn w:val="Normal"/>
    <w:rsid w:val="00486546"/>
    <w:pPr>
      <w:pBdr>
        <w:top w:val="single" w:sz="4" w:space="0" w:color="auto"/>
        <w:bottom w:val="single" w:sz="4" w:space="0" w:color="auto"/>
        <w:right w:val="single" w:sz="4" w:space="0" w:color="auto"/>
      </w:pBdr>
      <w:shd w:val="clear" w:color="000000" w:fill="A5A5A5"/>
      <w:spacing w:before="100" w:beforeAutospacing="1" w:after="100" w:afterAutospacing="1" w:line="240" w:lineRule="auto"/>
    </w:pPr>
    <w:rPr>
      <w:rFonts w:ascii="Arial" w:hAnsi="Arial" w:cs="Arial"/>
      <w:b/>
      <w:bCs/>
      <w:sz w:val="18"/>
      <w:szCs w:val="18"/>
      <w:lang w:eastAsia="fr-FR"/>
    </w:rPr>
  </w:style>
  <w:style w:type="paragraph" w:customStyle="1" w:styleId="xl124">
    <w:name w:val="xl124"/>
    <w:basedOn w:val="Normal"/>
    <w:rsid w:val="00486546"/>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pPr>
    <w:rPr>
      <w:rFonts w:ascii="Arial" w:hAnsi="Arial" w:cs="Arial"/>
      <w:sz w:val="18"/>
      <w:szCs w:val="18"/>
      <w:lang w:eastAsia="fr-FR"/>
    </w:rPr>
  </w:style>
  <w:style w:type="paragraph" w:customStyle="1" w:styleId="xl125">
    <w:name w:val="xl125"/>
    <w:basedOn w:val="Normal"/>
    <w:rsid w:val="00486546"/>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textAlignment w:val="top"/>
    </w:pPr>
    <w:rPr>
      <w:rFonts w:ascii="Arial" w:hAnsi="Arial" w:cs="Arial"/>
      <w:b/>
      <w:bCs/>
      <w:sz w:val="18"/>
      <w:szCs w:val="18"/>
      <w:lang w:eastAsia="fr-FR"/>
    </w:rPr>
  </w:style>
  <w:style w:type="paragraph" w:customStyle="1" w:styleId="xl126">
    <w:name w:val="xl126"/>
    <w:basedOn w:val="Normal"/>
    <w:rsid w:val="00486546"/>
    <w:pPr>
      <w:pBdr>
        <w:top w:val="single" w:sz="4" w:space="0" w:color="auto"/>
      </w:pBdr>
      <w:shd w:val="clear" w:color="000000" w:fill="A5A5A5"/>
      <w:spacing w:before="100" w:beforeAutospacing="1" w:after="100" w:afterAutospacing="1" w:line="240" w:lineRule="auto"/>
      <w:jc w:val="center"/>
      <w:textAlignment w:val="top"/>
    </w:pPr>
    <w:rPr>
      <w:rFonts w:ascii="Arial" w:hAnsi="Arial" w:cs="Arial"/>
      <w:b/>
      <w:bCs/>
      <w:sz w:val="18"/>
      <w:szCs w:val="18"/>
      <w:lang w:eastAsia="fr-FR"/>
    </w:rPr>
  </w:style>
  <w:style w:type="paragraph" w:customStyle="1" w:styleId="xl127">
    <w:name w:val="xl127"/>
    <w:basedOn w:val="Normal"/>
    <w:rsid w:val="00486546"/>
    <w:pPr>
      <w:pBdr>
        <w:top w:val="single" w:sz="4" w:space="0" w:color="auto"/>
        <w:left w:val="single" w:sz="4" w:space="0" w:color="auto"/>
        <w:right w:val="single" w:sz="4" w:space="0" w:color="auto"/>
      </w:pBdr>
      <w:shd w:val="clear" w:color="000000" w:fill="A5A5A5"/>
      <w:spacing w:before="100" w:beforeAutospacing="1" w:after="100" w:afterAutospacing="1" w:line="240" w:lineRule="auto"/>
      <w:jc w:val="center"/>
      <w:textAlignment w:val="top"/>
    </w:pPr>
    <w:rPr>
      <w:rFonts w:ascii="Arial" w:hAnsi="Arial" w:cs="Arial"/>
      <w:b/>
      <w:bCs/>
      <w:sz w:val="18"/>
      <w:szCs w:val="18"/>
      <w:lang w:eastAsia="fr-FR"/>
    </w:rPr>
  </w:style>
  <w:style w:type="paragraph" w:customStyle="1" w:styleId="xl128">
    <w:name w:val="xl128"/>
    <w:basedOn w:val="Normal"/>
    <w:rsid w:val="0048654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hAnsi="Arial" w:cs="Arial"/>
      <w:b/>
      <w:bCs/>
      <w:sz w:val="18"/>
      <w:szCs w:val="18"/>
      <w:lang w:eastAsia="fr-FR"/>
    </w:rPr>
  </w:style>
  <w:style w:type="paragraph" w:customStyle="1" w:styleId="xl129">
    <w:name w:val="xl129"/>
    <w:basedOn w:val="Normal"/>
    <w:rsid w:val="00486546"/>
    <w:pPr>
      <w:shd w:val="clear" w:color="000000" w:fill="A5A5A5"/>
      <w:spacing w:before="100" w:beforeAutospacing="1" w:after="100" w:afterAutospacing="1" w:line="240" w:lineRule="auto"/>
      <w:jc w:val="center"/>
      <w:textAlignment w:val="top"/>
    </w:pPr>
    <w:rPr>
      <w:rFonts w:ascii="Arial" w:hAnsi="Arial" w:cs="Arial"/>
      <w:b/>
      <w:bCs/>
      <w:sz w:val="18"/>
      <w:szCs w:val="18"/>
      <w:lang w:eastAsia="fr-FR"/>
    </w:rPr>
  </w:style>
  <w:style w:type="paragraph" w:customStyle="1" w:styleId="xl130">
    <w:name w:val="xl130"/>
    <w:basedOn w:val="Normal"/>
    <w:rsid w:val="00486546"/>
    <w:pPr>
      <w:spacing w:before="100" w:beforeAutospacing="1" w:after="100" w:afterAutospacing="1" w:line="240" w:lineRule="auto"/>
      <w:jc w:val="center"/>
    </w:pPr>
    <w:rPr>
      <w:rFonts w:ascii="Arial" w:hAnsi="Arial" w:cs="Arial"/>
      <w:b/>
      <w:bCs/>
      <w:sz w:val="20"/>
      <w:szCs w:val="20"/>
      <w:lang w:eastAsia="fr-FR"/>
    </w:rPr>
  </w:style>
  <w:style w:type="paragraph" w:customStyle="1" w:styleId="CarCarCarCharChar">
    <w:name w:val="Car Car Car Char Char"/>
    <w:basedOn w:val="Titre2"/>
    <w:rsid w:val="00486546"/>
    <w:pPr>
      <w:keepLines w:val="0"/>
      <w:pageBreakBefore/>
      <w:tabs>
        <w:tab w:val="left" w:pos="850"/>
        <w:tab w:val="left" w:pos="1191"/>
        <w:tab w:val="left" w:pos="1531"/>
      </w:tabs>
      <w:spacing w:before="120" w:after="120"/>
      <w:jc w:val="center"/>
    </w:pPr>
    <w:rPr>
      <w:rFonts w:ascii="Tahoma" w:eastAsia="Calibri" w:hAnsi="Tahoma" w:cs="Tahoma"/>
      <w:bCs w:val="0"/>
      <w:color w:val="FFFFFF"/>
      <w:spacing w:val="20"/>
      <w:sz w:val="22"/>
      <w:szCs w:val="22"/>
      <w:lang w:val="en-GB" w:eastAsia="zh-CN"/>
    </w:rPr>
  </w:style>
  <w:style w:type="paragraph" w:customStyle="1" w:styleId="text">
    <w:name w:val="text"/>
    <w:basedOn w:val="Normal"/>
    <w:next w:val="Normal"/>
    <w:rsid w:val="00486546"/>
    <w:pPr>
      <w:autoSpaceDE w:val="0"/>
      <w:autoSpaceDN w:val="0"/>
      <w:adjustRightInd w:val="0"/>
      <w:spacing w:after="0" w:line="240" w:lineRule="auto"/>
    </w:pPr>
    <w:rPr>
      <w:rFonts w:ascii="Times New Roman" w:hAnsi="Times New Roman"/>
      <w:sz w:val="24"/>
      <w:szCs w:val="24"/>
      <w:lang w:val="sv-SE" w:eastAsia="sv-SE"/>
    </w:rPr>
  </w:style>
  <w:style w:type="paragraph" w:customStyle="1" w:styleId="CarCarCarCarCarCarCar">
    <w:name w:val="Car Car Car Car Car Car Car"/>
    <w:basedOn w:val="Normal"/>
    <w:rsid w:val="00486546"/>
    <w:pPr>
      <w:spacing w:after="160" w:line="240" w:lineRule="exact"/>
    </w:pPr>
    <w:rPr>
      <w:rFonts w:ascii="Tahoma" w:hAnsi="Tahoma"/>
      <w:sz w:val="20"/>
      <w:szCs w:val="20"/>
      <w:lang w:val="en-US"/>
    </w:rPr>
  </w:style>
  <w:style w:type="paragraph" w:customStyle="1" w:styleId="style38">
    <w:name w:val="style38"/>
    <w:basedOn w:val="Normal"/>
    <w:rsid w:val="00486546"/>
    <w:pPr>
      <w:spacing w:before="100" w:beforeAutospacing="1" w:after="100" w:afterAutospacing="1" w:line="240" w:lineRule="auto"/>
    </w:pPr>
    <w:rPr>
      <w:rFonts w:ascii="Times New Roman" w:hAnsi="Times New Roman"/>
      <w:sz w:val="24"/>
      <w:szCs w:val="24"/>
      <w:lang w:eastAsia="fr-FR"/>
    </w:rPr>
  </w:style>
  <w:style w:type="character" w:customStyle="1" w:styleId="FootnoteTextChar">
    <w:name w:val="Footnote Text Char"/>
    <w:semiHidden/>
    <w:locked/>
    <w:rsid w:val="00486546"/>
    <w:rPr>
      <w:rFonts w:ascii="Calibri" w:hAnsi="Calibri" w:cs="Times New Roman"/>
      <w:sz w:val="20"/>
      <w:szCs w:val="20"/>
    </w:rPr>
  </w:style>
  <w:style w:type="character" w:customStyle="1" w:styleId="texte">
    <w:name w:val="texte"/>
    <w:rsid w:val="00486546"/>
    <w:rPr>
      <w:rFonts w:cs="Times New Roman"/>
    </w:rPr>
  </w:style>
  <w:style w:type="paragraph" w:customStyle="1" w:styleId="msolistparagraph0">
    <w:name w:val="msolistparagraph"/>
    <w:basedOn w:val="Normal"/>
    <w:rsid w:val="00486546"/>
    <w:pPr>
      <w:spacing w:after="0" w:line="240" w:lineRule="auto"/>
      <w:ind w:left="720"/>
      <w:contextualSpacing/>
    </w:pPr>
    <w:rPr>
      <w:rFonts w:eastAsia="Times New Roman"/>
      <w:sz w:val="20"/>
      <w:szCs w:val="20"/>
    </w:rPr>
  </w:style>
  <w:style w:type="table" w:customStyle="1" w:styleId="Trameclaire-Accent11">
    <w:name w:val="Trame claire - Accent 11"/>
    <w:rsid w:val="00486546"/>
    <w:rPr>
      <w:rFonts w:cs="Arial"/>
      <w:color w:val="365F91"/>
      <w:lang w:val="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customStyle="1" w:styleId="xl22">
    <w:name w:val="xl22"/>
    <w:basedOn w:val="Normal"/>
    <w:rsid w:val="0048654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hAnsi="Times New Roman"/>
      <w:b/>
      <w:bCs/>
      <w:sz w:val="24"/>
      <w:szCs w:val="24"/>
      <w:lang w:eastAsia="fr-FR"/>
    </w:rPr>
  </w:style>
  <w:style w:type="paragraph" w:customStyle="1" w:styleId="xl23">
    <w:name w:val="xl23"/>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color w:val="0000FF"/>
      <w:sz w:val="24"/>
      <w:szCs w:val="24"/>
      <w:lang w:eastAsia="fr-FR"/>
    </w:rPr>
  </w:style>
  <w:style w:type="paragraph" w:customStyle="1" w:styleId="xl35">
    <w:name w:val="xl35"/>
    <w:basedOn w:val="Normal"/>
    <w:rsid w:val="00486546"/>
    <w:pPr>
      <w:pBdr>
        <w:top w:val="single" w:sz="4" w:space="0" w:color="auto"/>
        <w:left w:val="single" w:sz="4" w:space="0" w:color="auto"/>
        <w:bottom w:val="single" w:sz="4" w:space="0" w:color="auto"/>
        <w:right w:val="single" w:sz="4" w:space="0" w:color="auto"/>
      </w:pBdr>
      <w:shd w:val="clear" w:color="auto" w:fill="808080"/>
      <w:spacing w:before="100" w:beforeAutospacing="1" w:after="100" w:afterAutospacing="1" w:line="240" w:lineRule="auto"/>
    </w:pPr>
    <w:rPr>
      <w:rFonts w:ascii="Arial" w:hAnsi="Arial" w:cs="Arial"/>
      <w:b/>
      <w:bCs/>
      <w:sz w:val="24"/>
      <w:szCs w:val="24"/>
      <w:lang w:eastAsia="fr-FR"/>
    </w:rPr>
  </w:style>
  <w:style w:type="paragraph" w:customStyle="1" w:styleId="xl36">
    <w:name w:val="xl36"/>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color w:val="0000FF"/>
      <w:sz w:val="24"/>
      <w:szCs w:val="24"/>
      <w:lang w:eastAsia="fr-FR"/>
    </w:rPr>
  </w:style>
  <w:style w:type="paragraph" w:customStyle="1" w:styleId="xl37">
    <w:name w:val="xl37"/>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color w:val="0000FF"/>
      <w:sz w:val="24"/>
      <w:szCs w:val="24"/>
      <w:lang w:eastAsia="fr-FR"/>
    </w:rPr>
  </w:style>
  <w:style w:type="paragraph" w:customStyle="1" w:styleId="xl40">
    <w:name w:val="xl40"/>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color w:val="0000FF"/>
      <w:sz w:val="24"/>
      <w:szCs w:val="24"/>
      <w:lang w:eastAsia="fr-FR"/>
    </w:rPr>
  </w:style>
  <w:style w:type="paragraph" w:customStyle="1" w:styleId="xl41">
    <w:name w:val="xl41"/>
    <w:basedOn w:val="Normal"/>
    <w:rsid w:val="00486546"/>
    <w:pPr>
      <w:pBdr>
        <w:top w:val="single" w:sz="4" w:space="0" w:color="auto"/>
        <w:left w:val="single" w:sz="4" w:space="0" w:color="auto"/>
        <w:bottom w:val="single" w:sz="4" w:space="0" w:color="auto"/>
        <w:right w:val="single" w:sz="4" w:space="0" w:color="auto"/>
      </w:pBdr>
      <w:shd w:val="clear" w:color="auto" w:fill="808080"/>
      <w:spacing w:before="100" w:beforeAutospacing="1" w:after="100" w:afterAutospacing="1" w:line="240" w:lineRule="auto"/>
    </w:pPr>
    <w:rPr>
      <w:rFonts w:ascii="Arial" w:hAnsi="Arial" w:cs="Arial"/>
      <w:b/>
      <w:bCs/>
      <w:sz w:val="24"/>
      <w:szCs w:val="24"/>
      <w:lang w:eastAsia="fr-FR"/>
    </w:rPr>
  </w:style>
  <w:style w:type="paragraph" w:customStyle="1" w:styleId="xl42">
    <w:name w:val="xl42"/>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hAnsi="Times New Roman"/>
      <w:color w:val="0000FF"/>
      <w:sz w:val="24"/>
      <w:szCs w:val="24"/>
      <w:lang w:eastAsia="fr-FR"/>
    </w:rPr>
  </w:style>
  <w:style w:type="paragraph" w:customStyle="1" w:styleId="xl43">
    <w:name w:val="xl43"/>
    <w:basedOn w:val="Normal"/>
    <w:rsid w:val="00486546"/>
    <w:pPr>
      <w:pBdr>
        <w:top w:val="single" w:sz="4" w:space="0" w:color="auto"/>
        <w:left w:val="single" w:sz="4" w:space="0" w:color="auto"/>
        <w:bottom w:val="single" w:sz="4" w:space="0" w:color="auto"/>
        <w:right w:val="single" w:sz="4" w:space="0" w:color="auto"/>
      </w:pBdr>
      <w:shd w:val="clear" w:color="auto" w:fill="808080"/>
      <w:spacing w:before="100" w:beforeAutospacing="1" w:after="100" w:afterAutospacing="1" w:line="240" w:lineRule="auto"/>
    </w:pPr>
    <w:rPr>
      <w:rFonts w:ascii="Arial" w:hAnsi="Arial" w:cs="Arial"/>
      <w:b/>
      <w:bCs/>
      <w:sz w:val="24"/>
      <w:szCs w:val="24"/>
      <w:lang w:eastAsia="fr-FR"/>
    </w:rPr>
  </w:style>
  <w:style w:type="paragraph" w:customStyle="1" w:styleId="xl44">
    <w:name w:val="xl44"/>
    <w:basedOn w:val="Normal"/>
    <w:rsid w:val="0048654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Arial" w:hAnsi="Arial" w:cs="Arial"/>
      <w:b/>
      <w:bCs/>
      <w:sz w:val="24"/>
      <w:szCs w:val="24"/>
      <w:lang w:eastAsia="fr-FR"/>
    </w:rPr>
  </w:style>
  <w:style w:type="paragraph" w:customStyle="1" w:styleId="xl45">
    <w:name w:val="xl45"/>
    <w:basedOn w:val="Normal"/>
    <w:rsid w:val="0048654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fr-FR"/>
    </w:rPr>
  </w:style>
  <w:style w:type="paragraph" w:customStyle="1" w:styleId="xl46">
    <w:name w:val="xl46"/>
    <w:basedOn w:val="Normal"/>
    <w:rsid w:val="0048654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Times New Roman" w:hAnsi="Times New Roman"/>
      <w:b/>
      <w:bCs/>
      <w:sz w:val="24"/>
      <w:szCs w:val="24"/>
      <w:lang w:eastAsia="fr-FR"/>
    </w:rPr>
  </w:style>
  <w:style w:type="paragraph" w:customStyle="1" w:styleId="xl47">
    <w:name w:val="xl47"/>
    <w:basedOn w:val="Normal"/>
    <w:rsid w:val="0048654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hAnsi="Times New Roman"/>
      <w:color w:val="0000FF"/>
      <w:sz w:val="24"/>
      <w:szCs w:val="24"/>
      <w:lang w:eastAsia="fr-FR"/>
    </w:rPr>
  </w:style>
  <w:style w:type="paragraph" w:customStyle="1" w:styleId="xl48">
    <w:name w:val="xl48"/>
    <w:basedOn w:val="Normal"/>
    <w:rsid w:val="0048654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hAnsi="Times New Roman"/>
      <w:color w:val="0000FF"/>
      <w:sz w:val="24"/>
      <w:szCs w:val="24"/>
      <w:lang w:eastAsia="fr-FR"/>
    </w:rPr>
  </w:style>
  <w:style w:type="paragraph" w:customStyle="1" w:styleId="xl49">
    <w:name w:val="xl49"/>
    <w:basedOn w:val="Normal"/>
    <w:rsid w:val="00486546"/>
    <w:pPr>
      <w:pBdr>
        <w:top w:val="single" w:sz="4" w:space="0" w:color="auto"/>
        <w:left w:val="single" w:sz="4" w:space="0" w:color="auto"/>
        <w:bottom w:val="single" w:sz="4" w:space="0" w:color="auto"/>
        <w:right w:val="single" w:sz="4" w:space="0" w:color="auto"/>
      </w:pBdr>
      <w:shd w:val="clear" w:color="auto" w:fill="808080"/>
      <w:spacing w:before="100" w:beforeAutospacing="1" w:after="100" w:afterAutospacing="1" w:line="240" w:lineRule="auto"/>
    </w:pPr>
    <w:rPr>
      <w:rFonts w:ascii="Arial" w:hAnsi="Arial" w:cs="Arial"/>
      <w:b/>
      <w:bCs/>
      <w:sz w:val="24"/>
      <w:szCs w:val="24"/>
      <w:lang w:eastAsia="fr-FR"/>
    </w:rPr>
  </w:style>
  <w:style w:type="paragraph" w:customStyle="1" w:styleId="xl50">
    <w:name w:val="xl50"/>
    <w:basedOn w:val="Normal"/>
    <w:rsid w:val="00486546"/>
    <w:pPr>
      <w:pBdr>
        <w:top w:val="single" w:sz="4" w:space="0" w:color="auto"/>
        <w:left w:val="single" w:sz="4" w:space="0" w:color="auto"/>
        <w:bottom w:val="single" w:sz="4" w:space="0" w:color="auto"/>
        <w:right w:val="single" w:sz="4" w:space="0" w:color="auto"/>
      </w:pBdr>
      <w:shd w:val="clear" w:color="auto" w:fill="808080"/>
      <w:spacing w:before="100" w:beforeAutospacing="1" w:after="100" w:afterAutospacing="1" w:line="240" w:lineRule="auto"/>
      <w:jc w:val="center"/>
    </w:pPr>
    <w:rPr>
      <w:rFonts w:ascii="Arial" w:hAnsi="Arial" w:cs="Arial"/>
      <w:b/>
      <w:bCs/>
      <w:sz w:val="24"/>
      <w:szCs w:val="24"/>
      <w:lang w:eastAsia="fr-FR"/>
    </w:rPr>
  </w:style>
  <w:style w:type="paragraph" w:customStyle="1" w:styleId="xl51">
    <w:name w:val="xl51"/>
    <w:basedOn w:val="Normal"/>
    <w:rsid w:val="00486546"/>
    <w:pPr>
      <w:pBdr>
        <w:top w:val="single" w:sz="4" w:space="0" w:color="auto"/>
        <w:left w:val="single" w:sz="4" w:space="0" w:color="auto"/>
        <w:bottom w:val="single" w:sz="4" w:space="0" w:color="auto"/>
        <w:right w:val="single" w:sz="4" w:space="0" w:color="auto"/>
      </w:pBdr>
      <w:shd w:val="clear" w:color="auto" w:fill="808080"/>
      <w:spacing w:before="100" w:beforeAutospacing="1" w:after="100" w:afterAutospacing="1" w:line="240" w:lineRule="auto"/>
      <w:jc w:val="center"/>
    </w:pPr>
    <w:rPr>
      <w:rFonts w:ascii="Arial" w:hAnsi="Arial" w:cs="Arial"/>
      <w:b/>
      <w:bCs/>
      <w:sz w:val="24"/>
      <w:szCs w:val="24"/>
      <w:lang w:eastAsia="fr-FR"/>
    </w:rPr>
  </w:style>
  <w:style w:type="paragraph" w:customStyle="1" w:styleId="xl52">
    <w:name w:val="xl52"/>
    <w:basedOn w:val="Normal"/>
    <w:rsid w:val="00486546"/>
    <w:pPr>
      <w:pBdr>
        <w:top w:val="single" w:sz="4" w:space="0" w:color="auto"/>
        <w:left w:val="single" w:sz="4" w:space="0" w:color="auto"/>
        <w:bottom w:val="single" w:sz="4" w:space="0" w:color="auto"/>
        <w:right w:val="single" w:sz="4" w:space="0" w:color="auto"/>
      </w:pBdr>
      <w:shd w:val="clear" w:color="auto" w:fill="808080"/>
      <w:spacing w:before="100" w:beforeAutospacing="1" w:after="100" w:afterAutospacing="1" w:line="240" w:lineRule="auto"/>
      <w:jc w:val="center"/>
    </w:pPr>
    <w:rPr>
      <w:rFonts w:ascii="Arial" w:hAnsi="Arial" w:cs="Arial"/>
      <w:b/>
      <w:bCs/>
      <w:sz w:val="24"/>
      <w:szCs w:val="24"/>
      <w:lang w:eastAsia="fr-FR"/>
    </w:rPr>
  </w:style>
  <w:style w:type="paragraph" w:customStyle="1" w:styleId="xl53">
    <w:name w:val="xl53"/>
    <w:basedOn w:val="Normal"/>
    <w:rsid w:val="00486546"/>
    <w:pPr>
      <w:spacing w:before="100" w:beforeAutospacing="1" w:after="100" w:afterAutospacing="1" w:line="240" w:lineRule="auto"/>
      <w:jc w:val="center"/>
    </w:pPr>
    <w:rPr>
      <w:rFonts w:ascii="Times New Roman" w:hAnsi="Times New Roman"/>
      <w:sz w:val="24"/>
      <w:szCs w:val="24"/>
      <w:lang w:eastAsia="fr-FR"/>
    </w:rPr>
  </w:style>
  <w:style w:type="paragraph" w:customStyle="1" w:styleId="xl54">
    <w:name w:val="xl54"/>
    <w:basedOn w:val="Normal"/>
    <w:rsid w:val="00486546"/>
    <w:pPr>
      <w:spacing w:before="100" w:beforeAutospacing="1" w:after="100" w:afterAutospacing="1" w:line="240" w:lineRule="auto"/>
      <w:jc w:val="center"/>
    </w:pPr>
    <w:rPr>
      <w:rFonts w:ascii="Arial" w:hAnsi="Arial" w:cs="Arial"/>
      <w:b/>
      <w:bCs/>
      <w:sz w:val="24"/>
      <w:szCs w:val="24"/>
      <w:lang w:eastAsia="fr-FR"/>
    </w:rPr>
  </w:style>
  <w:style w:type="paragraph" w:customStyle="1" w:styleId="xl55">
    <w:name w:val="xl55"/>
    <w:basedOn w:val="Normal"/>
    <w:rsid w:val="00486546"/>
    <w:pPr>
      <w:spacing w:before="100" w:beforeAutospacing="1" w:after="100" w:afterAutospacing="1" w:line="240" w:lineRule="auto"/>
      <w:jc w:val="center"/>
    </w:pPr>
    <w:rPr>
      <w:rFonts w:ascii="Arial" w:hAnsi="Arial" w:cs="Arial"/>
      <w:b/>
      <w:bCs/>
      <w:sz w:val="24"/>
      <w:szCs w:val="24"/>
      <w:lang w:eastAsia="fr-FR"/>
    </w:rPr>
  </w:style>
  <w:style w:type="paragraph" w:customStyle="1" w:styleId="xl56">
    <w:name w:val="xl56"/>
    <w:basedOn w:val="Normal"/>
    <w:rsid w:val="00486546"/>
    <w:pPr>
      <w:spacing w:before="100" w:beforeAutospacing="1" w:after="100" w:afterAutospacing="1" w:line="240" w:lineRule="auto"/>
      <w:jc w:val="center"/>
    </w:pPr>
    <w:rPr>
      <w:rFonts w:ascii="Arial" w:hAnsi="Arial" w:cs="Arial"/>
      <w:sz w:val="24"/>
      <w:szCs w:val="24"/>
      <w:lang w:eastAsia="fr-FR"/>
    </w:rPr>
  </w:style>
  <w:style w:type="paragraph" w:customStyle="1" w:styleId="xl57">
    <w:name w:val="xl57"/>
    <w:basedOn w:val="Normal"/>
    <w:rsid w:val="00486546"/>
    <w:pPr>
      <w:spacing w:before="100" w:beforeAutospacing="1" w:after="100" w:afterAutospacing="1" w:line="240" w:lineRule="auto"/>
      <w:jc w:val="center"/>
    </w:pPr>
    <w:rPr>
      <w:rFonts w:ascii="Arial" w:hAnsi="Arial" w:cs="Arial"/>
      <w:sz w:val="24"/>
      <w:szCs w:val="24"/>
      <w:lang w:eastAsia="fr-FR"/>
    </w:rPr>
  </w:style>
  <w:style w:type="paragraph" w:customStyle="1" w:styleId="xl58">
    <w:name w:val="xl58"/>
    <w:basedOn w:val="Normal"/>
    <w:rsid w:val="00486546"/>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eastAsia="fr-FR"/>
    </w:rPr>
  </w:style>
  <w:style w:type="paragraph" w:customStyle="1" w:styleId="xl59">
    <w:name w:val="xl59"/>
    <w:basedOn w:val="Normal"/>
    <w:rsid w:val="00486546"/>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24"/>
      <w:szCs w:val="24"/>
      <w:lang w:eastAsia="fr-FR"/>
    </w:rPr>
  </w:style>
  <w:style w:type="paragraph" w:customStyle="1" w:styleId="xl60">
    <w:name w:val="xl60"/>
    <w:basedOn w:val="Normal"/>
    <w:rsid w:val="00486546"/>
    <w:pPr>
      <w:pBdr>
        <w:top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24"/>
      <w:szCs w:val="24"/>
      <w:lang w:eastAsia="fr-FR"/>
    </w:rPr>
  </w:style>
  <w:style w:type="paragraph" w:customStyle="1" w:styleId="xl61">
    <w:name w:val="xl61"/>
    <w:basedOn w:val="Normal"/>
    <w:rsid w:val="00486546"/>
    <w:pPr>
      <w:pBdr>
        <w:bottom w:val="single" w:sz="8" w:space="0" w:color="000000"/>
        <w:right w:val="single" w:sz="8" w:space="0" w:color="000000"/>
      </w:pBdr>
      <w:shd w:val="clear" w:color="auto" w:fill="C0C0C0"/>
      <w:spacing w:before="100" w:beforeAutospacing="1" w:after="100" w:afterAutospacing="1" w:line="240" w:lineRule="auto"/>
      <w:jc w:val="center"/>
    </w:pPr>
    <w:rPr>
      <w:rFonts w:ascii="Arial" w:hAnsi="Arial" w:cs="Arial"/>
      <w:b/>
      <w:bCs/>
      <w:sz w:val="24"/>
      <w:szCs w:val="24"/>
      <w:lang w:eastAsia="fr-FR"/>
    </w:rPr>
  </w:style>
  <w:style w:type="paragraph" w:customStyle="1" w:styleId="font5">
    <w:name w:val="font5"/>
    <w:basedOn w:val="Normal"/>
    <w:rsid w:val="00486546"/>
    <w:pPr>
      <w:spacing w:before="100" w:beforeAutospacing="1" w:after="100" w:afterAutospacing="1" w:line="240" w:lineRule="auto"/>
    </w:pPr>
    <w:rPr>
      <w:rFonts w:ascii="Tahoma" w:hAnsi="Tahoma" w:cs="Tahoma"/>
      <w:b/>
      <w:bCs/>
      <w:color w:val="000000"/>
      <w:sz w:val="16"/>
      <w:szCs w:val="16"/>
      <w:lang w:eastAsia="fr-FR"/>
    </w:rPr>
  </w:style>
  <w:style w:type="paragraph" w:customStyle="1" w:styleId="font6">
    <w:name w:val="font6"/>
    <w:basedOn w:val="Normal"/>
    <w:rsid w:val="00486546"/>
    <w:pPr>
      <w:spacing w:before="100" w:beforeAutospacing="1" w:after="100" w:afterAutospacing="1" w:line="240" w:lineRule="auto"/>
    </w:pPr>
    <w:rPr>
      <w:rFonts w:ascii="Tahoma" w:hAnsi="Tahoma" w:cs="Tahoma"/>
      <w:color w:val="000000"/>
      <w:sz w:val="16"/>
      <w:szCs w:val="16"/>
      <w:lang w:eastAsia="fr-FR"/>
    </w:rPr>
  </w:style>
  <w:style w:type="character" w:customStyle="1" w:styleId="Titredulivre1">
    <w:name w:val="Titre du livre1"/>
    <w:rsid w:val="00486546"/>
    <w:rPr>
      <w:rFonts w:cs="Times New Roman"/>
      <w:b/>
      <w:bCs/>
      <w:smallCaps/>
      <w:spacing w:val="5"/>
    </w:rPr>
  </w:style>
  <w:style w:type="character" w:customStyle="1" w:styleId="WW-Saisiedelutilisateur">
    <w:name w:val="WW-Saisie de l'utilisateur"/>
    <w:rsid w:val="00486546"/>
    <w:rPr>
      <w:rFonts w:ascii="Arial" w:hAnsi="Arial"/>
      <w:sz w:val="21"/>
    </w:rPr>
  </w:style>
  <w:style w:type="character" w:customStyle="1" w:styleId="CorpsdetexteCar2">
    <w:name w:val="Corps de texte Car2"/>
    <w:rsid w:val="00486546"/>
    <w:rPr>
      <w:rFonts w:ascii="Calibri" w:hAnsi="Calibri" w:cs="Times New Roman"/>
    </w:rPr>
  </w:style>
  <w:style w:type="character" w:customStyle="1" w:styleId="En-tteCar1">
    <w:name w:val="En-tête Car1"/>
    <w:uiPriority w:val="99"/>
    <w:rsid w:val="00486546"/>
    <w:rPr>
      <w:rFonts w:ascii="Calibri" w:hAnsi="Calibri" w:cs="Times New Roman"/>
    </w:rPr>
  </w:style>
  <w:style w:type="paragraph" w:customStyle="1" w:styleId="Rvision1">
    <w:name w:val="Révision1"/>
    <w:hidden/>
    <w:uiPriority w:val="99"/>
    <w:semiHidden/>
    <w:rsid w:val="00486546"/>
    <w:rPr>
      <w:rFonts w:eastAsia="Times New Roman"/>
      <w:lang w:eastAsia="en-US"/>
    </w:rPr>
  </w:style>
  <w:style w:type="paragraph" w:customStyle="1" w:styleId="Pa1">
    <w:name w:val="Pa1"/>
    <w:basedOn w:val="Normal"/>
    <w:next w:val="Normal"/>
    <w:rsid w:val="00486546"/>
    <w:pPr>
      <w:autoSpaceDE w:val="0"/>
      <w:autoSpaceDN w:val="0"/>
      <w:adjustRightInd w:val="0"/>
      <w:spacing w:after="0" w:line="181" w:lineRule="atLeast"/>
    </w:pPr>
    <w:rPr>
      <w:rFonts w:ascii="Myriad Pro" w:eastAsia="Times New Roman" w:hAnsi="Myriad Pro"/>
      <w:sz w:val="24"/>
      <w:szCs w:val="24"/>
    </w:rPr>
  </w:style>
  <w:style w:type="numbering" w:customStyle="1" w:styleId="BulletedNote">
    <w:name w:val="Bulleted Note"/>
    <w:rsid w:val="00486546"/>
    <w:pPr>
      <w:numPr>
        <w:numId w:val="25"/>
      </w:numPr>
    </w:pPr>
  </w:style>
  <w:style w:type="numbering" w:customStyle="1" w:styleId="NumericNote">
    <w:name w:val="Numeric Note"/>
    <w:rsid w:val="00486546"/>
    <w:pPr>
      <w:numPr>
        <w:numId w:val="22"/>
      </w:numPr>
    </w:pPr>
  </w:style>
  <w:style w:type="numbering" w:customStyle="1" w:styleId="NumberedNote">
    <w:name w:val="Numbered Note"/>
    <w:rsid w:val="00486546"/>
    <w:pPr>
      <w:numPr>
        <w:numId w:val="24"/>
      </w:numPr>
    </w:pPr>
  </w:style>
  <w:style w:type="numbering" w:customStyle="1" w:styleId="AlphaNote">
    <w:name w:val="Alpha Note"/>
    <w:rsid w:val="00486546"/>
    <w:pPr>
      <w:numPr>
        <w:numId w:val="23"/>
      </w:numPr>
    </w:pPr>
  </w:style>
  <w:style w:type="paragraph" w:styleId="Rvision">
    <w:name w:val="Revision"/>
    <w:hidden/>
    <w:uiPriority w:val="99"/>
    <w:semiHidden/>
    <w:rsid w:val="00486546"/>
    <w:rPr>
      <w:rFonts w:eastAsia="Times New Roman"/>
      <w:lang w:eastAsia="en-US"/>
    </w:rPr>
  </w:style>
  <w:style w:type="character" w:customStyle="1" w:styleId="CorpsdetexteCar3">
    <w:name w:val="Corps de texte Car3"/>
    <w:uiPriority w:val="99"/>
    <w:rsid w:val="00486546"/>
    <w:rPr>
      <w:rFonts w:ascii="Calibri" w:eastAsia="Times New Roman" w:hAnsi="Calibri" w:cs="Times New Roman"/>
      <w:sz w:val="20"/>
      <w:szCs w:val="20"/>
    </w:rPr>
  </w:style>
  <w:style w:type="character" w:customStyle="1" w:styleId="En-tteCar2">
    <w:name w:val="En-tête Car2"/>
    <w:uiPriority w:val="99"/>
    <w:rsid w:val="00486546"/>
    <w:rPr>
      <w:rFonts w:ascii="Calibri" w:eastAsia="Times New Roman" w:hAnsi="Calibri" w:cs="Times New Roman"/>
      <w:sz w:val="20"/>
      <w:szCs w:val="20"/>
    </w:rPr>
  </w:style>
  <w:style w:type="paragraph" w:customStyle="1" w:styleId="Paragraphedeliste11">
    <w:name w:val="Paragraphe de liste11"/>
    <w:basedOn w:val="Normal"/>
    <w:uiPriority w:val="99"/>
    <w:rsid w:val="00486546"/>
    <w:pPr>
      <w:spacing w:after="0" w:line="240" w:lineRule="auto"/>
      <w:ind w:left="720"/>
      <w:contextualSpacing/>
    </w:pPr>
    <w:rPr>
      <w:rFonts w:eastAsia="Times New Roman"/>
      <w:sz w:val="20"/>
      <w:szCs w:val="20"/>
    </w:rPr>
  </w:style>
  <w:style w:type="paragraph" w:customStyle="1" w:styleId="Style1">
    <w:name w:val="Style1"/>
    <w:basedOn w:val="Normal"/>
    <w:uiPriority w:val="99"/>
    <w:qFormat/>
    <w:rsid w:val="00486546"/>
    <w:pPr>
      <w:widowControl w:val="0"/>
      <w:autoSpaceDE w:val="0"/>
      <w:autoSpaceDN w:val="0"/>
      <w:adjustRightInd w:val="0"/>
      <w:spacing w:after="0" w:line="475" w:lineRule="exact"/>
      <w:jc w:val="center"/>
    </w:pPr>
    <w:rPr>
      <w:rFonts w:ascii="Times New Roman" w:eastAsia="Times New Roman" w:hAnsi="Times New Roman"/>
      <w:sz w:val="24"/>
      <w:szCs w:val="24"/>
      <w:lang w:eastAsia="fr-FR"/>
    </w:rPr>
  </w:style>
  <w:style w:type="paragraph" w:customStyle="1" w:styleId="Style6">
    <w:name w:val="Style6"/>
    <w:basedOn w:val="Normal"/>
    <w:uiPriority w:val="99"/>
    <w:rsid w:val="00486546"/>
    <w:pPr>
      <w:widowControl w:val="0"/>
      <w:autoSpaceDE w:val="0"/>
      <w:autoSpaceDN w:val="0"/>
      <w:adjustRightInd w:val="0"/>
      <w:spacing w:after="0" w:line="240" w:lineRule="auto"/>
    </w:pPr>
    <w:rPr>
      <w:rFonts w:ascii="Times New Roman" w:eastAsia="Times New Roman" w:hAnsi="Times New Roman"/>
      <w:sz w:val="24"/>
      <w:szCs w:val="24"/>
      <w:lang w:eastAsia="fr-FR"/>
    </w:rPr>
  </w:style>
  <w:style w:type="paragraph" w:customStyle="1" w:styleId="Style7">
    <w:name w:val="Style7"/>
    <w:basedOn w:val="Normal"/>
    <w:uiPriority w:val="99"/>
    <w:rsid w:val="00486546"/>
    <w:pPr>
      <w:widowControl w:val="0"/>
      <w:autoSpaceDE w:val="0"/>
      <w:autoSpaceDN w:val="0"/>
      <w:adjustRightInd w:val="0"/>
      <w:spacing w:after="0" w:line="240" w:lineRule="auto"/>
    </w:pPr>
    <w:rPr>
      <w:rFonts w:ascii="Times New Roman" w:eastAsia="Times New Roman" w:hAnsi="Times New Roman"/>
      <w:sz w:val="24"/>
      <w:szCs w:val="24"/>
      <w:lang w:eastAsia="fr-FR"/>
    </w:rPr>
  </w:style>
  <w:style w:type="paragraph" w:customStyle="1" w:styleId="Style8">
    <w:name w:val="Style8"/>
    <w:basedOn w:val="Normal"/>
    <w:uiPriority w:val="99"/>
    <w:rsid w:val="00486546"/>
    <w:pPr>
      <w:widowControl w:val="0"/>
      <w:autoSpaceDE w:val="0"/>
      <w:autoSpaceDN w:val="0"/>
      <w:adjustRightInd w:val="0"/>
      <w:spacing w:after="0" w:line="240" w:lineRule="auto"/>
    </w:pPr>
    <w:rPr>
      <w:rFonts w:ascii="Times New Roman" w:eastAsia="Times New Roman" w:hAnsi="Times New Roman"/>
      <w:sz w:val="24"/>
      <w:szCs w:val="24"/>
      <w:lang w:eastAsia="fr-FR"/>
    </w:rPr>
  </w:style>
  <w:style w:type="paragraph" w:customStyle="1" w:styleId="Style14">
    <w:name w:val="Style14"/>
    <w:basedOn w:val="Normal"/>
    <w:uiPriority w:val="99"/>
    <w:rsid w:val="00486546"/>
    <w:pPr>
      <w:widowControl w:val="0"/>
      <w:autoSpaceDE w:val="0"/>
      <w:autoSpaceDN w:val="0"/>
      <w:adjustRightInd w:val="0"/>
      <w:spacing w:after="0" w:line="276" w:lineRule="exact"/>
      <w:jc w:val="both"/>
    </w:pPr>
    <w:rPr>
      <w:rFonts w:ascii="Times New Roman" w:eastAsia="Times New Roman" w:hAnsi="Times New Roman"/>
      <w:sz w:val="24"/>
      <w:szCs w:val="24"/>
      <w:lang w:eastAsia="fr-FR"/>
    </w:rPr>
  </w:style>
  <w:style w:type="paragraph" w:customStyle="1" w:styleId="Style15">
    <w:name w:val="Style15"/>
    <w:basedOn w:val="Normal"/>
    <w:uiPriority w:val="99"/>
    <w:rsid w:val="00486546"/>
    <w:pPr>
      <w:widowControl w:val="0"/>
      <w:autoSpaceDE w:val="0"/>
      <w:autoSpaceDN w:val="0"/>
      <w:adjustRightInd w:val="0"/>
      <w:spacing w:after="0" w:line="240" w:lineRule="auto"/>
      <w:jc w:val="center"/>
    </w:pPr>
    <w:rPr>
      <w:rFonts w:ascii="Times New Roman" w:eastAsia="Times New Roman" w:hAnsi="Times New Roman"/>
      <w:sz w:val="24"/>
      <w:szCs w:val="24"/>
      <w:lang w:eastAsia="fr-FR"/>
    </w:rPr>
  </w:style>
  <w:style w:type="paragraph" w:customStyle="1" w:styleId="Style16">
    <w:name w:val="Style16"/>
    <w:basedOn w:val="Normal"/>
    <w:uiPriority w:val="99"/>
    <w:rsid w:val="00486546"/>
    <w:pPr>
      <w:widowControl w:val="0"/>
      <w:autoSpaceDE w:val="0"/>
      <w:autoSpaceDN w:val="0"/>
      <w:adjustRightInd w:val="0"/>
      <w:spacing w:after="0" w:line="240" w:lineRule="auto"/>
    </w:pPr>
    <w:rPr>
      <w:rFonts w:ascii="Times New Roman" w:eastAsia="Times New Roman" w:hAnsi="Times New Roman"/>
      <w:sz w:val="24"/>
      <w:szCs w:val="24"/>
      <w:lang w:eastAsia="fr-FR"/>
    </w:rPr>
  </w:style>
  <w:style w:type="paragraph" w:customStyle="1" w:styleId="Style18">
    <w:name w:val="Style18"/>
    <w:basedOn w:val="Normal"/>
    <w:uiPriority w:val="99"/>
    <w:rsid w:val="00486546"/>
    <w:pPr>
      <w:widowControl w:val="0"/>
      <w:autoSpaceDE w:val="0"/>
      <w:autoSpaceDN w:val="0"/>
      <w:adjustRightInd w:val="0"/>
      <w:spacing w:after="0" w:line="230" w:lineRule="exact"/>
      <w:ind w:firstLine="288"/>
    </w:pPr>
    <w:rPr>
      <w:rFonts w:ascii="Times New Roman" w:eastAsia="Times New Roman" w:hAnsi="Times New Roman"/>
      <w:sz w:val="24"/>
      <w:szCs w:val="24"/>
      <w:lang w:eastAsia="fr-FR"/>
    </w:rPr>
  </w:style>
  <w:style w:type="paragraph" w:customStyle="1" w:styleId="Style19">
    <w:name w:val="Style19"/>
    <w:basedOn w:val="Normal"/>
    <w:uiPriority w:val="99"/>
    <w:rsid w:val="00486546"/>
    <w:pPr>
      <w:widowControl w:val="0"/>
      <w:autoSpaceDE w:val="0"/>
      <w:autoSpaceDN w:val="0"/>
      <w:adjustRightInd w:val="0"/>
      <w:spacing w:after="0" w:line="230" w:lineRule="exact"/>
      <w:ind w:firstLine="187"/>
    </w:pPr>
    <w:rPr>
      <w:rFonts w:ascii="Times New Roman" w:eastAsia="Times New Roman" w:hAnsi="Times New Roman"/>
      <w:sz w:val="24"/>
      <w:szCs w:val="24"/>
      <w:lang w:eastAsia="fr-FR"/>
    </w:rPr>
  </w:style>
  <w:style w:type="paragraph" w:customStyle="1" w:styleId="Style24">
    <w:name w:val="Style24"/>
    <w:basedOn w:val="Normal"/>
    <w:uiPriority w:val="99"/>
    <w:rsid w:val="00486546"/>
    <w:pPr>
      <w:widowControl w:val="0"/>
      <w:autoSpaceDE w:val="0"/>
      <w:autoSpaceDN w:val="0"/>
      <w:adjustRightInd w:val="0"/>
      <w:spacing w:after="0" w:line="240" w:lineRule="auto"/>
    </w:pPr>
    <w:rPr>
      <w:rFonts w:ascii="Times New Roman" w:eastAsia="Times New Roman" w:hAnsi="Times New Roman"/>
      <w:sz w:val="24"/>
      <w:szCs w:val="24"/>
      <w:lang w:eastAsia="fr-FR"/>
    </w:rPr>
  </w:style>
  <w:style w:type="paragraph" w:customStyle="1" w:styleId="Style28">
    <w:name w:val="Style28"/>
    <w:basedOn w:val="Normal"/>
    <w:uiPriority w:val="99"/>
    <w:rsid w:val="00486546"/>
    <w:pPr>
      <w:widowControl w:val="0"/>
      <w:autoSpaceDE w:val="0"/>
      <w:autoSpaceDN w:val="0"/>
      <w:adjustRightInd w:val="0"/>
      <w:spacing w:after="0" w:line="240" w:lineRule="auto"/>
    </w:pPr>
    <w:rPr>
      <w:rFonts w:ascii="Times New Roman" w:eastAsia="Times New Roman" w:hAnsi="Times New Roman"/>
      <w:sz w:val="24"/>
      <w:szCs w:val="24"/>
      <w:lang w:eastAsia="fr-FR"/>
    </w:rPr>
  </w:style>
  <w:style w:type="paragraph" w:customStyle="1" w:styleId="Style29">
    <w:name w:val="Style29"/>
    <w:basedOn w:val="Normal"/>
    <w:uiPriority w:val="99"/>
    <w:rsid w:val="00486546"/>
    <w:pPr>
      <w:widowControl w:val="0"/>
      <w:autoSpaceDE w:val="0"/>
      <w:autoSpaceDN w:val="0"/>
      <w:adjustRightInd w:val="0"/>
      <w:spacing w:after="0" w:line="240" w:lineRule="auto"/>
    </w:pPr>
    <w:rPr>
      <w:rFonts w:ascii="Times New Roman" w:eastAsia="Times New Roman" w:hAnsi="Times New Roman"/>
      <w:sz w:val="24"/>
      <w:szCs w:val="24"/>
      <w:lang w:eastAsia="fr-FR"/>
    </w:rPr>
  </w:style>
  <w:style w:type="paragraph" w:customStyle="1" w:styleId="Style36">
    <w:name w:val="Style36"/>
    <w:basedOn w:val="Normal"/>
    <w:uiPriority w:val="99"/>
    <w:rsid w:val="00486546"/>
    <w:pPr>
      <w:widowControl w:val="0"/>
      <w:autoSpaceDE w:val="0"/>
      <w:autoSpaceDN w:val="0"/>
      <w:adjustRightInd w:val="0"/>
      <w:spacing w:after="0" w:line="274" w:lineRule="exact"/>
      <w:ind w:hanging="331"/>
      <w:jc w:val="both"/>
    </w:pPr>
    <w:rPr>
      <w:rFonts w:ascii="Times New Roman" w:eastAsia="Times New Roman" w:hAnsi="Times New Roman"/>
      <w:sz w:val="24"/>
      <w:szCs w:val="24"/>
      <w:lang w:eastAsia="fr-FR"/>
    </w:rPr>
  </w:style>
  <w:style w:type="character" w:customStyle="1" w:styleId="FontStyle54">
    <w:name w:val="Font Style54"/>
    <w:uiPriority w:val="99"/>
    <w:rsid w:val="00486546"/>
    <w:rPr>
      <w:rFonts w:ascii="Times New Roman" w:hAnsi="Times New Roman" w:cs="Times New Roman"/>
      <w:color w:val="000000"/>
      <w:sz w:val="18"/>
      <w:szCs w:val="18"/>
    </w:rPr>
  </w:style>
  <w:style w:type="character" w:customStyle="1" w:styleId="FontStyle71">
    <w:name w:val="Font Style71"/>
    <w:uiPriority w:val="99"/>
    <w:rsid w:val="00486546"/>
    <w:rPr>
      <w:rFonts w:ascii="Times New Roman" w:hAnsi="Times New Roman" w:cs="Times New Roman"/>
      <w:i/>
      <w:iCs/>
      <w:color w:val="000000"/>
      <w:sz w:val="18"/>
      <w:szCs w:val="18"/>
    </w:rPr>
  </w:style>
  <w:style w:type="character" w:customStyle="1" w:styleId="FontStyle72">
    <w:name w:val="Font Style72"/>
    <w:uiPriority w:val="99"/>
    <w:rsid w:val="00486546"/>
    <w:rPr>
      <w:rFonts w:ascii="Times New Roman" w:hAnsi="Times New Roman" w:cs="Times New Roman"/>
      <w:b/>
      <w:bCs/>
      <w:i/>
      <w:iCs/>
      <w:color w:val="000000"/>
      <w:sz w:val="18"/>
      <w:szCs w:val="18"/>
    </w:rPr>
  </w:style>
  <w:style w:type="character" w:customStyle="1" w:styleId="FontStyle73">
    <w:name w:val="Font Style73"/>
    <w:uiPriority w:val="99"/>
    <w:rsid w:val="00486546"/>
    <w:rPr>
      <w:rFonts w:ascii="Arial Narrow" w:hAnsi="Arial Narrow" w:cs="Arial Narrow"/>
      <w:i/>
      <w:iCs/>
      <w:color w:val="000000"/>
      <w:sz w:val="18"/>
      <w:szCs w:val="18"/>
    </w:rPr>
  </w:style>
  <w:style w:type="character" w:customStyle="1" w:styleId="FontStyle74">
    <w:name w:val="Font Style74"/>
    <w:uiPriority w:val="99"/>
    <w:rsid w:val="00486546"/>
    <w:rPr>
      <w:rFonts w:ascii="Times New Roman" w:hAnsi="Times New Roman" w:cs="Times New Roman"/>
      <w:b/>
      <w:bCs/>
      <w:color w:val="000000"/>
      <w:sz w:val="22"/>
      <w:szCs w:val="22"/>
    </w:rPr>
  </w:style>
  <w:style w:type="character" w:customStyle="1" w:styleId="FontStyle75">
    <w:name w:val="Font Style75"/>
    <w:uiPriority w:val="99"/>
    <w:rsid w:val="00486546"/>
    <w:rPr>
      <w:rFonts w:ascii="Times New Roman" w:hAnsi="Times New Roman" w:cs="Times New Roman"/>
      <w:b/>
      <w:bCs/>
      <w:i/>
      <w:iCs/>
      <w:color w:val="000000"/>
      <w:sz w:val="22"/>
      <w:szCs w:val="22"/>
    </w:rPr>
  </w:style>
  <w:style w:type="character" w:customStyle="1" w:styleId="FontStyle76">
    <w:name w:val="Font Style76"/>
    <w:uiPriority w:val="99"/>
    <w:rsid w:val="00486546"/>
    <w:rPr>
      <w:rFonts w:ascii="Times New Roman" w:hAnsi="Times New Roman" w:cs="Times New Roman"/>
      <w:color w:val="000000"/>
      <w:sz w:val="22"/>
      <w:szCs w:val="22"/>
    </w:rPr>
  </w:style>
  <w:style w:type="character" w:customStyle="1" w:styleId="FontStyle78">
    <w:name w:val="Font Style78"/>
    <w:uiPriority w:val="99"/>
    <w:rsid w:val="00486546"/>
    <w:rPr>
      <w:rFonts w:ascii="Times New Roman" w:hAnsi="Times New Roman" w:cs="Times New Roman"/>
      <w:b/>
      <w:bCs/>
      <w:color w:val="000000"/>
      <w:sz w:val="18"/>
      <w:szCs w:val="18"/>
    </w:rPr>
  </w:style>
  <w:style w:type="character" w:customStyle="1" w:styleId="FontStyle79">
    <w:name w:val="Font Style79"/>
    <w:uiPriority w:val="99"/>
    <w:rsid w:val="00486546"/>
    <w:rPr>
      <w:rFonts w:ascii="Times New Roman" w:hAnsi="Times New Roman" w:cs="Times New Roman"/>
      <w:color w:val="000000"/>
      <w:sz w:val="18"/>
      <w:szCs w:val="18"/>
    </w:rPr>
  </w:style>
  <w:style w:type="character" w:customStyle="1" w:styleId="SideCar1">
    <w:name w:val="Side Car1"/>
    <w:aliases w:val="T 2 Car Car"/>
    <w:uiPriority w:val="99"/>
    <w:rsid w:val="00486546"/>
    <w:rPr>
      <w:rFonts w:ascii="Calibri" w:hAnsi="Calibri" w:cs="Times New Roman"/>
      <w:b/>
      <w:bCs/>
      <w:i/>
      <w:iCs/>
      <w:sz w:val="26"/>
      <w:szCs w:val="26"/>
    </w:rPr>
  </w:style>
  <w:style w:type="paragraph" w:customStyle="1" w:styleId="CharChar1CharCharCharCarCarCarCar2">
    <w:name w:val="Char Char1 Char Char Char Car Car Car Car2"/>
    <w:basedOn w:val="Normal"/>
    <w:uiPriority w:val="99"/>
    <w:rsid w:val="00486546"/>
    <w:pPr>
      <w:spacing w:after="160" w:line="240" w:lineRule="exact"/>
    </w:pPr>
    <w:rPr>
      <w:rFonts w:ascii="Tahoma" w:eastAsia="Times New Roman" w:hAnsi="Tahoma"/>
      <w:sz w:val="20"/>
      <w:szCs w:val="20"/>
      <w:lang w:val="en-US"/>
    </w:rPr>
  </w:style>
  <w:style w:type="paragraph" w:customStyle="1" w:styleId="CharCar3">
    <w:name w:val="Char Car3"/>
    <w:basedOn w:val="Normal"/>
    <w:uiPriority w:val="99"/>
    <w:rsid w:val="00486546"/>
    <w:pPr>
      <w:spacing w:after="160" w:line="240" w:lineRule="exact"/>
    </w:pPr>
    <w:rPr>
      <w:rFonts w:ascii="Arial" w:eastAsia="Times New Roman" w:hAnsi="Arial"/>
      <w:sz w:val="20"/>
      <w:szCs w:val="20"/>
      <w:lang w:val="en-US"/>
    </w:rPr>
  </w:style>
  <w:style w:type="character" w:customStyle="1" w:styleId="CarCar332">
    <w:name w:val="Car Car332"/>
    <w:uiPriority w:val="99"/>
    <w:semiHidden/>
    <w:rsid w:val="00486546"/>
    <w:rPr>
      <w:rFonts w:cs="Times New Roman"/>
      <w:b/>
      <w:bCs/>
      <w:sz w:val="28"/>
      <w:szCs w:val="28"/>
      <w:lang w:val="fr-FR" w:eastAsia="fr-FR" w:bidi="ar-SA"/>
    </w:rPr>
  </w:style>
  <w:style w:type="paragraph" w:customStyle="1" w:styleId="Car2">
    <w:name w:val="Car2"/>
    <w:basedOn w:val="Normal"/>
    <w:uiPriority w:val="99"/>
    <w:rsid w:val="00486546"/>
    <w:pPr>
      <w:spacing w:after="160" w:line="240" w:lineRule="exact"/>
    </w:pPr>
    <w:rPr>
      <w:rFonts w:ascii="Arial" w:eastAsia="Times New Roman" w:hAnsi="Arial"/>
      <w:sz w:val="20"/>
      <w:szCs w:val="20"/>
      <w:lang w:val="en-US"/>
    </w:rPr>
  </w:style>
  <w:style w:type="paragraph" w:customStyle="1" w:styleId="CarCarCarCharChar1">
    <w:name w:val="Car Car Car Char Char1"/>
    <w:basedOn w:val="Titre2"/>
    <w:uiPriority w:val="99"/>
    <w:rsid w:val="00486546"/>
    <w:pPr>
      <w:keepLines w:val="0"/>
      <w:pageBreakBefore/>
      <w:tabs>
        <w:tab w:val="left" w:pos="850"/>
        <w:tab w:val="left" w:pos="1191"/>
        <w:tab w:val="left" w:pos="1531"/>
      </w:tabs>
      <w:spacing w:before="120" w:after="120"/>
      <w:jc w:val="center"/>
    </w:pPr>
    <w:rPr>
      <w:rFonts w:ascii="Tahoma" w:eastAsia="Times New Roman" w:hAnsi="Tahoma" w:cs="Tahoma"/>
      <w:bCs w:val="0"/>
      <w:color w:val="FFFFFF"/>
      <w:spacing w:val="20"/>
      <w:sz w:val="22"/>
      <w:szCs w:val="22"/>
      <w:lang w:val="en-GB" w:eastAsia="zh-CN"/>
    </w:rPr>
  </w:style>
  <w:style w:type="paragraph" w:customStyle="1" w:styleId="CarCarCarCarCarCarCar1">
    <w:name w:val="Car Car Car Car Car Car Car1"/>
    <w:basedOn w:val="Normal"/>
    <w:uiPriority w:val="99"/>
    <w:rsid w:val="00486546"/>
    <w:pPr>
      <w:spacing w:after="160" w:line="240" w:lineRule="exact"/>
    </w:pPr>
    <w:rPr>
      <w:rFonts w:ascii="Tahoma" w:eastAsia="Times New Roman" w:hAnsi="Tahoma"/>
      <w:sz w:val="20"/>
      <w:szCs w:val="20"/>
      <w:lang w:val="en-US"/>
    </w:rPr>
  </w:style>
  <w:style w:type="table" w:customStyle="1" w:styleId="Trameclaire-Accent12">
    <w:name w:val="Trame claire - Accent 12"/>
    <w:basedOn w:val="TableauNormal"/>
    <w:uiPriority w:val="99"/>
    <w:rsid w:val="00486546"/>
    <w:rPr>
      <w:rFonts w:eastAsia="Times New Roman" w:cs="Arial"/>
      <w:color w:val="365F91"/>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band1Vert">
      <w:rPr>
        <w:rFonts w:cs="Arial"/>
      </w:rPr>
      <w:tblPr/>
      <w:tcPr>
        <w:tcBorders>
          <w:left w:val="nil"/>
          <w:right w:val="nil"/>
          <w:insideH w:val="nil"/>
          <w:insideV w:val="nil"/>
        </w:tcBorders>
        <w:shd w:val="clear" w:color="auto" w:fill="D3DFEE"/>
      </w:tcPr>
    </w:tblStylePr>
    <w:tblStylePr w:type="band1Horz">
      <w:rPr>
        <w:rFonts w:cs="Arial"/>
      </w:rPr>
      <w:tblPr/>
      <w:tcPr>
        <w:tcBorders>
          <w:left w:val="nil"/>
          <w:right w:val="nil"/>
          <w:insideH w:val="nil"/>
          <w:insideV w:val="nil"/>
        </w:tcBorders>
        <w:shd w:val="clear" w:color="auto" w:fill="D3DFEE"/>
      </w:tcPr>
    </w:tblStylePr>
  </w:style>
  <w:style w:type="numbering" w:customStyle="1" w:styleId="NoList1">
    <w:name w:val="No List1"/>
    <w:next w:val="Aucuneliste"/>
    <w:uiPriority w:val="99"/>
    <w:semiHidden/>
    <w:unhideWhenUsed/>
    <w:rsid w:val="00486546"/>
  </w:style>
  <w:style w:type="table" w:customStyle="1" w:styleId="Trameclaire-Accent13">
    <w:name w:val="Trame claire - Accent 13"/>
    <w:basedOn w:val="TableauNormal"/>
    <w:uiPriority w:val="99"/>
    <w:rsid w:val="00486546"/>
    <w:rPr>
      <w:rFonts w:eastAsia="Times New Roman" w:cs="Arial"/>
      <w:color w:val="365F91"/>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band1Vert">
      <w:rPr>
        <w:rFonts w:cs="Arial"/>
      </w:rPr>
      <w:tblPr/>
      <w:tcPr>
        <w:tcBorders>
          <w:left w:val="nil"/>
          <w:right w:val="nil"/>
          <w:insideH w:val="nil"/>
          <w:insideV w:val="nil"/>
        </w:tcBorders>
        <w:shd w:val="clear" w:color="auto" w:fill="D3DFEE"/>
      </w:tcPr>
    </w:tblStylePr>
    <w:tblStylePr w:type="band1Horz">
      <w:rPr>
        <w:rFonts w:cs="Arial"/>
      </w:rPr>
      <w:tblPr/>
      <w:tcPr>
        <w:tcBorders>
          <w:left w:val="nil"/>
          <w:right w:val="nil"/>
          <w:insideH w:val="nil"/>
          <w:insideV w:val="nil"/>
        </w:tcBorders>
        <w:shd w:val="clear" w:color="auto" w:fill="D3DFEE"/>
      </w:tcPr>
    </w:tblStylePr>
  </w:style>
  <w:style w:type="table" w:customStyle="1" w:styleId="Trameclaire-Accent14">
    <w:name w:val="Trame claire - Accent 14"/>
    <w:basedOn w:val="TableauNormal"/>
    <w:uiPriority w:val="99"/>
    <w:rsid w:val="00486546"/>
    <w:rPr>
      <w:rFonts w:eastAsia="Times New Roman" w:cs="Arial"/>
      <w:color w:val="365F91"/>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band1Vert">
      <w:rPr>
        <w:rFonts w:cs="Arial"/>
      </w:rPr>
      <w:tblPr/>
      <w:tcPr>
        <w:tcBorders>
          <w:left w:val="nil"/>
          <w:right w:val="nil"/>
          <w:insideH w:val="nil"/>
          <w:insideV w:val="nil"/>
        </w:tcBorders>
        <w:shd w:val="clear" w:color="auto" w:fill="D3DFEE"/>
      </w:tcPr>
    </w:tblStylePr>
    <w:tblStylePr w:type="band1Horz">
      <w:rPr>
        <w:rFonts w:cs="Arial"/>
      </w:rPr>
      <w:tblPr/>
      <w:tcPr>
        <w:tcBorders>
          <w:left w:val="nil"/>
          <w:right w:val="nil"/>
          <w:insideH w:val="nil"/>
          <w:insideV w:val="nil"/>
        </w:tcBorders>
        <w:shd w:val="clear" w:color="auto" w:fill="D3DFEE"/>
      </w:tcPr>
    </w:tblStylePr>
  </w:style>
  <w:style w:type="paragraph" w:customStyle="1" w:styleId="Head2">
    <w:name w:val="Head2"/>
    <w:basedOn w:val="Normal"/>
    <w:rsid w:val="00486546"/>
    <w:pPr>
      <w:keepNext/>
      <w:suppressAutoHyphens/>
      <w:spacing w:before="200" w:after="100" w:line="240" w:lineRule="auto"/>
    </w:pPr>
    <w:rPr>
      <w:rFonts w:ascii="Times New Roman Bold" w:eastAsia="Times New Roman" w:hAnsi="Times New Roman Bold"/>
      <w:b/>
      <w:sz w:val="20"/>
      <w:szCs w:val="20"/>
    </w:rPr>
  </w:style>
  <w:style w:type="paragraph" w:customStyle="1" w:styleId="Notedebasdepage1">
    <w:name w:val="Note de bas de page1"/>
    <w:basedOn w:val="Normal"/>
    <w:next w:val="Notedebasdepage"/>
    <w:semiHidden/>
    <w:unhideWhenUsed/>
    <w:rsid w:val="00486546"/>
    <w:pPr>
      <w:spacing w:after="0" w:line="240" w:lineRule="auto"/>
    </w:pPr>
    <w:rPr>
      <w:rFonts w:eastAsia="Times New Roman"/>
      <w:sz w:val="20"/>
      <w:szCs w:val="20"/>
      <w:lang w:eastAsia="fr-FR"/>
    </w:rPr>
  </w:style>
  <w:style w:type="table" w:customStyle="1" w:styleId="Grilledutableau1">
    <w:name w:val="Grille du tableau1"/>
    <w:basedOn w:val="TableauNormal"/>
    <w:uiPriority w:val="39"/>
    <w:rsid w:val="0048654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BulletedNote1">
    <w:name w:val="Bulleted Note1"/>
    <w:rsid w:val="00486546"/>
  </w:style>
  <w:style w:type="numbering" w:customStyle="1" w:styleId="NumericNote1">
    <w:name w:val="Numeric Note1"/>
    <w:rsid w:val="00486546"/>
  </w:style>
  <w:style w:type="numbering" w:customStyle="1" w:styleId="NumberedNote1">
    <w:name w:val="Numbered Note1"/>
    <w:rsid w:val="00486546"/>
  </w:style>
  <w:style w:type="numbering" w:customStyle="1" w:styleId="AlphaNote1">
    <w:name w:val="Alpha Note1"/>
    <w:rsid w:val="00486546"/>
  </w:style>
  <w:style w:type="character" w:customStyle="1" w:styleId="apple-style-span">
    <w:name w:val="apple-style-span"/>
    <w:basedOn w:val="Policepardfaut"/>
    <w:rsid w:val="00486546"/>
  </w:style>
  <w:style w:type="paragraph" w:customStyle="1" w:styleId="ParagraphNumbering">
    <w:name w:val="Paragraph Numbering"/>
    <w:basedOn w:val="Normal"/>
    <w:link w:val="ParagraphNumberingCharChar"/>
    <w:qFormat/>
    <w:rsid w:val="00486546"/>
    <w:pPr>
      <w:numPr>
        <w:numId w:val="26"/>
      </w:numPr>
      <w:spacing w:before="100" w:beforeAutospacing="1" w:after="240" w:afterAutospacing="1" w:line="264" w:lineRule="auto"/>
    </w:pPr>
    <w:rPr>
      <w:rFonts w:ascii="Times New Roman" w:hAnsi="Times New Roman"/>
      <w:sz w:val="24"/>
      <w:szCs w:val="24"/>
      <w:lang w:val="en-US"/>
    </w:rPr>
  </w:style>
  <w:style w:type="character" w:customStyle="1" w:styleId="ParagraphNumberingCharChar">
    <w:name w:val="Paragraph Numbering Char Char"/>
    <w:link w:val="ParagraphNumbering"/>
    <w:locked/>
    <w:rsid w:val="00486546"/>
    <w:rPr>
      <w:rFonts w:ascii="Times New Roman" w:hAnsi="Times New Roman"/>
      <w:sz w:val="24"/>
      <w:szCs w:val="24"/>
      <w:lang w:val="en-US" w:eastAsia="en-US"/>
    </w:rPr>
  </w:style>
  <w:style w:type="table" w:styleId="Grilleclaire-Accent6">
    <w:name w:val="Light Grid Accent 6"/>
    <w:basedOn w:val="TableauNormal"/>
    <w:uiPriority w:val="62"/>
    <w:rsid w:val="00486546"/>
    <w:rPr>
      <w:rFonts w:asciiTheme="minorHAnsi" w:eastAsiaTheme="minorHAnsi" w:hAnsiTheme="minorHAnsi" w:cstheme="minorBidi"/>
      <w:sz w:val="22"/>
      <w:szCs w:val="22"/>
      <w:lang w:eastAsia="en-US"/>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numbering" w:customStyle="1" w:styleId="Aucuneliste1">
    <w:name w:val="Aucune liste1"/>
    <w:next w:val="Aucuneliste"/>
    <w:uiPriority w:val="99"/>
    <w:semiHidden/>
    <w:unhideWhenUsed/>
    <w:rsid w:val="00486546"/>
  </w:style>
  <w:style w:type="table" w:customStyle="1" w:styleId="Grilledutableau2">
    <w:name w:val="Grille du tableau2"/>
    <w:basedOn w:val="TableauNormal"/>
    <w:next w:val="Grilledutableau"/>
    <w:uiPriority w:val="59"/>
    <w:rsid w:val="0048654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1">
    <w:name w:val="Aucune liste11"/>
    <w:next w:val="Aucuneliste"/>
    <w:uiPriority w:val="99"/>
    <w:semiHidden/>
    <w:unhideWhenUsed/>
    <w:rsid w:val="00486546"/>
  </w:style>
  <w:style w:type="numbering" w:customStyle="1" w:styleId="Aucuneliste2">
    <w:name w:val="Aucune liste2"/>
    <w:next w:val="Aucuneliste"/>
    <w:uiPriority w:val="99"/>
    <w:semiHidden/>
    <w:unhideWhenUsed/>
    <w:rsid w:val="00486546"/>
  </w:style>
  <w:style w:type="numbering" w:customStyle="1" w:styleId="Aucuneliste3">
    <w:name w:val="Aucune liste3"/>
    <w:next w:val="Aucuneliste"/>
    <w:uiPriority w:val="99"/>
    <w:semiHidden/>
    <w:unhideWhenUsed/>
    <w:rsid w:val="00486546"/>
  </w:style>
  <w:style w:type="table" w:customStyle="1" w:styleId="Grilledutableau21">
    <w:name w:val="Grille du tableau21"/>
    <w:basedOn w:val="TableauNormal"/>
    <w:next w:val="Grilledutableau"/>
    <w:uiPriority w:val="59"/>
    <w:rsid w:val="0048654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59"/>
    <w:rsid w:val="0048654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2">
    <w:name w:val="Aucune liste12"/>
    <w:next w:val="Aucuneliste"/>
    <w:uiPriority w:val="99"/>
    <w:semiHidden/>
    <w:unhideWhenUsed/>
    <w:rsid w:val="00486546"/>
  </w:style>
  <w:style w:type="table" w:customStyle="1" w:styleId="Trameclaire-Accent111">
    <w:name w:val="Trame claire - Accent 111"/>
    <w:rsid w:val="00486546"/>
    <w:rPr>
      <w:rFonts w:cs="Arial"/>
      <w:color w:val="365F91"/>
      <w:lang w:val="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numbering" w:customStyle="1" w:styleId="BulletedNote2">
    <w:name w:val="Bulleted Note2"/>
    <w:rsid w:val="00486546"/>
    <w:pPr>
      <w:numPr>
        <w:numId w:val="29"/>
      </w:numPr>
    </w:pPr>
  </w:style>
  <w:style w:type="numbering" w:customStyle="1" w:styleId="NumericNote2">
    <w:name w:val="Numeric Note2"/>
    <w:rsid w:val="00486546"/>
    <w:pPr>
      <w:numPr>
        <w:numId w:val="27"/>
      </w:numPr>
    </w:pPr>
  </w:style>
  <w:style w:type="numbering" w:customStyle="1" w:styleId="NumberedNote2">
    <w:name w:val="Numbered Note2"/>
    <w:rsid w:val="00486546"/>
    <w:pPr>
      <w:numPr>
        <w:numId w:val="28"/>
      </w:numPr>
    </w:pPr>
  </w:style>
  <w:style w:type="numbering" w:customStyle="1" w:styleId="AlphaNote2">
    <w:name w:val="Alpha Note2"/>
    <w:rsid w:val="00486546"/>
    <w:pPr>
      <w:numPr>
        <w:numId w:val="35"/>
      </w:numPr>
    </w:pPr>
  </w:style>
  <w:style w:type="table" w:customStyle="1" w:styleId="Trameclaire-Accent121">
    <w:name w:val="Trame claire - Accent 121"/>
    <w:basedOn w:val="TableauNormal"/>
    <w:uiPriority w:val="99"/>
    <w:rsid w:val="00486546"/>
    <w:rPr>
      <w:rFonts w:eastAsia="Times New Roman" w:cs="Arial"/>
      <w:color w:val="365F91"/>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band1Vert">
      <w:rPr>
        <w:rFonts w:cs="Arial"/>
      </w:rPr>
      <w:tblPr/>
      <w:tcPr>
        <w:tcBorders>
          <w:left w:val="nil"/>
          <w:right w:val="nil"/>
          <w:insideH w:val="nil"/>
          <w:insideV w:val="nil"/>
        </w:tcBorders>
        <w:shd w:val="clear" w:color="auto" w:fill="D3DFEE"/>
      </w:tcPr>
    </w:tblStylePr>
    <w:tblStylePr w:type="band1Horz">
      <w:rPr>
        <w:rFonts w:cs="Arial"/>
      </w:rPr>
      <w:tblPr/>
      <w:tcPr>
        <w:tcBorders>
          <w:left w:val="nil"/>
          <w:right w:val="nil"/>
          <w:insideH w:val="nil"/>
          <w:insideV w:val="nil"/>
        </w:tcBorders>
        <w:shd w:val="clear" w:color="auto" w:fill="D3DFEE"/>
      </w:tcPr>
    </w:tblStylePr>
  </w:style>
  <w:style w:type="numbering" w:customStyle="1" w:styleId="NoList11">
    <w:name w:val="No List11"/>
    <w:next w:val="Aucuneliste"/>
    <w:uiPriority w:val="99"/>
    <w:semiHidden/>
    <w:unhideWhenUsed/>
    <w:rsid w:val="00486546"/>
  </w:style>
  <w:style w:type="table" w:customStyle="1" w:styleId="Trameclaire-Accent131">
    <w:name w:val="Trame claire - Accent 131"/>
    <w:basedOn w:val="TableauNormal"/>
    <w:uiPriority w:val="99"/>
    <w:rsid w:val="00486546"/>
    <w:rPr>
      <w:rFonts w:eastAsia="Times New Roman" w:cs="Arial"/>
      <w:color w:val="365F91"/>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band1Vert">
      <w:rPr>
        <w:rFonts w:cs="Arial"/>
      </w:rPr>
      <w:tblPr/>
      <w:tcPr>
        <w:tcBorders>
          <w:left w:val="nil"/>
          <w:right w:val="nil"/>
          <w:insideH w:val="nil"/>
          <w:insideV w:val="nil"/>
        </w:tcBorders>
        <w:shd w:val="clear" w:color="auto" w:fill="D3DFEE"/>
      </w:tcPr>
    </w:tblStylePr>
    <w:tblStylePr w:type="band1Horz">
      <w:rPr>
        <w:rFonts w:cs="Arial"/>
      </w:rPr>
      <w:tblPr/>
      <w:tcPr>
        <w:tcBorders>
          <w:left w:val="nil"/>
          <w:right w:val="nil"/>
          <w:insideH w:val="nil"/>
          <w:insideV w:val="nil"/>
        </w:tcBorders>
        <w:shd w:val="clear" w:color="auto" w:fill="D3DFEE"/>
      </w:tcPr>
    </w:tblStylePr>
  </w:style>
  <w:style w:type="table" w:customStyle="1" w:styleId="Trameclaire-Accent141">
    <w:name w:val="Trame claire - Accent 141"/>
    <w:basedOn w:val="TableauNormal"/>
    <w:uiPriority w:val="99"/>
    <w:rsid w:val="00486546"/>
    <w:rPr>
      <w:rFonts w:eastAsia="Times New Roman" w:cs="Arial"/>
      <w:color w:val="365F91"/>
    </w:rPr>
    <w:tblPr>
      <w:tblStyleRowBandSize w:val="1"/>
      <w:tblStyleColBandSize w:val="1"/>
      <w:tblBorders>
        <w:top w:val="single" w:sz="8" w:space="0" w:color="4F81BD"/>
        <w:bottom w:val="single" w:sz="8" w:space="0" w:color="4F81BD"/>
      </w:tblBorders>
    </w:tblPr>
    <w:tblStylePr w:type="fir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lastRow">
      <w:pPr>
        <w:spacing w:beforeLines="0" w:beforeAutospacing="0" w:afterLines="0" w:afterAutospacing="0"/>
      </w:pPr>
      <w:rPr>
        <w:rFonts w:cs="Arial"/>
      </w:rPr>
      <w:tblPr/>
      <w:tcPr>
        <w:tcBorders>
          <w:top w:val="single" w:sz="8" w:space="0" w:color="4F81BD"/>
          <w:left w:val="nil"/>
          <w:bottom w:val="single" w:sz="8" w:space="0" w:color="4F81BD"/>
          <w:right w:val="nil"/>
          <w:insideH w:val="nil"/>
          <w:insideV w:val="nil"/>
        </w:tcBorders>
      </w:tcPr>
    </w:tblStylePr>
    <w:tblStylePr w:type="band1Vert">
      <w:rPr>
        <w:rFonts w:cs="Arial"/>
      </w:rPr>
      <w:tblPr/>
      <w:tcPr>
        <w:tcBorders>
          <w:left w:val="nil"/>
          <w:right w:val="nil"/>
          <w:insideH w:val="nil"/>
          <w:insideV w:val="nil"/>
        </w:tcBorders>
        <w:shd w:val="clear" w:color="auto" w:fill="D3DFEE"/>
      </w:tcPr>
    </w:tblStylePr>
    <w:tblStylePr w:type="band1Horz">
      <w:rPr>
        <w:rFonts w:cs="Arial"/>
      </w:rPr>
      <w:tblPr/>
      <w:tcPr>
        <w:tcBorders>
          <w:left w:val="nil"/>
          <w:right w:val="nil"/>
          <w:insideH w:val="nil"/>
          <w:insideV w:val="nil"/>
        </w:tcBorders>
        <w:shd w:val="clear" w:color="auto" w:fill="D3DFEE"/>
      </w:tcPr>
    </w:tblStylePr>
  </w:style>
  <w:style w:type="table" w:customStyle="1" w:styleId="Grilledutableau11">
    <w:name w:val="Grille du tableau11"/>
    <w:basedOn w:val="TableauNormal"/>
    <w:uiPriority w:val="59"/>
    <w:rsid w:val="0048654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BulletedNote11">
    <w:name w:val="Bulleted Note11"/>
    <w:rsid w:val="00486546"/>
  </w:style>
  <w:style w:type="numbering" w:customStyle="1" w:styleId="NumericNote11">
    <w:name w:val="Numeric Note11"/>
    <w:rsid w:val="00486546"/>
  </w:style>
  <w:style w:type="numbering" w:customStyle="1" w:styleId="NumberedNote11">
    <w:name w:val="Numbered Note11"/>
    <w:rsid w:val="00486546"/>
  </w:style>
  <w:style w:type="numbering" w:customStyle="1" w:styleId="AlphaNote11">
    <w:name w:val="Alpha Note11"/>
    <w:rsid w:val="00486546"/>
  </w:style>
  <w:style w:type="table" w:customStyle="1" w:styleId="Grilleclaire-Accent61">
    <w:name w:val="Grille claire - Accent 61"/>
    <w:basedOn w:val="TableauNormal"/>
    <w:next w:val="Grilleclaire-Accent6"/>
    <w:uiPriority w:val="62"/>
    <w:rsid w:val="00486546"/>
    <w:rPr>
      <w:rFonts w:asciiTheme="minorHAnsi" w:eastAsiaTheme="minorHAnsi" w:hAnsiTheme="minorHAnsi" w:cstheme="minorBidi"/>
      <w:sz w:val="22"/>
      <w:szCs w:val="22"/>
      <w:lang w:eastAsia="en-U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w:eastAsia="Times New Roman" w:hAnsi="Times"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Times" w:eastAsia="Times New Roman" w:hAnsi="Times"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Times" w:eastAsia="Times New Roman" w:hAnsi="Times" w:cs="Times New Roman"/>
        <w:b/>
        <w:bCs/>
      </w:rPr>
    </w:tblStylePr>
    <w:tblStylePr w:type="lastCol">
      <w:rPr>
        <w:rFonts w:ascii="Times" w:eastAsia="Times New Roman" w:hAnsi="Times"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numbering" w:customStyle="1" w:styleId="Aucuneliste111">
    <w:name w:val="Aucune liste111"/>
    <w:next w:val="Aucuneliste"/>
    <w:uiPriority w:val="99"/>
    <w:semiHidden/>
    <w:unhideWhenUsed/>
    <w:rsid w:val="00486546"/>
  </w:style>
  <w:style w:type="numbering" w:customStyle="1" w:styleId="Aucuneliste21">
    <w:name w:val="Aucune liste21"/>
    <w:next w:val="Aucuneliste"/>
    <w:uiPriority w:val="99"/>
    <w:semiHidden/>
    <w:unhideWhenUsed/>
    <w:rsid w:val="00486546"/>
  </w:style>
  <w:style w:type="character" w:customStyle="1" w:styleId="apple-converted-space">
    <w:name w:val="apple-converted-space"/>
    <w:basedOn w:val="Policepardfaut"/>
    <w:rsid w:val="00486546"/>
  </w:style>
  <w:style w:type="character" w:styleId="DfinitionHTML">
    <w:name w:val="HTML Definition"/>
    <w:basedOn w:val="Policepardfaut"/>
    <w:uiPriority w:val="99"/>
    <w:semiHidden/>
    <w:unhideWhenUsed/>
    <w:rsid w:val="00486546"/>
    <w:rPr>
      <w:i/>
      <w:iCs/>
    </w:rPr>
  </w:style>
  <w:style w:type="character" w:customStyle="1" w:styleId="superscript">
    <w:name w:val="superscript"/>
    <w:basedOn w:val="Policepardfaut"/>
    <w:rsid w:val="00486546"/>
  </w:style>
  <w:style w:type="character" w:customStyle="1" w:styleId="LgendeCar">
    <w:name w:val="Légende Car"/>
    <w:aliases w:val="graphique Car,Légendetab Car, Car Car,Car Car Car Car,Légende1 Car,Légende21 Car,Légende111 Car,Car111 Car,Car Car Car Car Car Car Car Car Car111 Car,Car Car Car Car Car111 Car,Car Car Car Car111 Car,Car Car Car Car Car Car Car Car211 Car"/>
    <w:link w:val="Lgende"/>
    <w:locked/>
    <w:rsid w:val="00486546"/>
    <w:rPr>
      <w:rFonts w:ascii="Arial" w:hAnsi="Arial" w:cs="Arial"/>
      <w:b/>
      <w:bCs/>
      <w:color w:val="0000CC"/>
      <w:u w:val="single"/>
      <w:lang w:eastAsia="ar-SA"/>
    </w:rPr>
  </w:style>
  <w:style w:type="numbering" w:customStyle="1" w:styleId="Aucuneliste4">
    <w:name w:val="Aucune liste4"/>
    <w:next w:val="Aucuneliste"/>
    <w:uiPriority w:val="99"/>
    <w:semiHidden/>
    <w:unhideWhenUsed/>
    <w:rsid w:val="00486546"/>
  </w:style>
  <w:style w:type="table" w:customStyle="1" w:styleId="Grilledutableau4">
    <w:name w:val="Grille du tableau4"/>
    <w:basedOn w:val="TableauNormal"/>
    <w:next w:val="Grilledutableau"/>
    <w:uiPriority w:val="39"/>
    <w:rsid w:val="0048654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3">
    <w:name w:val="Aucune liste13"/>
    <w:next w:val="Aucuneliste"/>
    <w:uiPriority w:val="99"/>
    <w:semiHidden/>
    <w:unhideWhenUsed/>
    <w:rsid w:val="00486546"/>
  </w:style>
  <w:style w:type="numbering" w:customStyle="1" w:styleId="Aucuneliste5">
    <w:name w:val="Aucune liste5"/>
    <w:next w:val="Aucuneliste"/>
    <w:uiPriority w:val="99"/>
    <w:semiHidden/>
    <w:unhideWhenUsed/>
    <w:rsid w:val="00486546"/>
  </w:style>
  <w:style w:type="paragraph" w:customStyle="1" w:styleId="Style2">
    <w:name w:val="Style2"/>
    <w:basedOn w:val="Normal"/>
    <w:link w:val="Style2Char"/>
    <w:qFormat/>
    <w:rsid w:val="00486546"/>
    <w:pPr>
      <w:spacing w:before="120" w:after="120" w:line="360" w:lineRule="auto"/>
      <w:ind w:firstLine="709"/>
      <w:jc w:val="center"/>
    </w:pPr>
    <w:rPr>
      <w:rFonts w:ascii="Arial" w:eastAsia="Times New Roman" w:hAnsi="Arial" w:cs="Arial"/>
      <w:sz w:val="24"/>
      <w:szCs w:val="24"/>
      <w:lang w:eastAsia="fr-FR"/>
    </w:rPr>
  </w:style>
  <w:style w:type="character" w:customStyle="1" w:styleId="Style2Char">
    <w:name w:val="Style2 Char"/>
    <w:link w:val="Style2"/>
    <w:rsid w:val="00486546"/>
    <w:rPr>
      <w:rFonts w:ascii="Arial" w:eastAsia="Times New Roman" w:hAnsi="Arial" w:cs="Arial"/>
      <w:sz w:val="24"/>
      <w:szCs w:val="24"/>
    </w:rPr>
  </w:style>
  <w:style w:type="table" w:customStyle="1" w:styleId="Grilledutableau5">
    <w:name w:val="Grille du tableau5"/>
    <w:basedOn w:val="TableauNormal"/>
    <w:next w:val="Grilledutableau"/>
    <w:uiPriority w:val="39"/>
    <w:rsid w:val="004865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Policepardfaut"/>
    <w:rsid w:val="00486546"/>
  </w:style>
  <w:style w:type="character" w:customStyle="1" w:styleId="fullarticletexte1">
    <w:name w:val="fullarticletexte1"/>
    <w:rsid w:val="00486546"/>
    <w:rPr>
      <w:rFonts w:ascii="Verdana" w:hAnsi="Verdana" w:hint="default"/>
      <w:b w:val="0"/>
      <w:bCs w:val="0"/>
      <w:sz w:val="15"/>
      <w:szCs w:val="15"/>
    </w:rPr>
  </w:style>
  <w:style w:type="table" w:customStyle="1" w:styleId="Listeclaire1">
    <w:name w:val="Liste claire1"/>
    <w:basedOn w:val="TableauNormal"/>
    <w:uiPriority w:val="61"/>
    <w:rsid w:val="00486546"/>
    <w:rPr>
      <w:rFonts w:eastAsia="Times New Roman"/>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DecimalAligned">
    <w:name w:val="Decimal Aligned"/>
    <w:basedOn w:val="Normal"/>
    <w:uiPriority w:val="40"/>
    <w:qFormat/>
    <w:rsid w:val="00486546"/>
    <w:pPr>
      <w:tabs>
        <w:tab w:val="decimal" w:pos="360"/>
      </w:tabs>
      <w:jc w:val="both"/>
    </w:pPr>
    <w:rPr>
      <w:lang w:eastAsia="fr-FR"/>
    </w:rPr>
  </w:style>
  <w:style w:type="character" w:styleId="Emphaseple">
    <w:name w:val="Subtle Emphasis"/>
    <w:uiPriority w:val="19"/>
    <w:qFormat/>
    <w:rsid w:val="00486546"/>
    <w:rPr>
      <w:i/>
      <w:iCs/>
      <w:color w:val="000000"/>
    </w:rPr>
  </w:style>
  <w:style w:type="table" w:customStyle="1" w:styleId="Trameclaire-Accent112">
    <w:name w:val="Trame claire - Accent 112"/>
    <w:basedOn w:val="TableauNormal"/>
    <w:uiPriority w:val="60"/>
    <w:rsid w:val="00486546"/>
    <w:rPr>
      <w:rFonts w:eastAsia="Times New Roman"/>
      <w:color w:val="4F81BD"/>
      <w:sz w:val="22"/>
      <w:szCs w:val="22"/>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stemoyenne2-Accent1">
    <w:name w:val="Medium List 2 Accent 1"/>
    <w:basedOn w:val="TableauNormal"/>
    <w:uiPriority w:val="66"/>
    <w:rsid w:val="00486546"/>
    <w:rPr>
      <w:rFonts w:ascii="Cambria" w:eastAsia="Times New Roman" w:hAnsi="Cambria"/>
      <w:color w:val="000000"/>
      <w:sz w:val="22"/>
      <w:szCs w:val="22"/>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Tramecouleur-Accent5">
    <w:name w:val="Colorful Shading Accent 5"/>
    <w:basedOn w:val="TableauNormal"/>
    <w:uiPriority w:val="71"/>
    <w:rsid w:val="00486546"/>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Listefonce-Accent5">
    <w:name w:val="Dark List Accent 5"/>
    <w:basedOn w:val="TableauNormal"/>
    <w:uiPriority w:val="70"/>
    <w:rsid w:val="00486546"/>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Grillemoyenne1-Accent4">
    <w:name w:val="Medium Grid 1 Accent 4"/>
    <w:basedOn w:val="TableauNormal"/>
    <w:uiPriority w:val="67"/>
    <w:rsid w:val="00486546"/>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character" w:customStyle="1" w:styleId="texto11">
    <w:name w:val="texto11"/>
    <w:rsid w:val="00486546"/>
    <w:rPr>
      <w:rFonts w:ascii="Arial" w:hAnsi="Arial" w:cs="Arial" w:hint="default"/>
      <w:b w:val="0"/>
      <w:bCs w:val="0"/>
      <w:i w:val="0"/>
      <w:iCs w:val="0"/>
      <w:caps w:val="0"/>
      <w:color w:val="000000"/>
      <w:sz w:val="22"/>
      <w:szCs w:val="22"/>
    </w:rPr>
  </w:style>
  <w:style w:type="character" w:customStyle="1" w:styleId="st1">
    <w:name w:val="st1"/>
    <w:basedOn w:val="Policepardfaut"/>
    <w:rsid w:val="00486546"/>
  </w:style>
  <w:style w:type="character" w:styleId="Emphaseintense">
    <w:name w:val="Intense Emphasis"/>
    <w:uiPriority w:val="21"/>
    <w:qFormat/>
    <w:rsid w:val="00486546"/>
    <w:rPr>
      <w:b/>
      <w:bCs/>
      <w:i/>
      <w:iCs/>
      <w:color w:val="4F81BD"/>
    </w:rPr>
  </w:style>
  <w:style w:type="paragraph" w:customStyle="1" w:styleId="PNSR2">
    <w:name w:val="PNSR 2"/>
    <w:basedOn w:val="Normal"/>
    <w:next w:val="Normal"/>
    <w:autoRedefine/>
    <w:rsid w:val="00486546"/>
    <w:pPr>
      <w:spacing w:before="240" w:after="0"/>
      <w:contextualSpacing/>
      <w:jc w:val="both"/>
    </w:pPr>
    <w:rPr>
      <w:rFonts w:ascii="Arial Narrow" w:eastAsia="Times New Roman" w:hAnsi="Arial Narrow" w:cs="Arial"/>
      <w:sz w:val="24"/>
      <w:szCs w:val="24"/>
    </w:rPr>
  </w:style>
  <w:style w:type="character" w:customStyle="1" w:styleId="NormalWebCar">
    <w:name w:val="Normal (Web) Car"/>
    <w:link w:val="NormalWeb"/>
    <w:rsid w:val="00486546"/>
    <w:rPr>
      <w:rFonts w:ascii="Arial" w:eastAsia="Arial Unicode MS" w:hAnsi="Arial" w:cs="Arial"/>
    </w:rPr>
  </w:style>
  <w:style w:type="character" w:customStyle="1" w:styleId="quibbCarCar">
    <w:name w:val="quibb Car Car"/>
    <w:link w:val="quibbCar"/>
    <w:locked/>
    <w:rsid w:val="00486546"/>
    <w:rPr>
      <w:rFonts w:ascii="Times New Roman" w:eastAsia="Times New Roman" w:hAnsi="Times New Roman"/>
      <w:noProof/>
      <w:sz w:val="24"/>
      <w:szCs w:val="24"/>
    </w:rPr>
  </w:style>
  <w:style w:type="paragraph" w:customStyle="1" w:styleId="quibbCar">
    <w:name w:val="quibb Car"/>
    <w:basedOn w:val="Normal"/>
    <w:link w:val="quibbCarCar"/>
    <w:rsid w:val="00486546"/>
    <w:pPr>
      <w:spacing w:before="240" w:after="120" w:line="240" w:lineRule="auto"/>
      <w:jc w:val="both"/>
    </w:pPr>
    <w:rPr>
      <w:rFonts w:ascii="Times New Roman" w:eastAsia="Times New Roman" w:hAnsi="Times New Roman"/>
      <w:noProof/>
      <w:sz w:val="24"/>
      <w:szCs w:val="24"/>
      <w:lang w:eastAsia="fr-FR"/>
    </w:rPr>
  </w:style>
  <w:style w:type="paragraph" w:customStyle="1" w:styleId="yiv3586906490msolistparagraph">
    <w:name w:val="yiv3586906490msolistparagraph"/>
    <w:basedOn w:val="Normal"/>
    <w:rsid w:val="00486546"/>
    <w:pPr>
      <w:spacing w:before="100" w:beforeAutospacing="1" w:after="100" w:afterAutospacing="1" w:line="240" w:lineRule="auto"/>
      <w:jc w:val="both"/>
    </w:pPr>
    <w:rPr>
      <w:rFonts w:ascii="Times New Roman" w:eastAsia="Times New Roman" w:hAnsi="Times New Roman"/>
      <w:sz w:val="24"/>
      <w:szCs w:val="24"/>
      <w:lang w:eastAsia="fr-FR"/>
    </w:rPr>
  </w:style>
  <w:style w:type="paragraph" w:customStyle="1" w:styleId="yiv3586906490msonormal">
    <w:name w:val="yiv3586906490msonormal"/>
    <w:basedOn w:val="Normal"/>
    <w:rsid w:val="00486546"/>
    <w:pPr>
      <w:spacing w:before="100" w:beforeAutospacing="1" w:after="100" w:afterAutospacing="1" w:line="240" w:lineRule="auto"/>
      <w:jc w:val="both"/>
    </w:pPr>
    <w:rPr>
      <w:rFonts w:ascii="Times New Roman" w:eastAsia="Times New Roman" w:hAnsi="Times New Roman"/>
      <w:sz w:val="24"/>
      <w:szCs w:val="24"/>
      <w:lang w:eastAsia="fr-FR"/>
    </w:rPr>
  </w:style>
  <w:style w:type="character" w:customStyle="1" w:styleId="ObjetducommentaireCar1">
    <w:name w:val="Objet du commentaire Car1"/>
    <w:basedOn w:val="CommentaireCar"/>
    <w:uiPriority w:val="99"/>
    <w:semiHidden/>
    <w:rsid w:val="00486546"/>
    <w:rPr>
      <w:rFonts w:ascii="Times New Roman" w:eastAsia="Times New Roman" w:hAnsi="Times New Roman" w:cs="Times New Roman"/>
      <w:b/>
      <w:bCs/>
      <w:sz w:val="20"/>
      <w:szCs w:val="20"/>
      <w:lang w:eastAsia="fr-FR"/>
    </w:rPr>
  </w:style>
  <w:style w:type="paragraph" w:customStyle="1" w:styleId="CSD1">
    <w:name w:val="CSD1"/>
    <w:basedOn w:val="Titre2"/>
    <w:link w:val="CSD1Car"/>
    <w:qFormat/>
    <w:rsid w:val="00486546"/>
    <w:pPr>
      <w:keepNext w:val="0"/>
      <w:keepLines w:val="0"/>
      <w:spacing w:before="240"/>
      <w:jc w:val="both"/>
    </w:pPr>
    <w:rPr>
      <w:rFonts w:ascii="Times New Roman" w:eastAsia="Times New Roman" w:hAnsi="Times New Roman" w:cs="Times New Roman"/>
      <w:bCs w:val="0"/>
      <w:sz w:val="28"/>
      <w:szCs w:val="28"/>
    </w:rPr>
  </w:style>
  <w:style w:type="character" w:customStyle="1" w:styleId="CSD1Car">
    <w:name w:val="CSD1 Car"/>
    <w:link w:val="CSD1"/>
    <w:locked/>
    <w:rsid w:val="00486546"/>
    <w:rPr>
      <w:rFonts w:ascii="Times New Roman" w:eastAsia="Times New Roman" w:hAnsi="Times New Roman"/>
      <w:b/>
      <w:sz w:val="28"/>
      <w:szCs w:val="28"/>
      <w:lang w:eastAsia="en-US"/>
    </w:rPr>
  </w:style>
  <w:style w:type="paragraph" w:customStyle="1" w:styleId="planact3">
    <w:name w:val="planact3"/>
    <w:basedOn w:val="Normal"/>
    <w:qFormat/>
    <w:rsid w:val="00486546"/>
    <w:pPr>
      <w:autoSpaceDE w:val="0"/>
      <w:autoSpaceDN w:val="0"/>
      <w:adjustRightInd w:val="0"/>
      <w:spacing w:after="0" w:line="360" w:lineRule="auto"/>
      <w:jc w:val="both"/>
    </w:pPr>
    <w:rPr>
      <w:rFonts w:ascii="Times New Roman" w:hAnsi="Times New Roman"/>
      <w:b/>
      <w:bCs/>
      <w:sz w:val="24"/>
      <w:szCs w:val="24"/>
    </w:rPr>
  </w:style>
  <w:style w:type="paragraph" w:customStyle="1" w:styleId="xl131">
    <w:name w:val="xl131"/>
    <w:basedOn w:val="Normal"/>
    <w:rsid w:val="00486546"/>
    <w:pPr>
      <w:pBdr>
        <w:top w:val="single" w:sz="8"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32">
    <w:name w:val="xl132"/>
    <w:basedOn w:val="Normal"/>
    <w:rsid w:val="00486546"/>
    <w:pPr>
      <w:pBdr>
        <w:top w:val="single" w:sz="8"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33">
    <w:name w:val="xl133"/>
    <w:basedOn w:val="Normal"/>
    <w:rsid w:val="00486546"/>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olor w:val="000000"/>
      <w:sz w:val="20"/>
      <w:szCs w:val="20"/>
      <w:lang w:eastAsia="fr-FR"/>
    </w:rPr>
  </w:style>
  <w:style w:type="paragraph" w:customStyle="1" w:styleId="xl134">
    <w:name w:val="xl134"/>
    <w:basedOn w:val="Normal"/>
    <w:rsid w:val="0048654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35">
    <w:name w:val="xl135"/>
    <w:basedOn w:val="Normal"/>
    <w:rsid w:val="0048654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36">
    <w:name w:val="xl136"/>
    <w:basedOn w:val="Normal"/>
    <w:rsid w:val="00486546"/>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olor w:val="000000"/>
      <w:sz w:val="20"/>
      <w:szCs w:val="20"/>
      <w:lang w:eastAsia="fr-FR"/>
    </w:rPr>
  </w:style>
  <w:style w:type="paragraph" w:customStyle="1" w:styleId="xl137">
    <w:name w:val="xl137"/>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38">
    <w:name w:val="xl138"/>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39">
    <w:name w:val="xl139"/>
    <w:basedOn w:val="Normal"/>
    <w:rsid w:val="0048654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40">
    <w:name w:val="xl140"/>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41">
    <w:name w:val="xl141"/>
    <w:basedOn w:val="Normal"/>
    <w:rsid w:val="00486546"/>
    <w:pPr>
      <w:pBdr>
        <w:top w:val="single" w:sz="8"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42">
    <w:name w:val="xl142"/>
    <w:basedOn w:val="Normal"/>
    <w:rsid w:val="0048654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sz w:val="18"/>
      <w:szCs w:val="18"/>
      <w:lang w:eastAsia="fr-FR"/>
    </w:rPr>
  </w:style>
  <w:style w:type="paragraph" w:customStyle="1" w:styleId="xl143">
    <w:name w:val="xl143"/>
    <w:basedOn w:val="Normal"/>
    <w:rsid w:val="0048654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pPr>
    <w:rPr>
      <w:rFonts w:ascii="Times New Roman" w:eastAsia="Times New Roman" w:hAnsi="Times New Roman"/>
      <w:sz w:val="18"/>
      <w:szCs w:val="18"/>
      <w:lang w:eastAsia="fr-FR"/>
    </w:rPr>
  </w:style>
  <w:style w:type="paragraph" w:customStyle="1" w:styleId="xl144">
    <w:name w:val="xl144"/>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sz w:val="18"/>
      <w:szCs w:val="18"/>
      <w:lang w:eastAsia="fr-FR"/>
    </w:rPr>
  </w:style>
  <w:style w:type="paragraph" w:customStyle="1" w:styleId="xl145">
    <w:name w:val="xl145"/>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pPr>
    <w:rPr>
      <w:rFonts w:ascii="Times New Roman" w:eastAsia="Times New Roman" w:hAnsi="Times New Roman"/>
      <w:sz w:val="18"/>
      <w:szCs w:val="18"/>
      <w:lang w:eastAsia="fr-FR"/>
    </w:rPr>
  </w:style>
  <w:style w:type="paragraph" w:customStyle="1" w:styleId="xl146">
    <w:name w:val="xl146"/>
    <w:basedOn w:val="Normal"/>
    <w:rsid w:val="00486546"/>
    <w:pPr>
      <w:pBdr>
        <w:top w:val="single" w:sz="8"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47">
    <w:name w:val="xl147"/>
    <w:basedOn w:val="Normal"/>
    <w:rsid w:val="0048654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48">
    <w:name w:val="xl148"/>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49">
    <w:name w:val="xl149"/>
    <w:basedOn w:val="Normal"/>
    <w:rsid w:val="00486546"/>
    <w:pPr>
      <w:pBdr>
        <w:top w:val="single" w:sz="8" w:space="0" w:color="auto"/>
        <w:left w:val="single" w:sz="8" w:space="0" w:color="auto"/>
        <w:bottom w:val="single" w:sz="8" w:space="0" w:color="auto"/>
        <w:right w:val="single" w:sz="4" w:space="0" w:color="auto"/>
      </w:pBdr>
      <w:shd w:val="clear" w:color="000000" w:fill="92D050"/>
      <w:spacing w:before="100" w:beforeAutospacing="1" w:after="100" w:afterAutospacing="1" w:line="240" w:lineRule="auto"/>
      <w:jc w:val="both"/>
      <w:textAlignment w:val="center"/>
    </w:pPr>
    <w:rPr>
      <w:rFonts w:ascii="Times New Roman" w:eastAsia="Times New Roman" w:hAnsi="Times New Roman"/>
      <w:color w:val="000000"/>
      <w:sz w:val="20"/>
      <w:szCs w:val="20"/>
      <w:lang w:eastAsia="fr-FR"/>
    </w:rPr>
  </w:style>
  <w:style w:type="paragraph" w:customStyle="1" w:styleId="xl150">
    <w:name w:val="xl150"/>
    <w:basedOn w:val="Normal"/>
    <w:rsid w:val="00486546"/>
    <w:pPr>
      <w:pBdr>
        <w:top w:val="single" w:sz="8"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18"/>
      <w:szCs w:val="18"/>
      <w:lang w:eastAsia="fr-FR"/>
    </w:rPr>
  </w:style>
  <w:style w:type="paragraph" w:customStyle="1" w:styleId="xl151">
    <w:name w:val="xl151"/>
    <w:basedOn w:val="Normal"/>
    <w:rsid w:val="00486546"/>
    <w:pPr>
      <w:pBdr>
        <w:top w:val="single" w:sz="8" w:space="0" w:color="auto"/>
        <w:left w:val="single" w:sz="4" w:space="0" w:color="auto"/>
        <w:bottom w:val="single" w:sz="8"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52">
    <w:name w:val="xl152"/>
    <w:basedOn w:val="Normal"/>
    <w:rsid w:val="00486546"/>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line="240" w:lineRule="auto"/>
      <w:jc w:val="right"/>
    </w:pPr>
    <w:rPr>
      <w:rFonts w:ascii="Times New Roman" w:eastAsia="Times New Roman" w:hAnsi="Times New Roman"/>
      <w:sz w:val="20"/>
      <w:szCs w:val="20"/>
      <w:lang w:eastAsia="fr-FR"/>
    </w:rPr>
  </w:style>
  <w:style w:type="paragraph" w:customStyle="1" w:styleId="xl153">
    <w:name w:val="xl153"/>
    <w:basedOn w:val="Normal"/>
    <w:rsid w:val="0048654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sz w:val="18"/>
      <w:szCs w:val="18"/>
      <w:lang w:eastAsia="fr-FR"/>
    </w:rPr>
  </w:style>
  <w:style w:type="paragraph" w:customStyle="1" w:styleId="xl154">
    <w:name w:val="xl154"/>
    <w:basedOn w:val="Normal"/>
    <w:rsid w:val="00486546"/>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line="240" w:lineRule="auto"/>
      <w:jc w:val="right"/>
    </w:pPr>
    <w:rPr>
      <w:rFonts w:ascii="Times New Roman" w:eastAsia="Times New Roman" w:hAnsi="Times New Roman"/>
      <w:sz w:val="20"/>
      <w:szCs w:val="20"/>
      <w:lang w:eastAsia="fr-FR"/>
    </w:rPr>
  </w:style>
  <w:style w:type="paragraph" w:customStyle="1" w:styleId="xl155">
    <w:name w:val="xl155"/>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sz w:val="18"/>
      <w:szCs w:val="18"/>
      <w:lang w:eastAsia="fr-FR"/>
    </w:rPr>
  </w:style>
  <w:style w:type="paragraph" w:customStyle="1" w:styleId="xl156">
    <w:name w:val="xl156"/>
    <w:basedOn w:val="Normal"/>
    <w:rsid w:val="00486546"/>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57">
    <w:name w:val="xl157"/>
    <w:basedOn w:val="Normal"/>
    <w:rsid w:val="00486546"/>
    <w:pPr>
      <w:pBdr>
        <w:top w:val="single" w:sz="8"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Narrow" w:eastAsia="Times New Roman" w:hAnsi="Arial Narrow"/>
      <w:color w:val="000000"/>
      <w:sz w:val="20"/>
      <w:szCs w:val="20"/>
      <w:lang w:eastAsia="fr-FR"/>
    </w:rPr>
  </w:style>
  <w:style w:type="paragraph" w:customStyle="1" w:styleId="xl158">
    <w:name w:val="xl158"/>
    <w:basedOn w:val="Normal"/>
    <w:rsid w:val="0048654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Narrow" w:eastAsia="Times New Roman" w:hAnsi="Arial Narrow"/>
      <w:color w:val="000000"/>
      <w:sz w:val="20"/>
      <w:szCs w:val="20"/>
      <w:lang w:eastAsia="fr-FR"/>
    </w:rPr>
  </w:style>
  <w:style w:type="paragraph" w:customStyle="1" w:styleId="xl159">
    <w:name w:val="xl159"/>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Arial Narrow" w:eastAsia="Times New Roman" w:hAnsi="Arial Narrow"/>
      <w:color w:val="000000"/>
      <w:sz w:val="20"/>
      <w:szCs w:val="20"/>
      <w:lang w:eastAsia="fr-FR"/>
    </w:rPr>
  </w:style>
  <w:style w:type="paragraph" w:customStyle="1" w:styleId="xl160">
    <w:name w:val="xl160"/>
    <w:basedOn w:val="Normal"/>
    <w:rsid w:val="00486546"/>
    <w:pPr>
      <w:pBdr>
        <w:top w:val="single" w:sz="8"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61">
    <w:name w:val="xl161"/>
    <w:basedOn w:val="Normal"/>
    <w:rsid w:val="0048654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62">
    <w:name w:val="xl162"/>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63">
    <w:name w:val="xl163"/>
    <w:basedOn w:val="Normal"/>
    <w:rsid w:val="00486546"/>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64">
    <w:name w:val="xl164"/>
    <w:basedOn w:val="Normal"/>
    <w:rsid w:val="00486546"/>
    <w:pPr>
      <w:pBdr>
        <w:top w:val="single" w:sz="8"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Narrow" w:eastAsia="Times New Roman" w:hAnsi="Arial Narrow"/>
      <w:color w:val="000000"/>
      <w:sz w:val="20"/>
      <w:szCs w:val="20"/>
      <w:lang w:eastAsia="fr-FR"/>
    </w:rPr>
  </w:style>
  <w:style w:type="paragraph" w:customStyle="1" w:styleId="xl165">
    <w:name w:val="xl165"/>
    <w:basedOn w:val="Normal"/>
    <w:rsid w:val="00486546"/>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Garamond" w:eastAsia="Times New Roman" w:hAnsi="Garamond"/>
      <w:b/>
      <w:bCs/>
      <w:color w:val="000000"/>
      <w:sz w:val="16"/>
      <w:szCs w:val="16"/>
      <w:lang w:eastAsia="fr-FR"/>
    </w:rPr>
  </w:style>
  <w:style w:type="paragraph" w:customStyle="1" w:styleId="xl166">
    <w:name w:val="xl166"/>
    <w:basedOn w:val="Normal"/>
    <w:rsid w:val="00486546"/>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Garamond" w:eastAsia="Times New Roman" w:hAnsi="Garamond"/>
      <w:b/>
      <w:bCs/>
      <w:color w:val="000000"/>
      <w:sz w:val="16"/>
      <w:szCs w:val="16"/>
      <w:lang w:eastAsia="fr-FR"/>
    </w:rPr>
  </w:style>
  <w:style w:type="paragraph" w:customStyle="1" w:styleId="xl167">
    <w:name w:val="xl167"/>
    <w:basedOn w:val="Normal"/>
    <w:rsid w:val="00486546"/>
    <w:pPr>
      <w:pBdr>
        <w:top w:val="single" w:sz="8" w:space="0" w:color="auto"/>
        <w:left w:val="single" w:sz="8" w:space="0" w:color="auto"/>
      </w:pBdr>
      <w:spacing w:before="100" w:beforeAutospacing="1" w:after="100" w:afterAutospacing="1" w:line="240" w:lineRule="auto"/>
      <w:jc w:val="both"/>
      <w:textAlignment w:val="center"/>
    </w:pPr>
    <w:rPr>
      <w:rFonts w:ascii="Cambria" w:eastAsia="Times New Roman" w:hAnsi="Cambria"/>
      <w:b/>
      <w:bCs/>
      <w:color w:val="000000"/>
      <w:sz w:val="20"/>
      <w:szCs w:val="20"/>
      <w:lang w:eastAsia="fr-FR"/>
    </w:rPr>
  </w:style>
  <w:style w:type="paragraph" w:customStyle="1" w:styleId="xl168">
    <w:name w:val="xl168"/>
    <w:basedOn w:val="Normal"/>
    <w:rsid w:val="00486546"/>
    <w:pPr>
      <w:pBdr>
        <w:left w:val="single" w:sz="8" w:space="0" w:color="auto"/>
        <w:bottom w:val="single" w:sz="8" w:space="0" w:color="auto"/>
      </w:pBdr>
      <w:spacing w:before="100" w:beforeAutospacing="1" w:after="100" w:afterAutospacing="1" w:line="240" w:lineRule="auto"/>
      <w:jc w:val="both"/>
      <w:textAlignment w:val="center"/>
    </w:pPr>
    <w:rPr>
      <w:rFonts w:ascii="Cambria" w:eastAsia="Times New Roman" w:hAnsi="Cambria"/>
      <w:b/>
      <w:bCs/>
      <w:color w:val="000000"/>
      <w:sz w:val="20"/>
      <w:szCs w:val="20"/>
      <w:lang w:eastAsia="fr-FR"/>
    </w:rPr>
  </w:style>
  <w:style w:type="paragraph" w:customStyle="1" w:styleId="xl169">
    <w:name w:val="xl169"/>
    <w:basedOn w:val="Normal"/>
    <w:rsid w:val="00486546"/>
    <w:pPr>
      <w:pBdr>
        <w:top w:val="single" w:sz="8" w:space="0" w:color="auto"/>
        <w:left w:val="single" w:sz="8" w:space="0" w:color="auto"/>
        <w:bottom w:val="single" w:sz="8" w:space="0" w:color="auto"/>
      </w:pBdr>
      <w:shd w:val="clear" w:color="000000" w:fill="953735"/>
      <w:spacing w:before="100" w:beforeAutospacing="1" w:after="100" w:afterAutospacing="1" w:line="240" w:lineRule="auto"/>
      <w:jc w:val="center"/>
      <w:textAlignment w:val="center"/>
    </w:pPr>
    <w:rPr>
      <w:rFonts w:ascii="Times New Roman" w:eastAsia="Times New Roman" w:hAnsi="Times New Roman"/>
      <w:b/>
      <w:bCs/>
      <w:sz w:val="20"/>
      <w:szCs w:val="20"/>
      <w:lang w:eastAsia="fr-FR"/>
    </w:rPr>
  </w:style>
  <w:style w:type="paragraph" w:customStyle="1" w:styleId="xl170">
    <w:name w:val="xl170"/>
    <w:basedOn w:val="Normal"/>
    <w:rsid w:val="00486546"/>
    <w:pPr>
      <w:pBdr>
        <w:top w:val="single" w:sz="8" w:space="0" w:color="auto"/>
        <w:bottom w:val="single" w:sz="8" w:space="0" w:color="auto"/>
      </w:pBdr>
      <w:shd w:val="clear" w:color="000000" w:fill="953735"/>
      <w:spacing w:before="100" w:beforeAutospacing="1" w:after="100" w:afterAutospacing="1" w:line="240" w:lineRule="auto"/>
      <w:jc w:val="center"/>
      <w:textAlignment w:val="center"/>
    </w:pPr>
    <w:rPr>
      <w:rFonts w:ascii="Times New Roman" w:eastAsia="Times New Roman" w:hAnsi="Times New Roman"/>
      <w:b/>
      <w:bCs/>
      <w:sz w:val="20"/>
      <w:szCs w:val="20"/>
      <w:lang w:eastAsia="fr-FR"/>
    </w:rPr>
  </w:style>
  <w:style w:type="paragraph" w:customStyle="1" w:styleId="xl171">
    <w:name w:val="xl171"/>
    <w:basedOn w:val="Normal"/>
    <w:rsid w:val="00486546"/>
    <w:pPr>
      <w:pBdr>
        <w:top w:val="single" w:sz="8" w:space="0" w:color="auto"/>
        <w:bottom w:val="single" w:sz="8" w:space="0" w:color="auto"/>
        <w:right w:val="single" w:sz="8" w:space="0" w:color="auto"/>
      </w:pBdr>
      <w:shd w:val="clear" w:color="000000" w:fill="953735"/>
      <w:spacing w:before="100" w:beforeAutospacing="1" w:after="100" w:afterAutospacing="1" w:line="240" w:lineRule="auto"/>
      <w:jc w:val="center"/>
      <w:textAlignment w:val="center"/>
    </w:pPr>
    <w:rPr>
      <w:rFonts w:ascii="Times New Roman" w:eastAsia="Times New Roman" w:hAnsi="Times New Roman"/>
      <w:b/>
      <w:bCs/>
      <w:sz w:val="20"/>
      <w:szCs w:val="20"/>
      <w:lang w:eastAsia="fr-FR"/>
    </w:rPr>
  </w:style>
  <w:style w:type="paragraph" w:customStyle="1" w:styleId="xl172">
    <w:name w:val="xl172"/>
    <w:basedOn w:val="Normal"/>
    <w:rsid w:val="00486546"/>
    <w:pPr>
      <w:pBdr>
        <w:top w:val="single" w:sz="8" w:space="0" w:color="auto"/>
        <w:left w:val="single" w:sz="4" w:space="0" w:color="auto"/>
        <w:bottom w:val="single" w:sz="4"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73">
    <w:name w:val="xl173"/>
    <w:basedOn w:val="Normal"/>
    <w:rsid w:val="00486546"/>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74">
    <w:name w:val="xl174"/>
    <w:basedOn w:val="Normal"/>
    <w:rsid w:val="00486546"/>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75">
    <w:name w:val="xl175"/>
    <w:basedOn w:val="Normal"/>
    <w:rsid w:val="00486546"/>
    <w:pPr>
      <w:pBdr>
        <w:top w:val="single" w:sz="8" w:space="0" w:color="auto"/>
        <w:left w:val="single" w:sz="4"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76">
    <w:name w:val="xl176"/>
    <w:basedOn w:val="Normal"/>
    <w:rsid w:val="00486546"/>
    <w:pPr>
      <w:pBdr>
        <w:left w:val="single" w:sz="4"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77">
    <w:name w:val="xl177"/>
    <w:basedOn w:val="Normal"/>
    <w:rsid w:val="00486546"/>
    <w:pPr>
      <w:pBdr>
        <w:left w:val="single" w:sz="4" w:space="0" w:color="auto"/>
        <w:bottom w:val="single" w:sz="8"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78">
    <w:name w:val="xl178"/>
    <w:basedOn w:val="Normal"/>
    <w:rsid w:val="00486546"/>
    <w:pPr>
      <w:pBdr>
        <w:top w:val="single" w:sz="8" w:space="0" w:color="auto"/>
        <w:left w:val="single" w:sz="8" w:space="0" w:color="auto"/>
        <w:right w:val="single" w:sz="8" w:space="0" w:color="auto"/>
      </w:pBdr>
      <w:shd w:val="clear" w:color="000000" w:fill="953735"/>
      <w:spacing w:before="100" w:beforeAutospacing="1" w:after="100" w:afterAutospacing="1" w:line="240" w:lineRule="auto"/>
      <w:jc w:val="center"/>
      <w:textAlignment w:val="center"/>
    </w:pPr>
    <w:rPr>
      <w:rFonts w:ascii="Times New Roman" w:eastAsia="Times New Roman" w:hAnsi="Times New Roman"/>
      <w:b/>
      <w:bCs/>
      <w:sz w:val="20"/>
      <w:szCs w:val="20"/>
      <w:lang w:eastAsia="fr-FR"/>
    </w:rPr>
  </w:style>
  <w:style w:type="paragraph" w:customStyle="1" w:styleId="xl179">
    <w:name w:val="xl179"/>
    <w:basedOn w:val="Normal"/>
    <w:rsid w:val="00486546"/>
    <w:pPr>
      <w:pBdr>
        <w:left w:val="single" w:sz="8" w:space="0" w:color="auto"/>
        <w:right w:val="single" w:sz="8" w:space="0" w:color="auto"/>
      </w:pBdr>
      <w:shd w:val="clear" w:color="000000" w:fill="953735"/>
      <w:spacing w:before="100" w:beforeAutospacing="1" w:after="100" w:afterAutospacing="1" w:line="240" w:lineRule="auto"/>
      <w:jc w:val="center"/>
      <w:textAlignment w:val="center"/>
    </w:pPr>
    <w:rPr>
      <w:rFonts w:ascii="Times New Roman" w:eastAsia="Times New Roman" w:hAnsi="Times New Roman"/>
      <w:b/>
      <w:bCs/>
      <w:sz w:val="20"/>
      <w:szCs w:val="20"/>
      <w:lang w:eastAsia="fr-FR"/>
    </w:rPr>
  </w:style>
  <w:style w:type="paragraph" w:customStyle="1" w:styleId="xl180">
    <w:name w:val="xl180"/>
    <w:basedOn w:val="Normal"/>
    <w:rsid w:val="0048654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81">
    <w:name w:val="xl181"/>
    <w:basedOn w:val="Normal"/>
    <w:rsid w:val="00486546"/>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Garamond" w:eastAsia="Times New Roman" w:hAnsi="Garamond"/>
      <w:b/>
      <w:bCs/>
      <w:color w:val="000000"/>
      <w:sz w:val="16"/>
      <w:szCs w:val="16"/>
      <w:lang w:eastAsia="fr-FR"/>
    </w:rPr>
  </w:style>
  <w:style w:type="paragraph" w:customStyle="1" w:styleId="xl182">
    <w:name w:val="xl182"/>
    <w:basedOn w:val="Normal"/>
    <w:rsid w:val="00486546"/>
    <w:pPr>
      <w:pBdr>
        <w:left w:val="single" w:sz="8" w:space="0" w:color="auto"/>
        <w:right w:val="single" w:sz="8" w:space="0" w:color="auto"/>
      </w:pBdr>
      <w:spacing w:before="100" w:beforeAutospacing="1" w:after="100" w:afterAutospacing="1" w:line="240" w:lineRule="auto"/>
      <w:jc w:val="both"/>
      <w:textAlignment w:val="center"/>
    </w:pPr>
    <w:rPr>
      <w:rFonts w:ascii="Garamond" w:eastAsia="Times New Roman" w:hAnsi="Garamond"/>
      <w:b/>
      <w:bCs/>
      <w:color w:val="000000"/>
      <w:sz w:val="16"/>
      <w:szCs w:val="16"/>
      <w:lang w:eastAsia="fr-FR"/>
    </w:rPr>
  </w:style>
  <w:style w:type="paragraph" w:customStyle="1" w:styleId="xl183">
    <w:name w:val="xl183"/>
    <w:basedOn w:val="Normal"/>
    <w:rsid w:val="00486546"/>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Garamond" w:eastAsia="Times New Roman" w:hAnsi="Garamond"/>
      <w:b/>
      <w:bCs/>
      <w:color w:val="000000"/>
      <w:sz w:val="16"/>
      <w:szCs w:val="16"/>
      <w:lang w:eastAsia="fr-FR"/>
    </w:rPr>
  </w:style>
  <w:style w:type="paragraph" w:customStyle="1" w:styleId="xl184">
    <w:name w:val="xl184"/>
    <w:basedOn w:val="Normal"/>
    <w:rsid w:val="00486546"/>
    <w:pPr>
      <w:pBdr>
        <w:left w:val="single" w:sz="8" w:space="0" w:color="auto"/>
      </w:pBdr>
      <w:spacing w:before="100" w:beforeAutospacing="1" w:after="100" w:afterAutospacing="1" w:line="240" w:lineRule="auto"/>
      <w:jc w:val="both"/>
      <w:textAlignment w:val="center"/>
    </w:pPr>
    <w:rPr>
      <w:rFonts w:ascii="Cambria" w:eastAsia="Times New Roman" w:hAnsi="Cambria"/>
      <w:b/>
      <w:bCs/>
      <w:color w:val="000000"/>
      <w:sz w:val="20"/>
      <w:szCs w:val="20"/>
      <w:lang w:eastAsia="fr-FR"/>
    </w:rPr>
  </w:style>
  <w:style w:type="paragraph" w:customStyle="1" w:styleId="xl185">
    <w:name w:val="xl185"/>
    <w:basedOn w:val="Normal"/>
    <w:rsid w:val="00486546"/>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86">
    <w:name w:val="xl186"/>
    <w:basedOn w:val="Normal"/>
    <w:rsid w:val="00486546"/>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87">
    <w:name w:val="xl187"/>
    <w:basedOn w:val="Normal"/>
    <w:rsid w:val="00486546"/>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88">
    <w:name w:val="xl188"/>
    <w:basedOn w:val="Normal"/>
    <w:rsid w:val="00486546"/>
    <w:pPr>
      <w:pBdr>
        <w:top w:val="single" w:sz="8" w:space="0" w:color="auto"/>
        <w:left w:val="single" w:sz="4"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89">
    <w:name w:val="xl189"/>
    <w:basedOn w:val="Normal"/>
    <w:rsid w:val="00486546"/>
    <w:pPr>
      <w:pBdr>
        <w:left w:val="single" w:sz="4"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90">
    <w:name w:val="xl190"/>
    <w:basedOn w:val="Normal"/>
    <w:rsid w:val="00486546"/>
    <w:pPr>
      <w:pBdr>
        <w:left w:val="single" w:sz="4" w:space="0" w:color="auto"/>
        <w:bottom w:val="single" w:sz="8" w:space="0" w:color="auto"/>
        <w:right w:val="single" w:sz="8"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91">
    <w:name w:val="xl191"/>
    <w:basedOn w:val="Normal"/>
    <w:rsid w:val="00486546"/>
    <w:pPr>
      <w:pBdr>
        <w:top w:val="single" w:sz="8" w:space="0" w:color="000000"/>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fr-FR"/>
    </w:rPr>
  </w:style>
  <w:style w:type="paragraph" w:customStyle="1" w:styleId="xl192">
    <w:name w:val="xl192"/>
    <w:basedOn w:val="Normal"/>
    <w:rsid w:val="00486546"/>
    <w:pPr>
      <w:pBdr>
        <w:top w:val="single" w:sz="8" w:space="0" w:color="000000"/>
        <w:left w:val="single" w:sz="8" w:space="0" w:color="auto"/>
        <w:right w:val="single" w:sz="8" w:space="0" w:color="auto"/>
      </w:pBdr>
      <w:spacing w:before="100" w:beforeAutospacing="1" w:after="100" w:afterAutospacing="1" w:line="240" w:lineRule="auto"/>
      <w:jc w:val="both"/>
      <w:textAlignment w:val="center"/>
    </w:pPr>
    <w:rPr>
      <w:rFonts w:ascii="Garamond" w:eastAsia="Times New Roman" w:hAnsi="Garamond"/>
      <w:b/>
      <w:bCs/>
      <w:color w:val="000000"/>
      <w:sz w:val="16"/>
      <w:szCs w:val="16"/>
      <w:lang w:eastAsia="fr-FR"/>
    </w:rPr>
  </w:style>
  <w:style w:type="paragraph" w:customStyle="1" w:styleId="xl193">
    <w:name w:val="xl193"/>
    <w:basedOn w:val="Normal"/>
    <w:rsid w:val="00486546"/>
    <w:pPr>
      <w:pBdr>
        <w:left w:val="single" w:sz="8" w:space="0" w:color="auto"/>
        <w:bottom w:val="single" w:sz="8" w:space="0" w:color="000000"/>
        <w:right w:val="single" w:sz="8" w:space="0" w:color="auto"/>
      </w:pBdr>
      <w:shd w:val="clear" w:color="000000" w:fill="953735"/>
      <w:spacing w:before="100" w:beforeAutospacing="1" w:after="100" w:afterAutospacing="1" w:line="240" w:lineRule="auto"/>
      <w:jc w:val="center"/>
      <w:textAlignment w:val="center"/>
    </w:pPr>
    <w:rPr>
      <w:rFonts w:ascii="Times New Roman" w:eastAsia="Times New Roman" w:hAnsi="Times New Roman"/>
      <w:b/>
      <w:bCs/>
      <w:sz w:val="20"/>
      <w:szCs w:val="20"/>
      <w:lang w:eastAsia="fr-FR"/>
    </w:rPr>
  </w:style>
  <w:style w:type="paragraph" w:customStyle="1" w:styleId="xl194">
    <w:name w:val="xl194"/>
    <w:basedOn w:val="Normal"/>
    <w:rsid w:val="00486546"/>
    <w:pPr>
      <w:pBdr>
        <w:left w:val="single" w:sz="8" w:space="0" w:color="auto"/>
        <w:bottom w:val="single" w:sz="8" w:space="0" w:color="auto"/>
        <w:right w:val="single" w:sz="8" w:space="0" w:color="auto"/>
      </w:pBdr>
      <w:shd w:val="clear" w:color="000000" w:fill="953735"/>
      <w:spacing w:before="100" w:beforeAutospacing="1" w:after="100" w:afterAutospacing="1" w:line="240" w:lineRule="auto"/>
      <w:jc w:val="center"/>
      <w:textAlignment w:val="center"/>
    </w:pPr>
    <w:rPr>
      <w:rFonts w:ascii="Times New Roman" w:eastAsia="Times New Roman" w:hAnsi="Times New Roman"/>
      <w:b/>
      <w:bCs/>
      <w:sz w:val="20"/>
      <w:szCs w:val="20"/>
      <w:lang w:eastAsia="fr-FR"/>
    </w:rPr>
  </w:style>
  <w:style w:type="paragraph" w:customStyle="1" w:styleId="COMMENTAIRETBE">
    <w:name w:val="COMMENTAIRE TBE"/>
    <w:basedOn w:val="Normal"/>
    <w:qFormat/>
    <w:rsid w:val="00486546"/>
    <w:pPr>
      <w:spacing w:before="120" w:after="60" w:line="312" w:lineRule="auto"/>
      <w:jc w:val="both"/>
    </w:pPr>
    <w:rPr>
      <w:rFonts w:ascii="Arial Narrow" w:eastAsia="Times New Roman" w:hAnsi="Arial Narrow"/>
      <w:lang w:eastAsia="fr-FR"/>
    </w:rPr>
  </w:style>
  <w:style w:type="character" w:customStyle="1" w:styleId="CharAttribute25">
    <w:name w:val="CharAttribute25"/>
    <w:rsid w:val="00486546"/>
    <w:rPr>
      <w:rFonts w:ascii="Book Antiqua" w:eastAsia="Book Antiqua"/>
    </w:rPr>
  </w:style>
  <w:style w:type="numbering" w:customStyle="1" w:styleId="Style3">
    <w:name w:val="Style3"/>
    <w:uiPriority w:val="99"/>
    <w:rsid w:val="00486546"/>
    <w:pPr>
      <w:numPr>
        <w:numId w:val="33"/>
      </w:numPr>
    </w:pPr>
  </w:style>
  <w:style w:type="numbering" w:customStyle="1" w:styleId="Style4">
    <w:name w:val="Style4"/>
    <w:uiPriority w:val="99"/>
    <w:rsid w:val="00486546"/>
    <w:pPr>
      <w:numPr>
        <w:numId w:val="34"/>
      </w:numPr>
    </w:pPr>
  </w:style>
  <w:style w:type="numbering" w:customStyle="1" w:styleId="Aucuneliste6">
    <w:name w:val="Aucune liste6"/>
    <w:next w:val="Aucuneliste"/>
    <w:uiPriority w:val="99"/>
    <w:semiHidden/>
    <w:unhideWhenUsed/>
    <w:rsid w:val="00486546"/>
  </w:style>
  <w:style w:type="table" w:customStyle="1" w:styleId="Grilledutableau6">
    <w:name w:val="Grille du tableau6"/>
    <w:basedOn w:val="TableauNormal"/>
    <w:next w:val="Grilledutableau"/>
    <w:uiPriority w:val="59"/>
    <w:rsid w:val="0048654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Latin12pt">
    <w:name w:val="Normal + (Latin) 12 pt"/>
    <w:aliases w:val="Justifié"/>
    <w:basedOn w:val="Normal"/>
    <w:rsid w:val="00486546"/>
    <w:pPr>
      <w:spacing w:after="0" w:line="240" w:lineRule="auto"/>
      <w:jc w:val="both"/>
    </w:pPr>
    <w:rPr>
      <w:rFonts w:ascii="Times New Roman" w:eastAsia="Times New Roman" w:hAnsi="Times New Roman"/>
      <w:iCs/>
      <w:sz w:val="24"/>
      <w:szCs w:val="20"/>
      <w:lang w:val="fr-BE" w:eastAsia="fr-FR"/>
    </w:rPr>
  </w:style>
  <w:style w:type="table" w:customStyle="1" w:styleId="Listemoyenne2-Accent11">
    <w:name w:val="Liste moyenne 2 - Accent 11"/>
    <w:basedOn w:val="TableauNormal"/>
    <w:next w:val="Listemoyenne2-Accent1"/>
    <w:uiPriority w:val="66"/>
    <w:rsid w:val="00486546"/>
    <w:rPr>
      <w:rFonts w:ascii="Cambria" w:eastAsia="Times New Roman" w:hAnsi="Cambria"/>
      <w:color w:val="000000"/>
      <w:lang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customStyle="1" w:styleId="CharAttribute9">
    <w:name w:val="CharAttribute9"/>
    <w:rsid w:val="00486546"/>
    <w:rPr>
      <w:rFonts w:ascii="Times New Roman" w:eastAsia="Times New Roman" w:hAnsi="Times New Roman"/>
      <w:sz w:val="24"/>
    </w:rPr>
  </w:style>
  <w:style w:type="numbering" w:customStyle="1" w:styleId="Aucuneliste7">
    <w:name w:val="Aucune liste7"/>
    <w:next w:val="Aucuneliste"/>
    <w:uiPriority w:val="99"/>
    <w:semiHidden/>
    <w:unhideWhenUsed/>
    <w:rsid w:val="00486546"/>
  </w:style>
  <w:style w:type="paragraph" w:customStyle="1" w:styleId="Pa3">
    <w:name w:val="Pa3"/>
    <w:basedOn w:val="Default"/>
    <w:next w:val="Default"/>
    <w:uiPriority w:val="99"/>
    <w:rsid w:val="00B21821"/>
    <w:pPr>
      <w:spacing w:line="241" w:lineRule="atLeast"/>
    </w:pPr>
    <w:rPr>
      <w:rFonts w:ascii="Garamond" w:hAnsi="Garamond" w:cs="Times New Roman"/>
      <w:color w:val="auto"/>
    </w:rPr>
  </w:style>
  <w:style w:type="paragraph" w:customStyle="1" w:styleId="Pa2">
    <w:name w:val="Pa2"/>
    <w:basedOn w:val="Default"/>
    <w:next w:val="Default"/>
    <w:uiPriority w:val="99"/>
    <w:rsid w:val="00B21821"/>
    <w:pPr>
      <w:spacing w:line="241" w:lineRule="atLeast"/>
    </w:pPr>
    <w:rPr>
      <w:rFonts w:ascii="Avenir 55 Roman" w:eastAsiaTheme="minorHAnsi" w:hAnsi="Avenir 55 Roman" w:cstheme="minorBidi"/>
      <w:color w:val="auto"/>
      <w:lang w:eastAsia="en-US"/>
    </w:rPr>
  </w:style>
  <w:style w:type="table" w:customStyle="1" w:styleId="TableauGrille2-Accentuation11">
    <w:name w:val="Tableau Grille 2 - Accentuation 11"/>
    <w:basedOn w:val="TableauNormal"/>
    <w:uiPriority w:val="47"/>
    <w:rsid w:val="00231A0E"/>
    <w:rPr>
      <w:sz w:val="22"/>
      <w:szCs w:val="22"/>
      <w:lang w:eastAsia="en-US"/>
    </w:rPr>
    <w:tblPr>
      <w:tblStyleRowBandSize w:val="1"/>
      <w:tblStyleColBandSize w:val="1"/>
      <w:tblBorders>
        <w:top w:val="single" w:sz="2" w:space="0" w:color="95B3D7"/>
        <w:bottom w:val="single" w:sz="2" w:space="0" w:color="95B3D7"/>
        <w:insideH w:val="single" w:sz="2" w:space="0" w:color="95B3D7"/>
        <w:insideV w:val="single" w:sz="2" w:space="0" w:color="95B3D7"/>
      </w:tblBorders>
    </w:tblPr>
    <w:tblStylePr w:type="firstRow">
      <w:rPr>
        <w:b/>
        <w:bCs/>
      </w:rPr>
      <w:tblPr/>
      <w:tcPr>
        <w:tcBorders>
          <w:top w:val="nil"/>
          <w:bottom w:val="single" w:sz="12" w:space="0" w:color="95B3D7"/>
          <w:insideH w:val="nil"/>
          <w:insideV w:val="nil"/>
        </w:tcBorders>
        <w:shd w:val="clear" w:color="auto" w:fill="FFFFFF"/>
      </w:tcPr>
    </w:tblStylePr>
    <w:tblStylePr w:type="lastRow">
      <w:rPr>
        <w:b/>
        <w:bCs/>
      </w:rPr>
      <w:tblPr/>
      <w:tcPr>
        <w:tcBorders>
          <w:top w:val="double" w:sz="2" w:space="0" w:color="95B3D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lledutableau8">
    <w:name w:val="Grille du tableau8"/>
    <w:basedOn w:val="TableauNormal"/>
    <w:next w:val="Grilledutableau"/>
    <w:uiPriority w:val="59"/>
    <w:rsid w:val="00CA0DB9"/>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NDES1">
    <w:name w:val="PNDES1"/>
    <w:basedOn w:val="Titre1"/>
    <w:next w:val="Normal"/>
    <w:autoRedefine/>
    <w:qFormat/>
    <w:rsid w:val="00BC3760"/>
    <w:pPr>
      <w:keepNext/>
      <w:keepLines/>
      <w:numPr>
        <w:numId w:val="155"/>
      </w:numPr>
      <w:pBdr>
        <w:bottom w:val="none" w:sz="0" w:space="0" w:color="auto"/>
      </w:pBdr>
      <w:spacing w:after="120" w:line="276" w:lineRule="auto"/>
      <w:ind w:right="-1"/>
      <w:jc w:val="both"/>
    </w:pPr>
    <w:rPr>
      <w:rFonts w:ascii="Times New Roman" w:hAnsi="Times New Roman" w:cs="Times New Roman"/>
      <w:caps/>
      <w:sz w:val="28"/>
      <w:szCs w:val="32"/>
      <w:lang w:val="x-none" w:eastAsia="fr-FR"/>
    </w:rPr>
  </w:style>
  <w:style w:type="paragraph" w:customStyle="1" w:styleId="PNDES2">
    <w:name w:val="PNDES 2"/>
    <w:basedOn w:val="Titre2"/>
    <w:next w:val="Normal"/>
    <w:autoRedefine/>
    <w:qFormat/>
    <w:rsid w:val="00BC3760"/>
    <w:pPr>
      <w:numPr>
        <w:ilvl w:val="1"/>
        <w:numId w:val="155"/>
      </w:numPr>
      <w:spacing w:before="0" w:after="120" w:line="276" w:lineRule="auto"/>
      <w:jc w:val="both"/>
    </w:pPr>
    <w:rPr>
      <w:rFonts w:ascii="Garamond" w:eastAsia="Times New Roman" w:hAnsi="Garamond" w:cs="Times New Roman"/>
      <w:bCs w:val="0"/>
      <w:sz w:val="24"/>
      <w:szCs w:val="24"/>
      <w:lang w:val="x-none" w:eastAsia="x-none"/>
    </w:rPr>
  </w:style>
  <w:style w:type="paragraph" w:customStyle="1" w:styleId="PNDES3">
    <w:name w:val="PNDES 3"/>
    <w:basedOn w:val="Titre3"/>
    <w:next w:val="Normal"/>
    <w:autoRedefine/>
    <w:qFormat/>
    <w:rsid w:val="00BC3760"/>
    <w:pPr>
      <w:keepLines/>
      <w:numPr>
        <w:ilvl w:val="2"/>
        <w:numId w:val="155"/>
      </w:numPr>
      <w:spacing w:before="0" w:after="0"/>
    </w:pPr>
    <w:rPr>
      <w:rFonts w:ascii="Arial Narrow" w:hAnsi="Arial Narrow"/>
      <w:bCs w:val="0"/>
      <w:szCs w:val="24"/>
      <w:lang w:val="x-none" w:eastAsia="x-none"/>
    </w:rPr>
  </w:style>
  <w:style w:type="paragraph" w:customStyle="1" w:styleId="PNDES4">
    <w:name w:val="PNDES 4"/>
    <w:basedOn w:val="PNDES3"/>
    <w:qFormat/>
    <w:rsid w:val="00BC3760"/>
    <w:pPr>
      <w:numPr>
        <w:ilvl w:val="3"/>
      </w:numPr>
    </w:pPr>
    <w:rPr>
      <w:sz w:val="26"/>
    </w:rPr>
  </w:style>
  <w:style w:type="paragraph" w:customStyle="1" w:styleId="Style">
    <w:name w:val="Style"/>
    <w:uiPriority w:val="99"/>
    <w:rsid w:val="00BC3760"/>
    <w:pPr>
      <w:widowControl w:val="0"/>
      <w:autoSpaceDE w:val="0"/>
      <w:autoSpaceDN w:val="0"/>
      <w:adjustRightInd w:val="0"/>
    </w:pPr>
    <w:rPr>
      <w:rFonts w:ascii="Times New Roman" w:eastAsia="Times New Roman" w:hAnsi="Times New Roman"/>
      <w:sz w:val="24"/>
      <w:szCs w:val="24"/>
    </w:rPr>
  </w:style>
  <w:style w:type="character" w:customStyle="1" w:styleId="font251">
    <w:name w:val="font251"/>
    <w:basedOn w:val="Policepardfaut"/>
    <w:rsid w:val="00BC3760"/>
    <w:rPr>
      <w:rFonts w:ascii="Calibri" w:hAnsi="Calibri" w:hint="default"/>
      <w:b/>
      <w:bCs/>
      <w:i/>
      <w:iCs/>
      <w:strike w:val="0"/>
      <w:dstrike w:val="0"/>
      <w:color w:val="000000"/>
      <w:sz w:val="22"/>
      <w:szCs w:val="22"/>
      <w:u w:val="none"/>
      <w:effect w:val="none"/>
    </w:rPr>
  </w:style>
  <w:style w:type="paragraph" w:customStyle="1" w:styleId="AnnexIOutline1">
    <w:name w:val="Annex I Outline1"/>
    <w:basedOn w:val="Normal"/>
    <w:next w:val="Normal"/>
    <w:uiPriority w:val="9"/>
    <w:qFormat/>
    <w:rsid w:val="00BC3760"/>
    <w:pPr>
      <w:keepNext/>
      <w:keepLines/>
      <w:spacing w:before="480" w:after="0"/>
      <w:outlineLvl w:val="0"/>
    </w:pPr>
    <w:rPr>
      <w:rFonts w:ascii="Cambria" w:eastAsia="Times New Roman" w:hAnsi="Cambria"/>
      <w:b/>
      <w:bCs/>
      <w:color w:val="365F91"/>
      <w:sz w:val="28"/>
      <w:szCs w:val="28"/>
      <w:lang w:eastAsia="fr-FR"/>
    </w:rPr>
  </w:style>
  <w:style w:type="paragraph" w:customStyle="1" w:styleId="Titre21">
    <w:name w:val="Titre 21"/>
    <w:basedOn w:val="Normal"/>
    <w:next w:val="Normal"/>
    <w:uiPriority w:val="9"/>
    <w:unhideWhenUsed/>
    <w:qFormat/>
    <w:rsid w:val="00BC3760"/>
    <w:pPr>
      <w:keepNext/>
      <w:keepLines/>
      <w:spacing w:before="200" w:after="0"/>
      <w:outlineLvl w:val="1"/>
    </w:pPr>
    <w:rPr>
      <w:rFonts w:ascii="Cambria" w:eastAsia="Times New Roman" w:hAnsi="Cambria"/>
      <w:b/>
      <w:bCs/>
      <w:color w:val="4F81BD"/>
      <w:sz w:val="26"/>
      <w:szCs w:val="26"/>
      <w:lang w:eastAsia="fr-FR"/>
    </w:rPr>
  </w:style>
  <w:style w:type="paragraph" w:customStyle="1" w:styleId="Titre51">
    <w:name w:val="Titre 51"/>
    <w:basedOn w:val="Normal"/>
    <w:next w:val="Normal"/>
    <w:uiPriority w:val="9"/>
    <w:unhideWhenUsed/>
    <w:qFormat/>
    <w:rsid w:val="00BC3760"/>
    <w:pPr>
      <w:keepNext/>
      <w:keepLines/>
      <w:spacing w:before="200" w:after="0"/>
      <w:outlineLvl w:val="4"/>
    </w:pPr>
    <w:rPr>
      <w:rFonts w:ascii="Cambria" w:eastAsia="Times New Roman" w:hAnsi="Cambria"/>
      <w:color w:val="243F60"/>
      <w:lang w:eastAsia="fr-FR"/>
    </w:rPr>
  </w:style>
  <w:style w:type="paragraph" w:customStyle="1" w:styleId="Titre61">
    <w:name w:val="Titre 61"/>
    <w:basedOn w:val="Normal"/>
    <w:next w:val="Normal"/>
    <w:uiPriority w:val="9"/>
    <w:unhideWhenUsed/>
    <w:qFormat/>
    <w:rsid w:val="00BC3760"/>
    <w:pPr>
      <w:keepNext/>
      <w:keepLines/>
      <w:spacing w:before="200" w:after="0"/>
      <w:outlineLvl w:val="5"/>
    </w:pPr>
    <w:rPr>
      <w:rFonts w:ascii="Cambria" w:eastAsia="Times New Roman" w:hAnsi="Cambria"/>
      <w:i/>
      <w:iCs/>
      <w:color w:val="243F60"/>
      <w:lang w:eastAsia="fr-FR"/>
    </w:rPr>
  </w:style>
  <w:style w:type="paragraph" w:customStyle="1" w:styleId="Titre71">
    <w:name w:val="Titre 71"/>
    <w:basedOn w:val="Normal"/>
    <w:next w:val="Normal"/>
    <w:uiPriority w:val="9"/>
    <w:semiHidden/>
    <w:unhideWhenUsed/>
    <w:qFormat/>
    <w:rsid w:val="00BC3760"/>
    <w:pPr>
      <w:keepNext/>
      <w:keepLines/>
      <w:spacing w:before="200" w:after="0"/>
      <w:outlineLvl w:val="6"/>
    </w:pPr>
    <w:rPr>
      <w:rFonts w:ascii="Cambria" w:eastAsia="Times New Roman" w:hAnsi="Cambria"/>
      <w:i/>
      <w:iCs/>
      <w:color w:val="404040"/>
      <w:lang w:eastAsia="fr-FR"/>
    </w:rPr>
  </w:style>
  <w:style w:type="paragraph" w:customStyle="1" w:styleId="En-tte1">
    <w:name w:val="En-tête1"/>
    <w:basedOn w:val="Normal"/>
    <w:next w:val="En-tte"/>
    <w:uiPriority w:val="99"/>
    <w:unhideWhenUsed/>
    <w:rsid w:val="00BC3760"/>
    <w:pPr>
      <w:tabs>
        <w:tab w:val="center" w:pos="4536"/>
        <w:tab w:val="right" w:pos="9072"/>
      </w:tabs>
      <w:spacing w:after="0" w:line="240" w:lineRule="auto"/>
    </w:pPr>
    <w:rPr>
      <w:rFonts w:asciiTheme="minorHAnsi" w:eastAsiaTheme="minorHAnsi" w:hAnsiTheme="minorHAnsi" w:cstheme="minorBidi"/>
    </w:rPr>
  </w:style>
  <w:style w:type="paragraph" w:customStyle="1" w:styleId="Pieddepage1">
    <w:name w:val="Pied de page1"/>
    <w:basedOn w:val="Normal"/>
    <w:next w:val="Pieddepage"/>
    <w:uiPriority w:val="99"/>
    <w:unhideWhenUsed/>
    <w:rsid w:val="00BC3760"/>
    <w:pPr>
      <w:tabs>
        <w:tab w:val="center" w:pos="4536"/>
        <w:tab w:val="right" w:pos="9072"/>
      </w:tabs>
      <w:spacing w:after="0" w:line="240" w:lineRule="auto"/>
    </w:pPr>
    <w:rPr>
      <w:rFonts w:asciiTheme="minorHAnsi" w:eastAsiaTheme="minorHAnsi" w:hAnsiTheme="minorHAnsi" w:cstheme="minorBidi"/>
    </w:rPr>
  </w:style>
  <w:style w:type="table" w:customStyle="1" w:styleId="TableauGrille1Clair-Accentuation11">
    <w:name w:val="Tableau Grille 1 Clair - Accentuation 11"/>
    <w:basedOn w:val="TableauNormal"/>
    <w:uiPriority w:val="46"/>
    <w:rsid w:val="00BC3760"/>
    <w:rPr>
      <w:lang w:val="en-US"/>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paragraph" w:customStyle="1" w:styleId="Body">
    <w:name w:val="Body"/>
    <w:basedOn w:val="Normal"/>
    <w:uiPriority w:val="1"/>
    <w:qFormat/>
    <w:rsid w:val="00BC3760"/>
    <w:pPr>
      <w:widowControl w:val="0"/>
      <w:spacing w:after="0" w:line="240" w:lineRule="auto"/>
    </w:pPr>
    <w:rPr>
      <w:rFonts w:cstheme="minorBidi"/>
      <w:sz w:val="28"/>
      <w:szCs w:val="28"/>
      <w:lang w:val="en-US" w:eastAsia="fr-FR"/>
    </w:rPr>
  </w:style>
  <w:style w:type="paragraph" w:customStyle="1" w:styleId="Titre11">
    <w:name w:val="Titre 11"/>
    <w:basedOn w:val="Normal"/>
    <w:uiPriority w:val="1"/>
    <w:qFormat/>
    <w:rsid w:val="00BC3760"/>
    <w:pPr>
      <w:widowControl w:val="0"/>
      <w:spacing w:after="0" w:line="240" w:lineRule="auto"/>
      <w:outlineLvl w:val="1"/>
    </w:pPr>
    <w:rPr>
      <w:rFonts w:cstheme="minorBidi"/>
      <w:b/>
      <w:bCs/>
      <w:sz w:val="28"/>
      <w:szCs w:val="28"/>
      <w:lang w:val="en-US" w:eastAsia="fr-FR"/>
    </w:rPr>
  </w:style>
  <w:style w:type="paragraph" w:customStyle="1" w:styleId="Graph">
    <w:name w:val="Graph"/>
    <w:basedOn w:val="Normal"/>
    <w:qFormat/>
    <w:rsid w:val="00BC3760"/>
    <w:pPr>
      <w:spacing w:after="0" w:line="360" w:lineRule="auto"/>
      <w:jc w:val="both"/>
    </w:pPr>
    <w:rPr>
      <w:rFonts w:ascii="Sylfaen" w:eastAsia="Times New Roman" w:hAnsi="Sylfaen"/>
      <w:i/>
      <w:szCs w:val="24"/>
      <w:lang w:eastAsia="fr-FR"/>
    </w:rPr>
  </w:style>
  <w:style w:type="character" w:customStyle="1" w:styleId="longtext">
    <w:name w:val="long_text"/>
    <w:basedOn w:val="Policepardfaut"/>
    <w:rsid w:val="00BC3760"/>
  </w:style>
  <w:style w:type="character" w:customStyle="1" w:styleId="hps">
    <w:name w:val="hps"/>
    <w:basedOn w:val="Policepardfaut"/>
    <w:rsid w:val="00BC3760"/>
  </w:style>
  <w:style w:type="table" w:customStyle="1" w:styleId="Listeclaire2">
    <w:name w:val="Liste claire2"/>
    <w:basedOn w:val="TableauNormal"/>
    <w:uiPriority w:val="61"/>
    <w:rsid w:val="00BC3760"/>
    <w:pPr>
      <w:jc w:val="both"/>
    </w:pPr>
    <w:rPr>
      <w:rFonts w:ascii="Sylfaen" w:eastAsia="Times New Roman" w:hAnsi="Sylfaen"/>
      <w:sz w:val="24"/>
      <w:szCs w:val="24"/>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eclaire-Accent12">
    <w:name w:val="Liste claire - Accent 12"/>
    <w:basedOn w:val="TableauNormal"/>
    <w:uiPriority w:val="61"/>
    <w:rsid w:val="00BC3760"/>
    <w:pPr>
      <w:ind w:left="567"/>
      <w:jc w:val="both"/>
    </w:pPr>
    <w:rPr>
      <w:rFonts w:ascii="Times New Roman" w:eastAsia="Times New Roman" w:hAnsi="Times New Roman" w:cstheme="minorBidi"/>
      <w:sz w:val="24"/>
      <w:szCs w:val="28"/>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ramemoyenne11">
    <w:name w:val="Trame moyenne 11"/>
    <w:basedOn w:val="TableauNormal"/>
    <w:uiPriority w:val="63"/>
    <w:rsid w:val="00BC3760"/>
    <w:pPr>
      <w:jc w:val="both"/>
    </w:pPr>
    <w:rPr>
      <w:rFonts w:ascii="Times New Roman" w:eastAsia="Times New Roman" w:hAnsi="Times New Roman"/>
      <w:sz w:val="24"/>
      <w:szCs w:val="24"/>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Lines="0" w:beforeAutospacing="0" w:afterLines="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Lines="0" w:beforeAutospacing="0" w:afterLines="0" w:afterAutospacing="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character" w:customStyle="1" w:styleId="newsflash">
    <w:name w:val="newsflash"/>
    <w:basedOn w:val="Policepardfaut"/>
    <w:rsid w:val="00BC3760"/>
  </w:style>
  <w:style w:type="paragraph" w:customStyle="1" w:styleId="Commentaire1">
    <w:name w:val="Commentaire1"/>
    <w:basedOn w:val="Normal"/>
    <w:next w:val="Commentaire"/>
    <w:uiPriority w:val="99"/>
    <w:unhideWhenUsed/>
    <w:rsid w:val="00BC3760"/>
    <w:pPr>
      <w:spacing w:line="240" w:lineRule="auto"/>
    </w:pPr>
    <w:rPr>
      <w:rFonts w:asciiTheme="minorHAnsi" w:eastAsia="Times New Roman" w:hAnsiTheme="minorHAnsi" w:cstheme="minorBidi"/>
      <w:sz w:val="20"/>
      <w:szCs w:val="20"/>
      <w:lang w:eastAsia="fr-FR"/>
    </w:rPr>
  </w:style>
  <w:style w:type="character" w:customStyle="1" w:styleId="CommentaireCar1">
    <w:name w:val="Commentaire Car1"/>
    <w:basedOn w:val="Policepardfaut"/>
    <w:uiPriority w:val="99"/>
    <w:rsid w:val="00BC3760"/>
    <w:rPr>
      <w:sz w:val="20"/>
      <w:szCs w:val="20"/>
    </w:rPr>
  </w:style>
  <w:style w:type="paragraph" w:customStyle="1" w:styleId="Corpsdetexte1">
    <w:name w:val="Corps de texte1"/>
    <w:basedOn w:val="Normal"/>
    <w:next w:val="Corpsdetexte"/>
    <w:uiPriority w:val="99"/>
    <w:semiHidden/>
    <w:unhideWhenUsed/>
    <w:rsid w:val="00BC3760"/>
    <w:pPr>
      <w:spacing w:after="120"/>
    </w:pPr>
    <w:rPr>
      <w:rFonts w:asciiTheme="minorHAnsi" w:eastAsiaTheme="minorHAnsi" w:hAnsiTheme="minorHAnsi" w:cstheme="minorBidi"/>
    </w:rPr>
  </w:style>
  <w:style w:type="paragraph" w:customStyle="1" w:styleId="Titre20">
    <w:name w:val="Titre2"/>
    <w:basedOn w:val="Normal"/>
    <w:next w:val="Normal"/>
    <w:qFormat/>
    <w:rsid w:val="00BC3760"/>
    <w:pPr>
      <w:pBdr>
        <w:bottom w:val="single" w:sz="8" w:space="4" w:color="4F81BD"/>
      </w:pBdr>
      <w:spacing w:after="300" w:line="240" w:lineRule="auto"/>
      <w:contextualSpacing/>
    </w:pPr>
    <w:rPr>
      <w:rFonts w:ascii="Cambria" w:eastAsia="Times New Roman" w:hAnsi="Cambria"/>
      <w:color w:val="17365D"/>
      <w:spacing w:val="5"/>
      <w:kern w:val="28"/>
      <w:sz w:val="52"/>
      <w:szCs w:val="52"/>
      <w:lang w:eastAsia="fr-FR"/>
    </w:rPr>
  </w:style>
  <w:style w:type="character" w:customStyle="1" w:styleId="Lienhypertexte1">
    <w:name w:val="Lien hypertexte1"/>
    <w:basedOn w:val="Policepardfaut"/>
    <w:uiPriority w:val="99"/>
    <w:unhideWhenUsed/>
    <w:rsid w:val="00BC3760"/>
    <w:rPr>
      <w:color w:val="0000FF"/>
      <w:u w:val="single"/>
    </w:rPr>
  </w:style>
  <w:style w:type="paragraph" w:customStyle="1" w:styleId="TM11">
    <w:name w:val="TM 11"/>
    <w:basedOn w:val="Normal"/>
    <w:next w:val="Normal"/>
    <w:autoRedefine/>
    <w:uiPriority w:val="39"/>
    <w:unhideWhenUsed/>
    <w:rsid w:val="00BC3760"/>
    <w:pPr>
      <w:tabs>
        <w:tab w:val="right" w:leader="dot" w:pos="9628"/>
      </w:tabs>
      <w:spacing w:after="0" w:line="240" w:lineRule="auto"/>
    </w:pPr>
    <w:rPr>
      <w:rFonts w:ascii="Rockwell" w:eastAsia="Times New Roman" w:hAnsi="Rockwell" w:cstheme="minorBidi"/>
      <w:b/>
      <w:bCs/>
      <w:caps/>
      <w:sz w:val="24"/>
      <w:szCs w:val="24"/>
      <w:lang w:eastAsia="fr-FR"/>
    </w:rPr>
  </w:style>
  <w:style w:type="paragraph" w:customStyle="1" w:styleId="TM21">
    <w:name w:val="TM 21"/>
    <w:basedOn w:val="Normal"/>
    <w:next w:val="Normal"/>
    <w:autoRedefine/>
    <w:uiPriority w:val="39"/>
    <w:unhideWhenUsed/>
    <w:rsid w:val="00BC3760"/>
    <w:pPr>
      <w:spacing w:after="0"/>
      <w:ind w:left="220"/>
    </w:pPr>
    <w:rPr>
      <w:rFonts w:asciiTheme="minorHAnsi" w:eastAsia="Times New Roman" w:hAnsiTheme="minorHAnsi" w:cstheme="minorBidi"/>
      <w:smallCaps/>
      <w:sz w:val="20"/>
      <w:szCs w:val="20"/>
      <w:lang w:eastAsia="fr-FR"/>
    </w:rPr>
  </w:style>
  <w:style w:type="paragraph" w:customStyle="1" w:styleId="TM31">
    <w:name w:val="TM 31"/>
    <w:basedOn w:val="Normal"/>
    <w:next w:val="Normal"/>
    <w:autoRedefine/>
    <w:uiPriority w:val="39"/>
    <w:unhideWhenUsed/>
    <w:rsid w:val="00BC3760"/>
    <w:pPr>
      <w:spacing w:after="0"/>
      <w:ind w:left="440"/>
    </w:pPr>
    <w:rPr>
      <w:rFonts w:asciiTheme="minorHAnsi" w:eastAsia="Times New Roman" w:hAnsiTheme="minorHAnsi" w:cstheme="minorBidi"/>
      <w:i/>
      <w:iCs/>
      <w:sz w:val="20"/>
      <w:szCs w:val="20"/>
      <w:lang w:eastAsia="fr-FR"/>
    </w:rPr>
  </w:style>
  <w:style w:type="paragraph" w:customStyle="1" w:styleId="TM41">
    <w:name w:val="TM 41"/>
    <w:basedOn w:val="Normal"/>
    <w:next w:val="Normal"/>
    <w:autoRedefine/>
    <w:uiPriority w:val="39"/>
    <w:unhideWhenUsed/>
    <w:rsid w:val="00BC3760"/>
    <w:pPr>
      <w:spacing w:after="0"/>
      <w:ind w:left="660"/>
    </w:pPr>
    <w:rPr>
      <w:rFonts w:asciiTheme="minorHAnsi" w:eastAsia="Times New Roman" w:hAnsiTheme="minorHAnsi" w:cstheme="minorBidi"/>
      <w:sz w:val="18"/>
      <w:szCs w:val="18"/>
      <w:lang w:eastAsia="fr-FR"/>
    </w:rPr>
  </w:style>
  <w:style w:type="paragraph" w:customStyle="1" w:styleId="TM51">
    <w:name w:val="TM 51"/>
    <w:basedOn w:val="Normal"/>
    <w:next w:val="Normal"/>
    <w:autoRedefine/>
    <w:uiPriority w:val="39"/>
    <w:unhideWhenUsed/>
    <w:rsid w:val="00BC3760"/>
    <w:pPr>
      <w:spacing w:after="0"/>
      <w:ind w:left="880"/>
    </w:pPr>
    <w:rPr>
      <w:rFonts w:asciiTheme="minorHAnsi" w:eastAsia="Times New Roman" w:hAnsiTheme="minorHAnsi" w:cstheme="minorBidi"/>
      <w:sz w:val="18"/>
      <w:szCs w:val="18"/>
      <w:lang w:eastAsia="fr-FR"/>
    </w:rPr>
  </w:style>
  <w:style w:type="paragraph" w:customStyle="1" w:styleId="TM61">
    <w:name w:val="TM 61"/>
    <w:basedOn w:val="Normal"/>
    <w:next w:val="Normal"/>
    <w:autoRedefine/>
    <w:uiPriority w:val="39"/>
    <w:unhideWhenUsed/>
    <w:rsid w:val="00BC3760"/>
    <w:pPr>
      <w:spacing w:after="0"/>
      <w:ind w:left="1100"/>
    </w:pPr>
    <w:rPr>
      <w:rFonts w:asciiTheme="minorHAnsi" w:eastAsia="Times New Roman" w:hAnsiTheme="minorHAnsi" w:cstheme="minorBidi"/>
      <w:sz w:val="18"/>
      <w:szCs w:val="18"/>
      <w:lang w:eastAsia="fr-FR"/>
    </w:rPr>
  </w:style>
  <w:style w:type="paragraph" w:customStyle="1" w:styleId="TM71">
    <w:name w:val="TM 71"/>
    <w:basedOn w:val="Normal"/>
    <w:next w:val="Normal"/>
    <w:autoRedefine/>
    <w:uiPriority w:val="39"/>
    <w:unhideWhenUsed/>
    <w:rsid w:val="00BC3760"/>
    <w:pPr>
      <w:spacing w:after="0"/>
      <w:ind w:left="1320"/>
    </w:pPr>
    <w:rPr>
      <w:rFonts w:asciiTheme="minorHAnsi" w:eastAsia="Times New Roman" w:hAnsiTheme="minorHAnsi" w:cstheme="minorBidi"/>
      <w:sz w:val="18"/>
      <w:szCs w:val="18"/>
      <w:lang w:eastAsia="fr-FR"/>
    </w:rPr>
  </w:style>
  <w:style w:type="paragraph" w:customStyle="1" w:styleId="TM81">
    <w:name w:val="TM 81"/>
    <w:basedOn w:val="Normal"/>
    <w:next w:val="Normal"/>
    <w:autoRedefine/>
    <w:uiPriority w:val="39"/>
    <w:unhideWhenUsed/>
    <w:rsid w:val="00BC3760"/>
    <w:pPr>
      <w:spacing w:after="0"/>
      <w:ind w:left="1540"/>
    </w:pPr>
    <w:rPr>
      <w:rFonts w:asciiTheme="minorHAnsi" w:eastAsia="Times New Roman" w:hAnsiTheme="minorHAnsi" w:cstheme="minorBidi"/>
      <w:sz w:val="18"/>
      <w:szCs w:val="18"/>
      <w:lang w:eastAsia="fr-FR"/>
    </w:rPr>
  </w:style>
  <w:style w:type="paragraph" w:customStyle="1" w:styleId="TM91">
    <w:name w:val="TM 91"/>
    <w:basedOn w:val="Normal"/>
    <w:next w:val="Normal"/>
    <w:autoRedefine/>
    <w:uiPriority w:val="39"/>
    <w:unhideWhenUsed/>
    <w:rsid w:val="00BC3760"/>
    <w:pPr>
      <w:spacing w:after="0"/>
      <w:ind w:left="1760"/>
    </w:pPr>
    <w:rPr>
      <w:rFonts w:asciiTheme="minorHAnsi" w:eastAsia="Times New Roman" w:hAnsiTheme="minorHAnsi" w:cstheme="minorBidi"/>
      <w:sz w:val="18"/>
      <w:szCs w:val="18"/>
      <w:lang w:eastAsia="fr-FR"/>
    </w:rPr>
  </w:style>
  <w:style w:type="paragraph" w:customStyle="1" w:styleId="Objetducommentaire1">
    <w:name w:val="Objet du commentaire1"/>
    <w:basedOn w:val="Commentaire"/>
    <w:next w:val="Commentaire"/>
    <w:uiPriority w:val="99"/>
    <w:semiHidden/>
    <w:unhideWhenUsed/>
    <w:rsid w:val="00BC3760"/>
    <w:pPr>
      <w:spacing w:line="240" w:lineRule="auto"/>
    </w:pPr>
    <w:rPr>
      <w:rFonts w:asciiTheme="minorHAnsi" w:eastAsia="Times New Roman" w:hAnsiTheme="minorHAnsi" w:cstheme="minorBidi"/>
      <w:b/>
      <w:bCs/>
      <w:lang w:eastAsia="fr-FR"/>
    </w:rPr>
  </w:style>
  <w:style w:type="table" w:customStyle="1" w:styleId="TableauGrille5Fonc1">
    <w:name w:val="Tableau Grille 5 Foncé1"/>
    <w:basedOn w:val="TableauNormal"/>
    <w:uiPriority w:val="50"/>
    <w:rsid w:val="00BC3760"/>
    <w:rPr>
      <w:rFonts w:asciiTheme="minorHAnsi" w:eastAsia="Times New Roman" w:hAnsiTheme="minorHAnsi" w:cstheme="minorBidi"/>
      <w:sz w:val="22"/>
      <w:szCs w:val="22"/>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Grilledetableauclaire1">
    <w:name w:val="Grille de tableau claire1"/>
    <w:basedOn w:val="TableauNormal"/>
    <w:uiPriority w:val="40"/>
    <w:rsid w:val="00BC3760"/>
    <w:rPr>
      <w:rFonts w:asciiTheme="minorHAnsi" w:eastAsia="Times New Roman" w:hAnsiTheme="minorHAnsi" w:cstheme="minorBidi"/>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Tabledesillustrations1">
    <w:name w:val="Table des illustrations1"/>
    <w:basedOn w:val="Normal"/>
    <w:next w:val="Normal"/>
    <w:uiPriority w:val="99"/>
    <w:unhideWhenUsed/>
    <w:rsid w:val="00BC3760"/>
    <w:pPr>
      <w:spacing w:after="0"/>
    </w:pPr>
    <w:rPr>
      <w:rFonts w:asciiTheme="minorHAnsi" w:eastAsia="Times New Roman" w:hAnsiTheme="minorHAnsi" w:cstheme="minorBidi"/>
      <w:lang w:eastAsia="fr-FR"/>
    </w:rPr>
  </w:style>
  <w:style w:type="paragraph" w:customStyle="1" w:styleId="msonormal0">
    <w:name w:val="msonormal"/>
    <w:basedOn w:val="Normal"/>
    <w:rsid w:val="00BC3760"/>
    <w:pP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BVIfnrCharCharCharCharCharChar1CharCharCharCharCharChar">
    <w:name w:val="BVI fnr Char Char Char Char Char Char1 Char Char Char Char Char Char"/>
    <w:aliases w:val="BVI fnr Car Car Char Char Char Char Char Char Char Char Char Char Char Char,BVI fnr Car Char Char Char Char Char Char Char Char Char Char Char Char Char"/>
    <w:basedOn w:val="Normal"/>
    <w:link w:val="Appelnotedebasdep"/>
    <w:uiPriority w:val="99"/>
    <w:rsid w:val="00BC3760"/>
    <w:pPr>
      <w:spacing w:after="0" w:line="240" w:lineRule="auto"/>
      <w:jc w:val="both"/>
    </w:pPr>
    <w:rPr>
      <w:sz w:val="20"/>
      <w:szCs w:val="20"/>
      <w:vertAlign w:val="superscript"/>
      <w:lang w:eastAsia="fr-FR"/>
    </w:rPr>
  </w:style>
  <w:style w:type="character" w:customStyle="1" w:styleId="A5">
    <w:name w:val="A5"/>
    <w:uiPriority w:val="99"/>
    <w:rsid w:val="00BC3760"/>
    <w:rPr>
      <w:rFonts w:cs="BellGothic BT"/>
      <w:b/>
      <w:bCs/>
      <w:color w:val="000000"/>
      <w:sz w:val="21"/>
      <w:szCs w:val="21"/>
    </w:rPr>
  </w:style>
  <w:style w:type="paragraph" w:customStyle="1" w:styleId="xl195">
    <w:name w:val="xl195"/>
    <w:basedOn w:val="Normal"/>
    <w:rsid w:val="00BC376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b/>
      <w:bCs/>
      <w:sz w:val="24"/>
      <w:szCs w:val="24"/>
      <w:lang w:eastAsia="fr-FR"/>
    </w:rPr>
  </w:style>
  <w:style w:type="paragraph" w:customStyle="1" w:styleId="xl196">
    <w:name w:val="xl196"/>
    <w:basedOn w:val="Normal"/>
    <w:rsid w:val="00BC3760"/>
    <w:pPr>
      <w:pBdr>
        <w:top w:val="single" w:sz="8" w:space="0" w:color="auto"/>
        <w:left w:val="single" w:sz="8" w:space="0" w:color="auto"/>
        <w:bottom w:val="single" w:sz="8" w:space="0" w:color="auto"/>
      </w:pBdr>
      <w:shd w:val="clear" w:color="000000" w:fill="FFC000"/>
      <w:spacing w:before="100" w:beforeAutospacing="1" w:after="100" w:afterAutospacing="1" w:line="240" w:lineRule="auto"/>
      <w:jc w:val="center"/>
      <w:textAlignment w:val="center"/>
    </w:pPr>
    <w:rPr>
      <w:rFonts w:ascii="Rockwell" w:eastAsia="Times New Roman" w:hAnsi="Rockwell"/>
      <w:b/>
      <w:bCs/>
      <w:sz w:val="24"/>
      <w:szCs w:val="24"/>
      <w:lang w:eastAsia="fr-FR"/>
    </w:rPr>
  </w:style>
  <w:style w:type="paragraph" w:customStyle="1" w:styleId="xl197">
    <w:name w:val="xl197"/>
    <w:basedOn w:val="Normal"/>
    <w:rsid w:val="00BC3760"/>
    <w:pPr>
      <w:pBdr>
        <w:top w:val="single" w:sz="8" w:space="0" w:color="auto"/>
        <w:bottom w:val="single" w:sz="8" w:space="0" w:color="auto"/>
        <w:right w:val="single" w:sz="8" w:space="0" w:color="auto"/>
      </w:pBdr>
      <w:shd w:val="clear" w:color="000000" w:fill="FFC000"/>
      <w:spacing w:before="100" w:beforeAutospacing="1" w:after="100" w:afterAutospacing="1" w:line="240" w:lineRule="auto"/>
      <w:jc w:val="center"/>
      <w:textAlignment w:val="center"/>
    </w:pPr>
    <w:rPr>
      <w:rFonts w:ascii="Rockwell" w:eastAsia="Times New Roman" w:hAnsi="Rockwell"/>
      <w:b/>
      <w:bCs/>
      <w:sz w:val="24"/>
      <w:szCs w:val="24"/>
      <w:lang w:eastAsia="fr-FR"/>
    </w:rPr>
  </w:style>
  <w:style w:type="paragraph" w:customStyle="1" w:styleId="xl198">
    <w:name w:val="xl198"/>
    <w:basedOn w:val="Normal"/>
    <w:rsid w:val="00BC3760"/>
    <w:pPr>
      <w:pBdr>
        <w:top w:val="single" w:sz="8" w:space="0" w:color="auto"/>
        <w:left w:val="single" w:sz="8" w:space="0" w:color="auto"/>
        <w:bottom w:val="single" w:sz="8" w:space="0" w:color="auto"/>
      </w:pBdr>
      <w:shd w:val="clear" w:color="000000" w:fill="FFC000"/>
      <w:spacing w:before="100" w:beforeAutospacing="1" w:after="100" w:afterAutospacing="1" w:line="240" w:lineRule="auto"/>
      <w:jc w:val="center"/>
      <w:textAlignment w:val="center"/>
    </w:pPr>
    <w:rPr>
      <w:rFonts w:ascii="Rockwell" w:eastAsia="Times New Roman" w:hAnsi="Rockwell"/>
      <w:b/>
      <w:bCs/>
      <w:sz w:val="24"/>
      <w:szCs w:val="24"/>
      <w:lang w:eastAsia="fr-FR"/>
    </w:rPr>
  </w:style>
  <w:style w:type="paragraph" w:customStyle="1" w:styleId="xl199">
    <w:name w:val="xl199"/>
    <w:basedOn w:val="Normal"/>
    <w:rsid w:val="00BC3760"/>
    <w:pPr>
      <w:pBdr>
        <w:top w:val="single" w:sz="8" w:space="0" w:color="auto"/>
        <w:left w:val="single" w:sz="8" w:space="0" w:color="auto"/>
        <w:bottom w:val="single" w:sz="8" w:space="0" w:color="auto"/>
      </w:pBdr>
      <w:shd w:val="clear" w:color="000000" w:fill="BDD7EE"/>
      <w:spacing w:before="100" w:beforeAutospacing="1" w:after="100" w:afterAutospacing="1" w:line="240" w:lineRule="auto"/>
      <w:textAlignment w:val="center"/>
    </w:pPr>
    <w:rPr>
      <w:rFonts w:ascii="Rockwell" w:eastAsia="Times New Roman" w:hAnsi="Rockwell"/>
      <w:b/>
      <w:bCs/>
      <w:sz w:val="18"/>
      <w:szCs w:val="18"/>
      <w:lang w:eastAsia="fr-FR"/>
    </w:rPr>
  </w:style>
  <w:style w:type="paragraph" w:customStyle="1" w:styleId="xl200">
    <w:name w:val="xl200"/>
    <w:basedOn w:val="Normal"/>
    <w:rsid w:val="00BC3760"/>
    <w:pPr>
      <w:pBdr>
        <w:top w:val="single" w:sz="8" w:space="0" w:color="auto"/>
        <w:left w:val="single" w:sz="8" w:space="0" w:color="auto"/>
        <w:bottom w:val="single" w:sz="8" w:space="0" w:color="auto"/>
      </w:pBdr>
      <w:shd w:val="clear" w:color="000000" w:fill="E2EFDA"/>
      <w:spacing w:before="100" w:beforeAutospacing="1" w:after="100" w:afterAutospacing="1" w:line="240" w:lineRule="auto"/>
      <w:textAlignment w:val="center"/>
    </w:pPr>
    <w:rPr>
      <w:rFonts w:ascii="Rockwell" w:eastAsia="Times New Roman" w:hAnsi="Rockwell"/>
      <w:b/>
      <w:bCs/>
      <w:sz w:val="18"/>
      <w:szCs w:val="18"/>
      <w:lang w:eastAsia="fr-FR"/>
    </w:rPr>
  </w:style>
  <w:style w:type="paragraph" w:customStyle="1" w:styleId="xl201">
    <w:name w:val="xl201"/>
    <w:basedOn w:val="Normal"/>
    <w:rsid w:val="00BC3760"/>
    <w:pPr>
      <w:pBdr>
        <w:top w:val="single" w:sz="8" w:space="0" w:color="auto"/>
        <w:left w:val="single" w:sz="8" w:space="0" w:color="auto"/>
      </w:pBdr>
      <w:shd w:val="clear" w:color="000000" w:fill="BDD7EE"/>
      <w:spacing w:before="100" w:beforeAutospacing="1" w:after="100" w:afterAutospacing="1" w:line="240" w:lineRule="auto"/>
      <w:textAlignment w:val="center"/>
    </w:pPr>
    <w:rPr>
      <w:rFonts w:ascii="Rockwell" w:eastAsia="Times New Roman" w:hAnsi="Rockwell"/>
      <w:b/>
      <w:bCs/>
      <w:sz w:val="18"/>
      <w:szCs w:val="18"/>
      <w:lang w:eastAsia="fr-FR"/>
    </w:rPr>
  </w:style>
  <w:style w:type="paragraph" w:customStyle="1" w:styleId="xl202">
    <w:name w:val="xl202"/>
    <w:basedOn w:val="Normal"/>
    <w:rsid w:val="00BC3760"/>
    <w:pPr>
      <w:pBdr>
        <w:top w:val="single" w:sz="8" w:space="0" w:color="auto"/>
        <w:bottom w:val="single" w:sz="8" w:space="0" w:color="auto"/>
      </w:pBdr>
      <w:shd w:val="clear" w:color="000000" w:fill="E2EFDA"/>
      <w:spacing w:before="100" w:beforeAutospacing="1" w:after="100" w:afterAutospacing="1" w:line="240" w:lineRule="auto"/>
      <w:jc w:val="center"/>
      <w:textAlignment w:val="center"/>
    </w:pPr>
    <w:rPr>
      <w:rFonts w:ascii="Rockwell" w:eastAsia="Times New Roman" w:hAnsi="Rockwell"/>
      <w:b/>
      <w:bCs/>
      <w:sz w:val="24"/>
      <w:szCs w:val="24"/>
      <w:lang w:eastAsia="fr-FR"/>
    </w:rPr>
  </w:style>
  <w:style w:type="paragraph" w:customStyle="1" w:styleId="xl203">
    <w:name w:val="xl203"/>
    <w:basedOn w:val="Normal"/>
    <w:rsid w:val="00BC3760"/>
    <w:pPr>
      <w:pBdr>
        <w:top w:val="single" w:sz="8" w:space="0" w:color="auto"/>
        <w:bottom w:val="single" w:sz="8" w:space="0" w:color="auto"/>
      </w:pBdr>
      <w:shd w:val="clear" w:color="000000" w:fill="BDD7EE"/>
      <w:spacing w:before="100" w:beforeAutospacing="1" w:after="100" w:afterAutospacing="1" w:line="240" w:lineRule="auto"/>
      <w:jc w:val="center"/>
      <w:textAlignment w:val="center"/>
    </w:pPr>
    <w:rPr>
      <w:rFonts w:ascii="Rockwell" w:eastAsia="Times New Roman" w:hAnsi="Rockwell"/>
      <w:sz w:val="24"/>
      <w:szCs w:val="24"/>
      <w:lang w:eastAsia="fr-FR"/>
    </w:rPr>
  </w:style>
  <w:style w:type="paragraph" w:customStyle="1" w:styleId="xl204">
    <w:name w:val="xl204"/>
    <w:basedOn w:val="Normal"/>
    <w:rsid w:val="00BC3760"/>
    <w:pPr>
      <w:pBdr>
        <w:top w:val="single" w:sz="8" w:space="0" w:color="auto"/>
        <w:bottom w:val="single" w:sz="8" w:space="0" w:color="auto"/>
      </w:pBdr>
      <w:shd w:val="clear" w:color="000000" w:fill="BDD7EE"/>
      <w:spacing w:before="100" w:beforeAutospacing="1" w:after="100" w:afterAutospacing="1" w:line="240" w:lineRule="auto"/>
      <w:textAlignment w:val="center"/>
    </w:pPr>
    <w:rPr>
      <w:rFonts w:ascii="Times New Roman" w:eastAsia="Times New Roman" w:hAnsi="Times New Roman"/>
      <w:sz w:val="24"/>
      <w:szCs w:val="24"/>
      <w:lang w:eastAsia="fr-FR"/>
    </w:rPr>
  </w:style>
  <w:style w:type="paragraph" w:customStyle="1" w:styleId="xl205">
    <w:name w:val="xl205"/>
    <w:basedOn w:val="Normal"/>
    <w:rsid w:val="00BC3760"/>
    <w:pPr>
      <w:pBdr>
        <w:top w:val="single" w:sz="8" w:space="0" w:color="auto"/>
        <w:bottom w:val="single" w:sz="8" w:space="0" w:color="auto"/>
      </w:pBdr>
      <w:shd w:val="clear" w:color="000000" w:fill="E2EFDA"/>
      <w:spacing w:before="100" w:beforeAutospacing="1" w:after="100" w:afterAutospacing="1" w:line="240" w:lineRule="auto"/>
      <w:jc w:val="center"/>
      <w:textAlignment w:val="center"/>
    </w:pPr>
    <w:rPr>
      <w:rFonts w:ascii="Rockwell" w:eastAsia="Times New Roman" w:hAnsi="Rockwell"/>
      <w:sz w:val="24"/>
      <w:szCs w:val="24"/>
      <w:lang w:eastAsia="fr-FR"/>
    </w:rPr>
  </w:style>
  <w:style w:type="paragraph" w:customStyle="1" w:styleId="xl206">
    <w:name w:val="xl206"/>
    <w:basedOn w:val="Normal"/>
    <w:rsid w:val="00BC3760"/>
    <w:pPr>
      <w:pBdr>
        <w:top w:val="single" w:sz="8" w:space="0" w:color="auto"/>
        <w:left w:val="single" w:sz="8" w:space="0" w:color="auto"/>
        <w:bottom w:val="single" w:sz="8" w:space="0" w:color="auto"/>
        <w:right w:val="single" w:sz="8" w:space="0" w:color="auto"/>
      </w:pBdr>
      <w:shd w:val="clear" w:color="000000" w:fill="E2EFDA"/>
      <w:spacing w:before="100" w:beforeAutospacing="1" w:after="100" w:afterAutospacing="1" w:line="240" w:lineRule="auto"/>
      <w:jc w:val="center"/>
      <w:textAlignment w:val="center"/>
    </w:pPr>
    <w:rPr>
      <w:rFonts w:ascii="Rockwell" w:eastAsia="Times New Roman" w:hAnsi="Rockwell"/>
      <w:b/>
      <w:bCs/>
      <w:sz w:val="24"/>
      <w:szCs w:val="24"/>
      <w:lang w:eastAsia="fr-FR"/>
    </w:rPr>
  </w:style>
  <w:style w:type="paragraph" w:customStyle="1" w:styleId="xl207">
    <w:name w:val="xl207"/>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sz w:val="24"/>
      <w:szCs w:val="24"/>
      <w:lang w:eastAsia="fr-FR"/>
    </w:rPr>
  </w:style>
  <w:style w:type="paragraph" w:customStyle="1" w:styleId="xl208">
    <w:name w:val="xl208"/>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Rockwell" w:eastAsia="Times New Roman" w:hAnsi="Rockwell"/>
      <w:sz w:val="24"/>
      <w:szCs w:val="24"/>
      <w:lang w:eastAsia="fr-FR"/>
    </w:rPr>
  </w:style>
  <w:style w:type="paragraph" w:customStyle="1" w:styleId="xl209">
    <w:name w:val="xl209"/>
    <w:basedOn w:val="Normal"/>
    <w:rsid w:val="00BC3760"/>
    <w:pPr>
      <w:pBdr>
        <w:left w:val="single" w:sz="8" w:space="0" w:color="auto"/>
        <w:bottom w:val="single" w:sz="8" w:space="0" w:color="auto"/>
        <w:right w:val="single" w:sz="8" w:space="0" w:color="auto"/>
      </w:pBdr>
      <w:shd w:val="clear" w:color="000000" w:fill="BDD7EE"/>
      <w:spacing w:before="100" w:beforeAutospacing="1" w:after="100" w:afterAutospacing="1" w:line="240" w:lineRule="auto"/>
      <w:textAlignment w:val="center"/>
    </w:pPr>
    <w:rPr>
      <w:rFonts w:ascii="Times New Roman" w:eastAsia="Times New Roman" w:hAnsi="Times New Roman"/>
      <w:sz w:val="24"/>
      <w:szCs w:val="24"/>
      <w:lang w:eastAsia="fr-FR"/>
    </w:rPr>
  </w:style>
  <w:style w:type="paragraph" w:customStyle="1" w:styleId="xl210">
    <w:name w:val="xl210"/>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fr-FR"/>
    </w:rPr>
  </w:style>
  <w:style w:type="paragraph" w:customStyle="1" w:styleId="xl211">
    <w:name w:val="xl211"/>
    <w:basedOn w:val="Normal"/>
    <w:rsid w:val="00BC376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fr-FR"/>
    </w:rPr>
  </w:style>
  <w:style w:type="paragraph" w:customStyle="1" w:styleId="xl212">
    <w:name w:val="xl212"/>
    <w:basedOn w:val="Normal"/>
    <w:rsid w:val="00BC3760"/>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fr-FR"/>
    </w:rPr>
  </w:style>
  <w:style w:type="paragraph" w:customStyle="1" w:styleId="xl213">
    <w:name w:val="xl213"/>
    <w:basedOn w:val="Normal"/>
    <w:rsid w:val="00BC376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fr-FR"/>
    </w:rPr>
  </w:style>
  <w:style w:type="paragraph" w:customStyle="1" w:styleId="xl214">
    <w:name w:val="xl214"/>
    <w:basedOn w:val="Normal"/>
    <w:rsid w:val="00BC3760"/>
    <w:pPr>
      <w:pBdr>
        <w:left w:val="single" w:sz="8" w:space="0" w:color="auto"/>
        <w:bottom w:val="single" w:sz="8" w:space="0" w:color="auto"/>
        <w:right w:val="single" w:sz="8" w:space="0" w:color="auto"/>
      </w:pBdr>
      <w:shd w:val="clear" w:color="000000" w:fill="E2EFDA"/>
      <w:spacing w:before="100" w:beforeAutospacing="1" w:after="100" w:afterAutospacing="1" w:line="240" w:lineRule="auto"/>
      <w:jc w:val="center"/>
      <w:textAlignment w:val="center"/>
    </w:pPr>
    <w:rPr>
      <w:rFonts w:ascii="Rockwell" w:eastAsia="Times New Roman" w:hAnsi="Rockwell"/>
      <w:b/>
      <w:bCs/>
      <w:sz w:val="24"/>
      <w:szCs w:val="24"/>
      <w:lang w:eastAsia="fr-FR"/>
    </w:rPr>
  </w:style>
  <w:style w:type="paragraph" w:customStyle="1" w:styleId="xl215">
    <w:name w:val="xl215"/>
    <w:basedOn w:val="Normal"/>
    <w:rsid w:val="00BC376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sz w:val="24"/>
      <w:szCs w:val="24"/>
      <w:lang w:eastAsia="fr-FR"/>
    </w:rPr>
  </w:style>
  <w:style w:type="paragraph" w:customStyle="1" w:styleId="xl216">
    <w:name w:val="xl216"/>
    <w:basedOn w:val="Normal"/>
    <w:rsid w:val="00BC376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sz w:val="24"/>
      <w:szCs w:val="24"/>
      <w:lang w:eastAsia="fr-FR"/>
    </w:rPr>
  </w:style>
  <w:style w:type="paragraph" w:customStyle="1" w:styleId="xl217">
    <w:name w:val="xl217"/>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sz w:val="18"/>
      <w:szCs w:val="18"/>
      <w:lang w:eastAsia="fr-FR"/>
    </w:rPr>
  </w:style>
  <w:style w:type="paragraph" w:customStyle="1" w:styleId="xl218">
    <w:name w:val="xl218"/>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fr-FR"/>
    </w:rPr>
  </w:style>
  <w:style w:type="paragraph" w:customStyle="1" w:styleId="xl219">
    <w:name w:val="xl219"/>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eastAsia="fr-FR"/>
    </w:rPr>
  </w:style>
  <w:style w:type="paragraph" w:customStyle="1" w:styleId="xl220">
    <w:name w:val="xl220"/>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sz w:val="18"/>
      <w:szCs w:val="18"/>
      <w:lang w:eastAsia="fr-FR"/>
    </w:rPr>
  </w:style>
  <w:style w:type="paragraph" w:customStyle="1" w:styleId="xl221">
    <w:name w:val="xl221"/>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fr-FR"/>
    </w:rPr>
  </w:style>
  <w:style w:type="paragraph" w:customStyle="1" w:styleId="xl222">
    <w:name w:val="xl222"/>
    <w:basedOn w:val="Normal"/>
    <w:rsid w:val="00BC376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sz w:val="18"/>
      <w:szCs w:val="18"/>
      <w:lang w:eastAsia="fr-FR"/>
    </w:rPr>
  </w:style>
  <w:style w:type="paragraph" w:customStyle="1" w:styleId="xl223">
    <w:name w:val="xl223"/>
    <w:basedOn w:val="Normal"/>
    <w:rsid w:val="00BC376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sz w:val="18"/>
      <w:szCs w:val="18"/>
      <w:lang w:eastAsia="fr-FR"/>
    </w:rPr>
  </w:style>
  <w:style w:type="paragraph" w:customStyle="1" w:styleId="xl224">
    <w:name w:val="xl224"/>
    <w:basedOn w:val="Normal"/>
    <w:rsid w:val="00BC3760"/>
    <w:pPr>
      <w:pBdr>
        <w:left w:val="single" w:sz="8" w:space="0" w:color="auto"/>
        <w:bottom w:val="single" w:sz="8" w:space="0" w:color="auto"/>
        <w:right w:val="single" w:sz="8" w:space="0" w:color="auto"/>
      </w:pBdr>
      <w:shd w:val="clear" w:color="000000" w:fill="E2EFDA"/>
      <w:spacing w:before="100" w:beforeAutospacing="1" w:after="100" w:afterAutospacing="1" w:line="240" w:lineRule="auto"/>
      <w:jc w:val="center"/>
      <w:textAlignment w:val="center"/>
    </w:pPr>
    <w:rPr>
      <w:rFonts w:ascii="Rockwell" w:eastAsia="Times New Roman" w:hAnsi="Rockwell"/>
      <w:sz w:val="24"/>
      <w:szCs w:val="24"/>
      <w:lang w:eastAsia="fr-FR"/>
    </w:rPr>
  </w:style>
  <w:style w:type="paragraph" w:customStyle="1" w:styleId="xl225">
    <w:name w:val="xl225"/>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sz w:val="20"/>
      <w:szCs w:val="20"/>
      <w:lang w:eastAsia="fr-FR"/>
    </w:rPr>
  </w:style>
  <w:style w:type="paragraph" w:customStyle="1" w:styleId="xl226">
    <w:name w:val="xl226"/>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Rockwell" w:eastAsia="Times New Roman" w:hAnsi="Rockwell"/>
      <w:sz w:val="18"/>
      <w:szCs w:val="18"/>
      <w:lang w:eastAsia="fr-FR"/>
    </w:rPr>
  </w:style>
  <w:style w:type="paragraph" w:customStyle="1" w:styleId="xl227">
    <w:name w:val="xl227"/>
    <w:basedOn w:val="Normal"/>
    <w:rsid w:val="00BC3760"/>
    <w:pPr>
      <w:pBdr>
        <w:left w:val="single" w:sz="8" w:space="0" w:color="auto"/>
        <w:bottom w:val="single" w:sz="8" w:space="0" w:color="auto"/>
        <w:right w:val="single" w:sz="8" w:space="0" w:color="auto"/>
      </w:pBdr>
      <w:shd w:val="clear" w:color="000000" w:fill="BDD7EE"/>
      <w:spacing w:before="100" w:beforeAutospacing="1" w:after="100" w:afterAutospacing="1" w:line="240" w:lineRule="auto"/>
      <w:jc w:val="center"/>
      <w:textAlignment w:val="center"/>
    </w:pPr>
    <w:rPr>
      <w:rFonts w:ascii="Rockwell" w:eastAsia="Times New Roman" w:hAnsi="Rockwell"/>
      <w:sz w:val="24"/>
      <w:szCs w:val="24"/>
      <w:lang w:eastAsia="fr-FR"/>
    </w:rPr>
  </w:style>
  <w:style w:type="paragraph" w:customStyle="1" w:styleId="xl228">
    <w:name w:val="xl228"/>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Rockwell" w:eastAsia="Times New Roman" w:hAnsi="Rockwell"/>
      <w:sz w:val="18"/>
      <w:szCs w:val="18"/>
      <w:lang w:eastAsia="fr-FR"/>
    </w:rPr>
  </w:style>
  <w:style w:type="paragraph" w:customStyle="1" w:styleId="xl229">
    <w:name w:val="xl229"/>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sz w:val="18"/>
      <w:szCs w:val="18"/>
      <w:lang w:eastAsia="fr-FR"/>
    </w:rPr>
  </w:style>
  <w:style w:type="paragraph" w:customStyle="1" w:styleId="xl230">
    <w:name w:val="xl230"/>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eastAsia="fr-FR"/>
    </w:rPr>
  </w:style>
  <w:style w:type="paragraph" w:customStyle="1" w:styleId="xl231">
    <w:name w:val="xl231"/>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fr-FR"/>
    </w:rPr>
  </w:style>
  <w:style w:type="paragraph" w:customStyle="1" w:styleId="xl232">
    <w:name w:val="xl232"/>
    <w:basedOn w:val="Normal"/>
    <w:rsid w:val="00BC3760"/>
    <w:pPr>
      <w:pBdr>
        <w:left w:val="single" w:sz="8" w:space="0" w:color="auto"/>
        <w:bottom w:val="single" w:sz="8" w:space="0" w:color="auto"/>
        <w:right w:val="single" w:sz="8" w:space="0" w:color="auto"/>
      </w:pBdr>
      <w:shd w:val="clear" w:color="000000" w:fill="BDD7EE"/>
      <w:spacing w:before="100" w:beforeAutospacing="1" w:after="100" w:afterAutospacing="1" w:line="240" w:lineRule="auto"/>
      <w:jc w:val="center"/>
      <w:textAlignment w:val="center"/>
    </w:pPr>
    <w:rPr>
      <w:rFonts w:ascii="Rockwell" w:eastAsia="Times New Roman" w:hAnsi="Rockwell"/>
      <w:b/>
      <w:bCs/>
      <w:sz w:val="18"/>
      <w:szCs w:val="18"/>
      <w:lang w:eastAsia="fr-FR"/>
    </w:rPr>
  </w:style>
  <w:style w:type="paragraph" w:customStyle="1" w:styleId="xl233">
    <w:name w:val="xl233"/>
    <w:basedOn w:val="Normal"/>
    <w:rsid w:val="00BC376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Rockwell" w:eastAsia="Times New Roman" w:hAnsi="Rockwell"/>
      <w:b/>
      <w:bCs/>
      <w:sz w:val="18"/>
      <w:szCs w:val="18"/>
      <w:lang w:eastAsia="fr-FR"/>
    </w:rPr>
  </w:style>
  <w:style w:type="paragraph" w:customStyle="1" w:styleId="xl234">
    <w:name w:val="xl234"/>
    <w:basedOn w:val="Normal"/>
    <w:rsid w:val="00BC3760"/>
    <w:pPr>
      <w:pBdr>
        <w:top w:val="single" w:sz="8" w:space="0" w:color="auto"/>
        <w:left w:val="single" w:sz="8" w:space="0" w:color="auto"/>
        <w:bottom w:val="single" w:sz="8" w:space="0" w:color="auto"/>
        <w:right w:val="single" w:sz="8" w:space="0" w:color="auto"/>
      </w:pBdr>
      <w:shd w:val="clear" w:color="000000" w:fill="FFC000"/>
      <w:spacing w:before="100" w:beforeAutospacing="1" w:after="100" w:afterAutospacing="1" w:line="240" w:lineRule="auto"/>
      <w:jc w:val="center"/>
      <w:textAlignment w:val="center"/>
    </w:pPr>
    <w:rPr>
      <w:rFonts w:ascii="Rockwell" w:eastAsia="Times New Roman" w:hAnsi="Rockwell"/>
      <w:b/>
      <w:bCs/>
      <w:sz w:val="24"/>
      <w:szCs w:val="24"/>
      <w:lang w:eastAsia="fr-FR"/>
    </w:rPr>
  </w:style>
  <w:style w:type="paragraph" w:customStyle="1" w:styleId="xl235">
    <w:name w:val="xl235"/>
    <w:basedOn w:val="Normal"/>
    <w:rsid w:val="00BC3760"/>
    <w:pPr>
      <w:pBdr>
        <w:top w:val="single" w:sz="8" w:space="0" w:color="auto"/>
        <w:left w:val="single" w:sz="8" w:space="0" w:color="auto"/>
        <w:bottom w:val="single" w:sz="8" w:space="0" w:color="auto"/>
      </w:pBdr>
      <w:shd w:val="clear" w:color="000000" w:fill="E2EFDA"/>
      <w:spacing w:before="100" w:beforeAutospacing="1" w:after="100" w:afterAutospacing="1" w:line="240" w:lineRule="auto"/>
      <w:textAlignment w:val="center"/>
    </w:pPr>
    <w:rPr>
      <w:rFonts w:ascii="Rockwell" w:eastAsia="Times New Roman" w:hAnsi="Rockwell"/>
      <w:b/>
      <w:bCs/>
      <w:sz w:val="18"/>
      <w:szCs w:val="18"/>
      <w:lang w:eastAsia="fr-FR"/>
    </w:rPr>
  </w:style>
  <w:style w:type="paragraph" w:customStyle="1" w:styleId="xl236">
    <w:name w:val="xl236"/>
    <w:basedOn w:val="Normal"/>
    <w:rsid w:val="00BC3760"/>
    <w:pPr>
      <w:pBdr>
        <w:left w:val="single" w:sz="8" w:space="0" w:color="auto"/>
        <w:bottom w:val="single" w:sz="8" w:space="0" w:color="auto"/>
      </w:pBdr>
      <w:shd w:val="clear" w:color="000000" w:fill="EDEDED"/>
      <w:spacing w:before="100" w:beforeAutospacing="1" w:after="100" w:afterAutospacing="1" w:line="240" w:lineRule="auto"/>
      <w:textAlignment w:val="center"/>
    </w:pPr>
    <w:rPr>
      <w:rFonts w:ascii="Rockwell" w:eastAsia="Times New Roman" w:hAnsi="Rockwell"/>
      <w:b/>
      <w:bCs/>
      <w:sz w:val="18"/>
      <w:szCs w:val="18"/>
      <w:lang w:eastAsia="fr-FR"/>
    </w:rPr>
  </w:style>
  <w:style w:type="character" w:customStyle="1" w:styleId="Titre1Car1">
    <w:name w:val="Titre 1 Car1"/>
    <w:basedOn w:val="Policepardfaut"/>
    <w:uiPriority w:val="9"/>
    <w:rsid w:val="00BC3760"/>
    <w:rPr>
      <w:rFonts w:asciiTheme="majorHAnsi" w:eastAsiaTheme="majorEastAsia" w:hAnsiTheme="majorHAnsi" w:cstheme="majorBidi"/>
      <w:b/>
      <w:bCs/>
      <w:color w:val="365F91" w:themeColor="accent1" w:themeShade="BF"/>
      <w:sz w:val="28"/>
      <w:szCs w:val="28"/>
    </w:rPr>
  </w:style>
  <w:style w:type="character" w:customStyle="1" w:styleId="Titre2Car1">
    <w:name w:val="Titre 2 Car1"/>
    <w:basedOn w:val="Policepardfaut"/>
    <w:uiPriority w:val="9"/>
    <w:semiHidden/>
    <w:rsid w:val="00BC3760"/>
    <w:rPr>
      <w:rFonts w:asciiTheme="majorHAnsi" w:eastAsiaTheme="majorEastAsia" w:hAnsiTheme="majorHAnsi" w:cstheme="majorBidi"/>
      <w:b/>
      <w:bCs/>
      <w:color w:val="4F81BD" w:themeColor="accent1"/>
      <w:sz w:val="26"/>
      <w:szCs w:val="26"/>
    </w:rPr>
  </w:style>
  <w:style w:type="character" w:customStyle="1" w:styleId="Titre5Car1">
    <w:name w:val="Titre 5 Car1"/>
    <w:basedOn w:val="Policepardfaut"/>
    <w:uiPriority w:val="9"/>
    <w:semiHidden/>
    <w:rsid w:val="00BC3760"/>
    <w:rPr>
      <w:rFonts w:asciiTheme="majorHAnsi" w:eastAsiaTheme="majorEastAsia" w:hAnsiTheme="majorHAnsi" w:cstheme="majorBidi"/>
      <w:color w:val="243F60" w:themeColor="accent1" w:themeShade="7F"/>
    </w:rPr>
  </w:style>
  <w:style w:type="character" w:customStyle="1" w:styleId="Titre6Car1">
    <w:name w:val="Titre 6 Car1"/>
    <w:basedOn w:val="Policepardfaut"/>
    <w:uiPriority w:val="9"/>
    <w:semiHidden/>
    <w:rsid w:val="00BC3760"/>
    <w:rPr>
      <w:rFonts w:asciiTheme="majorHAnsi" w:eastAsiaTheme="majorEastAsia" w:hAnsiTheme="majorHAnsi" w:cstheme="majorBidi"/>
      <w:i/>
      <w:iCs/>
      <w:color w:val="243F60" w:themeColor="accent1" w:themeShade="7F"/>
    </w:rPr>
  </w:style>
  <w:style w:type="character" w:customStyle="1" w:styleId="Titre7Car1">
    <w:name w:val="Titre 7 Car1"/>
    <w:basedOn w:val="Policepardfaut"/>
    <w:uiPriority w:val="9"/>
    <w:semiHidden/>
    <w:rsid w:val="00BC3760"/>
    <w:rPr>
      <w:rFonts w:asciiTheme="majorHAnsi" w:eastAsiaTheme="majorEastAsia" w:hAnsiTheme="majorHAnsi" w:cstheme="majorBidi"/>
      <w:i/>
      <w:iCs/>
      <w:color w:val="404040" w:themeColor="text1" w:themeTint="BF"/>
    </w:rPr>
  </w:style>
  <w:style w:type="character" w:customStyle="1" w:styleId="PieddepageCar1">
    <w:name w:val="Pied de page Car1"/>
    <w:basedOn w:val="Policepardfaut"/>
    <w:uiPriority w:val="99"/>
    <w:semiHidden/>
    <w:rsid w:val="00BC3760"/>
  </w:style>
  <w:style w:type="character" w:customStyle="1" w:styleId="TitreCar1">
    <w:name w:val="Titre Car1"/>
    <w:basedOn w:val="Policepardfaut"/>
    <w:uiPriority w:val="10"/>
    <w:rsid w:val="00BC3760"/>
    <w:rPr>
      <w:rFonts w:asciiTheme="majorHAnsi" w:eastAsiaTheme="majorEastAsia" w:hAnsiTheme="majorHAnsi" w:cstheme="majorBidi"/>
      <w:spacing w:val="-10"/>
      <w:kern w:val="28"/>
      <w:sz w:val="56"/>
      <w:szCs w:val="56"/>
    </w:rPr>
  </w:style>
  <w:style w:type="character" w:customStyle="1" w:styleId="Mention1">
    <w:name w:val="Mention1"/>
    <w:basedOn w:val="Policepardfaut"/>
    <w:uiPriority w:val="99"/>
    <w:semiHidden/>
    <w:unhideWhenUsed/>
    <w:rsid w:val="00BC3760"/>
    <w:rPr>
      <w:color w:val="2B579A"/>
      <w:shd w:val="clear" w:color="auto" w:fill="E6E6E6"/>
    </w:rPr>
  </w:style>
  <w:style w:type="character" w:customStyle="1" w:styleId="Mention2">
    <w:name w:val="Mention2"/>
    <w:basedOn w:val="Policepardfaut"/>
    <w:uiPriority w:val="99"/>
    <w:semiHidden/>
    <w:unhideWhenUsed/>
    <w:rsid w:val="00BC3760"/>
    <w:rPr>
      <w:color w:val="2B579A"/>
      <w:shd w:val="clear" w:color="auto" w:fill="E6E6E6"/>
    </w:rPr>
  </w:style>
  <w:style w:type="paragraph" w:customStyle="1" w:styleId="xl62">
    <w:name w:val="xl62"/>
    <w:basedOn w:val="Normal"/>
    <w:rsid w:val="00BC3760"/>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color w:val="000000"/>
      <w:sz w:val="24"/>
      <w:szCs w:val="24"/>
      <w:lang w:eastAsia="fr-FR"/>
    </w:rPr>
  </w:style>
  <w:style w:type="paragraph" w:customStyle="1" w:styleId="xl237">
    <w:name w:val="xl237"/>
    <w:basedOn w:val="Normal"/>
    <w:rsid w:val="00BC3760"/>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238">
    <w:name w:val="xl238"/>
    <w:basedOn w:val="Normal"/>
    <w:rsid w:val="00BC3760"/>
    <w:pPr>
      <w:pBdr>
        <w:top w:val="single" w:sz="8" w:space="0" w:color="auto"/>
        <w:left w:val="single" w:sz="8" w:space="0" w:color="auto"/>
        <w:right w:val="single" w:sz="8" w:space="0" w:color="auto"/>
      </w:pBdr>
      <w:spacing w:before="100" w:beforeAutospacing="1" w:after="100" w:afterAutospacing="1" w:line="240" w:lineRule="auto"/>
      <w:textAlignment w:val="center"/>
    </w:pPr>
    <w:rPr>
      <w:rFonts w:eastAsia="Times New Roman"/>
      <w:b/>
      <w:bCs/>
      <w:sz w:val="24"/>
      <w:szCs w:val="24"/>
      <w:lang w:eastAsia="fr-FR"/>
    </w:rPr>
  </w:style>
  <w:style w:type="paragraph" w:customStyle="1" w:styleId="xl239">
    <w:name w:val="xl239"/>
    <w:basedOn w:val="Normal"/>
    <w:rsid w:val="00BC3760"/>
    <w:pPr>
      <w:pBdr>
        <w:left w:val="single" w:sz="8" w:space="0" w:color="auto"/>
        <w:right w:val="single" w:sz="8" w:space="0" w:color="auto"/>
      </w:pBdr>
      <w:spacing w:before="100" w:beforeAutospacing="1" w:after="100" w:afterAutospacing="1" w:line="240" w:lineRule="auto"/>
      <w:textAlignment w:val="center"/>
    </w:pPr>
    <w:rPr>
      <w:rFonts w:eastAsia="Times New Roman"/>
      <w:b/>
      <w:bCs/>
      <w:sz w:val="24"/>
      <w:szCs w:val="24"/>
      <w:lang w:eastAsia="fr-FR"/>
    </w:rPr>
  </w:style>
  <w:style w:type="paragraph" w:customStyle="1" w:styleId="xl240">
    <w:name w:val="xl240"/>
    <w:basedOn w:val="Normal"/>
    <w:rsid w:val="00BC3760"/>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b/>
      <w:bCs/>
      <w:sz w:val="24"/>
      <w:szCs w:val="24"/>
      <w:lang w:eastAsia="fr-FR"/>
    </w:rPr>
  </w:style>
  <w:style w:type="paragraph" w:customStyle="1" w:styleId="xl241">
    <w:name w:val="xl241"/>
    <w:basedOn w:val="Normal"/>
    <w:rsid w:val="00BC3760"/>
    <w:pPr>
      <w:pBdr>
        <w:top w:val="single" w:sz="8" w:space="0" w:color="auto"/>
        <w:left w:val="single" w:sz="8" w:space="0" w:color="auto"/>
        <w:bottom w:val="single" w:sz="8" w:space="0" w:color="auto"/>
      </w:pBdr>
      <w:shd w:val="clear" w:color="000000" w:fill="F4B084"/>
      <w:spacing w:before="100" w:beforeAutospacing="1" w:after="100" w:afterAutospacing="1" w:line="240" w:lineRule="auto"/>
      <w:jc w:val="center"/>
      <w:textAlignment w:val="center"/>
    </w:pPr>
    <w:rPr>
      <w:rFonts w:eastAsia="Times New Roman"/>
      <w:b/>
      <w:bCs/>
      <w:sz w:val="20"/>
      <w:szCs w:val="20"/>
      <w:lang w:eastAsia="fr-FR"/>
    </w:rPr>
  </w:style>
  <w:style w:type="paragraph" w:customStyle="1" w:styleId="xl242">
    <w:name w:val="xl242"/>
    <w:basedOn w:val="Normal"/>
    <w:rsid w:val="00BC3760"/>
    <w:pPr>
      <w:pBdr>
        <w:top w:val="single" w:sz="8" w:space="0" w:color="auto"/>
        <w:bottom w:val="single" w:sz="8" w:space="0" w:color="auto"/>
        <w:right w:val="single" w:sz="8" w:space="0" w:color="auto"/>
      </w:pBdr>
      <w:shd w:val="clear" w:color="000000" w:fill="F4B084"/>
      <w:spacing w:before="100" w:beforeAutospacing="1" w:after="100" w:afterAutospacing="1" w:line="240" w:lineRule="auto"/>
      <w:jc w:val="center"/>
      <w:textAlignment w:val="center"/>
    </w:pPr>
    <w:rPr>
      <w:rFonts w:eastAsia="Times New Roman"/>
      <w:b/>
      <w:bCs/>
      <w:sz w:val="20"/>
      <w:szCs w:val="20"/>
      <w:lang w:eastAsia="fr-FR"/>
    </w:rPr>
  </w:style>
  <w:style w:type="paragraph" w:customStyle="1" w:styleId="xl243">
    <w:name w:val="xl243"/>
    <w:basedOn w:val="Normal"/>
    <w:rsid w:val="00BC3760"/>
    <w:pPr>
      <w:pBdr>
        <w:top w:val="single" w:sz="8" w:space="0" w:color="auto"/>
        <w:left w:val="single" w:sz="8" w:space="0" w:color="auto"/>
        <w:bottom w:val="single" w:sz="8" w:space="0" w:color="auto"/>
      </w:pBdr>
      <w:shd w:val="clear" w:color="000000" w:fill="F4B084"/>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244">
    <w:name w:val="xl244"/>
    <w:basedOn w:val="Normal"/>
    <w:rsid w:val="00BC3760"/>
    <w:pPr>
      <w:pBdr>
        <w:top w:val="single" w:sz="8" w:space="0" w:color="auto"/>
        <w:bottom w:val="single" w:sz="8" w:space="0" w:color="auto"/>
        <w:right w:val="single" w:sz="8" w:space="0" w:color="auto"/>
      </w:pBdr>
      <w:shd w:val="clear" w:color="000000" w:fill="F4B084"/>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248">
    <w:name w:val="xl248"/>
    <w:basedOn w:val="Normal"/>
    <w:rsid w:val="00BC3760"/>
    <w:pPr>
      <w:pBdr>
        <w:top w:val="single" w:sz="8" w:space="0" w:color="auto"/>
        <w:bottom w:val="single" w:sz="8" w:space="0" w:color="auto"/>
      </w:pBdr>
      <w:shd w:val="clear" w:color="000000" w:fill="F4B084"/>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251">
    <w:name w:val="xl251"/>
    <w:basedOn w:val="Normal"/>
    <w:rsid w:val="00BC3760"/>
    <w:pPr>
      <w:pBdr>
        <w:top w:val="single" w:sz="8" w:space="0" w:color="auto"/>
        <w:left w:val="single" w:sz="8" w:space="0" w:color="auto"/>
        <w:right w:val="single" w:sz="8" w:space="0" w:color="auto"/>
      </w:pBdr>
      <w:shd w:val="clear" w:color="000000" w:fill="A9D08E"/>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252">
    <w:name w:val="xl252"/>
    <w:basedOn w:val="Normal"/>
    <w:rsid w:val="00BC3760"/>
    <w:pPr>
      <w:pBdr>
        <w:left w:val="single" w:sz="8" w:space="0" w:color="auto"/>
        <w:bottom w:val="single" w:sz="8" w:space="0" w:color="auto"/>
        <w:right w:val="single" w:sz="8" w:space="0" w:color="auto"/>
      </w:pBdr>
      <w:shd w:val="clear" w:color="000000" w:fill="A9D08E"/>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255">
    <w:name w:val="xl255"/>
    <w:basedOn w:val="Normal"/>
    <w:rsid w:val="00BC3760"/>
    <w:pPr>
      <w:pBdr>
        <w:top w:val="single" w:sz="8" w:space="0" w:color="auto"/>
        <w:left w:val="single" w:sz="4" w:space="0" w:color="auto"/>
        <w:right w:val="single" w:sz="8" w:space="0" w:color="auto"/>
      </w:pBdr>
      <w:spacing w:before="100" w:beforeAutospacing="1" w:after="100" w:afterAutospacing="1" w:line="240" w:lineRule="auto"/>
      <w:jc w:val="right"/>
      <w:textAlignment w:val="center"/>
    </w:pPr>
    <w:rPr>
      <w:rFonts w:eastAsia="Times New Roman"/>
      <w:sz w:val="24"/>
      <w:szCs w:val="24"/>
      <w:lang w:eastAsia="fr-FR"/>
    </w:rPr>
  </w:style>
  <w:style w:type="paragraph" w:customStyle="1" w:styleId="xl256">
    <w:name w:val="xl256"/>
    <w:basedOn w:val="Normal"/>
    <w:rsid w:val="00BC3760"/>
    <w:pPr>
      <w:pBdr>
        <w:left w:val="single" w:sz="4" w:space="0" w:color="auto"/>
        <w:right w:val="single" w:sz="8" w:space="0" w:color="auto"/>
      </w:pBdr>
      <w:spacing w:before="100" w:beforeAutospacing="1" w:after="100" w:afterAutospacing="1" w:line="240" w:lineRule="auto"/>
      <w:jc w:val="right"/>
      <w:textAlignment w:val="center"/>
    </w:pPr>
    <w:rPr>
      <w:rFonts w:eastAsia="Times New Roman"/>
      <w:sz w:val="24"/>
      <w:szCs w:val="24"/>
      <w:lang w:eastAsia="fr-FR"/>
    </w:rPr>
  </w:style>
  <w:style w:type="paragraph" w:customStyle="1" w:styleId="xl259">
    <w:name w:val="xl259"/>
    <w:basedOn w:val="Normal"/>
    <w:rsid w:val="00BC376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260">
    <w:name w:val="xl260"/>
    <w:basedOn w:val="Normal"/>
    <w:rsid w:val="00BC3760"/>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261">
    <w:name w:val="xl261"/>
    <w:basedOn w:val="Normal"/>
    <w:rsid w:val="00BC376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262">
    <w:name w:val="xl262"/>
    <w:basedOn w:val="Normal"/>
    <w:rsid w:val="00BC3760"/>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pPr>
    <w:rPr>
      <w:rFonts w:eastAsia="Times New Roman"/>
      <w:b/>
      <w:bCs/>
      <w:sz w:val="24"/>
      <w:szCs w:val="24"/>
      <w:lang w:eastAsia="fr-FR"/>
    </w:rPr>
  </w:style>
  <w:style w:type="paragraph" w:customStyle="1" w:styleId="xl263">
    <w:name w:val="xl263"/>
    <w:basedOn w:val="Normal"/>
    <w:rsid w:val="00BC3760"/>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pPr>
    <w:rPr>
      <w:rFonts w:eastAsia="Times New Roman"/>
      <w:b/>
      <w:bCs/>
      <w:sz w:val="24"/>
      <w:szCs w:val="24"/>
      <w:lang w:eastAsia="fr-FR"/>
    </w:rPr>
  </w:style>
  <w:style w:type="paragraph" w:customStyle="1" w:styleId="xl264">
    <w:name w:val="xl264"/>
    <w:basedOn w:val="Normal"/>
    <w:rsid w:val="00BC3760"/>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pPr>
    <w:rPr>
      <w:rFonts w:eastAsia="Times New Roman"/>
      <w:b/>
      <w:bCs/>
      <w:sz w:val="24"/>
      <w:szCs w:val="24"/>
      <w:lang w:eastAsia="fr-FR"/>
    </w:rPr>
  </w:style>
  <w:style w:type="paragraph" w:customStyle="1" w:styleId="xl265">
    <w:name w:val="xl265"/>
    <w:basedOn w:val="Normal"/>
    <w:rsid w:val="00BC3760"/>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pPr>
    <w:rPr>
      <w:rFonts w:eastAsia="Times New Roman"/>
      <w:b/>
      <w:bCs/>
      <w:sz w:val="24"/>
      <w:szCs w:val="24"/>
      <w:lang w:eastAsia="fr-FR"/>
    </w:rPr>
  </w:style>
  <w:style w:type="paragraph" w:customStyle="1" w:styleId="xl266">
    <w:name w:val="xl266"/>
    <w:basedOn w:val="Normal"/>
    <w:rsid w:val="00BC3760"/>
    <w:pPr>
      <w:pBdr>
        <w:top w:val="single" w:sz="8" w:space="0" w:color="auto"/>
        <w:bottom w:val="single" w:sz="8" w:space="0" w:color="auto"/>
      </w:pBdr>
      <w:shd w:val="clear" w:color="000000" w:fill="BFBFBF"/>
      <w:spacing w:before="100" w:beforeAutospacing="1" w:after="100" w:afterAutospacing="1" w:line="240" w:lineRule="auto"/>
      <w:jc w:val="center"/>
    </w:pPr>
    <w:rPr>
      <w:rFonts w:eastAsia="Times New Roman"/>
      <w:b/>
      <w:bCs/>
      <w:sz w:val="24"/>
      <w:szCs w:val="24"/>
      <w:lang w:eastAsia="fr-FR"/>
    </w:rPr>
  </w:style>
  <w:style w:type="paragraph" w:customStyle="1" w:styleId="xl384">
    <w:name w:val="xl384"/>
    <w:basedOn w:val="Normal"/>
    <w:rsid w:val="00BC3760"/>
    <w:pPr>
      <w:pBdr>
        <w:top w:val="single" w:sz="4" w:space="0" w:color="auto"/>
        <w:left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385">
    <w:name w:val="xl385"/>
    <w:basedOn w:val="Normal"/>
    <w:rsid w:val="00BC3760"/>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386">
    <w:name w:val="xl386"/>
    <w:basedOn w:val="Normal"/>
    <w:rsid w:val="00BC3760"/>
    <w:pPr>
      <w:pBdr>
        <w:top w:val="single" w:sz="4" w:space="0" w:color="auto"/>
        <w:left w:val="single" w:sz="4" w:space="0" w:color="auto"/>
        <w:right w:val="single" w:sz="8" w:space="0" w:color="auto"/>
      </w:pBdr>
      <w:spacing w:before="100" w:beforeAutospacing="1" w:after="100" w:afterAutospacing="1" w:line="240" w:lineRule="auto"/>
      <w:jc w:val="right"/>
    </w:pPr>
    <w:rPr>
      <w:rFonts w:eastAsia="Times New Roman"/>
      <w:sz w:val="24"/>
      <w:szCs w:val="24"/>
      <w:lang w:eastAsia="fr-FR"/>
    </w:rPr>
  </w:style>
  <w:style w:type="paragraph" w:customStyle="1" w:styleId="xl387">
    <w:name w:val="xl387"/>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pPr>
    <w:rPr>
      <w:rFonts w:eastAsia="Times New Roman"/>
      <w:sz w:val="24"/>
      <w:szCs w:val="24"/>
      <w:lang w:eastAsia="fr-FR"/>
    </w:rPr>
  </w:style>
  <w:style w:type="paragraph" w:customStyle="1" w:styleId="xl389">
    <w:name w:val="xl389"/>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 w:val="24"/>
      <w:szCs w:val="24"/>
      <w:lang w:eastAsia="fr-FR"/>
    </w:rPr>
  </w:style>
  <w:style w:type="paragraph" w:customStyle="1" w:styleId="xl390">
    <w:name w:val="xl390"/>
    <w:basedOn w:val="Normal"/>
    <w:rsid w:val="00BC3760"/>
    <w:pPr>
      <w:pBdr>
        <w:top w:val="single" w:sz="4" w:space="0" w:color="auto"/>
        <w:left w:val="single" w:sz="4" w:space="0" w:color="auto"/>
        <w:right w:val="single" w:sz="8" w:space="0" w:color="auto"/>
      </w:pBdr>
      <w:spacing w:before="100" w:beforeAutospacing="1" w:after="100" w:afterAutospacing="1" w:line="240" w:lineRule="auto"/>
    </w:pPr>
    <w:rPr>
      <w:rFonts w:eastAsia="Times New Roman"/>
      <w:color w:val="000000"/>
      <w:sz w:val="24"/>
      <w:szCs w:val="24"/>
      <w:lang w:eastAsia="fr-FR"/>
    </w:rPr>
  </w:style>
  <w:style w:type="paragraph" w:customStyle="1" w:styleId="xl411">
    <w:name w:val="xl411"/>
    <w:basedOn w:val="Normal"/>
    <w:rsid w:val="00BC3760"/>
    <w:pPr>
      <w:pBdr>
        <w:top w:val="single" w:sz="4" w:space="0" w:color="auto"/>
        <w:left w:val="single" w:sz="4" w:space="0" w:color="auto"/>
        <w:right w:val="single" w:sz="8" w:space="0" w:color="auto"/>
      </w:pBdr>
      <w:spacing w:before="100" w:beforeAutospacing="1" w:after="100" w:afterAutospacing="1" w:line="240" w:lineRule="auto"/>
      <w:jc w:val="right"/>
    </w:pPr>
    <w:rPr>
      <w:rFonts w:eastAsia="Times New Roman"/>
      <w:sz w:val="24"/>
      <w:szCs w:val="24"/>
      <w:lang w:eastAsia="fr-FR"/>
    </w:rPr>
  </w:style>
  <w:style w:type="paragraph" w:customStyle="1" w:styleId="xl422">
    <w:name w:val="xl422"/>
    <w:basedOn w:val="Normal"/>
    <w:rsid w:val="00BC3760"/>
    <w:pPr>
      <w:pBdr>
        <w:top w:val="single" w:sz="4" w:space="0" w:color="auto"/>
        <w:left w:val="single" w:sz="4" w:space="0" w:color="auto"/>
        <w:right w:val="single" w:sz="8" w:space="0" w:color="auto"/>
      </w:pBdr>
      <w:spacing w:before="100" w:beforeAutospacing="1" w:after="100" w:afterAutospacing="1" w:line="240" w:lineRule="auto"/>
      <w:jc w:val="right"/>
      <w:textAlignment w:val="center"/>
    </w:pPr>
    <w:rPr>
      <w:rFonts w:eastAsia="Times New Roman"/>
      <w:sz w:val="24"/>
      <w:szCs w:val="24"/>
      <w:lang w:eastAsia="fr-FR"/>
    </w:rPr>
  </w:style>
  <w:style w:type="paragraph" w:customStyle="1" w:styleId="xl427">
    <w:name w:val="xl427"/>
    <w:basedOn w:val="Normal"/>
    <w:rsid w:val="00BC3760"/>
    <w:pPr>
      <w:pBdr>
        <w:top w:val="single" w:sz="4" w:space="0" w:color="auto"/>
        <w:left w:val="single" w:sz="8" w:space="0" w:color="auto"/>
        <w:bottom w:val="single" w:sz="8" w:space="0" w:color="auto"/>
        <w:right w:val="single" w:sz="8" w:space="0" w:color="auto"/>
      </w:pBdr>
      <w:shd w:val="clear" w:color="000000" w:fill="00B0F0"/>
      <w:spacing w:before="100" w:beforeAutospacing="1" w:after="100" w:afterAutospacing="1" w:line="240" w:lineRule="auto"/>
      <w:jc w:val="center"/>
    </w:pPr>
    <w:rPr>
      <w:rFonts w:eastAsia="Times New Roman"/>
      <w:b/>
      <w:bCs/>
      <w:sz w:val="24"/>
      <w:szCs w:val="24"/>
      <w:lang w:eastAsia="fr-FR"/>
    </w:rPr>
  </w:style>
  <w:style w:type="paragraph" w:customStyle="1" w:styleId="xl428">
    <w:name w:val="xl428"/>
    <w:basedOn w:val="Normal"/>
    <w:rsid w:val="00BC3760"/>
    <w:pPr>
      <w:pBdr>
        <w:top w:val="single" w:sz="4" w:space="0" w:color="auto"/>
        <w:bottom w:val="single" w:sz="8" w:space="0" w:color="auto"/>
        <w:right w:val="single" w:sz="4" w:space="0" w:color="auto"/>
      </w:pBdr>
      <w:shd w:val="clear" w:color="000000" w:fill="00B0F0"/>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429">
    <w:name w:val="xl429"/>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sz w:val="24"/>
      <w:szCs w:val="24"/>
      <w:lang w:eastAsia="fr-FR"/>
    </w:rPr>
  </w:style>
  <w:style w:type="paragraph" w:customStyle="1" w:styleId="xl430">
    <w:name w:val="xl430"/>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sz w:val="24"/>
      <w:szCs w:val="24"/>
      <w:lang w:eastAsia="fr-FR"/>
    </w:rPr>
  </w:style>
  <w:style w:type="paragraph" w:customStyle="1" w:styleId="xl431">
    <w:name w:val="xl431"/>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sz w:val="24"/>
      <w:szCs w:val="24"/>
      <w:lang w:eastAsia="fr-FR"/>
    </w:rPr>
  </w:style>
  <w:style w:type="paragraph" w:customStyle="1" w:styleId="xl432">
    <w:name w:val="xl432"/>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textAlignment w:val="center"/>
    </w:pPr>
    <w:rPr>
      <w:rFonts w:eastAsia="Times New Roman"/>
      <w:sz w:val="24"/>
      <w:szCs w:val="24"/>
      <w:lang w:eastAsia="fr-FR"/>
    </w:rPr>
  </w:style>
  <w:style w:type="paragraph" w:customStyle="1" w:styleId="xl433">
    <w:name w:val="xl433"/>
    <w:basedOn w:val="Normal"/>
    <w:rsid w:val="00BC3760"/>
    <w:pPr>
      <w:pBdr>
        <w:top w:val="single" w:sz="4"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sz w:val="24"/>
      <w:szCs w:val="24"/>
      <w:lang w:eastAsia="fr-FR"/>
    </w:rPr>
  </w:style>
  <w:style w:type="paragraph" w:customStyle="1" w:styleId="xl434">
    <w:name w:val="xl434"/>
    <w:basedOn w:val="Normal"/>
    <w:rsid w:val="00BC3760"/>
    <w:pPr>
      <w:pBdr>
        <w:top w:val="single" w:sz="4"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b/>
      <w:bCs/>
      <w:sz w:val="24"/>
      <w:szCs w:val="24"/>
      <w:lang w:eastAsia="fr-FR"/>
    </w:rPr>
  </w:style>
  <w:style w:type="paragraph" w:customStyle="1" w:styleId="xl435">
    <w:name w:val="xl435"/>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436">
    <w:name w:val="xl436"/>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437">
    <w:name w:val="xl437"/>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b/>
      <w:bCs/>
      <w:sz w:val="24"/>
      <w:szCs w:val="24"/>
      <w:lang w:eastAsia="fr-FR"/>
    </w:rPr>
  </w:style>
  <w:style w:type="paragraph" w:customStyle="1" w:styleId="xl438">
    <w:name w:val="xl438"/>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textAlignment w:val="center"/>
    </w:pPr>
    <w:rPr>
      <w:rFonts w:eastAsia="Times New Roman"/>
      <w:b/>
      <w:bCs/>
      <w:sz w:val="24"/>
      <w:szCs w:val="24"/>
      <w:lang w:eastAsia="fr-FR"/>
    </w:rPr>
  </w:style>
  <w:style w:type="paragraph" w:customStyle="1" w:styleId="xl440">
    <w:name w:val="xl440"/>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441">
    <w:name w:val="xl441"/>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sz w:val="24"/>
      <w:szCs w:val="24"/>
      <w:lang w:eastAsia="fr-FR"/>
    </w:rPr>
  </w:style>
  <w:style w:type="paragraph" w:customStyle="1" w:styleId="xl442">
    <w:name w:val="xl442"/>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sz w:val="24"/>
      <w:szCs w:val="24"/>
      <w:lang w:eastAsia="fr-FR"/>
    </w:rPr>
  </w:style>
  <w:style w:type="paragraph" w:customStyle="1" w:styleId="xl443">
    <w:name w:val="xl443"/>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center"/>
      <w:textAlignment w:val="center"/>
    </w:pPr>
    <w:rPr>
      <w:rFonts w:eastAsia="Times New Roman"/>
      <w:sz w:val="24"/>
      <w:szCs w:val="24"/>
      <w:lang w:eastAsia="fr-FR"/>
    </w:rPr>
  </w:style>
  <w:style w:type="paragraph" w:customStyle="1" w:styleId="xl444">
    <w:name w:val="xl444"/>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sz w:val="24"/>
      <w:szCs w:val="24"/>
      <w:lang w:eastAsia="fr-FR"/>
    </w:rPr>
  </w:style>
  <w:style w:type="paragraph" w:customStyle="1" w:styleId="xl445">
    <w:name w:val="xl445"/>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pPr>
    <w:rPr>
      <w:rFonts w:eastAsia="Times New Roman"/>
      <w:sz w:val="24"/>
      <w:szCs w:val="24"/>
      <w:lang w:eastAsia="fr-FR"/>
    </w:rPr>
  </w:style>
  <w:style w:type="paragraph" w:customStyle="1" w:styleId="xl446">
    <w:name w:val="xl446"/>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447">
    <w:name w:val="xl447"/>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449">
    <w:name w:val="xl449"/>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textAlignment w:val="center"/>
    </w:pPr>
    <w:rPr>
      <w:rFonts w:eastAsia="Times New Roman"/>
      <w:sz w:val="24"/>
      <w:szCs w:val="24"/>
      <w:lang w:eastAsia="fr-FR"/>
    </w:rPr>
  </w:style>
  <w:style w:type="paragraph" w:customStyle="1" w:styleId="xl450">
    <w:name w:val="xl450"/>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451">
    <w:name w:val="xl451"/>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452">
    <w:name w:val="xl452"/>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453">
    <w:name w:val="xl453"/>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textAlignment w:val="center"/>
    </w:pPr>
    <w:rPr>
      <w:rFonts w:eastAsia="Times New Roman"/>
      <w:b/>
      <w:bCs/>
      <w:sz w:val="24"/>
      <w:szCs w:val="24"/>
      <w:lang w:eastAsia="fr-FR"/>
    </w:rPr>
  </w:style>
  <w:style w:type="paragraph" w:customStyle="1" w:styleId="xl465">
    <w:name w:val="xl465"/>
    <w:basedOn w:val="Normal"/>
    <w:rsid w:val="00BC3760"/>
    <w:pPr>
      <w:pBdr>
        <w:bottom w:val="single" w:sz="4" w:space="0" w:color="auto"/>
        <w:right w:val="single" w:sz="4" w:space="0" w:color="auto"/>
      </w:pBdr>
      <w:spacing w:before="100" w:beforeAutospacing="1" w:after="100" w:afterAutospacing="1" w:line="240" w:lineRule="auto"/>
    </w:pPr>
    <w:rPr>
      <w:rFonts w:eastAsia="Times New Roman"/>
      <w:sz w:val="24"/>
      <w:szCs w:val="24"/>
      <w:lang w:eastAsia="fr-FR"/>
    </w:rPr>
  </w:style>
  <w:style w:type="paragraph" w:customStyle="1" w:styleId="xl468">
    <w:name w:val="xl468"/>
    <w:basedOn w:val="Normal"/>
    <w:rsid w:val="00BC3760"/>
    <w:pPr>
      <w:pBdr>
        <w:top w:val="single" w:sz="4" w:space="0" w:color="auto"/>
        <w:right w:val="single" w:sz="4" w:space="0" w:color="auto"/>
      </w:pBdr>
      <w:spacing w:before="100" w:beforeAutospacing="1" w:after="100" w:afterAutospacing="1" w:line="240" w:lineRule="auto"/>
    </w:pPr>
    <w:rPr>
      <w:rFonts w:eastAsia="Times New Roman"/>
      <w:sz w:val="24"/>
      <w:szCs w:val="24"/>
      <w:lang w:eastAsia="fr-FR"/>
    </w:rPr>
  </w:style>
  <w:style w:type="paragraph" w:customStyle="1" w:styleId="xl472">
    <w:name w:val="xl472"/>
    <w:basedOn w:val="Normal"/>
    <w:rsid w:val="00BC3760"/>
    <w:pPr>
      <w:pBdr>
        <w:top w:val="single" w:sz="4"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b/>
      <w:bCs/>
      <w:sz w:val="24"/>
      <w:szCs w:val="24"/>
      <w:lang w:eastAsia="fr-FR"/>
    </w:rPr>
  </w:style>
  <w:style w:type="paragraph" w:customStyle="1" w:styleId="xl475">
    <w:name w:val="xl475"/>
    <w:basedOn w:val="Normal"/>
    <w:rsid w:val="00BC3760"/>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eastAsia="Times New Roman"/>
      <w:sz w:val="24"/>
      <w:szCs w:val="24"/>
      <w:lang w:eastAsia="fr-FR"/>
    </w:rPr>
  </w:style>
  <w:style w:type="paragraph" w:customStyle="1" w:styleId="xl478">
    <w:name w:val="xl478"/>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textAlignment w:val="center"/>
    </w:pPr>
    <w:rPr>
      <w:rFonts w:eastAsia="Times New Roman"/>
      <w:b/>
      <w:bCs/>
      <w:sz w:val="24"/>
      <w:szCs w:val="24"/>
      <w:lang w:eastAsia="fr-FR"/>
    </w:rPr>
  </w:style>
  <w:style w:type="paragraph" w:customStyle="1" w:styleId="xl526">
    <w:name w:val="xl526"/>
    <w:basedOn w:val="Normal"/>
    <w:rsid w:val="00BC3760"/>
    <w:pPr>
      <w:pBdr>
        <w:top w:val="single" w:sz="4" w:space="0" w:color="auto"/>
        <w:bottom w:val="single" w:sz="8" w:space="0" w:color="auto"/>
      </w:pBdr>
      <w:shd w:val="clear" w:color="000000" w:fill="00B0F0"/>
      <w:spacing w:before="100" w:beforeAutospacing="1" w:after="100" w:afterAutospacing="1" w:line="240" w:lineRule="auto"/>
    </w:pPr>
    <w:rPr>
      <w:rFonts w:eastAsia="Times New Roman"/>
      <w:b/>
      <w:bCs/>
      <w:sz w:val="24"/>
      <w:szCs w:val="24"/>
      <w:lang w:eastAsia="fr-FR"/>
    </w:rPr>
  </w:style>
  <w:style w:type="paragraph" w:customStyle="1" w:styleId="xl527">
    <w:name w:val="xl527"/>
    <w:basedOn w:val="Normal"/>
    <w:rsid w:val="00BC3760"/>
    <w:pPr>
      <w:pBdr>
        <w:top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528">
    <w:name w:val="xl528"/>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529">
    <w:name w:val="xl529"/>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pPr>
    <w:rPr>
      <w:rFonts w:eastAsia="Times New Roman"/>
      <w:b/>
      <w:bCs/>
      <w:sz w:val="24"/>
      <w:szCs w:val="24"/>
      <w:lang w:eastAsia="fr-FR"/>
    </w:rPr>
  </w:style>
  <w:style w:type="paragraph" w:customStyle="1" w:styleId="xl530">
    <w:name w:val="xl530"/>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jc w:val="right"/>
    </w:pPr>
    <w:rPr>
      <w:rFonts w:eastAsia="Times New Roman"/>
      <w:b/>
      <w:bCs/>
      <w:sz w:val="24"/>
      <w:szCs w:val="24"/>
      <w:lang w:eastAsia="fr-FR"/>
    </w:rPr>
  </w:style>
  <w:style w:type="paragraph" w:customStyle="1" w:styleId="xl531">
    <w:name w:val="xl531"/>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jc w:val="right"/>
      <w:textAlignment w:val="center"/>
    </w:pPr>
    <w:rPr>
      <w:rFonts w:eastAsia="Times New Roman"/>
      <w:b/>
      <w:bCs/>
      <w:sz w:val="24"/>
      <w:szCs w:val="24"/>
      <w:lang w:eastAsia="fr-FR"/>
    </w:rPr>
  </w:style>
  <w:style w:type="paragraph" w:customStyle="1" w:styleId="xl532">
    <w:name w:val="xl532"/>
    <w:basedOn w:val="Normal"/>
    <w:rsid w:val="00BC3760"/>
    <w:pPr>
      <w:pBdr>
        <w:top w:val="single" w:sz="4" w:space="0" w:color="auto"/>
        <w:bottom w:val="single" w:sz="8" w:space="0" w:color="auto"/>
      </w:pBdr>
      <w:shd w:val="clear" w:color="000000" w:fill="00B0F0"/>
      <w:spacing w:before="100" w:beforeAutospacing="1" w:after="100" w:afterAutospacing="1" w:line="240" w:lineRule="auto"/>
    </w:pPr>
    <w:rPr>
      <w:rFonts w:eastAsia="Times New Roman"/>
      <w:b/>
      <w:bCs/>
      <w:sz w:val="24"/>
      <w:szCs w:val="24"/>
      <w:lang w:eastAsia="fr-FR"/>
    </w:rPr>
  </w:style>
  <w:style w:type="paragraph" w:customStyle="1" w:styleId="xl533">
    <w:name w:val="xl533"/>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jc w:val="right"/>
      <w:textAlignment w:val="center"/>
    </w:pPr>
    <w:rPr>
      <w:rFonts w:eastAsia="Times New Roman"/>
      <w:b/>
      <w:bCs/>
      <w:sz w:val="24"/>
      <w:szCs w:val="24"/>
      <w:lang w:eastAsia="fr-FR"/>
    </w:rPr>
  </w:style>
  <w:style w:type="paragraph" w:customStyle="1" w:styleId="xl534">
    <w:name w:val="xl534"/>
    <w:basedOn w:val="Normal"/>
    <w:rsid w:val="00BC3760"/>
    <w:pPr>
      <w:pBdr>
        <w:top w:val="single" w:sz="8" w:space="0" w:color="auto"/>
        <w:left w:val="single" w:sz="8" w:space="0" w:color="auto"/>
        <w:right w:val="single" w:sz="8" w:space="0" w:color="auto"/>
      </w:pBdr>
      <w:shd w:val="clear" w:color="000000" w:fill="00B0F0"/>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535">
    <w:name w:val="xl535"/>
    <w:basedOn w:val="Normal"/>
    <w:rsid w:val="00BC3760"/>
    <w:pPr>
      <w:pBdr>
        <w:left w:val="single" w:sz="8" w:space="0" w:color="auto"/>
        <w:bottom w:val="single" w:sz="8" w:space="0" w:color="auto"/>
        <w:right w:val="single" w:sz="8" w:space="0" w:color="auto"/>
      </w:pBdr>
      <w:shd w:val="clear" w:color="000000" w:fill="00B0F0"/>
      <w:spacing w:before="100" w:beforeAutospacing="1" w:after="100" w:afterAutospacing="1" w:line="240" w:lineRule="auto"/>
      <w:jc w:val="center"/>
      <w:textAlignment w:val="center"/>
    </w:pPr>
    <w:rPr>
      <w:rFonts w:eastAsia="Times New Roman"/>
      <w:b/>
      <w:bCs/>
      <w:sz w:val="24"/>
      <w:szCs w:val="24"/>
      <w:lang w:eastAsia="fr-FR"/>
    </w:rPr>
  </w:style>
  <w:style w:type="paragraph" w:customStyle="1" w:styleId="xl715">
    <w:name w:val="xl715"/>
    <w:basedOn w:val="Normal"/>
    <w:rsid w:val="00BC3760"/>
    <w:pPr>
      <w:pBdr>
        <w:top w:val="single" w:sz="8" w:space="0" w:color="auto"/>
        <w:left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16">
    <w:name w:val="xl716"/>
    <w:basedOn w:val="Normal"/>
    <w:rsid w:val="00BC3760"/>
    <w:pPr>
      <w:pBdr>
        <w:top w:val="single" w:sz="8" w:space="0" w:color="auto"/>
        <w:left w:val="single" w:sz="8" w:space="0" w:color="auto"/>
        <w:right w:val="single" w:sz="8" w:space="0" w:color="auto"/>
      </w:pBdr>
      <w:shd w:val="clear" w:color="000000" w:fill="A9D08E"/>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17">
    <w:name w:val="xl717"/>
    <w:basedOn w:val="Normal"/>
    <w:rsid w:val="00BC3760"/>
    <w:pPr>
      <w:pBdr>
        <w:top w:val="single" w:sz="8" w:space="0" w:color="auto"/>
        <w:left w:val="single" w:sz="8" w:space="0" w:color="auto"/>
        <w:bottom w:val="single" w:sz="8" w:space="0" w:color="auto"/>
      </w:pBdr>
      <w:shd w:val="clear" w:color="000000" w:fill="F4B084"/>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18">
    <w:name w:val="xl718"/>
    <w:basedOn w:val="Normal"/>
    <w:rsid w:val="00BC3760"/>
    <w:pPr>
      <w:pBdr>
        <w:top w:val="single" w:sz="8" w:space="0" w:color="auto"/>
        <w:bottom w:val="single" w:sz="8" w:space="0" w:color="auto"/>
        <w:right w:val="single" w:sz="8" w:space="0" w:color="auto"/>
      </w:pBdr>
      <w:shd w:val="clear" w:color="000000" w:fill="F4B084"/>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19">
    <w:name w:val="xl719"/>
    <w:basedOn w:val="Normal"/>
    <w:rsid w:val="00BC3760"/>
    <w:pPr>
      <w:pBdr>
        <w:top w:val="single" w:sz="8" w:space="0" w:color="auto"/>
        <w:bottom w:val="single" w:sz="8" w:space="0" w:color="auto"/>
      </w:pBdr>
      <w:shd w:val="clear" w:color="000000" w:fill="F4B084"/>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0">
    <w:name w:val="xl720"/>
    <w:basedOn w:val="Normal"/>
    <w:rsid w:val="00BC3760"/>
    <w:pPr>
      <w:pBdr>
        <w:top w:val="single" w:sz="8" w:space="0" w:color="auto"/>
        <w:left w:val="single" w:sz="8" w:space="0" w:color="auto"/>
        <w:right w:val="single" w:sz="8" w:space="0" w:color="auto"/>
      </w:pBdr>
      <w:shd w:val="clear" w:color="000000" w:fill="00B0F0"/>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1">
    <w:name w:val="xl721"/>
    <w:basedOn w:val="Normal"/>
    <w:rsid w:val="00BC3760"/>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2">
    <w:name w:val="xl722"/>
    <w:basedOn w:val="Normal"/>
    <w:rsid w:val="00BC3760"/>
    <w:pPr>
      <w:pBdr>
        <w:left w:val="single" w:sz="8" w:space="0" w:color="auto"/>
        <w:bottom w:val="single" w:sz="8" w:space="0" w:color="auto"/>
        <w:right w:val="single" w:sz="8" w:space="0" w:color="auto"/>
      </w:pBdr>
      <w:shd w:val="clear" w:color="000000" w:fill="A9D08E"/>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3">
    <w:name w:val="xl723"/>
    <w:basedOn w:val="Normal"/>
    <w:rsid w:val="00BC376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4">
    <w:name w:val="xl724"/>
    <w:basedOn w:val="Normal"/>
    <w:rsid w:val="00BC3760"/>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5">
    <w:name w:val="xl725"/>
    <w:basedOn w:val="Normal"/>
    <w:rsid w:val="00BC3760"/>
    <w:pPr>
      <w:pBdr>
        <w:left w:val="single" w:sz="8" w:space="0" w:color="auto"/>
        <w:right w:val="single" w:sz="4" w:space="0" w:color="auto"/>
      </w:pBdr>
      <w:shd w:val="clear" w:color="000000" w:fill="BFBFBF"/>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6">
    <w:name w:val="xl726"/>
    <w:basedOn w:val="Normal"/>
    <w:rsid w:val="00BC3760"/>
    <w:pPr>
      <w:pBdr>
        <w:top w:val="single" w:sz="8" w:space="0" w:color="auto"/>
        <w:left w:val="dashed" w:sz="4"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7">
    <w:name w:val="xl727"/>
    <w:basedOn w:val="Normal"/>
    <w:rsid w:val="00BC3760"/>
    <w:pPr>
      <w:pBdr>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8">
    <w:name w:val="xl728"/>
    <w:basedOn w:val="Normal"/>
    <w:rsid w:val="00BC3760"/>
    <w:pPr>
      <w:pBdr>
        <w:top w:val="single" w:sz="8" w:space="0" w:color="auto"/>
        <w:left w:val="dashed"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29">
    <w:name w:val="xl729"/>
    <w:basedOn w:val="Normal"/>
    <w:rsid w:val="00BC3760"/>
    <w:pPr>
      <w:pBdr>
        <w:left w:val="single" w:sz="8" w:space="0" w:color="auto"/>
        <w:bottom w:val="single" w:sz="8" w:space="0" w:color="auto"/>
        <w:right w:val="single" w:sz="8" w:space="0" w:color="auto"/>
      </w:pBdr>
      <w:shd w:val="clear" w:color="000000" w:fill="00B0F0"/>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30">
    <w:name w:val="xl730"/>
    <w:basedOn w:val="Normal"/>
    <w:rsid w:val="00BC3760"/>
    <w:pPr>
      <w:pBdr>
        <w:top w:val="single" w:sz="8" w:space="0" w:color="auto"/>
        <w:left w:val="single" w:sz="8" w:space="0" w:color="auto"/>
        <w:right w:val="single" w:sz="8" w:space="0" w:color="auto"/>
      </w:pBdr>
      <w:spacing w:before="100" w:beforeAutospacing="1" w:after="100" w:afterAutospacing="1" w:line="240" w:lineRule="auto"/>
      <w:textAlignment w:val="center"/>
    </w:pPr>
    <w:rPr>
      <w:rFonts w:eastAsia="Times New Roman"/>
      <w:b/>
      <w:bCs/>
      <w:sz w:val="18"/>
      <w:szCs w:val="18"/>
      <w:lang w:eastAsia="fr-FR"/>
    </w:rPr>
  </w:style>
  <w:style w:type="paragraph" w:customStyle="1" w:styleId="xl731">
    <w:name w:val="xl731"/>
    <w:basedOn w:val="Normal"/>
    <w:rsid w:val="00BC3760"/>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732">
    <w:name w:val="xl732"/>
    <w:basedOn w:val="Normal"/>
    <w:rsid w:val="00BC3760"/>
    <w:pPr>
      <w:pBdr>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33">
    <w:name w:val="xl733"/>
    <w:basedOn w:val="Normal"/>
    <w:rsid w:val="00BC3760"/>
    <w:pPr>
      <w:pBdr>
        <w:top w:val="single" w:sz="8" w:space="0" w:color="auto"/>
        <w:left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34">
    <w:name w:val="xl734"/>
    <w:basedOn w:val="Normal"/>
    <w:rsid w:val="00BC376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35">
    <w:name w:val="xl735"/>
    <w:basedOn w:val="Normal"/>
    <w:rsid w:val="00BC3760"/>
    <w:pPr>
      <w:pBdr>
        <w:top w:val="single" w:sz="8"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eastAsia="Times New Roman"/>
      <w:sz w:val="18"/>
      <w:szCs w:val="18"/>
      <w:lang w:eastAsia="fr-FR"/>
    </w:rPr>
  </w:style>
  <w:style w:type="paragraph" w:customStyle="1" w:styleId="xl736">
    <w:name w:val="xl736"/>
    <w:basedOn w:val="Normal"/>
    <w:rsid w:val="00BC3760"/>
    <w:pPr>
      <w:pBdr>
        <w:top w:val="single" w:sz="8" w:space="0" w:color="auto"/>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737">
    <w:name w:val="xl737"/>
    <w:basedOn w:val="Normal"/>
    <w:rsid w:val="00BC3760"/>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738">
    <w:name w:val="xl738"/>
    <w:basedOn w:val="Normal"/>
    <w:rsid w:val="00BC376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18"/>
      <w:szCs w:val="18"/>
      <w:lang w:eastAsia="fr-FR"/>
    </w:rPr>
  </w:style>
  <w:style w:type="paragraph" w:customStyle="1" w:styleId="xl739">
    <w:name w:val="xl739"/>
    <w:basedOn w:val="Normal"/>
    <w:rsid w:val="00BC3760"/>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color w:val="000000"/>
      <w:sz w:val="18"/>
      <w:szCs w:val="18"/>
      <w:lang w:eastAsia="fr-FR"/>
    </w:rPr>
  </w:style>
  <w:style w:type="paragraph" w:customStyle="1" w:styleId="xl740">
    <w:name w:val="xl740"/>
    <w:basedOn w:val="Normal"/>
    <w:rsid w:val="00BC3760"/>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741">
    <w:name w:val="xl741"/>
    <w:basedOn w:val="Normal"/>
    <w:rsid w:val="00BC376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42">
    <w:name w:val="xl742"/>
    <w:basedOn w:val="Normal"/>
    <w:rsid w:val="00BC376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43">
    <w:name w:val="xl743"/>
    <w:basedOn w:val="Normal"/>
    <w:rsid w:val="00BC376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47">
    <w:name w:val="xl747"/>
    <w:basedOn w:val="Normal"/>
    <w:rsid w:val="00BC376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48">
    <w:name w:val="xl748"/>
    <w:basedOn w:val="Normal"/>
    <w:rsid w:val="00BC3760"/>
    <w:pPr>
      <w:pBdr>
        <w:left w:val="single" w:sz="8" w:space="0" w:color="auto"/>
        <w:right w:val="single" w:sz="8" w:space="0" w:color="auto"/>
      </w:pBdr>
      <w:spacing w:before="100" w:beforeAutospacing="1" w:after="100" w:afterAutospacing="1" w:line="240" w:lineRule="auto"/>
      <w:textAlignment w:val="center"/>
    </w:pPr>
    <w:rPr>
      <w:rFonts w:eastAsia="Times New Roman"/>
      <w:b/>
      <w:bCs/>
      <w:sz w:val="18"/>
      <w:szCs w:val="18"/>
      <w:lang w:eastAsia="fr-FR"/>
    </w:rPr>
  </w:style>
  <w:style w:type="paragraph" w:customStyle="1" w:styleId="xl749">
    <w:name w:val="xl749"/>
    <w:basedOn w:val="Normal"/>
    <w:rsid w:val="00BC3760"/>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750">
    <w:name w:val="xl750"/>
    <w:basedOn w:val="Normal"/>
    <w:rsid w:val="00BC3760"/>
    <w:pPr>
      <w:pBdr>
        <w:top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51">
    <w:name w:val="xl751"/>
    <w:basedOn w:val="Normal"/>
    <w:rsid w:val="00BC3760"/>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52">
    <w:name w:val="xl752"/>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53">
    <w:name w:val="xl753"/>
    <w:basedOn w:val="Normal"/>
    <w:rsid w:val="00BC3760"/>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eastAsia="Times New Roman"/>
      <w:sz w:val="18"/>
      <w:szCs w:val="18"/>
      <w:lang w:eastAsia="fr-FR"/>
    </w:rPr>
  </w:style>
  <w:style w:type="paragraph" w:customStyle="1" w:styleId="xl754">
    <w:name w:val="xl754"/>
    <w:basedOn w:val="Normal"/>
    <w:rsid w:val="00BC3760"/>
    <w:pPr>
      <w:pBdr>
        <w:top w:val="single" w:sz="4" w:space="0" w:color="auto"/>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755">
    <w:name w:val="xl755"/>
    <w:basedOn w:val="Normal"/>
    <w:rsid w:val="00BC3760"/>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756">
    <w:name w:val="xl756"/>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18"/>
      <w:szCs w:val="18"/>
      <w:lang w:eastAsia="fr-FR"/>
    </w:rPr>
  </w:style>
  <w:style w:type="paragraph" w:customStyle="1" w:styleId="xl757">
    <w:name w:val="xl757"/>
    <w:basedOn w:val="Normal"/>
    <w:rsid w:val="00BC3760"/>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color w:val="000000"/>
      <w:sz w:val="18"/>
      <w:szCs w:val="18"/>
      <w:lang w:eastAsia="fr-FR"/>
    </w:rPr>
  </w:style>
  <w:style w:type="paragraph" w:customStyle="1" w:styleId="xl758">
    <w:name w:val="xl758"/>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759">
    <w:name w:val="xl759"/>
    <w:basedOn w:val="Normal"/>
    <w:rsid w:val="00BC376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60">
    <w:name w:val="xl760"/>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61">
    <w:name w:val="xl761"/>
    <w:basedOn w:val="Normal"/>
    <w:rsid w:val="00BC376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64">
    <w:name w:val="xl764"/>
    <w:basedOn w:val="Normal"/>
    <w:rsid w:val="00BC3760"/>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765">
    <w:name w:val="xl765"/>
    <w:basedOn w:val="Normal"/>
    <w:rsid w:val="00BC3760"/>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66">
    <w:name w:val="xl766"/>
    <w:basedOn w:val="Normal"/>
    <w:rsid w:val="00BC3760"/>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767">
    <w:name w:val="xl767"/>
    <w:basedOn w:val="Normal"/>
    <w:rsid w:val="00BC3760"/>
    <w:pPr>
      <w:pBdr>
        <w:top w:val="single" w:sz="4" w:space="0" w:color="auto"/>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768">
    <w:name w:val="xl768"/>
    <w:basedOn w:val="Normal"/>
    <w:rsid w:val="00BC376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eastAsia="Times New Roman"/>
      <w:sz w:val="18"/>
      <w:szCs w:val="18"/>
      <w:lang w:eastAsia="fr-FR"/>
    </w:rPr>
  </w:style>
  <w:style w:type="paragraph" w:customStyle="1" w:styleId="xl769">
    <w:name w:val="xl769"/>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770">
    <w:name w:val="xl770"/>
    <w:basedOn w:val="Normal"/>
    <w:rsid w:val="00BC3760"/>
    <w:pPr>
      <w:pBdr>
        <w:top w:val="single" w:sz="4" w:space="0" w:color="auto"/>
        <w:left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71">
    <w:name w:val="xl771"/>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772">
    <w:name w:val="xl772"/>
    <w:basedOn w:val="Normal"/>
    <w:rsid w:val="00BC3760"/>
    <w:pPr>
      <w:pBdr>
        <w:top w:val="single" w:sz="4" w:space="0" w:color="auto"/>
        <w:left w:val="single" w:sz="8"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773">
    <w:name w:val="xl773"/>
    <w:basedOn w:val="Normal"/>
    <w:rsid w:val="00BC3760"/>
    <w:pPr>
      <w:pBdr>
        <w:top w:val="single" w:sz="4" w:space="0" w:color="auto"/>
        <w:left w:val="single" w:sz="4" w:space="0" w:color="auto"/>
        <w:right w:val="single" w:sz="8" w:space="0" w:color="auto"/>
      </w:pBdr>
      <w:spacing w:before="100" w:beforeAutospacing="1" w:after="100" w:afterAutospacing="1" w:line="240" w:lineRule="auto"/>
      <w:jc w:val="right"/>
    </w:pPr>
    <w:rPr>
      <w:rFonts w:eastAsia="Times New Roman"/>
      <w:sz w:val="18"/>
      <w:szCs w:val="18"/>
      <w:lang w:eastAsia="fr-FR"/>
    </w:rPr>
  </w:style>
  <w:style w:type="paragraph" w:customStyle="1" w:styleId="xl775">
    <w:name w:val="xl775"/>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776">
    <w:name w:val="xl776"/>
    <w:basedOn w:val="Normal"/>
    <w:rsid w:val="00BC3760"/>
    <w:pPr>
      <w:pBdr>
        <w:top w:val="single" w:sz="4" w:space="0" w:color="auto"/>
        <w:left w:val="single" w:sz="4" w:space="0" w:color="auto"/>
        <w:right w:val="single" w:sz="8" w:space="0" w:color="auto"/>
      </w:pBdr>
      <w:spacing w:before="100" w:beforeAutospacing="1" w:after="100" w:afterAutospacing="1" w:line="240" w:lineRule="auto"/>
      <w:textAlignment w:val="center"/>
    </w:pPr>
    <w:rPr>
      <w:rFonts w:eastAsia="Times New Roman"/>
      <w:sz w:val="18"/>
      <w:szCs w:val="18"/>
      <w:lang w:eastAsia="fr-FR"/>
    </w:rPr>
  </w:style>
  <w:style w:type="paragraph" w:customStyle="1" w:styleId="xl777">
    <w:name w:val="xl777"/>
    <w:basedOn w:val="Normal"/>
    <w:rsid w:val="00BC3760"/>
    <w:pPr>
      <w:pBdr>
        <w:top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778">
    <w:name w:val="xl778"/>
    <w:basedOn w:val="Normal"/>
    <w:rsid w:val="00BC3760"/>
    <w:pPr>
      <w:pBdr>
        <w:top w:val="single" w:sz="4" w:space="0" w:color="auto"/>
        <w:left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779">
    <w:name w:val="xl779"/>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 w:val="18"/>
      <w:szCs w:val="18"/>
      <w:lang w:eastAsia="fr-FR"/>
    </w:rPr>
  </w:style>
  <w:style w:type="paragraph" w:customStyle="1" w:styleId="xl780">
    <w:name w:val="xl780"/>
    <w:basedOn w:val="Normal"/>
    <w:rsid w:val="00BC3760"/>
    <w:pPr>
      <w:pBdr>
        <w:top w:val="single" w:sz="4" w:space="0" w:color="auto"/>
        <w:left w:val="single" w:sz="4" w:space="0" w:color="auto"/>
        <w:right w:val="single" w:sz="8" w:space="0" w:color="auto"/>
      </w:pBdr>
      <w:spacing w:before="100" w:beforeAutospacing="1" w:after="100" w:afterAutospacing="1" w:line="240" w:lineRule="auto"/>
    </w:pPr>
    <w:rPr>
      <w:rFonts w:eastAsia="Times New Roman"/>
      <w:color w:val="000000"/>
      <w:sz w:val="18"/>
      <w:szCs w:val="18"/>
      <w:lang w:eastAsia="fr-FR"/>
    </w:rPr>
  </w:style>
  <w:style w:type="paragraph" w:customStyle="1" w:styleId="xl781">
    <w:name w:val="xl781"/>
    <w:basedOn w:val="Normal"/>
    <w:rsid w:val="00BC3760"/>
    <w:pPr>
      <w:pBdr>
        <w:top w:val="single" w:sz="4" w:space="0" w:color="auto"/>
        <w:left w:val="single" w:sz="8"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782">
    <w:name w:val="xl782"/>
    <w:basedOn w:val="Normal"/>
    <w:rsid w:val="00BC3760"/>
    <w:pPr>
      <w:pBdr>
        <w:top w:val="single" w:sz="4" w:space="0" w:color="auto"/>
        <w:left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83">
    <w:name w:val="xl783"/>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785">
    <w:name w:val="xl785"/>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787">
    <w:name w:val="xl787"/>
    <w:basedOn w:val="Normal"/>
    <w:rsid w:val="00BC3760"/>
    <w:pPr>
      <w:pBdr>
        <w:top w:val="single" w:sz="4" w:space="0" w:color="auto"/>
        <w:left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788">
    <w:name w:val="xl788"/>
    <w:basedOn w:val="Normal"/>
    <w:rsid w:val="00BC3760"/>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b/>
      <w:bCs/>
      <w:sz w:val="18"/>
      <w:szCs w:val="18"/>
      <w:lang w:eastAsia="fr-FR"/>
    </w:rPr>
  </w:style>
  <w:style w:type="paragraph" w:customStyle="1" w:styleId="xl789">
    <w:name w:val="xl789"/>
    <w:basedOn w:val="Normal"/>
    <w:rsid w:val="00BC3760"/>
    <w:pPr>
      <w:pBdr>
        <w:top w:val="single" w:sz="4" w:space="0" w:color="auto"/>
        <w:left w:val="single" w:sz="8" w:space="0" w:color="auto"/>
        <w:bottom w:val="single" w:sz="8" w:space="0" w:color="auto"/>
        <w:right w:val="single" w:sz="8" w:space="0" w:color="auto"/>
      </w:pBdr>
      <w:shd w:val="clear" w:color="000000" w:fill="00B0F0"/>
      <w:spacing w:before="100" w:beforeAutospacing="1" w:after="100" w:afterAutospacing="1" w:line="240" w:lineRule="auto"/>
      <w:jc w:val="center"/>
    </w:pPr>
    <w:rPr>
      <w:rFonts w:eastAsia="Times New Roman"/>
      <w:b/>
      <w:bCs/>
      <w:sz w:val="18"/>
      <w:szCs w:val="18"/>
      <w:lang w:eastAsia="fr-FR"/>
    </w:rPr>
  </w:style>
  <w:style w:type="paragraph" w:customStyle="1" w:styleId="xl790">
    <w:name w:val="xl790"/>
    <w:basedOn w:val="Normal"/>
    <w:rsid w:val="00BC3760"/>
    <w:pPr>
      <w:pBdr>
        <w:top w:val="single" w:sz="4"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b/>
      <w:bCs/>
      <w:sz w:val="18"/>
      <w:szCs w:val="18"/>
      <w:lang w:eastAsia="fr-FR"/>
    </w:rPr>
  </w:style>
  <w:style w:type="paragraph" w:customStyle="1" w:styleId="xl791">
    <w:name w:val="xl791"/>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792">
    <w:name w:val="xl792"/>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793">
    <w:name w:val="xl793"/>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94">
    <w:name w:val="xl794"/>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b/>
      <w:bCs/>
      <w:sz w:val="18"/>
      <w:szCs w:val="18"/>
      <w:lang w:eastAsia="fr-FR"/>
    </w:rPr>
  </w:style>
  <w:style w:type="paragraph" w:customStyle="1" w:styleId="xl795">
    <w:name w:val="xl795"/>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textAlignment w:val="center"/>
    </w:pPr>
    <w:rPr>
      <w:rFonts w:eastAsia="Times New Roman"/>
      <w:b/>
      <w:bCs/>
      <w:sz w:val="18"/>
      <w:szCs w:val="18"/>
      <w:lang w:eastAsia="fr-FR"/>
    </w:rPr>
  </w:style>
  <w:style w:type="paragraph" w:customStyle="1" w:styleId="xl796">
    <w:name w:val="xl796"/>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797">
    <w:name w:val="xl797"/>
    <w:basedOn w:val="Normal"/>
    <w:rsid w:val="00BC376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sz w:val="18"/>
      <w:szCs w:val="18"/>
      <w:lang w:eastAsia="fr-FR"/>
    </w:rPr>
  </w:style>
  <w:style w:type="paragraph" w:customStyle="1" w:styleId="xl799">
    <w:name w:val="xl799"/>
    <w:basedOn w:val="Normal"/>
    <w:rsid w:val="00BC376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800">
    <w:name w:val="xl800"/>
    <w:basedOn w:val="Normal"/>
    <w:rsid w:val="00BC3760"/>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801">
    <w:name w:val="xl801"/>
    <w:basedOn w:val="Normal"/>
    <w:rsid w:val="00BC3760"/>
    <w:pPr>
      <w:spacing w:before="100" w:beforeAutospacing="1" w:after="100" w:afterAutospacing="1" w:line="240" w:lineRule="auto"/>
    </w:pPr>
    <w:rPr>
      <w:rFonts w:eastAsia="Times New Roman"/>
      <w:sz w:val="18"/>
      <w:szCs w:val="18"/>
      <w:lang w:eastAsia="fr-FR"/>
    </w:rPr>
  </w:style>
  <w:style w:type="paragraph" w:customStyle="1" w:styleId="xl802">
    <w:name w:val="xl802"/>
    <w:basedOn w:val="Normal"/>
    <w:rsid w:val="00BC3760"/>
    <w:pPr>
      <w:pBdr>
        <w:left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04">
    <w:name w:val="xl804"/>
    <w:basedOn w:val="Normal"/>
    <w:rsid w:val="00BC376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eastAsia="Times New Roman"/>
      <w:sz w:val="18"/>
      <w:szCs w:val="18"/>
      <w:lang w:eastAsia="fr-FR"/>
    </w:rPr>
  </w:style>
  <w:style w:type="paragraph" w:customStyle="1" w:styleId="xl805">
    <w:name w:val="xl805"/>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806">
    <w:name w:val="xl806"/>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807">
    <w:name w:val="xl807"/>
    <w:basedOn w:val="Normal"/>
    <w:rsid w:val="00BC3760"/>
    <w:pPr>
      <w:pBdr>
        <w:top w:val="single" w:sz="4" w:space="0" w:color="auto"/>
        <w:left w:val="single" w:sz="8"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809">
    <w:name w:val="xl809"/>
    <w:basedOn w:val="Normal"/>
    <w:rsid w:val="00BC3760"/>
    <w:pPr>
      <w:pBdr>
        <w:top w:val="single" w:sz="4" w:space="0" w:color="auto"/>
        <w:left w:val="single" w:sz="4" w:space="0" w:color="auto"/>
        <w:right w:val="single" w:sz="8" w:space="0" w:color="auto"/>
      </w:pBdr>
      <w:spacing w:before="100" w:beforeAutospacing="1" w:after="100" w:afterAutospacing="1" w:line="240" w:lineRule="auto"/>
      <w:jc w:val="right"/>
    </w:pPr>
    <w:rPr>
      <w:rFonts w:eastAsia="Times New Roman"/>
      <w:sz w:val="18"/>
      <w:szCs w:val="18"/>
      <w:lang w:eastAsia="fr-FR"/>
    </w:rPr>
  </w:style>
  <w:style w:type="paragraph" w:customStyle="1" w:styleId="xl810">
    <w:name w:val="xl810"/>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811">
    <w:name w:val="xl811"/>
    <w:basedOn w:val="Normal"/>
    <w:rsid w:val="00BC3760"/>
    <w:pPr>
      <w:pBdr>
        <w:top w:val="single" w:sz="4" w:space="0" w:color="auto"/>
        <w:left w:val="single" w:sz="4" w:space="0" w:color="auto"/>
        <w:right w:val="single" w:sz="8" w:space="0" w:color="auto"/>
      </w:pBdr>
      <w:spacing w:before="100" w:beforeAutospacing="1" w:after="100" w:afterAutospacing="1" w:line="240" w:lineRule="auto"/>
      <w:jc w:val="right"/>
    </w:pPr>
    <w:rPr>
      <w:rFonts w:eastAsia="Times New Roman"/>
      <w:sz w:val="18"/>
      <w:szCs w:val="18"/>
      <w:lang w:eastAsia="fr-FR"/>
    </w:rPr>
  </w:style>
  <w:style w:type="paragraph" w:customStyle="1" w:styleId="xl812">
    <w:name w:val="xl812"/>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815">
    <w:name w:val="xl815"/>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816">
    <w:name w:val="xl816"/>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817">
    <w:name w:val="xl817"/>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818">
    <w:name w:val="xl818"/>
    <w:basedOn w:val="Normal"/>
    <w:rsid w:val="00BC376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eastAsia="Times New Roman"/>
      <w:sz w:val="18"/>
      <w:szCs w:val="18"/>
      <w:lang w:eastAsia="fr-FR"/>
    </w:rPr>
  </w:style>
  <w:style w:type="paragraph" w:customStyle="1" w:styleId="xl819">
    <w:name w:val="xl819"/>
    <w:basedOn w:val="Normal"/>
    <w:rsid w:val="00BC376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820">
    <w:name w:val="xl820"/>
    <w:basedOn w:val="Normal"/>
    <w:rsid w:val="00BC376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18"/>
      <w:szCs w:val="18"/>
      <w:lang w:eastAsia="fr-FR"/>
    </w:rPr>
  </w:style>
  <w:style w:type="paragraph" w:customStyle="1" w:styleId="xl821">
    <w:name w:val="xl821"/>
    <w:basedOn w:val="Normal"/>
    <w:rsid w:val="00BC3760"/>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pPr>
    <w:rPr>
      <w:rFonts w:eastAsia="Times New Roman"/>
      <w:sz w:val="18"/>
      <w:szCs w:val="18"/>
      <w:lang w:eastAsia="fr-FR"/>
    </w:rPr>
  </w:style>
  <w:style w:type="paragraph" w:customStyle="1" w:styleId="xl822">
    <w:name w:val="xl822"/>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18"/>
      <w:szCs w:val="18"/>
      <w:lang w:eastAsia="fr-FR"/>
    </w:rPr>
  </w:style>
  <w:style w:type="paragraph" w:customStyle="1" w:styleId="xl826">
    <w:name w:val="xl826"/>
    <w:basedOn w:val="Normal"/>
    <w:rsid w:val="00BC3760"/>
    <w:pPr>
      <w:pBdr>
        <w:top w:val="single" w:sz="4"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sz w:val="18"/>
      <w:szCs w:val="18"/>
      <w:lang w:eastAsia="fr-FR"/>
    </w:rPr>
  </w:style>
  <w:style w:type="paragraph" w:customStyle="1" w:styleId="xl827">
    <w:name w:val="xl827"/>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sz w:val="18"/>
      <w:szCs w:val="18"/>
      <w:lang w:eastAsia="fr-FR"/>
    </w:rPr>
  </w:style>
  <w:style w:type="paragraph" w:customStyle="1" w:styleId="xl828">
    <w:name w:val="xl828"/>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sz w:val="18"/>
      <w:szCs w:val="18"/>
      <w:lang w:eastAsia="fr-FR"/>
    </w:rPr>
  </w:style>
  <w:style w:type="paragraph" w:customStyle="1" w:styleId="xl829">
    <w:name w:val="xl829"/>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sz w:val="18"/>
      <w:szCs w:val="18"/>
      <w:lang w:eastAsia="fr-FR"/>
    </w:rPr>
  </w:style>
  <w:style w:type="paragraph" w:customStyle="1" w:styleId="xl830">
    <w:name w:val="xl830"/>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center"/>
      <w:textAlignment w:val="center"/>
    </w:pPr>
    <w:rPr>
      <w:rFonts w:eastAsia="Times New Roman"/>
      <w:sz w:val="18"/>
      <w:szCs w:val="18"/>
      <w:lang w:eastAsia="fr-FR"/>
    </w:rPr>
  </w:style>
  <w:style w:type="paragraph" w:customStyle="1" w:styleId="xl831">
    <w:name w:val="xl831"/>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sz w:val="18"/>
      <w:szCs w:val="18"/>
      <w:lang w:eastAsia="fr-FR"/>
    </w:rPr>
  </w:style>
  <w:style w:type="paragraph" w:customStyle="1" w:styleId="xl837">
    <w:name w:val="xl837"/>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39">
    <w:name w:val="xl839"/>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840">
    <w:name w:val="xl840"/>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textAlignment w:val="center"/>
    </w:pPr>
    <w:rPr>
      <w:rFonts w:eastAsia="Times New Roman"/>
      <w:b/>
      <w:bCs/>
      <w:sz w:val="18"/>
      <w:szCs w:val="18"/>
      <w:lang w:eastAsia="fr-FR"/>
    </w:rPr>
  </w:style>
  <w:style w:type="paragraph" w:customStyle="1" w:styleId="xl841">
    <w:name w:val="xl841"/>
    <w:basedOn w:val="Normal"/>
    <w:rsid w:val="00BC3760"/>
    <w:pPr>
      <w:pBdr>
        <w:top w:val="single" w:sz="8" w:space="0" w:color="auto"/>
        <w:left w:val="single" w:sz="8"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847">
    <w:name w:val="xl847"/>
    <w:basedOn w:val="Normal"/>
    <w:rsid w:val="00BC3760"/>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sz w:val="18"/>
      <w:szCs w:val="18"/>
      <w:lang w:eastAsia="fr-FR"/>
    </w:rPr>
  </w:style>
  <w:style w:type="paragraph" w:customStyle="1" w:styleId="xl848">
    <w:name w:val="xl848"/>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pPr>
    <w:rPr>
      <w:rFonts w:eastAsia="Times New Roman"/>
      <w:sz w:val="18"/>
      <w:szCs w:val="18"/>
      <w:lang w:eastAsia="fr-FR"/>
    </w:rPr>
  </w:style>
  <w:style w:type="paragraph" w:customStyle="1" w:styleId="xl849">
    <w:name w:val="xl849"/>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textAlignment w:val="center"/>
    </w:pPr>
    <w:rPr>
      <w:rFonts w:eastAsia="Times New Roman"/>
      <w:sz w:val="18"/>
      <w:szCs w:val="18"/>
      <w:lang w:eastAsia="fr-FR"/>
    </w:rPr>
  </w:style>
  <w:style w:type="paragraph" w:customStyle="1" w:styleId="xl850">
    <w:name w:val="xl850"/>
    <w:basedOn w:val="Normal"/>
    <w:rsid w:val="00BC3760"/>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eastAsia="Times New Roman"/>
      <w:sz w:val="18"/>
      <w:szCs w:val="18"/>
      <w:lang w:eastAsia="fr-FR"/>
    </w:rPr>
  </w:style>
  <w:style w:type="paragraph" w:customStyle="1" w:styleId="xl851">
    <w:name w:val="xl851"/>
    <w:basedOn w:val="Normal"/>
    <w:rsid w:val="00BC376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854">
    <w:name w:val="xl854"/>
    <w:basedOn w:val="Normal"/>
    <w:rsid w:val="00BC3760"/>
    <w:pPr>
      <w:pBdr>
        <w:top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856">
    <w:name w:val="xl856"/>
    <w:basedOn w:val="Normal"/>
    <w:rsid w:val="00BC3760"/>
    <w:pPr>
      <w:pBdr>
        <w:top w:val="single" w:sz="4" w:space="0" w:color="auto"/>
        <w:bottom w:val="single" w:sz="8" w:space="0" w:color="auto"/>
        <w:right w:val="single" w:sz="4" w:space="0" w:color="auto"/>
      </w:pBdr>
      <w:shd w:val="clear" w:color="000000" w:fill="00B0F0"/>
      <w:spacing w:before="100" w:beforeAutospacing="1" w:after="100" w:afterAutospacing="1" w:line="240" w:lineRule="auto"/>
    </w:pPr>
    <w:rPr>
      <w:rFonts w:eastAsia="Times New Roman"/>
      <w:b/>
      <w:bCs/>
      <w:sz w:val="18"/>
      <w:szCs w:val="18"/>
      <w:lang w:eastAsia="fr-FR"/>
    </w:rPr>
  </w:style>
  <w:style w:type="paragraph" w:customStyle="1" w:styleId="xl857">
    <w:name w:val="xl857"/>
    <w:basedOn w:val="Normal"/>
    <w:rsid w:val="00BC3760"/>
    <w:pPr>
      <w:pBdr>
        <w:top w:val="single" w:sz="8" w:space="0" w:color="auto"/>
        <w:left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58">
    <w:name w:val="xl858"/>
    <w:basedOn w:val="Normal"/>
    <w:rsid w:val="00BC3760"/>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59">
    <w:name w:val="xl859"/>
    <w:basedOn w:val="Normal"/>
    <w:rsid w:val="00BC3760"/>
    <w:pPr>
      <w:pBdr>
        <w:top w:val="single" w:sz="8" w:space="0" w:color="auto"/>
        <w:left w:val="single" w:sz="4" w:space="0" w:color="auto"/>
        <w:right w:val="single" w:sz="8" w:space="7" w:color="auto"/>
      </w:pBdr>
      <w:spacing w:before="100" w:beforeAutospacing="1" w:after="100" w:afterAutospacing="1" w:line="240" w:lineRule="auto"/>
      <w:ind w:firstLineChars="100" w:firstLine="100"/>
      <w:jc w:val="right"/>
      <w:textAlignment w:val="center"/>
    </w:pPr>
    <w:rPr>
      <w:rFonts w:eastAsia="Times New Roman"/>
      <w:sz w:val="18"/>
      <w:szCs w:val="18"/>
      <w:lang w:eastAsia="fr-FR"/>
    </w:rPr>
  </w:style>
  <w:style w:type="paragraph" w:customStyle="1" w:styleId="xl860">
    <w:name w:val="xl860"/>
    <w:basedOn w:val="Normal"/>
    <w:rsid w:val="00BC3760"/>
    <w:pPr>
      <w:pBdr>
        <w:left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61">
    <w:name w:val="xl861"/>
    <w:basedOn w:val="Normal"/>
    <w:rsid w:val="00BC3760"/>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62">
    <w:name w:val="xl862"/>
    <w:basedOn w:val="Normal"/>
    <w:rsid w:val="00BC3760"/>
    <w:pPr>
      <w:pBdr>
        <w:top w:val="single" w:sz="4" w:space="0" w:color="auto"/>
        <w:left w:val="single" w:sz="8"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63">
    <w:name w:val="xl863"/>
    <w:basedOn w:val="Normal"/>
    <w:rsid w:val="00BC3760"/>
    <w:pPr>
      <w:pBdr>
        <w:left w:val="single" w:sz="4" w:space="0" w:color="auto"/>
        <w:right w:val="single" w:sz="8" w:space="7" w:color="auto"/>
      </w:pBdr>
      <w:spacing w:before="100" w:beforeAutospacing="1" w:after="100" w:afterAutospacing="1" w:line="240" w:lineRule="auto"/>
      <w:ind w:firstLineChars="100" w:firstLine="100"/>
      <w:jc w:val="right"/>
      <w:textAlignment w:val="center"/>
    </w:pPr>
    <w:rPr>
      <w:rFonts w:eastAsia="Times New Roman"/>
      <w:sz w:val="18"/>
      <w:szCs w:val="18"/>
      <w:lang w:eastAsia="fr-FR"/>
    </w:rPr>
  </w:style>
  <w:style w:type="paragraph" w:customStyle="1" w:styleId="xl864">
    <w:name w:val="xl864"/>
    <w:basedOn w:val="Normal"/>
    <w:rsid w:val="00BC3760"/>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right"/>
      <w:textAlignment w:val="center"/>
    </w:pPr>
    <w:rPr>
      <w:rFonts w:eastAsia="Times New Roman"/>
      <w:b/>
      <w:bCs/>
      <w:sz w:val="18"/>
      <w:szCs w:val="18"/>
      <w:lang w:eastAsia="fr-FR"/>
    </w:rPr>
  </w:style>
  <w:style w:type="paragraph" w:customStyle="1" w:styleId="xl865">
    <w:name w:val="xl865"/>
    <w:basedOn w:val="Normal"/>
    <w:rsid w:val="00BC3760"/>
    <w:pPr>
      <w:pBdr>
        <w:left w:val="single" w:sz="8"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866">
    <w:name w:val="xl866"/>
    <w:basedOn w:val="Normal"/>
    <w:rsid w:val="00BC3760"/>
    <w:pPr>
      <w:pBdr>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867">
    <w:name w:val="xl867"/>
    <w:basedOn w:val="Normal"/>
    <w:rsid w:val="00BC3760"/>
    <w:pPr>
      <w:pBdr>
        <w:left w:val="single" w:sz="4" w:space="0" w:color="auto"/>
        <w:bottom w:val="single" w:sz="4" w:space="0" w:color="auto"/>
        <w:right w:val="single" w:sz="8" w:space="0" w:color="auto"/>
      </w:pBdr>
      <w:spacing w:before="100" w:beforeAutospacing="1" w:after="100" w:afterAutospacing="1" w:line="240" w:lineRule="auto"/>
      <w:jc w:val="right"/>
    </w:pPr>
    <w:rPr>
      <w:rFonts w:eastAsia="Times New Roman"/>
      <w:sz w:val="18"/>
      <w:szCs w:val="18"/>
      <w:lang w:eastAsia="fr-FR"/>
    </w:rPr>
  </w:style>
  <w:style w:type="paragraph" w:customStyle="1" w:styleId="xl868">
    <w:name w:val="xl868"/>
    <w:basedOn w:val="Normal"/>
    <w:rsid w:val="00BC3760"/>
    <w:pPr>
      <w:pBdr>
        <w:left w:val="single" w:sz="8" w:space="0" w:color="auto"/>
        <w:bottom w:val="single" w:sz="4"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869">
    <w:name w:val="xl869"/>
    <w:basedOn w:val="Normal"/>
    <w:rsid w:val="00BC3760"/>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eastAsia="Times New Roman"/>
      <w:sz w:val="18"/>
      <w:szCs w:val="18"/>
      <w:lang w:eastAsia="fr-FR"/>
    </w:rPr>
  </w:style>
  <w:style w:type="paragraph" w:customStyle="1" w:styleId="xl870">
    <w:name w:val="xl870"/>
    <w:basedOn w:val="Normal"/>
    <w:rsid w:val="00BC3760"/>
    <w:pPr>
      <w:pBdr>
        <w:left w:val="single" w:sz="8" w:space="0" w:color="auto"/>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871">
    <w:name w:val="xl871"/>
    <w:basedOn w:val="Normal"/>
    <w:rsid w:val="00BC3760"/>
    <w:pPr>
      <w:pBdr>
        <w:left w:val="single" w:sz="4"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873">
    <w:name w:val="xl873"/>
    <w:basedOn w:val="Normal"/>
    <w:rsid w:val="00BC3760"/>
    <w:pPr>
      <w:pBdr>
        <w:left w:val="single" w:sz="8"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74">
    <w:name w:val="xl874"/>
    <w:basedOn w:val="Normal"/>
    <w:rsid w:val="00BC3760"/>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76">
    <w:name w:val="xl876"/>
    <w:basedOn w:val="Normal"/>
    <w:rsid w:val="00BC3760"/>
    <w:pPr>
      <w:pBdr>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878">
    <w:name w:val="xl878"/>
    <w:basedOn w:val="Normal"/>
    <w:rsid w:val="00BC3760"/>
    <w:pPr>
      <w:pBdr>
        <w:left w:val="single" w:sz="8"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 w:val="18"/>
      <w:szCs w:val="18"/>
      <w:lang w:eastAsia="fr-FR"/>
    </w:rPr>
  </w:style>
  <w:style w:type="paragraph" w:customStyle="1" w:styleId="xl880">
    <w:name w:val="xl880"/>
    <w:basedOn w:val="Normal"/>
    <w:rsid w:val="00BC3760"/>
    <w:pPr>
      <w:pBdr>
        <w:left w:val="single" w:sz="4" w:space="0" w:color="auto"/>
        <w:bottom w:val="single" w:sz="4" w:space="0" w:color="auto"/>
        <w:right w:val="single" w:sz="8" w:space="0" w:color="auto"/>
      </w:pBdr>
      <w:spacing w:before="100" w:beforeAutospacing="1" w:after="100" w:afterAutospacing="1" w:line="240" w:lineRule="auto"/>
    </w:pPr>
    <w:rPr>
      <w:rFonts w:eastAsia="Times New Roman"/>
      <w:sz w:val="18"/>
      <w:szCs w:val="18"/>
      <w:lang w:eastAsia="fr-FR"/>
    </w:rPr>
  </w:style>
  <w:style w:type="paragraph" w:customStyle="1" w:styleId="xl881">
    <w:name w:val="xl881"/>
    <w:basedOn w:val="Normal"/>
    <w:rsid w:val="00BC3760"/>
    <w:pPr>
      <w:pBdr>
        <w:top w:val="single" w:sz="4" w:space="0" w:color="auto"/>
        <w:bottom w:val="single" w:sz="8" w:space="0" w:color="auto"/>
      </w:pBdr>
      <w:shd w:val="clear" w:color="000000" w:fill="00B0F0"/>
      <w:spacing w:before="100" w:beforeAutospacing="1" w:after="100" w:afterAutospacing="1" w:line="240" w:lineRule="auto"/>
    </w:pPr>
    <w:rPr>
      <w:rFonts w:eastAsia="Times New Roman"/>
      <w:b/>
      <w:bCs/>
      <w:sz w:val="18"/>
      <w:szCs w:val="18"/>
      <w:lang w:eastAsia="fr-FR"/>
    </w:rPr>
  </w:style>
  <w:style w:type="paragraph" w:customStyle="1" w:styleId="xl882">
    <w:name w:val="xl882"/>
    <w:basedOn w:val="Normal"/>
    <w:rsid w:val="00BC3760"/>
    <w:pPr>
      <w:pBdr>
        <w:top w:val="single" w:sz="4" w:space="0" w:color="auto"/>
        <w:bottom w:val="single" w:sz="8" w:space="0" w:color="auto"/>
        <w:right w:val="single" w:sz="8"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883">
    <w:name w:val="xl883"/>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884">
    <w:name w:val="xl884"/>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pPr>
    <w:rPr>
      <w:rFonts w:eastAsia="Times New Roman"/>
      <w:b/>
      <w:bCs/>
      <w:sz w:val="18"/>
      <w:szCs w:val="18"/>
      <w:lang w:eastAsia="fr-FR"/>
    </w:rPr>
  </w:style>
  <w:style w:type="paragraph" w:customStyle="1" w:styleId="xl885">
    <w:name w:val="xl885"/>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jc w:val="right"/>
    </w:pPr>
    <w:rPr>
      <w:rFonts w:eastAsia="Times New Roman"/>
      <w:b/>
      <w:bCs/>
      <w:sz w:val="18"/>
      <w:szCs w:val="18"/>
      <w:lang w:eastAsia="fr-FR"/>
    </w:rPr>
  </w:style>
  <w:style w:type="paragraph" w:customStyle="1" w:styleId="xl886">
    <w:name w:val="xl886"/>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jc w:val="right"/>
      <w:textAlignment w:val="center"/>
    </w:pPr>
    <w:rPr>
      <w:rFonts w:eastAsia="Times New Roman"/>
      <w:b/>
      <w:bCs/>
      <w:sz w:val="18"/>
      <w:szCs w:val="18"/>
      <w:lang w:eastAsia="fr-FR"/>
    </w:rPr>
  </w:style>
  <w:style w:type="paragraph" w:customStyle="1" w:styleId="xl887">
    <w:name w:val="xl887"/>
    <w:basedOn w:val="Normal"/>
    <w:rsid w:val="00BC3760"/>
    <w:pPr>
      <w:pBdr>
        <w:top w:val="single" w:sz="4" w:space="0" w:color="auto"/>
        <w:bottom w:val="single" w:sz="8" w:space="0" w:color="auto"/>
      </w:pBdr>
      <w:shd w:val="clear" w:color="000000" w:fill="00B0F0"/>
      <w:spacing w:before="100" w:beforeAutospacing="1" w:after="100" w:afterAutospacing="1" w:line="240" w:lineRule="auto"/>
    </w:pPr>
    <w:rPr>
      <w:rFonts w:eastAsia="Times New Roman"/>
      <w:b/>
      <w:bCs/>
      <w:sz w:val="18"/>
      <w:szCs w:val="18"/>
      <w:lang w:eastAsia="fr-FR"/>
    </w:rPr>
  </w:style>
  <w:style w:type="paragraph" w:customStyle="1" w:styleId="xl888">
    <w:name w:val="xl888"/>
    <w:basedOn w:val="Normal"/>
    <w:rsid w:val="00BC3760"/>
    <w:pPr>
      <w:pBdr>
        <w:top w:val="single" w:sz="4" w:space="0" w:color="auto"/>
        <w:left w:val="single" w:sz="8" w:space="0" w:color="auto"/>
        <w:bottom w:val="single" w:sz="8" w:space="0" w:color="auto"/>
      </w:pBdr>
      <w:shd w:val="clear" w:color="000000" w:fill="00B0F0"/>
      <w:spacing w:before="100" w:beforeAutospacing="1" w:after="100" w:afterAutospacing="1" w:line="240" w:lineRule="auto"/>
      <w:jc w:val="right"/>
      <w:textAlignment w:val="center"/>
    </w:pPr>
    <w:rPr>
      <w:rFonts w:eastAsia="Times New Roman"/>
      <w:b/>
      <w:bCs/>
      <w:sz w:val="18"/>
      <w:szCs w:val="18"/>
      <w:lang w:eastAsia="fr-FR"/>
    </w:rPr>
  </w:style>
  <w:style w:type="paragraph" w:customStyle="1" w:styleId="xl889">
    <w:name w:val="xl889"/>
    <w:basedOn w:val="Normal"/>
    <w:rsid w:val="00BC3760"/>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pPr>
    <w:rPr>
      <w:rFonts w:eastAsia="Times New Roman"/>
      <w:b/>
      <w:bCs/>
      <w:sz w:val="18"/>
      <w:szCs w:val="18"/>
      <w:lang w:eastAsia="fr-FR"/>
    </w:rPr>
  </w:style>
  <w:style w:type="paragraph" w:customStyle="1" w:styleId="xl890">
    <w:name w:val="xl890"/>
    <w:basedOn w:val="Normal"/>
    <w:rsid w:val="00BC3760"/>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pPr>
    <w:rPr>
      <w:rFonts w:eastAsia="Times New Roman"/>
      <w:b/>
      <w:bCs/>
      <w:sz w:val="18"/>
      <w:szCs w:val="18"/>
      <w:lang w:eastAsia="fr-FR"/>
    </w:rPr>
  </w:style>
  <w:style w:type="paragraph" w:customStyle="1" w:styleId="xl891">
    <w:name w:val="xl891"/>
    <w:basedOn w:val="Normal"/>
    <w:rsid w:val="00BC3760"/>
    <w:pPr>
      <w:pBdr>
        <w:top w:val="single" w:sz="8" w:space="0" w:color="auto"/>
        <w:bottom w:val="single" w:sz="8" w:space="0" w:color="auto"/>
      </w:pBdr>
      <w:shd w:val="clear" w:color="000000" w:fill="BFBFBF"/>
      <w:spacing w:before="100" w:beforeAutospacing="1" w:after="100" w:afterAutospacing="1" w:line="240" w:lineRule="auto"/>
      <w:jc w:val="center"/>
    </w:pPr>
    <w:rPr>
      <w:rFonts w:eastAsia="Times New Roman"/>
      <w:b/>
      <w:bCs/>
      <w:sz w:val="18"/>
      <w:szCs w:val="18"/>
      <w:lang w:eastAsia="fr-FR"/>
    </w:rPr>
  </w:style>
  <w:style w:type="paragraph" w:customStyle="1" w:styleId="xl892">
    <w:name w:val="xl892"/>
    <w:basedOn w:val="Normal"/>
    <w:rsid w:val="00BC3760"/>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pPr>
    <w:rPr>
      <w:rFonts w:eastAsia="Times New Roman"/>
      <w:b/>
      <w:bCs/>
      <w:sz w:val="18"/>
      <w:szCs w:val="18"/>
      <w:lang w:eastAsia="fr-FR"/>
    </w:rPr>
  </w:style>
  <w:style w:type="paragraph" w:customStyle="1" w:styleId="xl893">
    <w:name w:val="xl893"/>
    <w:basedOn w:val="Normal"/>
    <w:rsid w:val="00BC3760"/>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pPr>
    <w:rPr>
      <w:rFonts w:eastAsia="Times New Roman"/>
      <w:b/>
      <w:bCs/>
      <w:sz w:val="18"/>
      <w:szCs w:val="18"/>
      <w:lang w:eastAsia="fr-FR"/>
    </w:rPr>
  </w:style>
  <w:style w:type="paragraph" w:customStyle="1" w:styleId="xl894">
    <w:name w:val="xl894"/>
    <w:basedOn w:val="Normal"/>
    <w:rsid w:val="00BC3760"/>
    <w:pPr>
      <w:pBdr>
        <w:top w:val="single" w:sz="8" w:space="0" w:color="auto"/>
        <w:bottom w:val="single" w:sz="8" w:space="0" w:color="auto"/>
        <w:right w:val="single" w:sz="8" w:space="0" w:color="auto"/>
      </w:pBdr>
      <w:shd w:val="clear" w:color="000000" w:fill="BFBFBF"/>
      <w:spacing w:before="100" w:beforeAutospacing="1" w:after="100" w:afterAutospacing="1" w:line="240" w:lineRule="auto"/>
    </w:pPr>
    <w:rPr>
      <w:rFonts w:eastAsia="Times New Roman"/>
      <w:b/>
      <w:bCs/>
      <w:sz w:val="18"/>
      <w:szCs w:val="18"/>
      <w:lang w:eastAsia="fr-FR"/>
    </w:rPr>
  </w:style>
  <w:style w:type="paragraph" w:customStyle="1" w:styleId="font7">
    <w:name w:val="font7"/>
    <w:basedOn w:val="Normal"/>
    <w:rsid w:val="00BC3760"/>
    <w:pPr>
      <w:spacing w:before="100" w:beforeAutospacing="1" w:after="100" w:afterAutospacing="1" w:line="240" w:lineRule="auto"/>
    </w:pPr>
    <w:rPr>
      <w:rFonts w:eastAsia="Times New Roman"/>
      <w:b/>
      <w:bCs/>
      <w:color w:val="000000"/>
      <w:sz w:val="18"/>
      <w:szCs w:val="18"/>
      <w:lang w:eastAsia="fr-FR"/>
    </w:rPr>
  </w:style>
  <w:style w:type="paragraph" w:customStyle="1" w:styleId="font9">
    <w:name w:val="font9"/>
    <w:basedOn w:val="Normal"/>
    <w:rsid w:val="00BC3760"/>
    <w:pPr>
      <w:spacing w:before="100" w:beforeAutospacing="1" w:after="100" w:afterAutospacing="1" w:line="240" w:lineRule="auto"/>
    </w:pPr>
    <w:rPr>
      <w:rFonts w:eastAsia="Times New Roman"/>
      <w:i/>
      <w:iCs/>
      <w:color w:val="000000"/>
      <w:sz w:val="18"/>
      <w:szCs w:val="18"/>
      <w:lang w:eastAsia="fr-FR"/>
    </w:rPr>
  </w:style>
  <w:style w:type="paragraph" w:customStyle="1" w:styleId="font12">
    <w:name w:val="font12"/>
    <w:basedOn w:val="Normal"/>
    <w:rsid w:val="00BC3760"/>
    <w:pPr>
      <w:spacing w:before="100" w:beforeAutospacing="1" w:after="100" w:afterAutospacing="1" w:line="240" w:lineRule="auto"/>
    </w:pPr>
    <w:rPr>
      <w:rFonts w:eastAsia="Times New Roman"/>
      <w:color w:val="000000"/>
      <w:sz w:val="18"/>
      <w:szCs w:val="18"/>
      <w:lang w:eastAsia="fr-FR"/>
    </w:rPr>
  </w:style>
  <w:style w:type="paragraph" w:customStyle="1" w:styleId="xl17">
    <w:name w:val="xl17"/>
    <w:basedOn w:val="Normal"/>
    <w:rsid w:val="00BC376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paragraph" w:customStyle="1" w:styleId="xl19">
    <w:name w:val="xl19"/>
    <w:basedOn w:val="Normal"/>
    <w:rsid w:val="00BC376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sz w:val="18"/>
      <w:szCs w:val="18"/>
      <w:lang w:eastAsia="fr-FR"/>
    </w:rPr>
  </w:style>
  <w:style w:type="paragraph" w:customStyle="1" w:styleId="xl20">
    <w:name w:val="xl20"/>
    <w:basedOn w:val="Normal"/>
    <w:rsid w:val="00BC3760"/>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sz w:val="18"/>
      <w:szCs w:val="18"/>
      <w:lang w:eastAsia="fr-FR"/>
    </w:rPr>
  </w:style>
  <w:style w:type="character" w:customStyle="1" w:styleId="font71">
    <w:name w:val="font71"/>
    <w:basedOn w:val="Policepardfaut"/>
    <w:rsid w:val="00BC3760"/>
    <w:rPr>
      <w:rFonts w:ascii="Calibri" w:hAnsi="Calibri" w:hint="default"/>
      <w:b/>
      <w:bCs/>
      <w:i w:val="0"/>
      <w:iCs w:val="0"/>
      <w:strike w:val="0"/>
      <w:dstrike w:val="0"/>
      <w:color w:val="000000"/>
      <w:sz w:val="18"/>
      <w:szCs w:val="18"/>
      <w:u w:val="none"/>
      <w:effect w:val="none"/>
    </w:rPr>
  </w:style>
  <w:style w:type="character" w:customStyle="1" w:styleId="font61">
    <w:name w:val="font61"/>
    <w:basedOn w:val="Policepardfaut"/>
    <w:rsid w:val="00BC3760"/>
    <w:rPr>
      <w:rFonts w:ascii="Calibri" w:hAnsi="Calibri" w:hint="default"/>
      <w:b w:val="0"/>
      <w:bCs w:val="0"/>
      <w:i w:val="0"/>
      <w:iCs w:val="0"/>
      <w:strike w:val="0"/>
      <w:dstrike w:val="0"/>
      <w:color w:val="000000"/>
      <w:sz w:val="18"/>
      <w:szCs w:val="18"/>
      <w:u w:val="none"/>
      <w:effect w:val="none"/>
    </w:rPr>
  </w:style>
  <w:style w:type="character" w:customStyle="1" w:styleId="font91">
    <w:name w:val="font91"/>
    <w:basedOn w:val="Policepardfaut"/>
    <w:rsid w:val="00BC3760"/>
    <w:rPr>
      <w:rFonts w:ascii="Calibri" w:hAnsi="Calibri" w:hint="default"/>
      <w:b w:val="0"/>
      <w:bCs w:val="0"/>
      <w:i/>
      <w:iCs/>
      <w:strike w:val="0"/>
      <w:dstrike w:val="0"/>
      <w:color w:val="000000"/>
      <w:sz w:val="18"/>
      <w:szCs w:val="18"/>
      <w:u w:val="none"/>
      <w:effect w:val="none"/>
    </w:rPr>
  </w:style>
  <w:style w:type="character" w:customStyle="1" w:styleId="font121">
    <w:name w:val="font121"/>
    <w:basedOn w:val="Policepardfaut"/>
    <w:rsid w:val="00BC3760"/>
    <w:rPr>
      <w:rFonts w:ascii="Calibri" w:hAnsi="Calibri" w:hint="default"/>
      <w:b w:val="0"/>
      <w:bCs w:val="0"/>
      <w:i w:val="0"/>
      <w:iCs w:val="0"/>
      <w:strike w:val="0"/>
      <w:dstrike w:val="0"/>
      <w:color w:val="000000"/>
      <w:sz w:val="18"/>
      <w:szCs w:val="18"/>
      <w:u w:val="none"/>
      <w:effect w:val="none"/>
    </w:rPr>
  </w:style>
  <w:style w:type="character" w:customStyle="1" w:styleId="Mention3">
    <w:name w:val="Mention3"/>
    <w:basedOn w:val="Policepardfaut"/>
    <w:uiPriority w:val="99"/>
    <w:semiHidden/>
    <w:unhideWhenUsed/>
    <w:rsid w:val="00BC3760"/>
    <w:rPr>
      <w:color w:val="2B579A"/>
      <w:shd w:val="clear" w:color="auto" w:fill="E6E6E6"/>
    </w:rPr>
  </w:style>
  <w:style w:type="character" w:customStyle="1" w:styleId="font281">
    <w:name w:val="font281"/>
    <w:basedOn w:val="Policepardfaut"/>
    <w:rsid w:val="00BC3760"/>
    <w:rPr>
      <w:rFonts w:ascii="Arial" w:hAnsi="Arial" w:cs="Arial" w:hint="default"/>
      <w:b w:val="0"/>
      <w:bCs w:val="0"/>
      <w:i w:val="0"/>
      <w:iCs w:val="0"/>
      <w:strike w:val="0"/>
      <w:dstrike w:val="0"/>
      <w:color w:val="000000"/>
      <w:sz w:val="24"/>
      <w:szCs w:val="24"/>
      <w:u w:val="none"/>
      <w:effect w:val="none"/>
    </w:rPr>
  </w:style>
  <w:style w:type="character" w:customStyle="1" w:styleId="font271">
    <w:name w:val="font271"/>
    <w:basedOn w:val="Policepardfaut"/>
    <w:rsid w:val="00BC3760"/>
    <w:rPr>
      <w:rFonts w:ascii="Arial" w:hAnsi="Arial" w:cs="Arial" w:hint="default"/>
      <w:b w:val="0"/>
      <w:bCs w:val="0"/>
      <w:i w:val="0"/>
      <w:iCs w:val="0"/>
      <w:strike w:val="0"/>
      <w:dstrike w:val="0"/>
      <w:color w:val="000000"/>
      <w:sz w:val="24"/>
      <w:szCs w:val="24"/>
      <w:u w:val="none"/>
      <w:effect w:val="none"/>
    </w:rPr>
  </w:style>
  <w:style w:type="table" w:customStyle="1" w:styleId="TableauGrille21">
    <w:name w:val="Tableau Grille 21"/>
    <w:basedOn w:val="TableauNormal"/>
    <w:uiPriority w:val="47"/>
    <w:rsid w:val="005F607F"/>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740964">
      <w:bodyDiv w:val="1"/>
      <w:marLeft w:val="0"/>
      <w:marRight w:val="0"/>
      <w:marTop w:val="0"/>
      <w:marBottom w:val="0"/>
      <w:divBdr>
        <w:top w:val="none" w:sz="0" w:space="0" w:color="auto"/>
        <w:left w:val="none" w:sz="0" w:space="0" w:color="auto"/>
        <w:bottom w:val="none" w:sz="0" w:space="0" w:color="auto"/>
        <w:right w:val="none" w:sz="0" w:space="0" w:color="auto"/>
      </w:divBdr>
    </w:div>
    <w:div w:id="141045100">
      <w:bodyDiv w:val="1"/>
      <w:marLeft w:val="0"/>
      <w:marRight w:val="0"/>
      <w:marTop w:val="0"/>
      <w:marBottom w:val="0"/>
      <w:divBdr>
        <w:top w:val="none" w:sz="0" w:space="0" w:color="auto"/>
        <w:left w:val="none" w:sz="0" w:space="0" w:color="auto"/>
        <w:bottom w:val="none" w:sz="0" w:space="0" w:color="auto"/>
        <w:right w:val="none" w:sz="0" w:space="0" w:color="auto"/>
      </w:divBdr>
    </w:div>
    <w:div w:id="159084570">
      <w:bodyDiv w:val="1"/>
      <w:marLeft w:val="0"/>
      <w:marRight w:val="0"/>
      <w:marTop w:val="0"/>
      <w:marBottom w:val="0"/>
      <w:divBdr>
        <w:top w:val="none" w:sz="0" w:space="0" w:color="auto"/>
        <w:left w:val="none" w:sz="0" w:space="0" w:color="auto"/>
        <w:bottom w:val="none" w:sz="0" w:space="0" w:color="auto"/>
        <w:right w:val="none" w:sz="0" w:space="0" w:color="auto"/>
      </w:divBdr>
    </w:div>
    <w:div w:id="160438458">
      <w:bodyDiv w:val="1"/>
      <w:marLeft w:val="0"/>
      <w:marRight w:val="0"/>
      <w:marTop w:val="0"/>
      <w:marBottom w:val="0"/>
      <w:divBdr>
        <w:top w:val="none" w:sz="0" w:space="0" w:color="auto"/>
        <w:left w:val="none" w:sz="0" w:space="0" w:color="auto"/>
        <w:bottom w:val="none" w:sz="0" w:space="0" w:color="auto"/>
        <w:right w:val="none" w:sz="0" w:space="0" w:color="auto"/>
      </w:divBdr>
    </w:div>
    <w:div w:id="167721028">
      <w:bodyDiv w:val="1"/>
      <w:marLeft w:val="0"/>
      <w:marRight w:val="0"/>
      <w:marTop w:val="0"/>
      <w:marBottom w:val="0"/>
      <w:divBdr>
        <w:top w:val="none" w:sz="0" w:space="0" w:color="auto"/>
        <w:left w:val="none" w:sz="0" w:space="0" w:color="auto"/>
        <w:bottom w:val="none" w:sz="0" w:space="0" w:color="auto"/>
        <w:right w:val="none" w:sz="0" w:space="0" w:color="auto"/>
      </w:divBdr>
    </w:div>
    <w:div w:id="415590770">
      <w:bodyDiv w:val="1"/>
      <w:marLeft w:val="0"/>
      <w:marRight w:val="0"/>
      <w:marTop w:val="0"/>
      <w:marBottom w:val="0"/>
      <w:divBdr>
        <w:top w:val="none" w:sz="0" w:space="0" w:color="auto"/>
        <w:left w:val="none" w:sz="0" w:space="0" w:color="auto"/>
        <w:bottom w:val="none" w:sz="0" w:space="0" w:color="auto"/>
        <w:right w:val="none" w:sz="0" w:space="0" w:color="auto"/>
      </w:divBdr>
    </w:div>
    <w:div w:id="418599016">
      <w:bodyDiv w:val="1"/>
      <w:marLeft w:val="0"/>
      <w:marRight w:val="0"/>
      <w:marTop w:val="0"/>
      <w:marBottom w:val="0"/>
      <w:divBdr>
        <w:top w:val="none" w:sz="0" w:space="0" w:color="auto"/>
        <w:left w:val="none" w:sz="0" w:space="0" w:color="auto"/>
        <w:bottom w:val="none" w:sz="0" w:space="0" w:color="auto"/>
        <w:right w:val="none" w:sz="0" w:space="0" w:color="auto"/>
      </w:divBdr>
    </w:div>
    <w:div w:id="456217467">
      <w:bodyDiv w:val="1"/>
      <w:marLeft w:val="0"/>
      <w:marRight w:val="0"/>
      <w:marTop w:val="0"/>
      <w:marBottom w:val="0"/>
      <w:divBdr>
        <w:top w:val="none" w:sz="0" w:space="0" w:color="auto"/>
        <w:left w:val="none" w:sz="0" w:space="0" w:color="auto"/>
        <w:bottom w:val="none" w:sz="0" w:space="0" w:color="auto"/>
        <w:right w:val="none" w:sz="0" w:space="0" w:color="auto"/>
      </w:divBdr>
    </w:div>
    <w:div w:id="503591821">
      <w:bodyDiv w:val="1"/>
      <w:marLeft w:val="0"/>
      <w:marRight w:val="0"/>
      <w:marTop w:val="0"/>
      <w:marBottom w:val="0"/>
      <w:divBdr>
        <w:top w:val="none" w:sz="0" w:space="0" w:color="auto"/>
        <w:left w:val="none" w:sz="0" w:space="0" w:color="auto"/>
        <w:bottom w:val="none" w:sz="0" w:space="0" w:color="auto"/>
        <w:right w:val="none" w:sz="0" w:space="0" w:color="auto"/>
      </w:divBdr>
    </w:div>
    <w:div w:id="527063215">
      <w:bodyDiv w:val="1"/>
      <w:marLeft w:val="0"/>
      <w:marRight w:val="0"/>
      <w:marTop w:val="0"/>
      <w:marBottom w:val="0"/>
      <w:divBdr>
        <w:top w:val="none" w:sz="0" w:space="0" w:color="auto"/>
        <w:left w:val="none" w:sz="0" w:space="0" w:color="auto"/>
        <w:bottom w:val="none" w:sz="0" w:space="0" w:color="auto"/>
        <w:right w:val="none" w:sz="0" w:space="0" w:color="auto"/>
      </w:divBdr>
    </w:div>
    <w:div w:id="532307561">
      <w:bodyDiv w:val="1"/>
      <w:marLeft w:val="0"/>
      <w:marRight w:val="0"/>
      <w:marTop w:val="0"/>
      <w:marBottom w:val="0"/>
      <w:divBdr>
        <w:top w:val="none" w:sz="0" w:space="0" w:color="auto"/>
        <w:left w:val="none" w:sz="0" w:space="0" w:color="auto"/>
        <w:bottom w:val="none" w:sz="0" w:space="0" w:color="auto"/>
        <w:right w:val="none" w:sz="0" w:space="0" w:color="auto"/>
      </w:divBdr>
    </w:div>
    <w:div w:id="599801279">
      <w:bodyDiv w:val="1"/>
      <w:marLeft w:val="0"/>
      <w:marRight w:val="0"/>
      <w:marTop w:val="0"/>
      <w:marBottom w:val="0"/>
      <w:divBdr>
        <w:top w:val="none" w:sz="0" w:space="0" w:color="auto"/>
        <w:left w:val="none" w:sz="0" w:space="0" w:color="auto"/>
        <w:bottom w:val="none" w:sz="0" w:space="0" w:color="auto"/>
        <w:right w:val="none" w:sz="0" w:space="0" w:color="auto"/>
      </w:divBdr>
    </w:div>
    <w:div w:id="654795866">
      <w:bodyDiv w:val="1"/>
      <w:marLeft w:val="0"/>
      <w:marRight w:val="0"/>
      <w:marTop w:val="0"/>
      <w:marBottom w:val="0"/>
      <w:divBdr>
        <w:top w:val="none" w:sz="0" w:space="0" w:color="auto"/>
        <w:left w:val="none" w:sz="0" w:space="0" w:color="auto"/>
        <w:bottom w:val="none" w:sz="0" w:space="0" w:color="auto"/>
        <w:right w:val="none" w:sz="0" w:space="0" w:color="auto"/>
      </w:divBdr>
    </w:div>
    <w:div w:id="658190588">
      <w:bodyDiv w:val="1"/>
      <w:marLeft w:val="0"/>
      <w:marRight w:val="0"/>
      <w:marTop w:val="0"/>
      <w:marBottom w:val="0"/>
      <w:divBdr>
        <w:top w:val="none" w:sz="0" w:space="0" w:color="auto"/>
        <w:left w:val="none" w:sz="0" w:space="0" w:color="auto"/>
        <w:bottom w:val="none" w:sz="0" w:space="0" w:color="auto"/>
        <w:right w:val="none" w:sz="0" w:space="0" w:color="auto"/>
      </w:divBdr>
    </w:div>
    <w:div w:id="687216930">
      <w:bodyDiv w:val="1"/>
      <w:marLeft w:val="0"/>
      <w:marRight w:val="0"/>
      <w:marTop w:val="0"/>
      <w:marBottom w:val="0"/>
      <w:divBdr>
        <w:top w:val="none" w:sz="0" w:space="0" w:color="auto"/>
        <w:left w:val="none" w:sz="0" w:space="0" w:color="auto"/>
        <w:bottom w:val="none" w:sz="0" w:space="0" w:color="auto"/>
        <w:right w:val="none" w:sz="0" w:space="0" w:color="auto"/>
      </w:divBdr>
      <w:divsChild>
        <w:div w:id="226576815">
          <w:marLeft w:val="0"/>
          <w:marRight w:val="0"/>
          <w:marTop w:val="0"/>
          <w:marBottom w:val="0"/>
          <w:divBdr>
            <w:top w:val="none" w:sz="0" w:space="0" w:color="auto"/>
            <w:left w:val="none" w:sz="0" w:space="0" w:color="auto"/>
            <w:bottom w:val="none" w:sz="0" w:space="0" w:color="auto"/>
            <w:right w:val="none" w:sz="0" w:space="0" w:color="auto"/>
          </w:divBdr>
        </w:div>
        <w:div w:id="1572424313">
          <w:marLeft w:val="0"/>
          <w:marRight w:val="0"/>
          <w:marTop w:val="0"/>
          <w:marBottom w:val="0"/>
          <w:divBdr>
            <w:top w:val="none" w:sz="0" w:space="0" w:color="auto"/>
            <w:left w:val="none" w:sz="0" w:space="0" w:color="auto"/>
            <w:bottom w:val="none" w:sz="0" w:space="0" w:color="auto"/>
            <w:right w:val="none" w:sz="0" w:space="0" w:color="auto"/>
          </w:divBdr>
        </w:div>
        <w:div w:id="1886600063">
          <w:marLeft w:val="0"/>
          <w:marRight w:val="0"/>
          <w:marTop w:val="0"/>
          <w:marBottom w:val="0"/>
          <w:divBdr>
            <w:top w:val="none" w:sz="0" w:space="0" w:color="auto"/>
            <w:left w:val="none" w:sz="0" w:space="0" w:color="auto"/>
            <w:bottom w:val="none" w:sz="0" w:space="0" w:color="auto"/>
            <w:right w:val="none" w:sz="0" w:space="0" w:color="auto"/>
          </w:divBdr>
        </w:div>
      </w:divsChild>
    </w:div>
    <w:div w:id="758479751">
      <w:bodyDiv w:val="1"/>
      <w:marLeft w:val="0"/>
      <w:marRight w:val="0"/>
      <w:marTop w:val="0"/>
      <w:marBottom w:val="0"/>
      <w:divBdr>
        <w:top w:val="none" w:sz="0" w:space="0" w:color="auto"/>
        <w:left w:val="none" w:sz="0" w:space="0" w:color="auto"/>
        <w:bottom w:val="none" w:sz="0" w:space="0" w:color="auto"/>
        <w:right w:val="none" w:sz="0" w:space="0" w:color="auto"/>
      </w:divBdr>
    </w:div>
    <w:div w:id="831608308">
      <w:bodyDiv w:val="1"/>
      <w:marLeft w:val="0"/>
      <w:marRight w:val="0"/>
      <w:marTop w:val="0"/>
      <w:marBottom w:val="0"/>
      <w:divBdr>
        <w:top w:val="none" w:sz="0" w:space="0" w:color="auto"/>
        <w:left w:val="none" w:sz="0" w:space="0" w:color="auto"/>
        <w:bottom w:val="none" w:sz="0" w:space="0" w:color="auto"/>
        <w:right w:val="none" w:sz="0" w:space="0" w:color="auto"/>
      </w:divBdr>
    </w:div>
    <w:div w:id="839155038">
      <w:bodyDiv w:val="1"/>
      <w:marLeft w:val="0"/>
      <w:marRight w:val="0"/>
      <w:marTop w:val="0"/>
      <w:marBottom w:val="0"/>
      <w:divBdr>
        <w:top w:val="none" w:sz="0" w:space="0" w:color="auto"/>
        <w:left w:val="none" w:sz="0" w:space="0" w:color="auto"/>
        <w:bottom w:val="none" w:sz="0" w:space="0" w:color="auto"/>
        <w:right w:val="none" w:sz="0" w:space="0" w:color="auto"/>
      </w:divBdr>
    </w:div>
    <w:div w:id="862524239">
      <w:bodyDiv w:val="1"/>
      <w:marLeft w:val="0"/>
      <w:marRight w:val="0"/>
      <w:marTop w:val="0"/>
      <w:marBottom w:val="0"/>
      <w:divBdr>
        <w:top w:val="none" w:sz="0" w:space="0" w:color="auto"/>
        <w:left w:val="none" w:sz="0" w:space="0" w:color="auto"/>
        <w:bottom w:val="none" w:sz="0" w:space="0" w:color="auto"/>
        <w:right w:val="none" w:sz="0" w:space="0" w:color="auto"/>
      </w:divBdr>
    </w:div>
    <w:div w:id="904294178">
      <w:bodyDiv w:val="1"/>
      <w:marLeft w:val="0"/>
      <w:marRight w:val="0"/>
      <w:marTop w:val="0"/>
      <w:marBottom w:val="0"/>
      <w:divBdr>
        <w:top w:val="none" w:sz="0" w:space="0" w:color="auto"/>
        <w:left w:val="none" w:sz="0" w:space="0" w:color="auto"/>
        <w:bottom w:val="none" w:sz="0" w:space="0" w:color="auto"/>
        <w:right w:val="none" w:sz="0" w:space="0" w:color="auto"/>
      </w:divBdr>
    </w:div>
    <w:div w:id="951059762">
      <w:bodyDiv w:val="1"/>
      <w:marLeft w:val="0"/>
      <w:marRight w:val="0"/>
      <w:marTop w:val="0"/>
      <w:marBottom w:val="0"/>
      <w:divBdr>
        <w:top w:val="none" w:sz="0" w:space="0" w:color="auto"/>
        <w:left w:val="none" w:sz="0" w:space="0" w:color="auto"/>
        <w:bottom w:val="none" w:sz="0" w:space="0" w:color="auto"/>
        <w:right w:val="none" w:sz="0" w:space="0" w:color="auto"/>
      </w:divBdr>
    </w:div>
    <w:div w:id="959846654">
      <w:bodyDiv w:val="1"/>
      <w:marLeft w:val="0"/>
      <w:marRight w:val="0"/>
      <w:marTop w:val="0"/>
      <w:marBottom w:val="0"/>
      <w:divBdr>
        <w:top w:val="none" w:sz="0" w:space="0" w:color="auto"/>
        <w:left w:val="none" w:sz="0" w:space="0" w:color="auto"/>
        <w:bottom w:val="none" w:sz="0" w:space="0" w:color="auto"/>
        <w:right w:val="none" w:sz="0" w:space="0" w:color="auto"/>
      </w:divBdr>
    </w:div>
    <w:div w:id="1012608678">
      <w:bodyDiv w:val="1"/>
      <w:marLeft w:val="0"/>
      <w:marRight w:val="0"/>
      <w:marTop w:val="0"/>
      <w:marBottom w:val="0"/>
      <w:divBdr>
        <w:top w:val="none" w:sz="0" w:space="0" w:color="auto"/>
        <w:left w:val="none" w:sz="0" w:space="0" w:color="auto"/>
        <w:bottom w:val="none" w:sz="0" w:space="0" w:color="auto"/>
        <w:right w:val="none" w:sz="0" w:space="0" w:color="auto"/>
      </w:divBdr>
    </w:div>
    <w:div w:id="1109548932">
      <w:bodyDiv w:val="1"/>
      <w:marLeft w:val="0"/>
      <w:marRight w:val="0"/>
      <w:marTop w:val="0"/>
      <w:marBottom w:val="0"/>
      <w:divBdr>
        <w:top w:val="none" w:sz="0" w:space="0" w:color="auto"/>
        <w:left w:val="none" w:sz="0" w:space="0" w:color="auto"/>
        <w:bottom w:val="none" w:sz="0" w:space="0" w:color="auto"/>
        <w:right w:val="none" w:sz="0" w:space="0" w:color="auto"/>
      </w:divBdr>
    </w:div>
    <w:div w:id="1184171502">
      <w:bodyDiv w:val="1"/>
      <w:marLeft w:val="0"/>
      <w:marRight w:val="0"/>
      <w:marTop w:val="0"/>
      <w:marBottom w:val="0"/>
      <w:divBdr>
        <w:top w:val="none" w:sz="0" w:space="0" w:color="auto"/>
        <w:left w:val="none" w:sz="0" w:space="0" w:color="auto"/>
        <w:bottom w:val="none" w:sz="0" w:space="0" w:color="auto"/>
        <w:right w:val="none" w:sz="0" w:space="0" w:color="auto"/>
      </w:divBdr>
    </w:div>
    <w:div w:id="1302269450">
      <w:bodyDiv w:val="1"/>
      <w:marLeft w:val="0"/>
      <w:marRight w:val="0"/>
      <w:marTop w:val="0"/>
      <w:marBottom w:val="0"/>
      <w:divBdr>
        <w:top w:val="none" w:sz="0" w:space="0" w:color="auto"/>
        <w:left w:val="none" w:sz="0" w:space="0" w:color="auto"/>
        <w:bottom w:val="none" w:sz="0" w:space="0" w:color="auto"/>
        <w:right w:val="none" w:sz="0" w:space="0" w:color="auto"/>
      </w:divBdr>
    </w:div>
    <w:div w:id="1329556337">
      <w:bodyDiv w:val="1"/>
      <w:marLeft w:val="0"/>
      <w:marRight w:val="0"/>
      <w:marTop w:val="0"/>
      <w:marBottom w:val="0"/>
      <w:divBdr>
        <w:top w:val="none" w:sz="0" w:space="0" w:color="auto"/>
        <w:left w:val="none" w:sz="0" w:space="0" w:color="auto"/>
        <w:bottom w:val="none" w:sz="0" w:space="0" w:color="auto"/>
        <w:right w:val="none" w:sz="0" w:space="0" w:color="auto"/>
      </w:divBdr>
      <w:divsChild>
        <w:div w:id="376584535">
          <w:marLeft w:val="0"/>
          <w:marRight w:val="0"/>
          <w:marTop w:val="0"/>
          <w:marBottom w:val="0"/>
          <w:divBdr>
            <w:top w:val="none" w:sz="0" w:space="0" w:color="auto"/>
            <w:left w:val="none" w:sz="0" w:space="0" w:color="auto"/>
            <w:bottom w:val="none" w:sz="0" w:space="0" w:color="auto"/>
            <w:right w:val="none" w:sz="0" w:space="0" w:color="auto"/>
          </w:divBdr>
        </w:div>
        <w:div w:id="1194726561">
          <w:marLeft w:val="0"/>
          <w:marRight w:val="0"/>
          <w:marTop w:val="0"/>
          <w:marBottom w:val="0"/>
          <w:divBdr>
            <w:top w:val="none" w:sz="0" w:space="0" w:color="auto"/>
            <w:left w:val="none" w:sz="0" w:space="0" w:color="auto"/>
            <w:bottom w:val="none" w:sz="0" w:space="0" w:color="auto"/>
            <w:right w:val="none" w:sz="0" w:space="0" w:color="auto"/>
          </w:divBdr>
        </w:div>
        <w:div w:id="1689792189">
          <w:marLeft w:val="0"/>
          <w:marRight w:val="0"/>
          <w:marTop w:val="0"/>
          <w:marBottom w:val="0"/>
          <w:divBdr>
            <w:top w:val="none" w:sz="0" w:space="0" w:color="auto"/>
            <w:left w:val="none" w:sz="0" w:space="0" w:color="auto"/>
            <w:bottom w:val="none" w:sz="0" w:space="0" w:color="auto"/>
            <w:right w:val="none" w:sz="0" w:space="0" w:color="auto"/>
          </w:divBdr>
        </w:div>
      </w:divsChild>
    </w:div>
    <w:div w:id="1385712946">
      <w:bodyDiv w:val="1"/>
      <w:marLeft w:val="0"/>
      <w:marRight w:val="0"/>
      <w:marTop w:val="0"/>
      <w:marBottom w:val="0"/>
      <w:divBdr>
        <w:top w:val="none" w:sz="0" w:space="0" w:color="auto"/>
        <w:left w:val="none" w:sz="0" w:space="0" w:color="auto"/>
        <w:bottom w:val="none" w:sz="0" w:space="0" w:color="auto"/>
        <w:right w:val="none" w:sz="0" w:space="0" w:color="auto"/>
      </w:divBdr>
    </w:div>
    <w:div w:id="1403913924">
      <w:bodyDiv w:val="1"/>
      <w:marLeft w:val="0"/>
      <w:marRight w:val="0"/>
      <w:marTop w:val="0"/>
      <w:marBottom w:val="0"/>
      <w:divBdr>
        <w:top w:val="none" w:sz="0" w:space="0" w:color="auto"/>
        <w:left w:val="none" w:sz="0" w:space="0" w:color="auto"/>
        <w:bottom w:val="none" w:sz="0" w:space="0" w:color="auto"/>
        <w:right w:val="none" w:sz="0" w:space="0" w:color="auto"/>
      </w:divBdr>
    </w:div>
    <w:div w:id="1445729917">
      <w:bodyDiv w:val="1"/>
      <w:marLeft w:val="0"/>
      <w:marRight w:val="0"/>
      <w:marTop w:val="0"/>
      <w:marBottom w:val="0"/>
      <w:divBdr>
        <w:top w:val="none" w:sz="0" w:space="0" w:color="auto"/>
        <w:left w:val="none" w:sz="0" w:space="0" w:color="auto"/>
        <w:bottom w:val="none" w:sz="0" w:space="0" w:color="auto"/>
        <w:right w:val="none" w:sz="0" w:space="0" w:color="auto"/>
      </w:divBdr>
    </w:div>
    <w:div w:id="1491096148">
      <w:bodyDiv w:val="1"/>
      <w:marLeft w:val="0"/>
      <w:marRight w:val="0"/>
      <w:marTop w:val="0"/>
      <w:marBottom w:val="0"/>
      <w:divBdr>
        <w:top w:val="none" w:sz="0" w:space="0" w:color="auto"/>
        <w:left w:val="none" w:sz="0" w:space="0" w:color="auto"/>
        <w:bottom w:val="none" w:sz="0" w:space="0" w:color="auto"/>
        <w:right w:val="none" w:sz="0" w:space="0" w:color="auto"/>
      </w:divBdr>
    </w:div>
    <w:div w:id="1551653042">
      <w:bodyDiv w:val="1"/>
      <w:marLeft w:val="0"/>
      <w:marRight w:val="0"/>
      <w:marTop w:val="0"/>
      <w:marBottom w:val="0"/>
      <w:divBdr>
        <w:top w:val="none" w:sz="0" w:space="0" w:color="auto"/>
        <w:left w:val="none" w:sz="0" w:space="0" w:color="auto"/>
        <w:bottom w:val="none" w:sz="0" w:space="0" w:color="auto"/>
        <w:right w:val="none" w:sz="0" w:space="0" w:color="auto"/>
      </w:divBdr>
    </w:div>
    <w:div w:id="1552419045">
      <w:bodyDiv w:val="1"/>
      <w:marLeft w:val="0"/>
      <w:marRight w:val="0"/>
      <w:marTop w:val="0"/>
      <w:marBottom w:val="0"/>
      <w:divBdr>
        <w:top w:val="none" w:sz="0" w:space="0" w:color="auto"/>
        <w:left w:val="none" w:sz="0" w:space="0" w:color="auto"/>
        <w:bottom w:val="none" w:sz="0" w:space="0" w:color="auto"/>
        <w:right w:val="none" w:sz="0" w:space="0" w:color="auto"/>
      </w:divBdr>
    </w:div>
    <w:div w:id="1579555885">
      <w:bodyDiv w:val="1"/>
      <w:marLeft w:val="0"/>
      <w:marRight w:val="0"/>
      <w:marTop w:val="0"/>
      <w:marBottom w:val="0"/>
      <w:divBdr>
        <w:top w:val="none" w:sz="0" w:space="0" w:color="auto"/>
        <w:left w:val="none" w:sz="0" w:space="0" w:color="auto"/>
        <w:bottom w:val="none" w:sz="0" w:space="0" w:color="auto"/>
        <w:right w:val="none" w:sz="0" w:space="0" w:color="auto"/>
      </w:divBdr>
    </w:div>
    <w:div w:id="1581597392">
      <w:bodyDiv w:val="1"/>
      <w:marLeft w:val="0"/>
      <w:marRight w:val="0"/>
      <w:marTop w:val="0"/>
      <w:marBottom w:val="0"/>
      <w:divBdr>
        <w:top w:val="none" w:sz="0" w:space="0" w:color="auto"/>
        <w:left w:val="none" w:sz="0" w:space="0" w:color="auto"/>
        <w:bottom w:val="none" w:sz="0" w:space="0" w:color="auto"/>
        <w:right w:val="none" w:sz="0" w:space="0" w:color="auto"/>
      </w:divBdr>
    </w:div>
    <w:div w:id="1718969941">
      <w:bodyDiv w:val="1"/>
      <w:marLeft w:val="0"/>
      <w:marRight w:val="0"/>
      <w:marTop w:val="0"/>
      <w:marBottom w:val="0"/>
      <w:divBdr>
        <w:top w:val="none" w:sz="0" w:space="0" w:color="auto"/>
        <w:left w:val="none" w:sz="0" w:space="0" w:color="auto"/>
        <w:bottom w:val="none" w:sz="0" w:space="0" w:color="auto"/>
        <w:right w:val="none" w:sz="0" w:space="0" w:color="auto"/>
      </w:divBdr>
    </w:div>
    <w:div w:id="1825006355">
      <w:bodyDiv w:val="1"/>
      <w:marLeft w:val="0"/>
      <w:marRight w:val="0"/>
      <w:marTop w:val="0"/>
      <w:marBottom w:val="0"/>
      <w:divBdr>
        <w:top w:val="none" w:sz="0" w:space="0" w:color="auto"/>
        <w:left w:val="none" w:sz="0" w:space="0" w:color="auto"/>
        <w:bottom w:val="none" w:sz="0" w:space="0" w:color="auto"/>
        <w:right w:val="none" w:sz="0" w:space="0" w:color="auto"/>
      </w:divBdr>
    </w:div>
    <w:div w:id="1864047599">
      <w:bodyDiv w:val="1"/>
      <w:marLeft w:val="0"/>
      <w:marRight w:val="0"/>
      <w:marTop w:val="0"/>
      <w:marBottom w:val="0"/>
      <w:divBdr>
        <w:top w:val="none" w:sz="0" w:space="0" w:color="auto"/>
        <w:left w:val="none" w:sz="0" w:space="0" w:color="auto"/>
        <w:bottom w:val="none" w:sz="0" w:space="0" w:color="auto"/>
        <w:right w:val="none" w:sz="0" w:space="0" w:color="auto"/>
      </w:divBdr>
    </w:div>
    <w:div w:id="1872454426">
      <w:bodyDiv w:val="1"/>
      <w:marLeft w:val="0"/>
      <w:marRight w:val="0"/>
      <w:marTop w:val="0"/>
      <w:marBottom w:val="0"/>
      <w:divBdr>
        <w:top w:val="none" w:sz="0" w:space="0" w:color="auto"/>
        <w:left w:val="none" w:sz="0" w:space="0" w:color="auto"/>
        <w:bottom w:val="none" w:sz="0" w:space="0" w:color="auto"/>
        <w:right w:val="none" w:sz="0" w:space="0" w:color="auto"/>
      </w:divBdr>
    </w:div>
    <w:div w:id="2025592916">
      <w:bodyDiv w:val="1"/>
      <w:marLeft w:val="0"/>
      <w:marRight w:val="0"/>
      <w:marTop w:val="0"/>
      <w:marBottom w:val="0"/>
      <w:divBdr>
        <w:top w:val="none" w:sz="0" w:space="0" w:color="auto"/>
        <w:left w:val="none" w:sz="0" w:space="0" w:color="auto"/>
        <w:bottom w:val="none" w:sz="0" w:space="0" w:color="auto"/>
        <w:right w:val="none" w:sz="0" w:space="0" w:color="auto"/>
      </w:divBdr>
    </w:div>
    <w:div w:id="2032030157">
      <w:bodyDiv w:val="1"/>
      <w:marLeft w:val="0"/>
      <w:marRight w:val="0"/>
      <w:marTop w:val="0"/>
      <w:marBottom w:val="0"/>
      <w:divBdr>
        <w:top w:val="none" w:sz="0" w:space="0" w:color="auto"/>
        <w:left w:val="none" w:sz="0" w:space="0" w:color="auto"/>
        <w:bottom w:val="none" w:sz="0" w:space="0" w:color="auto"/>
        <w:right w:val="none" w:sz="0" w:space="0" w:color="auto"/>
      </w:divBdr>
    </w:div>
    <w:div w:id="2060280836">
      <w:bodyDiv w:val="1"/>
      <w:marLeft w:val="0"/>
      <w:marRight w:val="0"/>
      <w:marTop w:val="0"/>
      <w:marBottom w:val="0"/>
      <w:divBdr>
        <w:top w:val="none" w:sz="0" w:space="0" w:color="auto"/>
        <w:left w:val="none" w:sz="0" w:space="0" w:color="auto"/>
        <w:bottom w:val="none" w:sz="0" w:space="0" w:color="auto"/>
        <w:right w:val="none" w:sz="0" w:space="0" w:color="auto"/>
      </w:divBdr>
    </w:div>
    <w:div w:id="2062942860">
      <w:bodyDiv w:val="1"/>
      <w:marLeft w:val="0"/>
      <w:marRight w:val="0"/>
      <w:marTop w:val="0"/>
      <w:marBottom w:val="0"/>
      <w:divBdr>
        <w:top w:val="none" w:sz="0" w:space="0" w:color="auto"/>
        <w:left w:val="none" w:sz="0" w:space="0" w:color="auto"/>
        <w:bottom w:val="none" w:sz="0" w:space="0" w:color="auto"/>
        <w:right w:val="none" w:sz="0" w:space="0" w:color="auto"/>
      </w:divBdr>
    </w:div>
    <w:div w:id="2083983042">
      <w:bodyDiv w:val="1"/>
      <w:marLeft w:val="0"/>
      <w:marRight w:val="0"/>
      <w:marTop w:val="0"/>
      <w:marBottom w:val="0"/>
      <w:divBdr>
        <w:top w:val="none" w:sz="0" w:space="0" w:color="auto"/>
        <w:left w:val="none" w:sz="0" w:space="0" w:color="auto"/>
        <w:bottom w:val="none" w:sz="0" w:space="0" w:color="auto"/>
        <w:right w:val="none" w:sz="0" w:space="0" w:color="auto"/>
      </w:divBdr>
    </w:div>
    <w:div w:id="210884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chart" Target="charts/chart1.xml"/><Relationship Id="rId26" Type="http://schemas.openxmlformats.org/officeDocument/2006/relationships/chart" Target="charts/chart9.xml"/><Relationship Id="rId39" Type="http://schemas.openxmlformats.org/officeDocument/2006/relationships/chart" Target="charts/chart22.xml"/><Relationship Id="rId3" Type="http://schemas.openxmlformats.org/officeDocument/2006/relationships/styles" Target="styles.xml"/><Relationship Id="rId21" Type="http://schemas.openxmlformats.org/officeDocument/2006/relationships/chart" Target="charts/chart4.xml"/><Relationship Id="rId34" Type="http://schemas.openxmlformats.org/officeDocument/2006/relationships/chart" Target="charts/chart17.xml"/><Relationship Id="rId42" Type="http://schemas.openxmlformats.org/officeDocument/2006/relationships/hyperlink" Target="https://fr.wikipedia.org/wiki/D%C3%A9forestation" TargetMode="External"/><Relationship Id="rId47" Type="http://schemas.openxmlformats.org/officeDocument/2006/relationships/header" Target="header4.xml"/><Relationship Id="rId50"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yperlink" Target="http://www.dgcoop.gov.bf" TargetMode="External"/><Relationship Id="rId17" Type="http://schemas.openxmlformats.org/officeDocument/2006/relationships/footer" Target="footer2.xml"/><Relationship Id="rId25" Type="http://schemas.openxmlformats.org/officeDocument/2006/relationships/chart" Target="charts/chart8.xml"/><Relationship Id="rId33" Type="http://schemas.openxmlformats.org/officeDocument/2006/relationships/chart" Target="charts/chart16.xml"/><Relationship Id="rId38" Type="http://schemas.openxmlformats.org/officeDocument/2006/relationships/chart" Target="charts/chart21.xml"/><Relationship Id="rId46"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oleObject" Target="embeddings/Microsoft_Excel_97-2003_Worksheet1.xls"/><Relationship Id="rId20" Type="http://schemas.openxmlformats.org/officeDocument/2006/relationships/chart" Target="charts/chart3.xml"/><Relationship Id="rId29" Type="http://schemas.openxmlformats.org/officeDocument/2006/relationships/chart" Target="charts/chart12.xml"/><Relationship Id="rId41" Type="http://schemas.openxmlformats.org/officeDocument/2006/relationships/hyperlink" Target="https://fr.wikipedia.org/wiki/Gaz_%C3%A0_effet_de_serr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emf"/><Relationship Id="rId24" Type="http://schemas.openxmlformats.org/officeDocument/2006/relationships/chart" Target="charts/chart7.xml"/><Relationship Id="rId32" Type="http://schemas.openxmlformats.org/officeDocument/2006/relationships/chart" Target="charts/chart15.xml"/><Relationship Id="rId37" Type="http://schemas.openxmlformats.org/officeDocument/2006/relationships/chart" Target="charts/chart20.xml"/><Relationship Id="rId40" Type="http://schemas.openxmlformats.org/officeDocument/2006/relationships/chart" Target="charts/chart23.xml"/><Relationship Id="rId45"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chart" Target="charts/chart6.xml"/><Relationship Id="rId28" Type="http://schemas.openxmlformats.org/officeDocument/2006/relationships/chart" Target="charts/chart11.xml"/><Relationship Id="rId36" Type="http://schemas.openxmlformats.org/officeDocument/2006/relationships/chart" Target="charts/chart19.xml"/><Relationship Id="rId49" Type="http://schemas.openxmlformats.org/officeDocument/2006/relationships/footer" Target="footer6.xml"/><Relationship Id="rId10" Type="http://schemas.openxmlformats.org/officeDocument/2006/relationships/image" Target="media/image4.jpeg"/><Relationship Id="rId19" Type="http://schemas.openxmlformats.org/officeDocument/2006/relationships/chart" Target="charts/chart2.xml"/><Relationship Id="rId31" Type="http://schemas.openxmlformats.org/officeDocument/2006/relationships/chart" Target="charts/chart14.xml"/><Relationship Id="rId44" Type="http://schemas.openxmlformats.org/officeDocument/2006/relationships/header" Target="header3.xm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1.xml"/><Relationship Id="rId22" Type="http://schemas.openxmlformats.org/officeDocument/2006/relationships/chart" Target="charts/chart5.xml"/><Relationship Id="rId27" Type="http://schemas.openxmlformats.org/officeDocument/2006/relationships/chart" Target="charts/chart10.xml"/><Relationship Id="rId30" Type="http://schemas.openxmlformats.org/officeDocument/2006/relationships/chart" Target="charts/chart13.xml"/><Relationship Id="rId35" Type="http://schemas.openxmlformats.org/officeDocument/2006/relationships/chart" Target="charts/chart18.xml"/><Relationship Id="rId43" Type="http://schemas.openxmlformats.org/officeDocument/2006/relationships/header" Target="header2.xml"/><Relationship Id="rId48" Type="http://schemas.openxmlformats.org/officeDocument/2006/relationships/footer" Target="footer5.xml"/><Relationship Id="rId8" Type="http://schemas.openxmlformats.org/officeDocument/2006/relationships/image" Target="media/image2.png"/><Relationship Id="rId51"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BAGA\Documents\DGCOOP\RCD\RCD%202016\Base%20de%20donn&#233;es%20RCD%202016\RCD%202016%20Tableau%20final%2007%2007%202017%20&#224;%2023h36\TABLEAUX%20&amp;%20GRAPH_%20RCD%202016%20vendredi%2007%2007%202017%20BAG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BAGA\Documents\DGCOOP\RCD\RCD%202016\Tableaux%202016\TABLEAUX%20&amp;%20GRAPH_%20RCD%202016%2011%2008%202017%20BAGA.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BAGA\Documents\DGCOOP\RCD\RCD%202016\Tableaux%202016\TABLEAUX%20&amp;%20GRAPH_%20RCD%202016%2011%2008%202017%20BAG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BAGA\Documents\DGCOOP\RCD\RCD%202016\Tableaux%202016\TABLEAUX%20&amp;%20GRAPH_%20RCD%202016%2011%2008%202017%20BAGA.xlsx" TargetMode="External"/></Relationships>
</file>

<file path=word/charts/_rels/chart5.xml.rels><?xml version="1.0" encoding="UTF-8" standalone="yes"?>
<Relationships xmlns="http://schemas.openxmlformats.org/package/2006/relationships"><Relationship Id="rId2" Type="http://schemas.openxmlformats.org/officeDocument/2006/relationships/oleObject" Target="file:///C:\Users\BAGA\Documents\DGCOOP\RCD\RCD%202016\Tableaux%202016\TABLEAUX%20&amp;%20GRAPH_%20RCD%202016%2011%2008%202017%20BAGA.xlsx" TargetMode="External"/><Relationship Id="rId1" Type="http://schemas.openxmlformats.org/officeDocument/2006/relationships/themeOverride" Target="../theme/themeOverride1.xml"/></Relationships>
</file>

<file path=word/charts/_rels/chart6.xml.rels><?xml version="1.0" encoding="UTF-8" standalone="yes"?>
<Relationships xmlns="http://schemas.openxmlformats.org/package/2006/relationships"><Relationship Id="rId1" Type="http://schemas.openxmlformats.org/officeDocument/2006/relationships/oleObject" Target="file:///C:\Users\BAGA\Documents\DGCOOP\RCD\RCD%202016\Base%20de%20donn&#233;es%20RCD%202016\RCD%202016%20Tableau%20final%2007%2007%202017%20&#224;%2023h36\TABLEAUX%20&amp;%20GRAPH_%20RCD%202016%20vendredi%2007%2007%202017%20BAGA.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BAGA\Documents\DGCOOP\RCD\RCD%202016\Base%20de%20donn&#233;es%20RCD%202016\RCD%202016%20Tableau%20final%2007%2007%202017%20&#224;%2023h36\TABLEAUX%20&amp;%20GRAPH_%20RCD%202016%20vendredi%2007%2007%202017%20BAG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BAGA\Documents\DGCOOP\RCD\RCD%202016\Base%20de%20donn&#233;es%20RCD%202016\RCD%202016%20Tableau%20final%2007%2007%202017%20&#224;%2023h36\TABLEAUX%20&amp;%20GRAPH_%20RCD%202016%20vendredi%2007%2007%202017%20BAGA.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BAGA\Documents\DGCOOP\RCD\RCD%202016\Base%20de%20donn&#233;es%20RCD%202016\RCD%202016%20Tableau%20final%2007%2007%202017%20&#224;%2023h36\TABLEAUX%20&amp;%20GRAPH_%20RCD%202016%20vendredi%2007%2007%202017%20BAGA.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BAGA\Documents\DGCOOP\RCD\RCD%202016\Base%20de%20donn&#233;es%20RCD%202016\RCD%202016%20Tableau%20final%2007%2007%202017%20&#224;%2023h36\TABLEAUX%20&amp;%20GRAPH_%20RCD%202016%20vendredi%2007%2007%202017%20BAGA.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BAGA\Documents\DGCOOP\RCD\RCD%202016\Base%20de%20donn&#233;es%20RCD%202016\RCD%202016%20Tableau%20final%2007%2007%202017%20&#224;%2023h36\TABLEAUX%20&amp;%20GRAPH_%20RCD%202016%20vendredi%2007%2007%202017%20BAGA.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BAGA\Documents\DGCOOP\RCD\RCD%202016\Base%20de%20donn&#233;es%20RCD%202016\RCD%202016%20Tableau%20final%2007%2007%202017%20&#224;%2023h36\TABLEAUX%20&amp;%20GRAPH_%20RCD%202016%20vendredi%2007%2007%202017%20BAGA.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BAGA\Documents\DGCOOP\RCD\RCD%202016\Base%20de%20donn&#233;es%20RCD%202016\RCD%202016%20Tableau%20final%2007%2007%202017%20&#224;%2023h36\TABLEAUX%20&amp;%20GRAPH_%20RCD%202016%20vendredi%2007%2007%202017%20BAGA.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15.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17.xml.rels><?xml version="1.0" encoding="UTF-8" standalone="yes"?>
<Relationships xmlns="http://schemas.openxmlformats.org/package/2006/relationships"><Relationship Id="rId1" Type="http://schemas.openxmlformats.org/officeDocument/2006/relationships/oleObject" Target="file:///C:\Users\BAGA\Documents\DGCOOP\RCD\RCD%202016\Tableaux%202016\T6-%20RCD%20secteur%20et%20sous%20secteur%20%20%20OCDE%20et%20groupe%20de%20donateur_KANTAGBA.xls"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BAGA\Documents\DGCOOP\RCD\RCD%202016\Tableaux%202016\T6-%20RCD%20secteur%20et%20sous%20secteur%20%20%20OCDE%20et%20groupe%20de%20donateur_KANTAGBA.xls" TargetMode="External"/></Relationships>
</file>

<file path=word/charts/_rels/chart19.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themeOverride" Target="../theme/themeOverride2.xml"/></Relationships>
</file>

<file path=word/charts/_rels/chart20.xml.rels><?xml version="1.0" encoding="UTF-8" standalone="yes"?>
<Relationships xmlns="http://schemas.openxmlformats.org/package/2006/relationships"><Relationship Id="rId2" Type="http://schemas.openxmlformats.org/officeDocument/2006/relationships/oleObject" Target="../embeddings/oleObject4.bin"/><Relationship Id="rId1" Type="http://schemas.openxmlformats.org/officeDocument/2006/relationships/themeOverride" Target="../theme/themeOverride3.xml"/></Relationships>
</file>

<file path=word/charts/_rels/chart21.xml.rels><?xml version="1.0" encoding="UTF-8" standalone="yes"?>
<Relationships xmlns="http://schemas.openxmlformats.org/package/2006/relationships"><Relationship Id="rId1" Type="http://schemas.openxmlformats.org/officeDocument/2006/relationships/oleObject" Target="file:///C:\Users\BAGA\Documents\DGCOOP\RCD\RCD%202016\DOCUMENTATION%20RCD%202016\Donn&#233;es%20PNDES.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Users\isaac%20kabre\AppData\Roaming\Microsoft\Excel\Conventions%20(version%201).xlsb"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F:\convention\Conventions%20(Enregistr&#233;%20automatiquemen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27"/>
    </mc:Choice>
    <mc:Fallback>
      <c:style val="27"/>
    </mc:Fallback>
  </mc:AlternateContent>
  <c:chart>
    <c:autoTitleDeleted val="1"/>
    <c:plotArea>
      <c:layout>
        <c:manualLayout>
          <c:layoutTarget val="inner"/>
          <c:xMode val="edge"/>
          <c:yMode val="edge"/>
          <c:x val="0.10244792086302236"/>
          <c:y val="2.7376559578363192E-2"/>
          <c:w val="0.85654972606480884"/>
          <c:h val="0.75092936802973975"/>
        </c:manualLayout>
      </c:layout>
      <c:barChart>
        <c:barDir val="col"/>
        <c:grouping val="clustered"/>
        <c:varyColors val="0"/>
        <c:ser>
          <c:idx val="0"/>
          <c:order val="0"/>
          <c:tx>
            <c:strRef>
              <c:f>'2.Evolution_APD'!$J$7:$S$7</c:f>
              <c:strCache>
                <c:ptCount val="10"/>
                <c:pt idx="0">
                  <c:v>862</c:v>
                </c:pt>
                <c:pt idx="1">
                  <c:v>1024</c:v>
                </c:pt>
                <c:pt idx="2">
                  <c:v>1229</c:v>
                </c:pt>
                <c:pt idx="3">
                  <c:v>1057</c:v>
                </c:pt>
                <c:pt idx="4">
                  <c:v>1142</c:v>
                </c:pt>
                <c:pt idx="5">
                  <c:v>1163</c:v>
                </c:pt>
                <c:pt idx="6">
                  <c:v> 1 194 </c:v>
                </c:pt>
                <c:pt idx="7">
                  <c:v> 1 099 </c:v>
                </c:pt>
                <c:pt idx="8">
                  <c:v>1100</c:v>
                </c:pt>
                <c:pt idx="9">
                  <c:v>1140</c:v>
                </c:pt>
              </c:strCache>
            </c:strRef>
          </c:tx>
          <c:spPr>
            <a:solidFill>
              <a:srgbClr val="0000CC"/>
            </a:solidFill>
          </c:spPr>
          <c:invertIfNegative val="0"/>
          <c:dLbls>
            <c:spPr>
              <a:noFill/>
              <a:ln w="2540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'2.Evolution_APD'!$J$6:$S$6</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'2.Evolution_APD'!$J$7:$S$7</c:f>
              <c:numCache>
                <c:formatCode>0</c:formatCode>
                <c:ptCount val="10"/>
                <c:pt idx="0">
                  <c:v>861.9</c:v>
                </c:pt>
                <c:pt idx="1">
                  <c:v>1023.97</c:v>
                </c:pt>
                <c:pt idx="2">
                  <c:v>1229</c:v>
                </c:pt>
                <c:pt idx="3">
                  <c:v>1057.2561642100002</c:v>
                </c:pt>
                <c:pt idx="4">
                  <c:v>1142</c:v>
                </c:pt>
                <c:pt idx="5">
                  <c:v>1163</c:v>
                </c:pt>
                <c:pt idx="6" formatCode="_(* #\ ##0_);_(* \(#\ ##0\);_(* &quot;-&quot;??_);_(@_)">
                  <c:v>1194.4188855320001</c:v>
                </c:pt>
                <c:pt idx="7" formatCode="_(* #\ ##0_);_(* \(#\ ##0\);_(* &quot;-&quot;??_);_(@_)">
                  <c:v>1099.222404279994</c:v>
                </c:pt>
                <c:pt idx="8">
                  <c:v>1100.341402314994</c:v>
                </c:pt>
                <c:pt idx="9">
                  <c:v>1140.2270000000001</c:v>
                </c:pt>
              </c:numCache>
            </c:numRef>
          </c:val>
          <c:extLst xmlns:c16r2="http://schemas.microsoft.com/office/drawing/2015/06/chart">
            <c:ext xmlns:c16="http://schemas.microsoft.com/office/drawing/2014/chart" uri="{C3380CC4-5D6E-409C-BE32-E72D297353CC}">
              <c16:uniqueId val="{00000000-084F-44D0-B260-A135053D4502}"/>
            </c:ext>
          </c:extLst>
        </c:ser>
        <c:dLbls>
          <c:showLegendKey val="0"/>
          <c:showVal val="0"/>
          <c:showCatName val="0"/>
          <c:showSerName val="0"/>
          <c:showPercent val="0"/>
          <c:showBubbleSize val="0"/>
        </c:dLbls>
        <c:gapWidth val="150"/>
        <c:axId val="230239048"/>
        <c:axId val="230237872"/>
      </c:barChart>
      <c:catAx>
        <c:axId val="230239048"/>
        <c:scaling>
          <c:orientation val="minMax"/>
        </c:scaling>
        <c:delete val="0"/>
        <c:axPos val="b"/>
        <c:title>
          <c:tx>
            <c:rich>
              <a:bodyPr/>
              <a:lstStyle/>
              <a:p>
                <a:pPr>
                  <a:defRPr/>
                </a:pPr>
                <a:r>
                  <a:rPr lang="en-US"/>
                  <a:t>Années</a:t>
                </a:r>
              </a:p>
            </c:rich>
          </c:tx>
          <c:layout>
            <c:manualLayout>
              <c:xMode val="edge"/>
              <c:yMode val="edge"/>
              <c:x val="0.49629951199066091"/>
              <c:y val="0.93139667541557658"/>
            </c:manualLayout>
          </c:layout>
          <c:overlay val="0"/>
          <c:spPr>
            <a:noFill/>
            <a:ln w="25400">
              <a:noFill/>
            </a:ln>
          </c:spPr>
        </c:title>
        <c:numFmt formatCode="General" sourceLinked="1"/>
        <c:majorTickMark val="out"/>
        <c:minorTickMark val="none"/>
        <c:tickLblPos val="nextTo"/>
        <c:txPr>
          <a:bodyPr rot="0" vert="horz"/>
          <a:lstStyle/>
          <a:p>
            <a:pPr>
              <a:defRPr/>
            </a:pPr>
            <a:endParaRPr lang="fr-FR"/>
          </a:p>
        </c:txPr>
        <c:crossAx val="230237872"/>
        <c:crosses val="autoZero"/>
        <c:auto val="1"/>
        <c:lblAlgn val="ctr"/>
        <c:lblOffset val="100"/>
        <c:tickLblSkip val="1"/>
        <c:tickMarkSkip val="1"/>
        <c:noMultiLvlLbl val="0"/>
      </c:catAx>
      <c:valAx>
        <c:axId val="230237872"/>
        <c:scaling>
          <c:orientation val="minMax"/>
        </c:scaling>
        <c:delete val="0"/>
        <c:axPos val="l"/>
        <c:majorGridlines/>
        <c:title>
          <c:tx>
            <c:rich>
              <a:bodyPr/>
              <a:lstStyle/>
              <a:p>
                <a:pPr>
                  <a:defRPr sz="800" baseline="0"/>
                </a:pPr>
                <a:r>
                  <a:rPr lang="en-US" sz="800" baseline="0"/>
                  <a:t>APD (Millions de $US)</a:t>
                </a:r>
              </a:p>
            </c:rich>
          </c:tx>
          <c:layout>
            <c:manualLayout>
              <c:xMode val="edge"/>
              <c:yMode val="edge"/>
              <c:x val="6.1056056205902151E-4"/>
              <c:y val="0.30699352580927575"/>
            </c:manualLayout>
          </c:layout>
          <c:overlay val="0"/>
          <c:spPr>
            <a:noFill/>
            <a:ln w="25400">
              <a:noFill/>
            </a:ln>
          </c:spPr>
        </c:title>
        <c:numFmt formatCode="0" sourceLinked="1"/>
        <c:majorTickMark val="out"/>
        <c:minorTickMark val="none"/>
        <c:tickLblPos val="nextTo"/>
        <c:txPr>
          <a:bodyPr rot="0" vert="horz"/>
          <a:lstStyle/>
          <a:p>
            <a:pPr>
              <a:defRPr/>
            </a:pPr>
            <a:endParaRPr lang="fr-FR"/>
          </a:p>
        </c:txPr>
        <c:crossAx val="230239048"/>
        <c:crosses val="autoZero"/>
        <c:crossBetween val="between"/>
      </c:valAx>
    </c:plotArea>
    <c:plotVisOnly val="1"/>
    <c:dispBlanksAs val="gap"/>
    <c:showDLblsOverMax val="0"/>
  </c:chart>
  <c:spPr>
    <a:solidFill>
      <a:schemeClr val="bg1">
        <a:lumMod val="85000"/>
      </a:schemeClr>
    </a:solidFill>
  </c:spPr>
  <c:txPr>
    <a:bodyPr/>
    <a:lstStyle/>
    <a:p>
      <a:pPr>
        <a:defRPr sz="900" b="1" i="0" baseline="0">
          <a:latin typeface="Arial" pitchFamily="34" charset="0"/>
        </a:defRPr>
      </a:pPr>
      <a:endParaRPr lang="fr-F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25"/>
      <c:hPercent val="50"/>
      <c:rotY val="0"/>
      <c:rAngAx val="0"/>
      <c:perspective val="0"/>
    </c:view3D>
    <c:floor>
      <c:thickness val="0"/>
    </c:floor>
    <c:sideWall>
      <c:thickness val="0"/>
    </c:sideWall>
    <c:backWall>
      <c:thickness val="0"/>
    </c:backWall>
    <c:plotArea>
      <c:layout>
        <c:manualLayout>
          <c:layoutTarget val="inner"/>
          <c:xMode val="edge"/>
          <c:yMode val="edge"/>
          <c:x val="1.6505402102514968E-2"/>
          <c:y val="0.30160080457232563"/>
          <c:w val="0.61328445055479164"/>
          <c:h val="0.50830622807663062"/>
        </c:manualLayout>
      </c:layout>
      <c:pie3DChart>
        <c:varyColors val="1"/>
        <c:ser>
          <c:idx val="0"/>
          <c:order val="0"/>
          <c:tx>
            <c:strRef>
              <c:f>'6.APD par type d''assistance'!$B$8:$B$13</c:f>
              <c:strCache>
                <c:ptCount val="6"/>
                <c:pt idx="0">
                  <c:v>Aide projet sans fonds communs</c:v>
                </c:pt>
                <c:pt idx="1">
                  <c:v>Appui budgétaire général</c:v>
                </c:pt>
                <c:pt idx="2">
                  <c:v>Aide projet avec fonds communs</c:v>
                </c:pt>
                <c:pt idx="3">
                  <c:v>Aide alimentaire</c:v>
                </c:pt>
                <c:pt idx="4">
                  <c:v>Assistance et secours d'urgence</c:v>
                </c:pt>
                <c:pt idx="5">
                  <c:v>Appui budgétaire sectoriel</c:v>
                </c:pt>
              </c:strCache>
            </c:strRef>
          </c:tx>
          <c:spPr>
            <a:solidFill>
              <a:srgbClr val="9999FF"/>
            </a:solidFill>
            <a:ln w="25400">
              <a:noFill/>
            </a:ln>
          </c:spPr>
          <c:explosion val="25"/>
          <c:dPt>
            <c:idx val="0"/>
            <c:bubble3D val="0"/>
            <c:spPr>
              <a:solidFill>
                <a:srgbClr val="0000FF"/>
              </a:solidFill>
              <a:ln w="25400">
                <a:noFill/>
              </a:ln>
            </c:spPr>
          </c:dPt>
          <c:dPt>
            <c:idx val="1"/>
            <c:bubble3D val="0"/>
            <c:spPr>
              <a:solidFill>
                <a:srgbClr val="800000"/>
              </a:solidFill>
              <a:ln w="25400">
                <a:noFill/>
              </a:ln>
            </c:spPr>
          </c:dPt>
          <c:dPt>
            <c:idx val="2"/>
            <c:bubble3D val="0"/>
            <c:spPr>
              <a:solidFill>
                <a:srgbClr val="FFFF00"/>
              </a:solidFill>
              <a:ln w="25400">
                <a:noFill/>
              </a:ln>
            </c:spPr>
          </c:dPt>
          <c:dPt>
            <c:idx val="3"/>
            <c:bubble3D val="0"/>
            <c:spPr>
              <a:solidFill>
                <a:srgbClr val="00FF00"/>
              </a:solidFill>
              <a:ln w="25400">
                <a:noFill/>
              </a:ln>
            </c:spPr>
          </c:dPt>
          <c:dPt>
            <c:idx val="4"/>
            <c:bubble3D val="0"/>
            <c:spPr>
              <a:solidFill>
                <a:srgbClr val="660066"/>
              </a:solidFill>
              <a:ln w="25400">
                <a:noFill/>
              </a:ln>
            </c:spPr>
          </c:dPt>
          <c:dPt>
            <c:idx val="5"/>
            <c:bubble3D val="0"/>
            <c:spPr>
              <a:solidFill>
                <a:srgbClr val="FF0000"/>
              </a:solidFill>
              <a:ln w="25400">
                <a:noFill/>
              </a:ln>
            </c:spPr>
          </c:dPt>
          <c:dLbls>
            <c:dLbl>
              <c:idx val="0"/>
              <c:layout>
                <c:manualLayout>
                  <c:x val="-1.7012803955061172E-2"/>
                  <c:y val="0.12584982951897367"/>
                </c:manualLayout>
              </c:layout>
              <c:dLblPos val="bestFit"/>
              <c:showLegendKey val="0"/>
              <c:showVal val="0"/>
              <c:showCatName val="0"/>
              <c:showSerName val="0"/>
              <c:showPercent val="1"/>
              <c:showBubbleSize val="0"/>
              <c:extLst>
                <c:ext xmlns:c15="http://schemas.microsoft.com/office/drawing/2012/chart" uri="{CE6537A1-D6FC-4f65-9D91-7224C49458BB}"/>
              </c:extLst>
            </c:dLbl>
            <c:dLbl>
              <c:idx val="1"/>
              <c:layout>
                <c:manualLayout>
                  <c:x val="3.108232334772112E-4"/>
                  <c:y val="0.17782810289924153"/>
                </c:manualLayout>
              </c:layout>
              <c:dLblPos val="bestFit"/>
              <c:showLegendKey val="0"/>
              <c:showVal val="0"/>
              <c:showCatName val="0"/>
              <c:showSerName val="0"/>
              <c:showPercent val="1"/>
              <c:showBubbleSize val="0"/>
              <c:extLst>
                <c:ext xmlns:c15="http://schemas.microsoft.com/office/drawing/2012/chart" uri="{CE6537A1-D6FC-4f65-9D91-7224C49458BB}"/>
              </c:extLst>
            </c:dLbl>
            <c:dLbl>
              <c:idx val="2"/>
              <c:layout>
                <c:manualLayout>
                  <c:x val="-3.9166416678767794E-2"/>
                  <c:y val="-1.5970410038802743E-2"/>
                </c:manualLayout>
              </c:layout>
              <c:dLblPos val="bestFit"/>
              <c:showLegendKey val="0"/>
              <c:showVal val="0"/>
              <c:showCatName val="0"/>
              <c:showSerName val="0"/>
              <c:showPercent val="1"/>
              <c:showBubbleSize val="0"/>
              <c:extLst>
                <c:ext xmlns:c15="http://schemas.microsoft.com/office/drawing/2012/chart" uri="{CE6537A1-D6FC-4f65-9D91-7224C49458BB}"/>
              </c:extLst>
            </c:dLbl>
            <c:dLbl>
              <c:idx val="3"/>
              <c:layout>
                <c:manualLayout>
                  <c:x val="-7.2887062309629713E-2"/>
                  <c:y val="-7.3389759997579559E-2"/>
                </c:manualLayout>
              </c:layout>
              <c:dLblPos val="bestFit"/>
              <c:showLegendKey val="0"/>
              <c:showVal val="0"/>
              <c:showCatName val="0"/>
              <c:showSerName val="0"/>
              <c:showPercent val="1"/>
              <c:showBubbleSize val="0"/>
              <c:extLst>
                <c:ext xmlns:c15="http://schemas.microsoft.com/office/drawing/2012/chart" uri="{CE6537A1-D6FC-4f65-9D91-7224C49458BB}"/>
              </c:extLst>
            </c:dLbl>
            <c:dLbl>
              <c:idx val="4"/>
              <c:layout>
                <c:manualLayout>
                  <c:x val="4.4794227110500039E-2"/>
                  <c:y val="-0.14236662006034292"/>
                </c:manualLayout>
              </c:layout>
              <c:dLblPos val="bestFit"/>
              <c:showLegendKey val="0"/>
              <c:showVal val="0"/>
              <c:showCatName val="0"/>
              <c:showSerName val="0"/>
              <c:showPercent val="1"/>
              <c:showBubbleSize val="0"/>
              <c:extLst>
                <c:ext xmlns:c15="http://schemas.microsoft.com/office/drawing/2012/chart" uri="{CE6537A1-D6FC-4f65-9D91-7224C49458BB}"/>
              </c:extLst>
            </c:dLbl>
            <c:dLbl>
              <c:idx val="5"/>
              <c:layout>
                <c:manualLayout>
                  <c:x val="0.10168121345942868"/>
                  <c:y val="-6.6206981136703702E-2"/>
                </c:manualLayout>
              </c:layout>
              <c:dLblPos val="bestFit"/>
              <c:showLegendKey val="0"/>
              <c:showVal val="0"/>
              <c:showCatName val="0"/>
              <c:showSerName val="0"/>
              <c:showPercent val="1"/>
              <c:showBubbleSize val="0"/>
              <c:extLst>
                <c:ext xmlns:c15="http://schemas.microsoft.com/office/drawing/2012/chart" uri="{CE6537A1-D6FC-4f65-9D91-7224C49458BB}"/>
              </c:extLst>
            </c:dLbl>
            <c:numFmt formatCode="0.00%" sourceLinked="0"/>
            <c:spPr>
              <a:noFill/>
              <a:ln w="25400">
                <a:noFill/>
              </a:ln>
            </c:spPr>
            <c:txPr>
              <a:bodyPr/>
              <a:lstStyle/>
              <a:p>
                <a:pPr algn="ctr" rtl="1">
                  <a:defRPr sz="900" b="1" i="0" u="none" strike="noStrike" baseline="0">
                    <a:solidFill>
                      <a:srgbClr val="000000"/>
                    </a:solidFill>
                    <a:latin typeface="Calibri"/>
                    <a:ea typeface="Calibri"/>
                    <a:cs typeface="Calibri"/>
                  </a:defRPr>
                </a:pPr>
                <a:endParaRPr lang="fr-FR"/>
              </a:p>
            </c:txPr>
            <c:dLblPos val="outEnd"/>
            <c:showLegendKey val="0"/>
            <c:showVal val="0"/>
            <c:showCatName val="0"/>
            <c:showSerName val="0"/>
            <c:showPercent val="1"/>
            <c:showBubbleSize val="0"/>
            <c:showLeaderLines val="1"/>
            <c:extLst>
              <c:ext xmlns:c15="http://schemas.microsoft.com/office/drawing/2012/chart" uri="{CE6537A1-D6FC-4f65-9D91-7224C49458BB}"/>
            </c:extLst>
          </c:dLbls>
          <c:cat>
            <c:strRef>
              <c:f>'6.APD par type d''assistance'!$B$8:$B$13</c:f>
              <c:strCache>
                <c:ptCount val="6"/>
                <c:pt idx="0">
                  <c:v>Aide projet sans fonds communs</c:v>
                </c:pt>
                <c:pt idx="1">
                  <c:v>Appui budgétaire général</c:v>
                </c:pt>
                <c:pt idx="2">
                  <c:v>Aide projet avec fonds communs</c:v>
                </c:pt>
                <c:pt idx="3">
                  <c:v>Aide alimentaire</c:v>
                </c:pt>
                <c:pt idx="4">
                  <c:v>Assistance et secours d'urgence</c:v>
                </c:pt>
                <c:pt idx="5">
                  <c:v>Appui budgétaire sectoriel</c:v>
                </c:pt>
              </c:strCache>
            </c:strRef>
          </c:cat>
          <c:val>
            <c:numRef>
              <c:f>'6.APD par type d''assistance'!$E$8:$E$13</c:f>
              <c:numCache>
                <c:formatCode>0.00%</c:formatCode>
                <c:ptCount val="6"/>
                <c:pt idx="0">
                  <c:v>0.66885190980017961</c:v>
                </c:pt>
                <c:pt idx="1">
                  <c:v>0.23286301638976203</c:v>
                </c:pt>
                <c:pt idx="2">
                  <c:v>5.5596093399191741E-2</c:v>
                </c:pt>
                <c:pt idx="3">
                  <c:v>2.7768227997305793E-2</c:v>
                </c:pt>
                <c:pt idx="4">
                  <c:v>5.5576798944768748E-3</c:v>
                </c:pt>
                <c:pt idx="5">
                  <c:v>9.3630725190839703E-3</c:v>
                </c:pt>
              </c:numCache>
            </c:numRef>
          </c:val>
        </c:ser>
        <c:dLbls>
          <c:showLegendKey val="0"/>
          <c:showVal val="0"/>
          <c:showCatName val="0"/>
          <c:showSerName val="0"/>
          <c:showPercent val="0"/>
          <c:showBubbleSize val="0"/>
          <c:showLeaderLines val="1"/>
        </c:dLbls>
      </c:pie3DChart>
      <c:spPr>
        <a:noFill/>
        <a:ln w="25400">
          <a:noFill/>
        </a:ln>
      </c:spPr>
    </c:plotArea>
    <c:legend>
      <c:legendPos val="r"/>
      <c:layout>
        <c:manualLayout>
          <c:xMode val="edge"/>
          <c:yMode val="edge"/>
          <c:x val="0.60915614714827315"/>
          <c:y val="3.9850681948554907E-2"/>
          <c:w val="0.37413882292491218"/>
          <c:h val="0.91696181145171274"/>
        </c:manualLayout>
      </c:layout>
      <c:overlay val="0"/>
      <c:spPr>
        <a:solidFill>
          <a:srgbClr val="FFFFFF"/>
        </a:solidFill>
        <a:ln w="3175">
          <a:solidFill>
            <a:srgbClr val="000000"/>
          </a:solidFill>
          <a:prstDash val="solid"/>
        </a:ln>
      </c:spPr>
      <c:txPr>
        <a:bodyPr/>
        <a:lstStyle/>
        <a:p>
          <a:pPr>
            <a:defRPr sz="1000" b="1" i="0" u="none" strike="noStrike" baseline="0">
              <a:solidFill>
                <a:srgbClr val="000000"/>
              </a:solidFill>
              <a:latin typeface="Calibri"/>
              <a:ea typeface="Calibri"/>
              <a:cs typeface="Calibri"/>
            </a:defRPr>
          </a:pPr>
          <a:endParaRPr lang="fr-FR"/>
        </a:p>
      </c:txPr>
    </c:legend>
    <c:plotVisOnly val="1"/>
    <c:dispBlanksAs val="zero"/>
    <c:showDLblsOverMax val="0"/>
  </c:chart>
  <c:spPr>
    <a:solidFill>
      <a:srgbClr val="FFFFFF"/>
    </a:solidFill>
    <a:ln w="3175">
      <a:solidFill>
        <a:srgbClr val="000000"/>
      </a:solidFill>
      <a:prstDash val="solid"/>
    </a:ln>
  </c:spPr>
  <c:txPr>
    <a:bodyPr/>
    <a:lstStyle/>
    <a:p>
      <a:pPr>
        <a:defRPr sz="1175" b="0" i="0" u="none" strike="noStrike" baseline="0">
          <a:solidFill>
            <a:srgbClr val="000000"/>
          </a:solidFill>
          <a:latin typeface="Arial"/>
          <a:ea typeface="Arial"/>
          <a:cs typeface="Arial"/>
        </a:defRPr>
      </a:pPr>
      <a:endParaRPr lang="fr-F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281962682548023"/>
          <c:y val="5.9523809523809507E-2"/>
          <c:w val="0.74508184706399705"/>
          <c:h val="0.83776395226101208"/>
        </c:manualLayout>
      </c:layout>
      <c:barChart>
        <c:barDir val="bar"/>
        <c:grouping val="clustered"/>
        <c:varyColors val="0"/>
        <c:ser>
          <c:idx val="0"/>
          <c:order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'7.Aide projet sans FC '!$B$27:$B$36</c:f>
              <c:strCache>
                <c:ptCount val="10"/>
                <c:pt idx="0">
                  <c:v>BM</c:v>
                </c:pt>
                <c:pt idx="1">
                  <c:v>France</c:v>
                </c:pt>
                <c:pt idx="2">
                  <c:v>SNU</c:v>
                </c:pt>
                <c:pt idx="3">
                  <c:v>UE</c:v>
                </c:pt>
                <c:pt idx="4">
                  <c:v>BAD</c:v>
                </c:pt>
                <c:pt idx="5">
                  <c:v>USA</c:v>
                </c:pt>
                <c:pt idx="6">
                  <c:v>Allemgne</c:v>
                </c:pt>
                <c:pt idx="7">
                  <c:v>ONG</c:v>
                </c:pt>
                <c:pt idx="8">
                  <c:v>BOAD</c:v>
                </c:pt>
                <c:pt idx="9">
                  <c:v>Chine-Taïwan</c:v>
                </c:pt>
              </c:strCache>
            </c:strRef>
          </c:cat>
          <c:val>
            <c:numRef>
              <c:f>'7.Aide projet sans FC '!$C$27:$C$36</c:f>
              <c:numCache>
                <c:formatCode>General</c:formatCode>
                <c:ptCount val="10"/>
                <c:pt idx="0">
                  <c:v>144.1</c:v>
                </c:pt>
                <c:pt idx="1">
                  <c:v>136.93199999999999</c:v>
                </c:pt>
                <c:pt idx="2">
                  <c:v>61.99</c:v>
                </c:pt>
                <c:pt idx="3">
                  <c:v>60.393000000000001</c:v>
                </c:pt>
                <c:pt idx="4">
                  <c:v>51.884</c:v>
                </c:pt>
                <c:pt idx="5">
                  <c:v>46.186999999999998</c:v>
                </c:pt>
                <c:pt idx="6">
                  <c:v>45.581000000000003</c:v>
                </c:pt>
                <c:pt idx="7">
                  <c:v>34.097000000000001</c:v>
                </c:pt>
                <c:pt idx="8">
                  <c:v>30.536999999999999</c:v>
                </c:pt>
                <c:pt idx="9">
                  <c:v>22.491</c:v>
                </c:pt>
              </c:numCache>
            </c:numRef>
          </c:val>
          <c:extLst/>
        </c:ser>
        <c:dLbls>
          <c:showLegendKey val="0"/>
          <c:showVal val="0"/>
          <c:showCatName val="0"/>
          <c:showSerName val="0"/>
          <c:showPercent val="0"/>
          <c:showBubbleSize val="0"/>
        </c:dLbls>
        <c:gapWidth val="115"/>
        <c:overlap val="-20"/>
        <c:axId val="342689696"/>
        <c:axId val="342619840"/>
      </c:barChart>
      <c:catAx>
        <c:axId val="342689696"/>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2619840"/>
        <c:crosses val="autoZero"/>
        <c:auto val="1"/>
        <c:lblAlgn val="ctr"/>
        <c:lblOffset val="100"/>
        <c:noMultiLvlLbl val="0"/>
      </c:catAx>
      <c:valAx>
        <c:axId val="34261984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26896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2521102001978233"/>
          <c:y val="5.9523809523809507E-2"/>
          <c:w val="0.71269036683961573"/>
          <c:h val="0.86309523809523903"/>
        </c:manualLayout>
      </c:layout>
      <c:barChart>
        <c:barDir val="bar"/>
        <c:grouping val="clustered"/>
        <c:varyColors val="0"/>
        <c:ser>
          <c:idx val="0"/>
          <c:order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'8.Aide projet avec FC1'!$B$24:$B$32</c:f>
              <c:strCache>
                <c:ptCount val="9"/>
                <c:pt idx="0">
                  <c:v>  Suède</c:v>
                </c:pt>
                <c:pt idx="1">
                  <c:v>  France</c:v>
                </c:pt>
                <c:pt idx="2">
                  <c:v>  Canada</c:v>
                </c:pt>
                <c:pt idx="3">
                  <c:v>  Luxembourg</c:v>
                </c:pt>
                <c:pt idx="4">
                  <c:v>  Danemark</c:v>
                </c:pt>
                <c:pt idx="5">
                  <c:v>SNU</c:v>
                </c:pt>
                <c:pt idx="6">
                  <c:v>  Suisse</c:v>
                </c:pt>
                <c:pt idx="7">
                  <c:v>  Autriche</c:v>
                </c:pt>
                <c:pt idx="8">
                  <c:v>  Principauté de Monaco</c:v>
                </c:pt>
              </c:strCache>
            </c:strRef>
          </c:cat>
          <c:val>
            <c:numRef>
              <c:f>'8.Aide projet avec FC1'!$C$24:$C$32</c:f>
              <c:numCache>
                <c:formatCode>General</c:formatCode>
                <c:ptCount val="9"/>
                <c:pt idx="0">
                  <c:v>18.855</c:v>
                </c:pt>
                <c:pt idx="1">
                  <c:v>11.62</c:v>
                </c:pt>
                <c:pt idx="2">
                  <c:v>10.129</c:v>
                </c:pt>
                <c:pt idx="3">
                  <c:v>7.5490000000000004</c:v>
                </c:pt>
                <c:pt idx="4">
                  <c:v>7.2169999999999996</c:v>
                </c:pt>
                <c:pt idx="5">
                  <c:v>4.976</c:v>
                </c:pt>
                <c:pt idx="6">
                  <c:v>2.181</c:v>
                </c:pt>
                <c:pt idx="7">
                  <c:v>0.751</c:v>
                </c:pt>
                <c:pt idx="8">
                  <c:v>0.11</c:v>
                </c:pt>
              </c:numCache>
            </c:numRef>
          </c:val>
        </c:ser>
        <c:dLbls>
          <c:showLegendKey val="0"/>
          <c:showVal val="0"/>
          <c:showCatName val="0"/>
          <c:showSerName val="0"/>
          <c:showPercent val="0"/>
          <c:showBubbleSize val="0"/>
        </c:dLbls>
        <c:gapWidth val="115"/>
        <c:overlap val="-20"/>
        <c:axId val="352623264"/>
        <c:axId val="339301648"/>
      </c:barChart>
      <c:catAx>
        <c:axId val="352623264"/>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39301648"/>
        <c:crosses val="autoZero"/>
        <c:auto val="1"/>
        <c:lblAlgn val="ctr"/>
        <c:lblOffset val="100"/>
        <c:noMultiLvlLbl val="0"/>
      </c:catAx>
      <c:valAx>
        <c:axId val="33930164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526232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27305578475140296"/>
          <c:y val="0"/>
          <c:w val="0.67903304245192864"/>
          <c:h val="0.81357548240635669"/>
        </c:manualLayout>
      </c:layout>
      <c:barChart>
        <c:barDir val="bar"/>
        <c:grouping val="clustered"/>
        <c:varyColors val="0"/>
        <c:ser>
          <c:idx val="0"/>
          <c:order val="0"/>
          <c:invertIfNegative val="0"/>
          <c:dLbls>
            <c:spPr>
              <a:noFill/>
              <a:ln>
                <a:noFill/>
              </a:ln>
              <a:effectLst/>
            </c:spPr>
            <c:txPr>
              <a:bodyPr/>
              <a:lstStyle/>
              <a:p>
                <a:pPr>
                  <a:defRPr sz="900">
                    <a:latin typeface="Arial" pitchFamily="34" charset="0"/>
                    <a:cs typeface="Arial" pitchFamily="34" charset="0"/>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'10.ABG'!$B$7:$B$11</c:f>
              <c:strCache>
                <c:ptCount val="5"/>
                <c:pt idx="0">
                  <c:v>BM</c:v>
                </c:pt>
                <c:pt idx="1">
                  <c:v>UE</c:v>
                </c:pt>
                <c:pt idx="2">
                  <c:v>FMI</c:v>
                </c:pt>
                <c:pt idx="3">
                  <c:v>France</c:v>
                </c:pt>
                <c:pt idx="4">
                  <c:v>Suisse</c:v>
                </c:pt>
              </c:strCache>
            </c:strRef>
          </c:cat>
          <c:val>
            <c:numRef>
              <c:f>'10.ABG'!$C$7:$C$11</c:f>
              <c:numCache>
                <c:formatCode>0.00</c:formatCode>
                <c:ptCount val="5"/>
                <c:pt idx="0">
                  <c:v>152.685</c:v>
                </c:pt>
                <c:pt idx="1">
                  <c:v>64.266999999999996</c:v>
                </c:pt>
                <c:pt idx="2">
                  <c:v>32.043999999999997</c:v>
                </c:pt>
                <c:pt idx="3">
                  <c:v>8.3539999999999992</c:v>
                </c:pt>
                <c:pt idx="4">
                  <c:v>8.1639999999999997</c:v>
                </c:pt>
              </c:numCache>
            </c:numRef>
          </c:val>
        </c:ser>
        <c:dLbls>
          <c:showLegendKey val="0"/>
          <c:showVal val="0"/>
          <c:showCatName val="0"/>
          <c:showSerName val="0"/>
          <c:showPercent val="0"/>
          <c:showBubbleSize val="0"/>
        </c:dLbls>
        <c:gapWidth val="150"/>
        <c:axId val="410700952"/>
        <c:axId val="410701344"/>
      </c:barChart>
      <c:catAx>
        <c:axId val="410700952"/>
        <c:scaling>
          <c:orientation val="minMax"/>
        </c:scaling>
        <c:delete val="0"/>
        <c:axPos val="l"/>
        <c:numFmt formatCode="General" sourceLinked="1"/>
        <c:majorTickMark val="out"/>
        <c:minorTickMark val="none"/>
        <c:tickLblPos val="nextTo"/>
        <c:txPr>
          <a:bodyPr/>
          <a:lstStyle/>
          <a:p>
            <a:pPr>
              <a:defRPr b="1" i="0">
                <a:latin typeface="Arial" pitchFamily="34" charset="0"/>
                <a:cs typeface="Arial" pitchFamily="34" charset="0"/>
              </a:defRPr>
            </a:pPr>
            <a:endParaRPr lang="fr-FR"/>
          </a:p>
        </c:txPr>
        <c:crossAx val="410701344"/>
        <c:crosses val="autoZero"/>
        <c:auto val="1"/>
        <c:lblAlgn val="ctr"/>
        <c:lblOffset val="100"/>
        <c:noMultiLvlLbl val="0"/>
      </c:catAx>
      <c:valAx>
        <c:axId val="410701344"/>
        <c:scaling>
          <c:orientation val="minMax"/>
        </c:scaling>
        <c:delete val="0"/>
        <c:axPos val="b"/>
        <c:majorGridlines/>
        <c:numFmt formatCode="0.00" sourceLinked="1"/>
        <c:majorTickMark val="out"/>
        <c:minorTickMark val="none"/>
        <c:tickLblPos val="nextTo"/>
        <c:txPr>
          <a:bodyPr/>
          <a:lstStyle/>
          <a:p>
            <a:pPr>
              <a:defRPr sz="900" b="1">
                <a:latin typeface="Arial" pitchFamily="34" charset="0"/>
                <a:cs typeface="Arial" pitchFamily="34" charset="0"/>
              </a:defRPr>
            </a:pPr>
            <a:endParaRPr lang="fr-FR"/>
          </a:p>
        </c:txPr>
        <c:crossAx val="410700952"/>
        <c:crosses val="autoZero"/>
        <c:crossBetween val="between"/>
      </c:valAx>
    </c:plotArea>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987138263665588"/>
          <c:y val="5.128205128205128E-2"/>
          <c:w val="0.702572347266881"/>
          <c:h val="0.81454561070399911"/>
        </c:manualLayout>
      </c:layout>
      <c:barChart>
        <c:barDir val="col"/>
        <c:grouping val="clustered"/>
        <c:varyColors val="0"/>
        <c:ser>
          <c:idx val="0"/>
          <c:order val="0"/>
          <c:tx>
            <c:strRef>
              <c:f>'3.Evolution_Pêts-Dons'!$B$10</c:f>
              <c:strCache>
                <c:ptCount val="1"/>
                <c:pt idx="0">
                  <c:v>Prêts</c:v>
                </c:pt>
              </c:strCache>
            </c:strRef>
          </c:tx>
          <c:invertIfNegative val="0"/>
          <c:dLbls>
            <c:dLbl>
              <c:idx val="4"/>
              <c:layout>
                <c:manualLayout>
                  <c:x val="-1.1861895776900533E-2"/>
                  <c:y val="-1.28205128205128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6119-4934-AC58-69A6EFD0B881}"/>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'3.Evolution_Pêts-Dons'!$H$9:$L$9</c:f>
              <c:numCache>
                <c:formatCode>General</c:formatCode>
                <c:ptCount val="5"/>
                <c:pt idx="0">
                  <c:v>2012</c:v>
                </c:pt>
                <c:pt idx="1">
                  <c:v>2013</c:v>
                </c:pt>
                <c:pt idx="2">
                  <c:v>2014</c:v>
                </c:pt>
                <c:pt idx="3">
                  <c:v>2015</c:v>
                </c:pt>
                <c:pt idx="4">
                  <c:v>2016</c:v>
                </c:pt>
              </c:numCache>
            </c:numRef>
          </c:cat>
          <c:val>
            <c:numRef>
              <c:f>'3.Evolution_Pêts-Dons'!$H$10:$L$10</c:f>
              <c:numCache>
                <c:formatCode>0.00%</c:formatCode>
                <c:ptCount val="5"/>
                <c:pt idx="0">
                  <c:v>0.16539999999999999</c:v>
                </c:pt>
                <c:pt idx="1">
                  <c:v>0.10263404903203113</c:v>
                </c:pt>
                <c:pt idx="2">
                  <c:v>0.22954627134376271</c:v>
                </c:pt>
                <c:pt idx="3">
                  <c:v>0.25262159491152569</c:v>
                </c:pt>
                <c:pt idx="4">
                  <c:v>0.28718868013885207</c:v>
                </c:pt>
              </c:numCache>
            </c:numRef>
          </c:val>
          <c:extLst xmlns:c16r2="http://schemas.microsoft.com/office/drawing/2015/06/chart">
            <c:ext xmlns:c16="http://schemas.microsoft.com/office/drawing/2014/chart" uri="{C3380CC4-5D6E-409C-BE32-E72D297353CC}">
              <c16:uniqueId val="{00000001-6119-4934-AC58-69A6EFD0B881}"/>
            </c:ext>
          </c:extLst>
        </c:ser>
        <c:ser>
          <c:idx val="1"/>
          <c:order val="1"/>
          <c:tx>
            <c:strRef>
              <c:f>'3.Evolution_Pêts-Dons'!$B$11</c:f>
              <c:strCache>
                <c:ptCount val="1"/>
                <c:pt idx="0">
                  <c:v>Dons</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'3.Evolution_Pêts-Dons'!$H$9:$L$9</c:f>
              <c:numCache>
                <c:formatCode>General</c:formatCode>
                <c:ptCount val="5"/>
                <c:pt idx="0">
                  <c:v>2012</c:v>
                </c:pt>
                <c:pt idx="1">
                  <c:v>2013</c:v>
                </c:pt>
                <c:pt idx="2">
                  <c:v>2014</c:v>
                </c:pt>
                <c:pt idx="3">
                  <c:v>2015</c:v>
                </c:pt>
                <c:pt idx="4">
                  <c:v>2016</c:v>
                </c:pt>
              </c:numCache>
            </c:numRef>
          </c:cat>
          <c:val>
            <c:numRef>
              <c:f>'3.Evolution_Pêts-Dons'!$H$11:$L$11</c:f>
              <c:numCache>
                <c:formatCode>0.00%</c:formatCode>
                <c:ptCount val="5"/>
                <c:pt idx="0">
                  <c:v>0.83460000000000234</c:v>
                </c:pt>
                <c:pt idx="1">
                  <c:v>0.89736595096796545</c:v>
                </c:pt>
                <c:pt idx="2">
                  <c:v>0.77045372865623751</c:v>
                </c:pt>
                <c:pt idx="3">
                  <c:v>0.74737840508847808</c:v>
                </c:pt>
                <c:pt idx="4">
                  <c:v>0.71281131986115043</c:v>
                </c:pt>
              </c:numCache>
            </c:numRef>
          </c:val>
          <c:extLst xmlns:c16r2="http://schemas.microsoft.com/office/drawing/2015/06/chart">
            <c:ext xmlns:c16="http://schemas.microsoft.com/office/drawing/2014/chart" uri="{C3380CC4-5D6E-409C-BE32-E72D297353CC}">
              <c16:uniqueId val="{00000002-6119-4934-AC58-69A6EFD0B881}"/>
            </c:ext>
          </c:extLst>
        </c:ser>
        <c:dLbls>
          <c:showLegendKey val="0"/>
          <c:showVal val="0"/>
          <c:showCatName val="0"/>
          <c:showSerName val="0"/>
          <c:showPercent val="0"/>
          <c:showBubbleSize val="0"/>
        </c:dLbls>
        <c:gapWidth val="150"/>
        <c:axId val="410702128"/>
        <c:axId val="410702520"/>
      </c:barChart>
      <c:catAx>
        <c:axId val="410702128"/>
        <c:scaling>
          <c:orientation val="minMax"/>
        </c:scaling>
        <c:delete val="0"/>
        <c:axPos val="b"/>
        <c:numFmt formatCode="General" sourceLinked="1"/>
        <c:majorTickMark val="out"/>
        <c:minorTickMark val="none"/>
        <c:tickLblPos val="nextTo"/>
        <c:crossAx val="410702520"/>
        <c:crosses val="autoZero"/>
        <c:auto val="1"/>
        <c:lblAlgn val="ctr"/>
        <c:lblOffset val="100"/>
        <c:noMultiLvlLbl val="0"/>
      </c:catAx>
      <c:valAx>
        <c:axId val="410702520"/>
        <c:scaling>
          <c:orientation val="minMax"/>
        </c:scaling>
        <c:delete val="0"/>
        <c:axPos val="l"/>
        <c:majorGridlines/>
        <c:numFmt formatCode="0.00%" sourceLinked="1"/>
        <c:majorTickMark val="out"/>
        <c:minorTickMark val="none"/>
        <c:tickLblPos val="nextTo"/>
        <c:crossAx val="410702128"/>
        <c:crosses val="autoZero"/>
        <c:crossBetween val="between"/>
      </c:valAx>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numFmt formatCode="#,##0.00" sourceLinked="0"/>
            <c:spPr>
              <a:noFill/>
              <a:ln>
                <a:noFill/>
              </a:ln>
              <a:effectLst/>
            </c:spPr>
            <c:txPr>
              <a:bodyPr/>
              <a:lstStyle/>
              <a:p>
                <a:pPr>
                  <a:defRPr sz="800">
                    <a:latin typeface="Arial" pitchFamily="34" charset="0"/>
                    <a:cs typeface="Arial" pitchFamily="34"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'12.APD-Dons'!$B$5:$B$14</c:f>
              <c:strCache>
                <c:ptCount val="10"/>
                <c:pt idx="0">
                  <c:v>BM</c:v>
                </c:pt>
                <c:pt idx="1">
                  <c:v>UE</c:v>
                </c:pt>
                <c:pt idx="2">
                  <c:v>France</c:v>
                </c:pt>
                <c:pt idx="3">
                  <c:v>SNU</c:v>
                </c:pt>
                <c:pt idx="4">
                  <c:v>USA</c:v>
                </c:pt>
                <c:pt idx="5">
                  <c:v>Allemagne</c:v>
                </c:pt>
                <c:pt idx="6">
                  <c:v>Danemark</c:v>
                </c:pt>
                <c:pt idx="7">
                  <c:v>BAD/FAD</c:v>
                </c:pt>
                <c:pt idx="8">
                  <c:v>Suisse</c:v>
                </c:pt>
                <c:pt idx="9">
                  <c:v>Canada</c:v>
                </c:pt>
              </c:strCache>
            </c:strRef>
          </c:cat>
          <c:val>
            <c:numRef>
              <c:f>'12.APD-Dons'!$C$5:$C$14</c:f>
              <c:numCache>
                <c:formatCode>General</c:formatCode>
                <c:ptCount val="10"/>
                <c:pt idx="0">
                  <c:v>134.511</c:v>
                </c:pt>
                <c:pt idx="1">
                  <c:v>128.48400000000001</c:v>
                </c:pt>
                <c:pt idx="2">
                  <c:v>112.18899999999998</c:v>
                </c:pt>
                <c:pt idx="3">
                  <c:v>94.510999999999996</c:v>
                </c:pt>
                <c:pt idx="4">
                  <c:v>46.227000000000011</c:v>
                </c:pt>
                <c:pt idx="5">
                  <c:v>45.580999999999996</c:v>
                </c:pt>
                <c:pt idx="6">
                  <c:v>28.419</c:v>
                </c:pt>
                <c:pt idx="7">
                  <c:v>28.381999999999987</c:v>
                </c:pt>
                <c:pt idx="8">
                  <c:v>27.733000000000001</c:v>
                </c:pt>
                <c:pt idx="9">
                  <c:v>27.323</c:v>
                </c:pt>
              </c:numCache>
            </c:numRef>
          </c:val>
          <c:extLst xmlns:c16r2="http://schemas.microsoft.com/office/drawing/2015/06/chart">
            <c:ext xmlns:c16="http://schemas.microsoft.com/office/drawing/2014/chart" uri="{C3380CC4-5D6E-409C-BE32-E72D297353CC}">
              <c16:uniqueId val="{00000000-3870-4FBA-9C48-A08690EA54DD}"/>
            </c:ext>
          </c:extLst>
        </c:ser>
        <c:dLbls>
          <c:showLegendKey val="0"/>
          <c:showVal val="0"/>
          <c:showCatName val="0"/>
          <c:showSerName val="0"/>
          <c:showPercent val="0"/>
          <c:showBubbleSize val="0"/>
        </c:dLbls>
        <c:gapWidth val="150"/>
        <c:axId val="413224616"/>
        <c:axId val="413225008"/>
      </c:barChart>
      <c:catAx>
        <c:axId val="413224616"/>
        <c:scaling>
          <c:orientation val="minMax"/>
        </c:scaling>
        <c:delete val="0"/>
        <c:axPos val="l"/>
        <c:numFmt formatCode="General" sourceLinked="1"/>
        <c:majorTickMark val="out"/>
        <c:minorTickMark val="none"/>
        <c:tickLblPos val="nextTo"/>
        <c:txPr>
          <a:bodyPr/>
          <a:lstStyle/>
          <a:p>
            <a:pPr>
              <a:defRPr b="1">
                <a:latin typeface="Arial" pitchFamily="34" charset="0"/>
                <a:cs typeface="Arial" pitchFamily="34" charset="0"/>
              </a:defRPr>
            </a:pPr>
            <a:endParaRPr lang="fr-FR"/>
          </a:p>
        </c:txPr>
        <c:crossAx val="413225008"/>
        <c:crosses val="autoZero"/>
        <c:auto val="1"/>
        <c:lblAlgn val="ctr"/>
        <c:lblOffset val="100"/>
        <c:noMultiLvlLbl val="0"/>
      </c:catAx>
      <c:valAx>
        <c:axId val="413225008"/>
        <c:scaling>
          <c:orientation val="minMax"/>
        </c:scaling>
        <c:delete val="0"/>
        <c:axPos val="b"/>
        <c:majorGridlines/>
        <c:numFmt formatCode="General" sourceLinked="1"/>
        <c:majorTickMark val="out"/>
        <c:minorTickMark val="none"/>
        <c:tickLblPos val="nextTo"/>
        <c:txPr>
          <a:bodyPr/>
          <a:lstStyle/>
          <a:p>
            <a:pPr>
              <a:defRPr b="1">
                <a:latin typeface="Arial" pitchFamily="34" charset="0"/>
                <a:cs typeface="Arial" pitchFamily="34" charset="0"/>
              </a:defRPr>
            </a:pPr>
            <a:endParaRPr lang="fr-FR"/>
          </a:p>
        </c:txPr>
        <c:crossAx val="413224616"/>
        <c:crosses val="autoZero"/>
        <c:crossBetween val="between"/>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3697478991596641"/>
          <c:y val="4.8611111111111112E-2"/>
          <c:w val="0.60168067226891253"/>
          <c:h val="0.8298611111111116"/>
        </c:manualLayout>
      </c:layout>
      <c:barChart>
        <c:barDir val="bar"/>
        <c:grouping val="clustered"/>
        <c:varyColors val="0"/>
        <c:ser>
          <c:idx val="0"/>
          <c:order val="0"/>
          <c:invertIfNegative val="0"/>
          <c:dLbls>
            <c:numFmt formatCode="#,##0.00" sourceLinked="0"/>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'APD-Prêts'!$B$5:$B$14</c:f>
              <c:strCache>
                <c:ptCount val="10"/>
                <c:pt idx="0">
                  <c:v>BM</c:v>
                </c:pt>
                <c:pt idx="1">
                  <c:v>France </c:v>
                </c:pt>
                <c:pt idx="2">
                  <c:v>FMI</c:v>
                </c:pt>
                <c:pt idx="3">
                  <c:v>BOAD</c:v>
                </c:pt>
                <c:pt idx="4">
                  <c:v>BAD/FAD</c:v>
                </c:pt>
                <c:pt idx="5">
                  <c:v>BID</c:v>
                </c:pt>
                <c:pt idx="6">
                  <c:v>Arabie Saoudite</c:v>
                </c:pt>
                <c:pt idx="7">
                  <c:v>BADEA</c:v>
                </c:pt>
                <c:pt idx="8">
                  <c:v>SNU</c:v>
                </c:pt>
                <c:pt idx="9">
                  <c:v>Chine-Taïwan</c:v>
                </c:pt>
              </c:strCache>
            </c:strRef>
          </c:cat>
          <c:val>
            <c:numRef>
              <c:f>'APD-Prêts'!$C$5:$C$14</c:f>
              <c:numCache>
                <c:formatCode>General</c:formatCode>
                <c:ptCount val="10"/>
                <c:pt idx="0">
                  <c:v>162.27399999999992</c:v>
                </c:pt>
                <c:pt idx="1">
                  <c:v>44.717000000000006</c:v>
                </c:pt>
                <c:pt idx="2">
                  <c:v>32.044000000000004</c:v>
                </c:pt>
                <c:pt idx="3">
                  <c:v>30.536999999999999</c:v>
                </c:pt>
                <c:pt idx="4">
                  <c:v>23.501999999999999</c:v>
                </c:pt>
                <c:pt idx="5">
                  <c:v>19.599</c:v>
                </c:pt>
                <c:pt idx="6">
                  <c:v>5.923</c:v>
                </c:pt>
                <c:pt idx="7">
                  <c:v>3.1349999999999998</c:v>
                </c:pt>
                <c:pt idx="8">
                  <c:v>2.9219999999999997</c:v>
                </c:pt>
                <c:pt idx="9">
                  <c:v>1.028</c:v>
                </c:pt>
              </c:numCache>
            </c:numRef>
          </c:val>
          <c:extLst xmlns:c16r2="http://schemas.microsoft.com/office/drawing/2015/06/chart">
            <c:ext xmlns:c16="http://schemas.microsoft.com/office/drawing/2014/chart" uri="{C3380CC4-5D6E-409C-BE32-E72D297353CC}">
              <c16:uniqueId val="{00000000-0B2C-418F-8E08-993FD07B831F}"/>
            </c:ext>
          </c:extLst>
        </c:ser>
        <c:dLbls>
          <c:showLegendKey val="0"/>
          <c:showVal val="0"/>
          <c:showCatName val="0"/>
          <c:showSerName val="0"/>
          <c:showPercent val="0"/>
          <c:showBubbleSize val="0"/>
        </c:dLbls>
        <c:gapWidth val="150"/>
        <c:axId val="413225792"/>
        <c:axId val="413832832"/>
      </c:barChart>
      <c:catAx>
        <c:axId val="413225792"/>
        <c:scaling>
          <c:orientation val="minMax"/>
        </c:scaling>
        <c:delete val="0"/>
        <c:axPos val="l"/>
        <c:numFmt formatCode="General" sourceLinked="1"/>
        <c:majorTickMark val="out"/>
        <c:minorTickMark val="none"/>
        <c:tickLblPos val="nextTo"/>
        <c:txPr>
          <a:bodyPr/>
          <a:lstStyle/>
          <a:p>
            <a:pPr>
              <a:defRPr b="1" i="0">
                <a:latin typeface="Arial" pitchFamily="34" charset="0"/>
                <a:cs typeface="Arial" pitchFamily="34" charset="0"/>
              </a:defRPr>
            </a:pPr>
            <a:endParaRPr lang="fr-FR"/>
          </a:p>
        </c:txPr>
        <c:crossAx val="413832832"/>
        <c:crosses val="autoZero"/>
        <c:auto val="1"/>
        <c:lblAlgn val="ctr"/>
        <c:lblOffset val="100"/>
        <c:noMultiLvlLbl val="0"/>
      </c:catAx>
      <c:valAx>
        <c:axId val="413832832"/>
        <c:scaling>
          <c:orientation val="minMax"/>
        </c:scaling>
        <c:delete val="0"/>
        <c:axPos val="b"/>
        <c:majorGridlines/>
        <c:numFmt formatCode="General" sourceLinked="1"/>
        <c:majorTickMark val="out"/>
        <c:minorTickMark val="none"/>
        <c:tickLblPos val="nextTo"/>
        <c:crossAx val="413225792"/>
        <c:crosses val="autoZero"/>
        <c:crossBetween val="between"/>
      </c:valAx>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818095530927887"/>
          <c:y val="3.4764826175869144E-2"/>
          <c:w val="0.68551143549167515"/>
          <c:h val="0.82515337423312884"/>
        </c:manualLayout>
      </c:layout>
      <c:barChart>
        <c:barDir val="col"/>
        <c:grouping val="clustered"/>
        <c:varyColors val="0"/>
        <c:ser>
          <c:idx val="0"/>
          <c:order val="0"/>
          <c:tx>
            <c:strRef>
              <c:f>'APD par type de bailleur'!$B$13</c:f>
              <c:strCache>
                <c:ptCount val="1"/>
                <c:pt idx="0">
                  <c:v>Multilatéral</c:v>
                </c:pt>
              </c:strCache>
            </c:strRef>
          </c:tx>
          <c:spPr>
            <a:solidFill>
              <a:srgbClr val="0000CC"/>
            </a:solidFill>
          </c:spPr>
          <c:invertIfNegative val="0"/>
          <c:dLbls>
            <c:spPr>
              <a:noFill/>
              <a:ln w="25400">
                <a:noFill/>
              </a:ln>
            </c:spPr>
            <c:txPr>
              <a:bodyPr/>
              <a:lstStyle/>
              <a:p>
                <a:pPr>
                  <a:defRPr sz="800" b="1" i="0" u="none" strike="noStrike" baseline="0">
                    <a:solidFill>
                      <a:srgbClr val="000000"/>
                    </a:solidFill>
                    <a:latin typeface="Arial" pitchFamily="34" charset="0"/>
                    <a:ea typeface="Arial"/>
                    <a:cs typeface="Arial" pitchFamily="34"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'APD par type de bailleur'!$H$12:$L$12</c:f>
              <c:numCache>
                <c:formatCode>General</c:formatCode>
                <c:ptCount val="5"/>
                <c:pt idx="0">
                  <c:v>2012</c:v>
                </c:pt>
                <c:pt idx="1">
                  <c:v>2013</c:v>
                </c:pt>
                <c:pt idx="2">
                  <c:v>2014</c:v>
                </c:pt>
                <c:pt idx="3">
                  <c:v>2015</c:v>
                </c:pt>
                <c:pt idx="4">
                  <c:v>2016</c:v>
                </c:pt>
              </c:numCache>
            </c:numRef>
          </c:cat>
          <c:val>
            <c:numRef>
              <c:f>'APD par type de bailleur'!$H$13:$L$13</c:f>
              <c:numCache>
                <c:formatCode>0.00</c:formatCode>
                <c:ptCount val="5"/>
                <c:pt idx="0">
                  <c:v>577.34999999999877</c:v>
                </c:pt>
                <c:pt idx="1">
                  <c:v>574.86739252399946</c:v>
                </c:pt>
                <c:pt idx="2">
                  <c:v>653.83999999999946</c:v>
                </c:pt>
                <c:pt idx="3">
                  <c:v>636.15</c:v>
                </c:pt>
                <c:pt idx="4">
                  <c:v>660.66</c:v>
                </c:pt>
              </c:numCache>
            </c:numRef>
          </c:val>
          <c:extLst xmlns:c16r2="http://schemas.microsoft.com/office/drawing/2015/06/chart">
            <c:ext xmlns:c16="http://schemas.microsoft.com/office/drawing/2014/chart" uri="{C3380CC4-5D6E-409C-BE32-E72D297353CC}">
              <c16:uniqueId val="{00000000-FAD0-4495-9F84-202E957C9952}"/>
            </c:ext>
          </c:extLst>
        </c:ser>
        <c:ser>
          <c:idx val="1"/>
          <c:order val="1"/>
          <c:tx>
            <c:strRef>
              <c:f>'APD par type de bailleur'!$B$14</c:f>
              <c:strCache>
                <c:ptCount val="1"/>
                <c:pt idx="0">
                  <c:v>Bilatéral</c:v>
                </c:pt>
              </c:strCache>
            </c:strRef>
          </c:tx>
          <c:spPr>
            <a:solidFill>
              <a:srgbClr val="C00000"/>
            </a:solidFill>
          </c:spPr>
          <c:invertIfNegative val="0"/>
          <c:dLbls>
            <c:spPr>
              <a:noFill/>
              <a:ln w="25400">
                <a:noFill/>
              </a:ln>
            </c:spPr>
            <c:txPr>
              <a:bodyPr/>
              <a:lstStyle/>
              <a:p>
                <a:pPr>
                  <a:defRPr sz="800" b="1" i="0" u="none" strike="noStrike" baseline="0">
                    <a:solidFill>
                      <a:srgbClr val="000000"/>
                    </a:solidFill>
                    <a:latin typeface="Arial"/>
                    <a:ea typeface="Arial"/>
                    <a:cs typeface="Arial"/>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'APD par type de bailleur'!$H$12:$L$12</c:f>
              <c:numCache>
                <c:formatCode>General</c:formatCode>
                <c:ptCount val="5"/>
                <c:pt idx="0">
                  <c:v>2012</c:v>
                </c:pt>
                <c:pt idx="1">
                  <c:v>2013</c:v>
                </c:pt>
                <c:pt idx="2">
                  <c:v>2014</c:v>
                </c:pt>
                <c:pt idx="3">
                  <c:v>2015</c:v>
                </c:pt>
                <c:pt idx="4">
                  <c:v>2016</c:v>
                </c:pt>
              </c:numCache>
            </c:numRef>
          </c:cat>
          <c:val>
            <c:numRef>
              <c:f>'APD par type de bailleur'!$H$14:$L$14</c:f>
              <c:numCache>
                <c:formatCode>0.00</c:formatCode>
                <c:ptCount val="5"/>
                <c:pt idx="0">
                  <c:v>497.46</c:v>
                </c:pt>
                <c:pt idx="1">
                  <c:v>539.97310894299994</c:v>
                </c:pt>
                <c:pt idx="2">
                  <c:v>405.01</c:v>
                </c:pt>
                <c:pt idx="3">
                  <c:v>409.131402315</c:v>
                </c:pt>
                <c:pt idx="4">
                  <c:v>445.46899999999914</c:v>
                </c:pt>
              </c:numCache>
            </c:numRef>
          </c:val>
          <c:extLst xmlns:c16r2="http://schemas.microsoft.com/office/drawing/2015/06/chart">
            <c:ext xmlns:c16="http://schemas.microsoft.com/office/drawing/2014/chart" uri="{C3380CC4-5D6E-409C-BE32-E72D297353CC}">
              <c16:uniqueId val="{00000001-FAD0-4495-9F84-202E957C9952}"/>
            </c:ext>
          </c:extLst>
        </c:ser>
        <c:ser>
          <c:idx val="2"/>
          <c:order val="2"/>
          <c:tx>
            <c:strRef>
              <c:f>'APD par type de bailleur'!$B$15</c:f>
              <c:strCache>
                <c:ptCount val="1"/>
                <c:pt idx="0">
                  <c:v>ONG</c:v>
                </c:pt>
              </c:strCache>
            </c:strRef>
          </c:tx>
          <c:spPr>
            <a:solidFill>
              <a:srgbClr val="009900"/>
            </a:solidFill>
          </c:spPr>
          <c:invertIfNegative val="0"/>
          <c:dLbls>
            <c:spPr>
              <a:noFill/>
              <a:ln w="25400">
                <a:noFill/>
              </a:ln>
            </c:spPr>
            <c:txPr>
              <a:bodyPr/>
              <a:lstStyle/>
              <a:p>
                <a:pPr>
                  <a:defRPr sz="800" b="1" i="0" u="none" strike="noStrike" baseline="0">
                    <a:solidFill>
                      <a:srgbClr val="000000"/>
                    </a:solidFill>
                    <a:latin typeface="Arial"/>
                    <a:ea typeface="Arial"/>
                    <a:cs typeface="Arial"/>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'APD par type de bailleur'!$H$12:$L$12</c:f>
              <c:numCache>
                <c:formatCode>General</c:formatCode>
                <c:ptCount val="5"/>
                <c:pt idx="0">
                  <c:v>2012</c:v>
                </c:pt>
                <c:pt idx="1">
                  <c:v>2013</c:v>
                </c:pt>
                <c:pt idx="2">
                  <c:v>2014</c:v>
                </c:pt>
                <c:pt idx="3">
                  <c:v>2015</c:v>
                </c:pt>
                <c:pt idx="4">
                  <c:v>2016</c:v>
                </c:pt>
              </c:numCache>
            </c:numRef>
          </c:cat>
          <c:val>
            <c:numRef>
              <c:f>'APD par type de bailleur'!$H$15:$L$15</c:f>
              <c:numCache>
                <c:formatCode>0.00</c:formatCode>
                <c:ptCount val="5"/>
                <c:pt idx="0">
                  <c:v>39.200000000000003</c:v>
                </c:pt>
                <c:pt idx="1">
                  <c:v>33.303294916999995</c:v>
                </c:pt>
                <c:pt idx="2">
                  <c:v>41.760000000000012</c:v>
                </c:pt>
                <c:pt idx="3">
                  <c:v>55.06</c:v>
                </c:pt>
                <c:pt idx="4">
                  <c:v>34.097000000000001</c:v>
                </c:pt>
              </c:numCache>
            </c:numRef>
          </c:val>
          <c:extLst xmlns:c16r2="http://schemas.microsoft.com/office/drawing/2015/06/chart">
            <c:ext xmlns:c16="http://schemas.microsoft.com/office/drawing/2014/chart" uri="{C3380CC4-5D6E-409C-BE32-E72D297353CC}">
              <c16:uniqueId val="{00000002-FAD0-4495-9F84-202E957C9952}"/>
            </c:ext>
          </c:extLst>
        </c:ser>
        <c:dLbls>
          <c:showLegendKey val="0"/>
          <c:showVal val="0"/>
          <c:showCatName val="0"/>
          <c:showSerName val="0"/>
          <c:showPercent val="0"/>
          <c:showBubbleSize val="0"/>
        </c:dLbls>
        <c:gapWidth val="150"/>
        <c:axId val="413833616"/>
        <c:axId val="413834008"/>
      </c:barChart>
      <c:catAx>
        <c:axId val="413833616"/>
        <c:scaling>
          <c:orientation val="minMax"/>
        </c:scaling>
        <c:delete val="0"/>
        <c:axPos val="b"/>
        <c:numFmt formatCode="General" sourceLinked="1"/>
        <c:majorTickMark val="out"/>
        <c:minorTickMark val="none"/>
        <c:tickLblPos val="nextTo"/>
        <c:txPr>
          <a:bodyPr/>
          <a:lstStyle/>
          <a:p>
            <a:pPr>
              <a:defRPr sz="800" b="1">
                <a:latin typeface="Arial Black" pitchFamily="34" charset="0"/>
              </a:defRPr>
            </a:pPr>
            <a:endParaRPr lang="fr-FR"/>
          </a:p>
        </c:txPr>
        <c:crossAx val="413834008"/>
        <c:crosses val="autoZero"/>
        <c:auto val="1"/>
        <c:lblAlgn val="ctr"/>
        <c:lblOffset val="100"/>
        <c:noMultiLvlLbl val="0"/>
      </c:catAx>
      <c:valAx>
        <c:axId val="413834008"/>
        <c:scaling>
          <c:orientation val="minMax"/>
        </c:scaling>
        <c:delete val="0"/>
        <c:axPos val="l"/>
        <c:majorGridlines/>
        <c:numFmt formatCode="0.00" sourceLinked="1"/>
        <c:majorTickMark val="out"/>
        <c:minorTickMark val="none"/>
        <c:tickLblPos val="nextTo"/>
        <c:txPr>
          <a:bodyPr rot="0" vert="horz"/>
          <a:lstStyle/>
          <a:p>
            <a:pPr>
              <a:defRPr sz="800" b="1" i="0" u="none" strike="noStrike" baseline="0">
                <a:solidFill>
                  <a:srgbClr val="000000"/>
                </a:solidFill>
                <a:latin typeface="Arial Black"/>
                <a:ea typeface="Arial Black"/>
                <a:cs typeface="Arial Black"/>
              </a:defRPr>
            </a:pPr>
            <a:endParaRPr lang="fr-FR"/>
          </a:p>
        </c:txPr>
        <c:crossAx val="413833616"/>
        <c:crosses val="autoZero"/>
        <c:crossBetween val="between"/>
      </c:valAx>
    </c:plotArea>
    <c:legend>
      <c:legendPos val="r"/>
      <c:layout>
        <c:manualLayout>
          <c:xMode val="edge"/>
          <c:yMode val="edge"/>
          <c:x val="0.83268564752576879"/>
          <c:y val="0.58978327034029854"/>
          <c:w val="0.15369662633634121"/>
          <c:h val="0.27594520219332974"/>
        </c:manualLayout>
      </c:layout>
      <c:overlay val="0"/>
      <c:txPr>
        <a:bodyPr/>
        <a:lstStyle/>
        <a:p>
          <a:pPr>
            <a:defRPr sz="700">
              <a:latin typeface="Arial Black" pitchFamily="34" charset="0"/>
            </a:defRPr>
          </a:pPr>
          <a:endParaRPr lang="fr-FR"/>
        </a:p>
      </c:txPr>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'10 bailleurs confondus'!$B$6:$B$15</c:f>
              <c:strCache>
                <c:ptCount val="10"/>
                <c:pt idx="0">
                  <c:v>BM</c:v>
                </c:pt>
                <c:pt idx="1">
                  <c:v>France</c:v>
                </c:pt>
                <c:pt idx="2">
                  <c:v>UE</c:v>
                </c:pt>
                <c:pt idx="3">
                  <c:v>SNU</c:v>
                </c:pt>
                <c:pt idx="4">
                  <c:v>BAD/FAD</c:v>
                </c:pt>
                <c:pt idx="5">
                  <c:v>USA</c:v>
                </c:pt>
                <c:pt idx="6">
                  <c:v>Allemagne</c:v>
                </c:pt>
                <c:pt idx="7">
                  <c:v>FMI</c:v>
                </c:pt>
                <c:pt idx="8">
                  <c:v>BOAD</c:v>
                </c:pt>
                <c:pt idx="9">
                  <c:v>Danemark</c:v>
                </c:pt>
              </c:strCache>
            </c:strRef>
          </c:cat>
          <c:val>
            <c:numRef>
              <c:f>'10 bailleurs confondus'!$C$6:$C$15</c:f>
              <c:numCache>
                <c:formatCode>General</c:formatCode>
                <c:ptCount val="10"/>
                <c:pt idx="0">
                  <c:v>296.78499999999963</c:v>
                </c:pt>
                <c:pt idx="1">
                  <c:v>156.90600000000001</c:v>
                </c:pt>
                <c:pt idx="2">
                  <c:v>128.48400000000001</c:v>
                </c:pt>
                <c:pt idx="3">
                  <c:v>97.432999999999993</c:v>
                </c:pt>
                <c:pt idx="4">
                  <c:v>51.883999999999993</c:v>
                </c:pt>
                <c:pt idx="5">
                  <c:v>46.227000000000011</c:v>
                </c:pt>
                <c:pt idx="6">
                  <c:v>45.580999999999996</c:v>
                </c:pt>
                <c:pt idx="7">
                  <c:v>32.044000000000004</c:v>
                </c:pt>
                <c:pt idx="8">
                  <c:v>30.536999999999999</c:v>
                </c:pt>
                <c:pt idx="9">
                  <c:v>28.419</c:v>
                </c:pt>
              </c:numCache>
            </c:numRef>
          </c:val>
          <c:extLst xmlns:c16r2="http://schemas.microsoft.com/office/drawing/2015/06/chart">
            <c:ext xmlns:c16="http://schemas.microsoft.com/office/drawing/2014/chart" uri="{C3380CC4-5D6E-409C-BE32-E72D297353CC}">
              <c16:uniqueId val="{00000000-D86F-45FA-9A3F-EA7A25E744F5}"/>
            </c:ext>
          </c:extLst>
        </c:ser>
        <c:dLbls>
          <c:showLegendKey val="0"/>
          <c:showVal val="0"/>
          <c:showCatName val="0"/>
          <c:showSerName val="0"/>
          <c:showPercent val="0"/>
          <c:showBubbleSize val="0"/>
        </c:dLbls>
        <c:gapWidth val="115"/>
        <c:overlap val="-20"/>
        <c:axId val="409539248"/>
        <c:axId val="409539640"/>
      </c:barChart>
      <c:catAx>
        <c:axId val="409539248"/>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09539640"/>
        <c:crosses val="autoZero"/>
        <c:auto val="1"/>
        <c:lblAlgn val="ctr"/>
        <c:lblOffset val="100"/>
        <c:noMultiLvlLbl val="0"/>
      </c:catAx>
      <c:valAx>
        <c:axId val="40953964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095392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40487841228057"/>
          <c:y val="5.5788005578800573E-3"/>
          <c:w val="0.77198697068403965"/>
          <c:h val="0.89086427022795922"/>
        </c:manualLayout>
      </c:layout>
      <c:barChart>
        <c:barDir val="bar"/>
        <c:grouping val="clustered"/>
        <c:varyColors val="0"/>
        <c:ser>
          <c:idx val="0"/>
          <c:order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9"/>
              <c:delete val="1"/>
              <c:extLst xmlns:c16r2="http://schemas.microsoft.com/office/drawing/2015/06/chart">
                <c:ext xmlns:c16="http://schemas.microsoft.com/office/drawing/2014/chart" uri="{C3380CC4-5D6E-409C-BE32-E72D297353CC}">
                  <c16:uniqueId val="{00000000-E960-4FC7-B960-9DF0821D4ACD}"/>
                </c:ext>
                <c:ext xmlns:c15="http://schemas.microsoft.com/office/drawing/2012/chart" uri="{CE6537A1-D6FC-4f65-9D91-7224C49458BB}"/>
              </c:extLst>
            </c:dLbl>
            <c:spPr>
              <a:noFill/>
              <a:ln>
                <a:noFill/>
              </a:ln>
              <a:effectLst/>
            </c:spPr>
            <c:txPr>
              <a:bodyPr rot="0" vert="horz"/>
              <a:lstStyle/>
              <a:p>
                <a:pPr>
                  <a:defRPr>
                    <a:solidFill>
                      <a:sysClr val="windowText" lastClr="000000"/>
                    </a:solidFill>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'11.Graph-Multi, Bi, ONG'!$C$23:$C$32</c:f>
              <c:strCache>
                <c:ptCount val="10"/>
                <c:pt idx="0">
                  <c:v>BM</c:v>
                </c:pt>
                <c:pt idx="1">
                  <c:v>UE</c:v>
                </c:pt>
                <c:pt idx="2">
                  <c:v>SNU</c:v>
                </c:pt>
                <c:pt idx="3">
                  <c:v>BAD/FAD</c:v>
                </c:pt>
                <c:pt idx="4">
                  <c:v>FMI</c:v>
                </c:pt>
                <c:pt idx="5">
                  <c:v>BOAD</c:v>
                </c:pt>
                <c:pt idx="6">
                  <c:v>BID</c:v>
                </c:pt>
                <c:pt idx="7">
                  <c:v>BADEA</c:v>
                </c:pt>
                <c:pt idx="8">
                  <c:v>Fonds OPEP </c:v>
                </c:pt>
                <c:pt idx="9">
                  <c:v>BIDC</c:v>
                </c:pt>
              </c:strCache>
            </c:strRef>
          </c:cat>
          <c:val>
            <c:numRef>
              <c:f>'11.Graph-Multi, Bi, ONG'!$D$23:$D$32</c:f>
              <c:numCache>
                <c:formatCode>_(* #,##0.00_);_(* \(#,##0.00\);_(* "-"??_);_(@_)</c:formatCode>
                <c:ptCount val="10"/>
                <c:pt idx="0">
                  <c:v>296.78499999999963</c:v>
                </c:pt>
                <c:pt idx="1">
                  <c:v>128.48400000000001</c:v>
                </c:pt>
                <c:pt idx="2">
                  <c:v>97.432999999999993</c:v>
                </c:pt>
                <c:pt idx="3">
                  <c:v>51.883999999999993</c:v>
                </c:pt>
                <c:pt idx="4">
                  <c:v>32.044000000000004</c:v>
                </c:pt>
                <c:pt idx="5">
                  <c:v>30.536999999999999</c:v>
                </c:pt>
                <c:pt idx="6">
                  <c:v>19.599</c:v>
                </c:pt>
                <c:pt idx="7">
                  <c:v>3.1349999999999998</c:v>
                </c:pt>
                <c:pt idx="8">
                  <c:v>0.75300000000000133</c:v>
                </c:pt>
                <c:pt idx="9">
                  <c:v>0</c:v>
                </c:pt>
              </c:numCache>
            </c:numRef>
          </c:val>
          <c:extLst xmlns:c16r2="http://schemas.microsoft.com/office/drawing/2015/06/chart">
            <c:ext xmlns:c16="http://schemas.microsoft.com/office/drawing/2014/chart" uri="{C3380CC4-5D6E-409C-BE32-E72D297353CC}">
              <c16:uniqueId val="{00000000-74F6-4776-967B-78E95908E3E7}"/>
            </c:ext>
          </c:extLst>
        </c:ser>
        <c:dLbls>
          <c:showLegendKey val="0"/>
          <c:showVal val="0"/>
          <c:showCatName val="0"/>
          <c:showSerName val="0"/>
          <c:showPercent val="0"/>
          <c:showBubbleSize val="0"/>
        </c:dLbls>
        <c:gapWidth val="115"/>
        <c:overlap val="-20"/>
        <c:axId val="409540816"/>
        <c:axId val="414194512"/>
      </c:barChart>
      <c:catAx>
        <c:axId val="409540816"/>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0"/>
          <a:lstStyle/>
          <a:p>
            <a:pPr>
              <a:defRPr>
                <a:solidFill>
                  <a:sysClr val="windowText" lastClr="000000"/>
                </a:solidFill>
              </a:defRPr>
            </a:pPr>
            <a:endParaRPr lang="fr-FR"/>
          </a:p>
        </c:txPr>
        <c:crossAx val="414194512"/>
        <c:crosses val="autoZero"/>
        <c:auto val="1"/>
        <c:lblAlgn val="ctr"/>
        <c:lblOffset val="100"/>
        <c:noMultiLvlLbl val="0"/>
      </c:catAx>
      <c:valAx>
        <c:axId val="414194512"/>
        <c:scaling>
          <c:orientation val="minMax"/>
        </c:scaling>
        <c:delete val="0"/>
        <c:axPos val="b"/>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0"/>
          <a:lstStyle/>
          <a:p>
            <a:pPr>
              <a:defRPr>
                <a:solidFill>
                  <a:sysClr val="windowText" lastClr="000000"/>
                </a:solidFill>
              </a:defRPr>
            </a:pPr>
            <a:endParaRPr lang="fr-FR"/>
          </a:p>
        </c:txPr>
        <c:crossAx val="4095408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rgbClr val="FF0000"/>
          </a:solidFill>
        </a:defRPr>
      </a:pPr>
      <a:endParaRPr lang="fr-F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'11.Graph-Multi, Bi, ONG'!$C$8:$C$17</c:f>
              <c:strCache>
                <c:ptCount val="10"/>
                <c:pt idx="0">
                  <c:v>France </c:v>
                </c:pt>
                <c:pt idx="1">
                  <c:v>USA</c:v>
                </c:pt>
                <c:pt idx="2">
                  <c:v>Allemagne </c:v>
                </c:pt>
                <c:pt idx="3">
                  <c:v>Danemark </c:v>
                </c:pt>
                <c:pt idx="4">
                  <c:v>Suisse </c:v>
                </c:pt>
                <c:pt idx="5">
                  <c:v>Canada</c:v>
                </c:pt>
                <c:pt idx="6">
                  <c:v>Chine-Taïwan </c:v>
                </c:pt>
                <c:pt idx="7">
                  <c:v>Suède </c:v>
                </c:pt>
                <c:pt idx="8">
                  <c:v>Luxembourg </c:v>
                </c:pt>
                <c:pt idx="9">
                  <c:v>Japon </c:v>
                </c:pt>
              </c:strCache>
            </c:strRef>
          </c:cat>
          <c:val>
            <c:numRef>
              <c:f>'11.Graph-Multi, Bi, ONG'!$D$8:$D$17</c:f>
              <c:numCache>
                <c:formatCode>_(* #,##0.00_);_(* \(#,##0.00\);_(* "-"??_);_(@_)</c:formatCode>
                <c:ptCount val="10"/>
                <c:pt idx="0">
                  <c:v>156.90600000000001</c:v>
                </c:pt>
                <c:pt idx="1">
                  <c:v>46.227000000000011</c:v>
                </c:pt>
                <c:pt idx="2">
                  <c:v>45.580999999999996</c:v>
                </c:pt>
                <c:pt idx="3">
                  <c:v>28.419</c:v>
                </c:pt>
                <c:pt idx="4">
                  <c:v>27.733000000000001</c:v>
                </c:pt>
                <c:pt idx="5">
                  <c:v>27.323</c:v>
                </c:pt>
                <c:pt idx="6">
                  <c:v>26.860999999999986</c:v>
                </c:pt>
                <c:pt idx="7">
                  <c:v>24.434999999999999</c:v>
                </c:pt>
                <c:pt idx="8">
                  <c:v>23.504000000000001</c:v>
                </c:pt>
                <c:pt idx="9">
                  <c:v>15.031000000000001</c:v>
                </c:pt>
              </c:numCache>
            </c:numRef>
          </c:val>
          <c:extLst xmlns:c16r2="http://schemas.microsoft.com/office/drawing/2015/06/chart">
            <c:ext xmlns:c16="http://schemas.microsoft.com/office/drawing/2014/chart" uri="{C3380CC4-5D6E-409C-BE32-E72D297353CC}">
              <c16:uniqueId val="{00000000-DC77-4FF0-93EC-740DBAF7DCB1}"/>
            </c:ext>
          </c:extLst>
        </c:ser>
        <c:dLbls>
          <c:showLegendKey val="0"/>
          <c:showVal val="0"/>
          <c:showCatName val="0"/>
          <c:showSerName val="0"/>
          <c:showPercent val="0"/>
          <c:showBubbleSize val="0"/>
        </c:dLbls>
        <c:gapWidth val="115"/>
        <c:overlap val="-20"/>
        <c:axId val="414195296"/>
        <c:axId val="414195688"/>
      </c:barChart>
      <c:catAx>
        <c:axId val="414195296"/>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crossAx val="414195688"/>
        <c:crosses val="autoZero"/>
        <c:auto val="1"/>
        <c:lblAlgn val="ctr"/>
        <c:lblOffset val="100"/>
        <c:noMultiLvlLbl val="0"/>
      </c:catAx>
      <c:valAx>
        <c:axId val="414195688"/>
        <c:scaling>
          <c:orientation val="minMax"/>
        </c:scaling>
        <c:delete val="0"/>
        <c:axPos val="b"/>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141952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5265628728227277"/>
          <c:y val="5.4755043227665723E-2"/>
          <c:w val="0.6216074624194734"/>
          <c:h val="0.79827089337175794"/>
        </c:manualLayout>
      </c:layout>
      <c:barChart>
        <c:barDir val="bar"/>
        <c:grouping val="clustered"/>
        <c:varyColors val="0"/>
        <c:ser>
          <c:idx val="0"/>
          <c:order val="0"/>
          <c:spPr>
            <a:solidFill>
              <a:srgbClr val="0000CC"/>
            </a:solidFill>
            <a:ln w="12700">
              <a:solidFill>
                <a:srgbClr val="000000"/>
              </a:solidFill>
              <a:prstDash val="solid"/>
            </a:ln>
          </c:spPr>
          <c:invertIfNegative val="0"/>
          <c:dLbls>
            <c:dLbl>
              <c:idx val="3"/>
              <c:layout>
                <c:manualLayout>
                  <c:x val="6.1349693251534004E-3"/>
                  <c:y val="1.3168727693523318E-2"/>
                </c:manualLayout>
              </c:layout>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DC76-4BA5-9094-A4D2FDE0004F}"/>
                </c:ext>
                <c:ext xmlns:c15="http://schemas.microsoft.com/office/drawing/2012/chart" uri="{CE6537A1-D6FC-4f65-9D91-7224C49458BB}"/>
              </c:extLst>
            </c:dLbl>
            <c:numFmt formatCode="#,##0.00" sourceLinked="0"/>
            <c:spPr>
              <a:noFill/>
              <a:ln w="25400">
                <a:noFill/>
              </a:ln>
            </c:spPr>
            <c:txPr>
              <a:bodyPr/>
              <a:lstStyle/>
              <a:p>
                <a:pPr>
                  <a:defRPr sz="900" b="1">
                    <a:latin typeface="Arial" pitchFamily="34" charset="0"/>
                    <a:cs typeface="Arial" pitchFamily="34"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'11.Graph-Multi, Bi, ONG'!$C$38:$C$47</c:f>
              <c:strCache>
                <c:ptCount val="10"/>
                <c:pt idx="0">
                  <c:v>    Catholic Relief Services</c:v>
                </c:pt>
                <c:pt idx="1">
                  <c:v>    Plan Burkina</c:v>
                </c:pt>
                <c:pt idx="2">
                  <c:v>    Welt hunger hilfe</c:v>
                </c:pt>
                <c:pt idx="3">
                  <c:v>    Water Aid </c:v>
                </c:pt>
                <c:pt idx="4">
                  <c:v>    Helvetas Burkina Faso </c:v>
                </c:pt>
                <c:pt idx="5">
                  <c:v>    Helen Keller International </c:v>
                </c:pt>
                <c:pt idx="6">
                  <c:v>    Bornefonden</c:v>
                </c:pt>
                <c:pt idx="7">
                  <c:v>    Compassion Internationale </c:v>
                </c:pt>
                <c:pt idx="8">
                  <c:v>    Lutheran World Relief</c:v>
                </c:pt>
                <c:pt idx="9">
                  <c:v>    Oxfam Québec</c:v>
                </c:pt>
              </c:strCache>
            </c:strRef>
          </c:cat>
          <c:val>
            <c:numRef>
              <c:f>'11.Graph-Multi, Bi, ONG'!$D$38:$D$47</c:f>
              <c:numCache>
                <c:formatCode>General</c:formatCode>
                <c:ptCount val="10"/>
                <c:pt idx="0">
                  <c:v>12.114000000000001</c:v>
                </c:pt>
                <c:pt idx="1">
                  <c:v>9.2189999999999994</c:v>
                </c:pt>
                <c:pt idx="2">
                  <c:v>3.0819999999999999</c:v>
                </c:pt>
                <c:pt idx="3">
                  <c:v>2.3619999999999997</c:v>
                </c:pt>
                <c:pt idx="4">
                  <c:v>2.0070000000000001</c:v>
                </c:pt>
                <c:pt idx="5">
                  <c:v>1.929</c:v>
                </c:pt>
                <c:pt idx="6">
                  <c:v>1.8169999999999975</c:v>
                </c:pt>
                <c:pt idx="7">
                  <c:v>1.2309999999999972</c:v>
                </c:pt>
                <c:pt idx="8">
                  <c:v>0.27700000000000002</c:v>
                </c:pt>
                <c:pt idx="9">
                  <c:v>5.5000000000000014E-2</c:v>
                </c:pt>
              </c:numCache>
            </c:numRef>
          </c:val>
          <c:extLst xmlns:c16r2="http://schemas.microsoft.com/office/drawing/2015/06/chart">
            <c:ext xmlns:c16="http://schemas.microsoft.com/office/drawing/2014/chart" uri="{C3380CC4-5D6E-409C-BE32-E72D297353CC}">
              <c16:uniqueId val="{00000001-DC76-4BA5-9094-A4D2FDE0004F}"/>
            </c:ext>
          </c:extLst>
        </c:ser>
        <c:dLbls>
          <c:showLegendKey val="0"/>
          <c:showVal val="0"/>
          <c:showCatName val="0"/>
          <c:showSerName val="0"/>
          <c:showPercent val="0"/>
          <c:showBubbleSize val="0"/>
        </c:dLbls>
        <c:gapWidth val="150"/>
        <c:axId val="413234464"/>
        <c:axId val="413234856"/>
      </c:barChart>
      <c:catAx>
        <c:axId val="413234464"/>
        <c:scaling>
          <c:orientation val="minMax"/>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1000" b="1">
                <a:latin typeface="Arial" pitchFamily="34" charset="0"/>
                <a:cs typeface="Arial" pitchFamily="34" charset="0"/>
              </a:defRPr>
            </a:pPr>
            <a:endParaRPr lang="fr-FR"/>
          </a:p>
        </c:txPr>
        <c:crossAx val="413234856"/>
        <c:crosses val="autoZero"/>
        <c:auto val="1"/>
        <c:lblAlgn val="ctr"/>
        <c:lblOffset val="100"/>
        <c:tickLblSkip val="1"/>
        <c:tickMarkSkip val="1"/>
        <c:noMultiLvlLbl val="0"/>
      </c:catAx>
      <c:valAx>
        <c:axId val="413234856"/>
        <c:scaling>
          <c:orientation val="minMax"/>
        </c:scaling>
        <c:delete val="0"/>
        <c:axPos val="b"/>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1000" b="1">
                <a:latin typeface="Arial" pitchFamily="34" charset="0"/>
                <a:cs typeface="Arial" pitchFamily="34" charset="0"/>
              </a:defRPr>
            </a:pPr>
            <a:endParaRPr lang="fr-FR"/>
          </a:p>
        </c:txPr>
        <c:crossAx val="413234464"/>
        <c:crosses val="autoZero"/>
        <c:crossBetween val="between"/>
      </c:valAx>
      <c:spPr>
        <a:solidFill>
          <a:srgbClr val="C0C0C0"/>
        </a:solidFill>
        <a:ln w="12700">
          <a:solidFill>
            <a:srgbClr val="808080"/>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800" b="0" i="0" u="none" strike="noStrike" baseline="0">
          <a:solidFill>
            <a:srgbClr val="000000"/>
          </a:solidFill>
          <a:latin typeface="Arial Black" pitchFamily="34" charset="0"/>
          <a:ea typeface="Arial"/>
          <a:cs typeface="Arial"/>
        </a:defRPr>
      </a:pPr>
      <a:endParaRPr lang="fr-F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8114873571838003"/>
          <c:y val="2.7281990820666128E-2"/>
          <c:w val="0.77172312223858974"/>
          <c:h val="0.80088495575221108"/>
        </c:manualLayout>
      </c:layout>
      <c:barChart>
        <c:barDir val="bar"/>
        <c:grouping val="clustered"/>
        <c:varyColors val="0"/>
        <c:ser>
          <c:idx val="0"/>
          <c:order val="0"/>
          <c:spPr>
            <a:solidFill>
              <a:srgbClr val="0000CC"/>
            </a:solidFill>
          </c:spPr>
          <c:invertIfNegative val="0"/>
          <c:dLbls>
            <c:spPr>
              <a:noFill/>
              <a:ln w="25400">
                <a:noFill/>
              </a:ln>
            </c:spPr>
            <c:txPr>
              <a:bodyPr wrap="square" lIns="38100" tIns="19050" rIns="38100" bIns="19050" anchor="ctr">
                <a:spAutoFit/>
              </a:bodyPr>
              <a:lstStyle/>
              <a:p>
                <a:pPr>
                  <a:defRPr sz="700" b="0" i="0" u="none" strike="noStrike" baseline="0">
                    <a:solidFill>
                      <a:srgbClr val="000000"/>
                    </a:solidFill>
                    <a:latin typeface="Arial Black"/>
                    <a:ea typeface="Arial Black"/>
                    <a:cs typeface="Arial Black"/>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'[T6- RCD secteur et sous secteur   OCDE et groupe de donateur_KANTAGBA.xls]Gouvernance économique'!$B$12:$B$16</c:f>
              <c:strCache>
                <c:ptCount val="5"/>
                <c:pt idx="0">
                  <c:v>Banque Mondial</c:v>
                </c:pt>
                <c:pt idx="1">
                  <c:v>Union Européenne</c:v>
                </c:pt>
                <c:pt idx="2">
                  <c:v>FMI</c:v>
                </c:pt>
                <c:pt idx="3">
                  <c:v>France</c:v>
                </c:pt>
                <c:pt idx="4">
                  <c:v>Italie</c:v>
                </c:pt>
              </c:strCache>
            </c:strRef>
          </c:cat>
          <c:val>
            <c:numRef>
              <c:f>'[T6- RCD secteur et sous secteur   OCDE et groupe de donateur_KANTAGBA.xls]Gouvernance économique'!$C$12:$C$16</c:f>
              <c:numCache>
                <c:formatCode>0.00</c:formatCode>
                <c:ptCount val="5"/>
                <c:pt idx="0">
                  <c:v>152.685</c:v>
                </c:pt>
                <c:pt idx="1">
                  <c:v>75.069000000000003</c:v>
                </c:pt>
                <c:pt idx="2">
                  <c:v>32.043999999999997</c:v>
                </c:pt>
                <c:pt idx="3">
                  <c:v>8.3539999999999992</c:v>
                </c:pt>
                <c:pt idx="4">
                  <c:v>2.4500000000000002</c:v>
                </c:pt>
              </c:numCache>
            </c:numRef>
          </c:val>
          <c:extLst xmlns:c16r2="http://schemas.microsoft.com/office/drawing/2015/06/chart">
            <c:ext xmlns:c16="http://schemas.microsoft.com/office/drawing/2014/chart" uri="{C3380CC4-5D6E-409C-BE32-E72D297353CC}">
              <c16:uniqueId val="{00000000-E818-4FDE-B06E-F2CA3709DDB9}"/>
            </c:ext>
          </c:extLst>
        </c:ser>
        <c:dLbls>
          <c:showLegendKey val="0"/>
          <c:showVal val="0"/>
          <c:showCatName val="0"/>
          <c:showSerName val="0"/>
          <c:showPercent val="0"/>
          <c:showBubbleSize val="0"/>
        </c:dLbls>
        <c:gapWidth val="150"/>
        <c:axId val="413235640"/>
        <c:axId val="413236032"/>
      </c:barChart>
      <c:catAx>
        <c:axId val="413235640"/>
        <c:scaling>
          <c:orientation val="minMax"/>
        </c:scaling>
        <c:delete val="0"/>
        <c:axPos val="l"/>
        <c:numFmt formatCode="General" sourceLinked="1"/>
        <c:majorTickMark val="out"/>
        <c:minorTickMark val="none"/>
        <c:tickLblPos val="nextTo"/>
        <c:txPr>
          <a:bodyPr rot="0" vert="horz"/>
          <a:lstStyle/>
          <a:p>
            <a:pPr>
              <a:defRPr sz="800" b="0" i="0" u="none" strike="noStrike" baseline="0">
                <a:solidFill>
                  <a:srgbClr val="000000"/>
                </a:solidFill>
                <a:latin typeface="Arial Black"/>
                <a:ea typeface="Arial Black"/>
                <a:cs typeface="Arial Black"/>
              </a:defRPr>
            </a:pPr>
            <a:endParaRPr lang="fr-FR"/>
          </a:p>
        </c:txPr>
        <c:crossAx val="413236032"/>
        <c:crosses val="autoZero"/>
        <c:auto val="1"/>
        <c:lblAlgn val="ctr"/>
        <c:lblOffset val="100"/>
        <c:noMultiLvlLbl val="0"/>
      </c:catAx>
      <c:valAx>
        <c:axId val="413236032"/>
        <c:scaling>
          <c:orientation val="minMax"/>
        </c:scaling>
        <c:delete val="0"/>
        <c:axPos val="b"/>
        <c:majorGridlines/>
        <c:numFmt formatCode="0.00" sourceLinked="1"/>
        <c:majorTickMark val="out"/>
        <c:minorTickMark val="none"/>
        <c:tickLblPos val="nextTo"/>
        <c:txPr>
          <a:bodyPr rot="0" vert="horz"/>
          <a:lstStyle/>
          <a:p>
            <a:pPr>
              <a:defRPr sz="800" b="0" i="0" u="none" strike="noStrike" baseline="0">
                <a:solidFill>
                  <a:srgbClr val="000000"/>
                </a:solidFill>
                <a:latin typeface="Arial Black"/>
                <a:ea typeface="Arial Black"/>
                <a:cs typeface="Arial Black"/>
              </a:defRPr>
            </a:pPr>
            <a:endParaRPr lang="fr-FR"/>
          </a:p>
        </c:txPr>
        <c:crossAx val="413235640"/>
        <c:crosses val="autoZero"/>
        <c:crossBetween val="between"/>
      </c:valAx>
    </c:plotArea>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fr-F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manualLayout>
          <c:layoutTarget val="inner"/>
          <c:xMode val="edge"/>
          <c:yMode val="edge"/>
          <c:x val="0.23874706353635464"/>
          <c:y val="4.6419536849984962E-3"/>
          <c:w val="0.72493817381887871"/>
          <c:h val="0.80263180498531261"/>
        </c:manualLayout>
      </c:layout>
      <c:barChart>
        <c:barDir val="bar"/>
        <c:grouping val="clustered"/>
        <c:varyColors val="0"/>
        <c:ser>
          <c:idx val="0"/>
          <c:order val="0"/>
          <c:invertIfNegative val="0"/>
          <c:dLbls>
            <c:spPr>
              <a:noFill/>
              <a:ln w="25400">
                <a:noFill/>
              </a:ln>
            </c:spPr>
            <c:txPr>
              <a:bodyPr wrap="square" lIns="38100" tIns="19050" rIns="38100" bIns="19050" anchor="ctr">
                <a:spAutoFit/>
              </a:bodyPr>
              <a:lstStyle/>
              <a:p>
                <a:pPr>
                  <a:defRPr sz="1000" b="1" i="0" u="none" strike="noStrike" baseline="0">
                    <a:solidFill>
                      <a:srgbClr val="000000"/>
                    </a:solidFill>
                    <a:latin typeface="Arial"/>
                    <a:ea typeface="Arial"/>
                    <a:cs typeface="Arial"/>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'[T6- RCD secteur et sous secteur   OCDE et groupe de donateur_KANTAGBA.xls]Eau et assainissement'!$B$23:$B$27</c:f>
              <c:strCache>
                <c:ptCount val="5"/>
                <c:pt idx="0">
                  <c:v>Banque Mondiale</c:v>
                </c:pt>
                <c:pt idx="1">
                  <c:v>BAD/FAD</c:v>
                </c:pt>
                <c:pt idx="2">
                  <c:v>Union Européenne</c:v>
                </c:pt>
                <c:pt idx="3">
                  <c:v>Suède</c:v>
                </c:pt>
                <c:pt idx="4">
                  <c:v>SNU</c:v>
                </c:pt>
              </c:strCache>
            </c:strRef>
          </c:cat>
          <c:val>
            <c:numRef>
              <c:f>'[T6- RCD secteur et sous secteur   OCDE et groupe de donateur_KANTAGBA.xls]Eau et assainissement'!$C$23:$C$27</c:f>
              <c:numCache>
                <c:formatCode>0.00</c:formatCode>
                <c:ptCount val="5"/>
                <c:pt idx="0">
                  <c:v>46.777000000000001</c:v>
                </c:pt>
                <c:pt idx="1">
                  <c:v>26.091999999999999</c:v>
                </c:pt>
                <c:pt idx="2">
                  <c:v>14.022</c:v>
                </c:pt>
                <c:pt idx="3">
                  <c:v>13.548</c:v>
                </c:pt>
                <c:pt idx="4">
                  <c:v>13.17</c:v>
                </c:pt>
              </c:numCache>
            </c:numRef>
          </c:val>
        </c:ser>
        <c:dLbls>
          <c:showLegendKey val="0"/>
          <c:showVal val="0"/>
          <c:showCatName val="0"/>
          <c:showSerName val="0"/>
          <c:showPercent val="0"/>
          <c:showBubbleSize val="0"/>
        </c:dLbls>
        <c:gapWidth val="150"/>
        <c:axId val="413048232"/>
        <c:axId val="413048624"/>
      </c:barChart>
      <c:catAx>
        <c:axId val="413048232"/>
        <c:scaling>
          <c:orientation val="minMax"/>
        </c:scaling>
        <c:delete val="0"/>
        <c:axPos val="l"/>
        <c:numFmt formatCode="General"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fr-FR"/>
          </a:p>
        </c:txPr>
        <c:crossAx val="413048624"/>
        <c:crosses val="autoZero"/>
        <c:auto val="1"/>
        <c:lblAlgn val="ctr"/>
        <c:lblOffset val="100"/>
        <c:noMultiLvlLbl val="0"/>
      </c:catAx>
      <c:valAx>
        <c:axId val="413048624"/>
        <c:scaling>
          <c:orientation val="minMax"/>
        </c:scaling>
        <c:delete val="0"/>
        <c:axPos val="b"/>
        <c:majorGridlines/>
        <c:numFmt formatCode="0.00"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fr-FR"/>
          </a:p>
        </c:txPr>
        <c:crossAx val="413048232"/>
        <c:crosses val="autoZero"/>
        <c:crossBetween val="between"/>
      </c:valAx>
    </c:plotArea>
    <c:plotVisOnly val="1"/>
    <c:dispBlanksAs val="gap"/>
    <c:showDLblsOverMax val="0"/>
  </c:chart>
  <c:txPr>
    <a:bodyPr/>
    <a:lstStyle/>
    <a:p>
      <a:pPr>
        <a:defRPr sz="1000" b="1" i="0" u="none" strike="noStrike" baseline="0">
          <a:solidFill>
            <a:srgbClr val="000000"/>
          </a:solidFill>
          <a:latin typeface="Arial"/>
          <a:ea typeface="Arial"/>
          <a:cs typeface="Arial"/>
        </a:defRPr>
      </a:pPr>
      <a:endParaRPr lang="fr-F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manualLayout>
          <c:layoutTarget val="inner"/>
          <c:xMode val="edge"/>
          <c:yMode val="edge"/>
          <c:x val="0.23874710173722161"/>
          <c:y val="4.6417131408006736E-3"/>
          <c:w val="0.72493817381887871"/>
          <c:h val="0.80263180498531261"/>
        </c:manualLayout>
      </c:layout>
      <c:barChart>
        <c:barDir val="bar"/>
        <c:grouping val="clustered"/>
        <c:varyColors val="0"/>
        <c:ser>
          <c:idx val="0"/>
          <c:order val="0"/>
          <c:invertIfNegative val="0"/>
          <c:dLbls>
            <c:spPr>
              <a:noFill/>
              <a:ln w="25400">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'Production agro-sylvo-pastorle'!$B$22:$B$26</c:f>
              <c:strCache>
                <c:ptCount val="5"/>
                <c:pt idx="0">
                  <c:v>Banque Mondiale</c:v>
                </c:pt>
                <c:pt idx="1">
                  <c:v>Allemagne</c:v>
                </c:pt>
                <c:pt idx="2">
                  <c:v>Chine-Taïwan</c:v>
                </c:pt>
                <c:pt idx="3">
                  <c:v>BOAD</c:v>
                </c:pt>
                <c:pt idx="4">
                  <c:v>SNU</c:v>
                </c:pt>
              </c:strCache>
            </c:strRef>
          </c:cat>
          <c:val>
            <c:numRef>
              <c:f>'Production agro-sylvo-pastorle'!$C$22:$C$26</c:f>
              <c:numCache>
                <c:formatCode>0.00</c:formatCode>
                <c:ptCount val="5"/>
                <c:pt idx="0">
                  <c:v>49.48</c:v>
                </c:pt>
                <c:pt idx="1">
                  <c:v>18.760000000000002</c:v>
                </c:pt>
                <c:pt idx="2">
                  <c:v>8.0370000000000008</c:v>
                </c:pt>
                <c:pt idx="3">
                  <c:v>6.55</c:v>
                </c:pt>
                <c:pt idx="4">
                  <c:v>6.468</c:v>
                </c:pt>
              </c:numCache>
            </c:numRef>
          </c:val>
        </c:ser>
        <c:dLbls>
          <c:showLegendKey val="0"/>
          <c:showVal val="0"/>
          <c:showCatName val="0"/>
          <c:showSerName val="0"/>
          <c:showPercent val="0"/>
          <c:showBubbleSize val="0"/>
        </c:dLbls>
        <c:gapWidth val="150"/>
        <c:axId val="413049408"/>
        <c:axId val="407152824"/>
      </c:barChart>
      <c:catAx>
        <c:axId val="413049408"/>
        <c:scaling>
          <c:orientation val="minMax"/>
        </c:scaling>
        <c:delete val="0"/>
        <c:axPos val="l"/>
        <c:numFmt formatCode="General" sourceLinked="1"/>
        <c:majorTickMark val="out"/>
        <c:minorTickMark val="none"/>
        <c:tickLblPos val="nextTo"/>
        <c:crossAx val="407152824"/>
        <c:crosses val="autoZero"/>
        <c:auto val="1"/>
        <c:lblAlgn val="ctr"/>
        <c:lblOffset val="100"/>
        <c:noMultiLvlLbl val="0"/>
      </c:catAx>
      <c:valAx>
        <c:axId val="407152824"/>
        <c:scaling>
          <c:orientation val="minMax"/>
        </c:scaling>
        <c:delete val="0"/>
        <c:axPos val="b"/>
        <c:majorGridlines/>
        <c:numFmt formatCode="0.00" sourceLinked="1"/>
        <c:majorTickMark val="out"/>
        <c:minorTickMark val="none"/>
        <c:tickLblPos val="nextTo"/>
        <c:crossAx val="413049408"/>
        <c:crosses val="autoZero"/>
        <c:crossBetween val="between"/>
      </c:valAx>
    </c:plotArea>
    <c:plotVisOnly val="1"/>
    <c:dispBlanksAs val="gap"/>
    <c:showDLblsOverMax val="0"/>
  </c:chart>
  <c:txPr>
    <a:bodyPr/>
    <a:lstStyle/>
    <a:p>
      <a:pPr>
        <a:defRPr b="1">
          <a:latin typeface="Arial" pitchFamily="34" charset="0"/>
          <a:cs typeface="Arial" pitchFamily="34" charset="0"/>
        </a:defRPr>
      </a:pPr>
      <a:endParaRPr lang="fr-F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plotArea>
      <c:layout>
        <c:manualLayout>
          <c:layoutTarget val="inner"/>
          <c:xMode val="edge"/>
          <c:yMode val="edge"/>
          <c:x val="0.24843289061229229"/>
          <c:y val="2.7777777777777901E-2"/>
          <c:w val="0.71022144844959989"/>
          <c:h val="0.83779308836395461"/>
        </c:manualLayout>
      </c:layout>
      <c:barChart>
        <c:barDir val="bar"/>
        <c:grouping val="clustered"/>
        <c:varyColors val="0"/>
        <c:ser>
          <c:idx val="0"/>
          <c:order val="0"/>
          <c:invertIfNegative val="0"/>
          <c:dLbls>
            <c:spPr>
              <a:noFill/>
              <a:ln w="25400">
                <a:noFill/>
              </a:ln>
            </c:spPr>
            <c:txPr>
              <a:bodyPr wrap="square" lIns="38100" tIns="19050" rIns="38100" bIns="19050" anchor="ctr">
                <a:spAutoFit/>
              </a:bodyPr>
              <a:lstStyle/>
              <a:p>
                <a:pPr>
                  <a:defRPr sz="1000" b="1" i="0" u="none" strike="noStrike" baseline="0">
                    <a:solidFill>
                      <a:srgbClr val="000000"/>
                    </a:solidFill>
                    <a:latin typeface="Calibri"/>
                    <a:ea typeface="Calibri"/>
                    <a:cs typeface="Calibri"/>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'[T6- RCD secteur et sous secteur   OCDE et groupe de donateur_KANTAGBA.xls]Education'!$B$17:$B$21</c:f>
              <c:strCache>
                <c:ptCount val="5"/>
                <c:pt idx="0">
                  <c:v>  France </c:v>
                </c:pt>
                <c:pt idx="1">
                  <c:v>  Luxembourg </c:v>
                </c:pt>
                <c:pt idx="2">
                  <c:v>  Canada </c:v>
                </c:pt>
                <c:pt idx="3">
                  <c:v>  Banque Mondiale </c:v>
                </c:pt>
                <c:pt idx="4">
                  <c:v>  SNU</c:v>
                </c:pt>
              </c:strCache>
            </c:strRef>
          </c:cat>
          <c:val>
            <c:numRef>
              <c:f>'[T6- RCD secteur et sous secteur   OCDE et groupe de donateur_KANTAGBA.xls]Education'!$C$17:$C$21</c:f>
              <c:numCache>
                <c:formatCode>0.00</c:formatCode>
                <c:ptCount val="5"/>
                <c:pt idx="0">
                  <c:v>31.616</c:v>
                </c:pt>
                <c:pt idx="1">
                  <c:v>14.814</c:v>
                </c:pt>
                <c:pt idx="2">
                  <c:v>13.02</c:v>
                </c:pt>
                <c:pt idx="3">
                  <c:v>12.5</c:v>
                </c:pt>
                <c:pt idx="4">
                  <c:v>6.7640000000000002</c:v>
                </c:pt>
              </c:numCache>
            </c:numRef>
          </c:val>
        </c:ser>
        <c:dLbls>
          <c:showLegendKey val="0"/>
          <c:showVal val="0"/>
          <c:showCatName val="0"/>
          <c:showSerName val="0"/>
          <c:showPercent val="0"/>
          <c:showBubbleSize val="0"/>
        </c:dLbls>
        <c:gapWidth val="150"/>
        <c:axId val="407153608"/>
        <c:axId val="407154000"/>
      </c:barChart>
      <c:catAx>
        <c:axId val="407153608"/>
        <c:scaling>
          <c:orientation val="minMax"/>
        </c:scaling>
        <c:delete val="0"/>
        <c:axPos val="l"/>
        <c:numFmt formatCode="General"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fr-FR"/>
          </a:p>
        </c:txPr>
        <c:crossAx val="407154000"/>
        <c:crosses val="autoZero"/>
        <c:auto val="1"/>
        <c:lblAlgn val="ctr"/>
        <c:lblOffset val="100"/>
        <c:noMultiLvlLbl val="0"/>
      </c:catAx>
      <c:valAx>
        <c:axId val="407154000"/>
        <c:scaling>
          <c:orientation val="minMax"/>
        </c:scaling>
        <c:delete val="0"/>
        <c:axPos val="b"/>
        <c:majorGridlines/>
        <c:numFmt formatCode="0.00"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fr-FR"/>
          </a:p>
        </c:txPr>
        <c:crossAx val="407153608"/>
        <c:crosses val="autoZero"/>
        <c:crossBetween val="between"/>
      </c:valAx>
    </c:plotArea>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fr-F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7166561189197147"/>
          <c:y val="8.8642659279778394E-2"/>
          <c:w val="0.68219726739765008"/>
          <c:h val="0.80589089798678248"/>
        </c:manualLayout>
      </c:layout>
      <c:barChart>
        <c:barDir val="bar"/>
        <c:grouping val="clustered"/>
        <c:varyColors val="0"/>
        <c:ser>
          <c:idx val="0"/>
          <c:order val="0"/>
          <c:invertIfNegative val="0"/>
          <c:dLbls>
            <c:spPr>
              <a:noFill/>
              <a:ln w="25400">
                <a:noFill/>
              </a:ln>
            </c:spPr>
            <c:txPr>
              <a:bodyPr wrap="square" lIns="38100" tIns="19050" rIns="38100" bIns="19050" anchor="ctr">
                <a:spAutoFit/>
              </a:bodyPr>
              <a:lstStyle/>
              <a:p>
                <a:pPr>
                  <a:defRPr sz="1000" b="1" i="0" u="none" strike="noStrike" baseline="0">
                    <a:solidFill>
                      <a:srgbClr val="000000"/>
                    </a:solidFill>
                    <a:latin typeface="Arial"/>
                    <a:ea typeface="Arial"/>
                    <a:cs typeface="Arial"/>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'[T6- RCD secteur et sous secteur   OCDE et groupe de donateur_KANTAGBA.xls]transf indust et artis'!$B$18:$B$22</c:f>
              <c:strCache>
                <c:ptCount val="5"/>
                <c:pt idx="0">
                  <c:v>France</c:v>
                </c:pt>
                <c:pt idx="1">
                  <c:v>Banque Mondiale </c:v>
                </c:pt>
                <c:pt idx="2">
                  <c:v>Union Européenne</c:v>
                </c:pt>
                <c:pt idx="3">
                  <c:v>Chine-Taïwan</c:v>
                </c:pt>
                <c:pt idx="4">
                  <c:v>BOAD</c:v>
                </c:pt>
              </c:strCache>
            </c:strRef>
          </c:cat>
          <c:val>
            <c:numRef>
              <c:f>'[T6- RCD secteur et sous secteur   OCDE et groupe de donateur_KANTAGBA.xls]transf indust et artis'!$C$18:$C$22</c:f>
              <c:numCache>
                <c:formatCode>0.00</c:formatCode>
                <c:ptCount val="5"/>
                <c:pt idx="0">
                  <c:v>59.665999999999997</c:v>
                </c:pt>
                <c:pt idx="1">
                  <c:v>12.55</c:v>
                </c:pt>
                <c:pt idx="2">
                  <c:v>9.3000000000000007</c:v>
                </c:pt>
                <c:pt idx="3">
                  <c:v>3.8559999999999999</c:v>
                </c:pt>
                <c:pt idx="4">
                  <c:v>3.7719999999999998</c:v>
                </c:pt>
              </c:numCache>
            </c:numRef>
          </c:val>
        </c:ser>
        <c:dLbls>
          <c:showLegendKey val="0"/>
          <c:showVal val="0"/>
          <c:showCatName val="0"/>
          <c:showSerName val="0"/>
          <c:showPercent val="0"/>
          <c:showBubbleSize val="0"/>
        </c:dLbls>
        <c:gapWidth val="150"/>
        <c:axId val="414935936"/>
        <c:axId val="414936328"/>
      </c:barChart>
      <c:catAx>
        <c:axId val="414935936"/>
        <c:scaling>
          <c:orientation val="minMax"/>
        </c:scaling>
        <c:delete val="0"/>
        <c:axPos val="l"/>
        <c:numFmt formatCode="General"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fr-FR"/>
          </a:p>
        </c:txPr>
        <c:crossAx val="414936328"/>
        <c:crosses val="autoZero"/>
        <c:auto val="1"/>
        <c:lblAlgn val="ctr"/>
        <c:lblOffset val="100"/>
        <c:noMultiLvlLbl val="0"/>
      </c:catAx>
      <c:valAx>
        <c:axId val="414936328"/>
        <c:scaling>
          <c:orientation val="minMax"/>
        </c:scaling>
        <c:delete val="0"/>
        <c:axPos val="b"/>
        <c:majorGridlines/>
        <c:numFmt formatCode="0.00"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fr-FR"/>
          </a:p>
        </c:txPr>
        <c:crossAx val="414935936"/>
        <c:crosses val="autoZero"/>
        <c:crossBetween val="between"/>
      </c:valAx>
    </c:plotArea>
    <c:plotVisOnly val="1"/>
    <c:dispBlanksAs val="gap"/>
    <c:showDLblsOverMax val="0"/>
  </c:chart>
  <c:txPr>
    <a:bodyPr/>
    <a:lstStyle/>
    <a:p>
      <a:pPr>
        <a:defRPr sz="1000" b="1" i="0" u="none" strike="noStrike" baseline="0">
          <a:solidFill>
            <a:srgbClr val="000000"/>
          </a:solidFill>
          <a:latin typeface="Arial"/>
          <a:ea typeface="Arial"/>
          <a:cs typeface="Arial"/>
        </a:defRPr>
      </a:pPr>
      <a:endParaRPr lang="fr-F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solidFill>
              <a:schemeClr val="accent1"/>
            </a:soli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'Etats et institutions'!$I$3:$I$12</c:f>
              <c:strCache>
                <c:ptCount val="10"/>
                <c:pt idx="0">
                  <c:v>Banque Mondiale</c:v>
                </c:pt>
                <c:pt idx="1">
                  <c:v>BID</c:v>
                </c:pt>
                <c:pt idx="2">
                  <c:v>AFREXIMBANK</c:v>
                </c:pt>
                <c:pt idx="3">
                  <c:v>BAD</c:v>
                </c:pt>
                <c:pt idx="4">
                  <c:v>UE</c:v>
                </c:pt>
                <c:pt idx="5">
                  <c:v>SFI</c:v>
                </c:pt>
                <c:pt idx="6">
                  <c:v>AFC</c:v>
                </c:pt>
                <c:pt idx="7">
                  <c:v>OFID</c:v>
                </c:pt>
                <c:pt idx="8">
                  <c:v>BOAD</c:v>
                </c:pt>
                <c:pt idx="9">
                  <c:v>Autres partenaires</c:v>
                </c:pt>
              </c:strCache>
            </c:strRef>
          </c:cat>
          <c:val>
            <c:numRef>
              <c:f>'Etats et institutions'!$K$3:$K$12</c:f>
              <c:numCache>
                <c:formatCode>0.00%</c:formatCode>
                <c:ptCount val="10"/>
                <c:pt idx="0">
                  <c:v>0.24676464136872178</c:v>
                </c:pt>
                <c:pt idx="1">
                  <c:v>0.15751809607370101</c:v>
                </c:pt>
                <c:pt idx="2">
                  <c:v>0.12338232068436045</c:v>
                </c:pt>
                <c:pt idx="3">
                  <c:v>8.7601447685896477E-2</c:v>
                </c:pt>
                <c:pt idx="4">
                  <c:v>7.1945602105724898E-2</c:v>
                </c:pt>
                <c:pt idx="5">
                  <c:v>6.5803904364992324E-2</c:v>
                </c:pt>
                <c:pt idx="6">
                  <c:v>4.1127440228120198E-2</c:v>
                </c:pt>
                <c:pt idx="7">
                  <c:v>4.0716165825839271E-2</c:v>
                </c:pt>
                <c:pt idx="8">
                  <c:v>3.4272866856766906E-2</c:v>
                </c:pt>
                <c:pt idx="9">
                  <c:v>0.13086751480587847</c:v>
                </c:pt>
              </c:numCache>
            </c:numRef>
          </c:val>
        </c:ser>
        <c:dLbls>
          <c:showLegendKey val="0"/>
          <c:showVal val="0"/>
          <c:showCatName val="0"/>
          <c:showSerName val="0"/>
          <c:showPercent val="0"/>
          <c:showBubbleSize val="0"/>
        </c:dLbls>
        <c:gapWidth val="150"/>
        <c:shape val="box"/>
        <c:axId val="414937112"/>
        <c:axId val="414937504"/>
        <c:axId val="0"/>
      </c:bar3DChart>
      <c:catAx>
        <c:axId val="41493711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14937504"/>
        <c:crosses val="autoZero"/>
        <c:auto val="1"/>
        <c:lblAlgn val="ctr"/>
        <c:lblOffset val="100"/>
        <c:noMultiLvlLbl val="0"/>
      </c:catAx>
      <c:valAx>
        <c:axId val="414937504"/>
        <c:scaling>
          <c:orientation val="minMax"/>
        </c:scaling>
        <c:delete val="0"/>
        <c:axPos val="l"/>
        <c:majorGridlines>
          <c:spPr>
            <a:ln w="9525" cap="flat" cmpd="sng" algn="ctr">
              <a:no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149371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solidFill>
              <a:schemeClr val="accent1"/>
            </a:solidFill>
            <a:ln>
              <a:noFill/>
            </a:ln>
            <a:effectLst/>
            <a:sp3d/>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'Etats et institutions'!$I$23:$I$34</c:f>
              <c:strCache>
                <c:ptCount val="12"/>
                <c:pt idx="0">
                  <c:v>USA</c:v>
                </c:pt>
                <c:pt idx="1">
                  <c:v>AFD/FRANCE</c:v>
                </c:pt>
                <c:pt idx="2">
                  <c:v>JAPON</c:v>
                </c:pt>
                <c:pt idx="3">
                  <c:v>DANEMARK</c:v>
                </c:pt>
                <c:pt idx="4">
                  <c:v>SUISSE</c:v>
                </c:pt>
                <c:pt idx="5">
                  <c:v>LUXEMBOURG</c:v>
                </c:pt>
                <c:pt idx="6">
                  <c:v>SUEDE</c:v>
                </c:pt>
                <c:pt idx="7">
                  <c:v>BELGIQUE</c:v>
                </c:pt>
                <c:pt idx="8">
                  <c:v>ITALIE</c:v>
                </c:pt>
                <c:pt idx="9">
                  <c:v>CANADA</c:v>
                </c:pt>
                <c:pt idx="10">
                  <c:v>DFID (ANGLETERRE)</c:v>
                </c:pt>
                <c:pt idx="11">
                  <c:v>AUTRICHE</c:v>
                </c:pt>
              </c:strCache>
            </c:strRef>
          </c:cat>
          <c:val>
            <c:numRef>
              <c:f>'Etats et institutions'!$K$23:$K$34</c:f>
              <c:numCache>
                <c:formatCode>0.00%</c:formatCode>
                <c:ptCount val="12"/>
                <c:pt idx="0">
                  <c:v>0.28337747409788405</c:v>
                </c:pt>
                <c:pt idx="1">
                  <c:v>0.28564449389066687</c:v>
                </c:pt>
                <c:pt idx="2">
                  <c:v>0.10768344015719519</c:v>
                </c:pt>
                <c:pt idx="3">
                  <c:v>8.6713507073951909E-2</c:v>
                </c:pt>
                <c:pt idx="4">
                  <c:v>7.9306964492613985E-2</c:v>
                </c:pt>
                <c:pt idx="5">
                  <c:v>5.0819027021553533E-2</c:v>
                </c:pt>
                <c:pt idx="6">
                  <c:v>4.7229579016313673E-2</c:v>
                </c:pt>
                <c:pt idx="7">
                  <c:v>2.4166430991067269E-2</c:v>
                </c:pt>
                <c:pt idx="8">
                  <c:v>1.5987023578706117E-2</c:v>
                </c:pt>
                <c:pt idx="9">
                  <c:v>9.6348341193280475E-3</c:v>
                </c:pt>
                <c:pt idx="10">
                  <c:v>5.2235914392042924E-3</c:v>
                </c:pt>
                <c:pt idx="11">
                  <c:v>4.2136341215194403E-3</c:v>
                </c:pt>
              </c:numCache>
            </c:numRef>
          </c:val>
        </c:ser>
        <c:dLbls>
          <c:showLegendKey val="0"/>
          <c:showVal val="0"/>
          <c:showCatName val="0"/>
          <c:showSerName val="0"/>
          <c:showPercent val="0"/>
          <c:showBubbleSize val="0"/>
        </c:dLbls>
        <c:gapWidth val="150"/>
        <c:shape val="box"/>
        <c:axId val="414145360"/>
        <c:axId val="414145752"/>
        <c:axId val="0"/>
      </c:bar3DChart>
      <c:catAx>
        <c:axId val="41414536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14145752"/>
        <c:crosses val="autoZero"/>
        <c:auto val="1"/>
        <c:lblAlgn val="ctr"/>
        <c:lblOffset val="100"/>
        <c:noMultiLvlLbl val="0"/>
      </c:catAx>
      <c:valAx>
        <c:axId val="414145752"/>
        <c:scaling>
          <c:orientation val="minMax"/>
        </c:scaling>
        <c:delete val="0"/>
        <c:axPos val="l"/>
        <c:majorGridlines>
          <c:spPr>
            <a:ln w="9525" cap="flat" cmpd="sng" algn="ctr">
              <a:no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141453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8566693586378619E-2"/>
          <c:y val="8.6278649612645808E-2"/>
          <c:w val="0.88724527222558713"/>
          <c:h val="0.43532639065278128"/>
        </c:manualLayout>
      </c:layout>
      <c:bar3DChart>
        <c:barDir val="col"/>
        <c:grouping val="clustered"/>
        <c:varyColors val="0"/>
        <c:ser>
          <c:idx val="0"/>
          <c:order val="0"/>
          <c:spPr>
            <a:solidFill>
              <a:schemeClr val="accent1"/>
            </a:solidFill>
            <a:ln>
              <a:noFill/>
            </a:ln>
            <a:effectLst/>
            <a:sp3d/>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(Privés!$G$3:$G$11,Privés!$F$12)</c:f>
              <c:strCache>
                <c:ptCount val="10"/>
                <c:pt idx="0">
                  <c:v>Groupe ALL</c:v>
                </c:pt>
                <c:pt idx="1">
                  <c:v>Groupe d'investisseurs Turcs</c:v>
                </c:pt>
                <c:pt idx="2">
                  <c:v>APBEF</c:v>
                </c:pt>
                <c:pt idx="3">
                  <c:v>AGI AFRIQUE</c:v>
                </c:pt>
                <c:pt idx="4">
                  <c:v>BONDA</c:v>
                </c:pt>
                <c:pt idx="5">
                  <c:v>NEW STAR</c:v>
                </c:pt>
                <c:pt idx="6">
                  <c:v>NAREVA</c:v>
                </c:pt>
                <c:pt idx="7">
                  <c:v>Réseaux Bureaux d'études</c:v>
                </c:pt>
                <c:pt idx="8">
                  <c:v>PERTI POWER MAROC</c:v>
                </c:pt>
                <c:pt idx="9">
                  <c:v>Autres partenaires privés</c:v>
                </c:pt>
              </c:strCache>
            </c:strRef>
          </c:cat>
          <c:val>
            <c:numRef>
              <c:f>(Privés!$I$3:$I$11,Privés!$J$12)</c:f>
              <c:numCache>
                <c:formatCode>0.00%</c:formatCode>
                <c:ptCount val="10"/>
                <c:pt idx="0">
                  <c:v>0.13754745628825171</c:v>
                </c:pt>
                <c:pt idx="1">
                  <c:v>0.13674521767787529</c:v>
                </c:pt>
                <c:pt idx="2">
                  <c:v>0.12762886983268312</c:v>
                </c:pt>
                <c:pt idx="3">
                  <c:v>9.1163478451916524E-2</c:v>
                </c:pt>
                <c:pt idx="4">
                  <c:v>5.4698087071149933E-2</c:v>
                </c:pt>
                <c:pt idx="5">
                  <c:v>5.4698087071149933E-2</c:v>
                </c:pt>
                <c:pt idx="6">
                  <c:v>0.13754745628825171</c:v>
                </c:pt>
                <c:pt idx="7">
                  <c:v>2.2844838392222681E-2</c:v>
                </c:pt>
                <c:pt idx="8">
                  <c:v>2.2127199489849276E-2</c:v>
                </c:pt>
                <c:pt idx="9">
                  <c:v>0.21499930943665149</c:v>
                </c:pt>
              </c:numCache>
            </c:numRef>
          </c:val>
        </c:ser>
        <c:dLbls>
          <c:showLegendKey val="0"/>
          <c:showVal val="0"/>
          <c:showCatName val="0"/>
          <c:showSerName val="0"/>
          <c:showPercent val="0"/>
          <c:showBubbleSize val="0"/>
        </c:dLbls>
        <c:gapWidth val="150"/>
        <c:shape val="box"/>
        <c:axId val="414146536"/>
        <c:axId val="414146928"/>
        <c:axId val="0"/>
      </c:bar3DChart>
      <c:catAx>
        <c:axId val="41414653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14146928"/>
        <c:crosses val="autoZero"/>
        <c:auto val="1"/>
        <c:lblAlgn val="ctr"/>
        <c:lblOffset val="100"/>
        <c:noMultiLvlLbl val="0"/>
      </c:catAx>
      <c:valAx>
        <c:axId val="414146928"/>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141465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6944356955380581E-2"/>
          <c:y val="0.18883317216926832"/>
          <c:w val="0.79277795275590568"/>
          <c:h val="0.69506561679790024"/>
        </c:manualLayout>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explosion val="2"/>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manualLayout>
                  <c:x val="-1.3333333333333334E-2"/>
                  <c:y val="-0.12025049500391398"/>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extLst>
            </c:dLbl>
            <c:dLbl>
              <c:idx val="1"/>
              <c:layout>
                <c:manualLayout>
                  <c:x val="-2.8333333333333332E-2"/>
                  <c:y val="6.3277014996241049E-3"/>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extLst>
            </c:dLbl>
            <c:dLbl>
              <c:idx val="2"/>
              <c:layout>
                <c:manualLayout>
                  <c:x val="-8.4444444444444447E-2"/>
                  <c:y val="4.8855735138370862E-4"/>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3"/>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extLst>
            </c:dLbl>
            <c:dLbl>
              <c:idx val="3"/>
              <c:layout>
                <c:manualLayout>
                  <c:x val="8.0555555555555478E-2"/>
                  <c:y val="-3.2772712621448638E-2"/>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4"/>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17784706911636045"/>
                      <c:h val="0.14541684801962568"/>
                    </c:manualLayout>
                  </c15:layout>
                </c:ext>
              </c:extLst>
            </c:dLbl>
            <c:spPr>
              <a:noFill/>
              <a:ln>
                <a:noFill/>
              </a:ln>
              <a:effectLst/>
            </c:sp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'Feuil2 (2)'!$A$3:$A$6</c:f>
              <c:strCache>
                <c:ptCount val="4"/>
                <c:pt idx="0">
                  <c:v>Bilatéraux</c:v>
                </c:pt>
                <c:pt idx="1">
                  <c:v>Multilatéraux</c:v>
                </c:pt>
                <c:pt idx="2">
                  <c:v>ONG</c:v>
                </c:pt>
                <c:pt idx="3">
                  <c:v>Secteur  privé</c:v>
                </c:pt>
              </c:strCache>
            </c:strRef>
          </c:cat>
          <c:val>
            <c:numRef>
              <c:f>'Feuil2 (2)'!$I$3:$I$6</c:f>
              <c:numCache>
                <c:formatCode>0.00%</c:formatCode>
                <c:ptCount val="4"/>
                <c:pt idx="0">
                  <c:v>0.27422149932647882</c:v>
                </c:pt>
                <c:pt idx="1">
                  <c:v>0.63085212674148761</c:v>
                </c:pt>
                <c:pt idx="2">
                  <c:v>5.8609253915143066E-2</c:v>
                </c:pt>
                <c:pt idx="3">
                  <c:v>3.6317120016890497E-2</c:v>
                </c:pt>
              </c:numCache>
            </c:numRef>
          </c:val>
        </c:ser>
        <c:dLbls>
          <c:dLblPos val="outEnd"/>
          <c:showLegendKey val="0"/>
          <c:showVal val="0"/>
          <c:showCatName val="0"/>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multiLvlStrRef>
              <c:f>Feuil2!$H$4:$I$14</c:f>
              <c:multiLvlStrCache>
                <c:ptCount val="11"/>
                <c:lvl>
                  <c:pt idx="0">
                    <c:v>Dons</c:v>
                  </c:pt>
                  <c:pt idx="1">
                    <c:v>Prêts</c:v>
                  </c:pt>
                  <c:pt idx="3">
                    <c:v>Dons</c:v>
                  </c:pt>
                  <c:pt idx="4">
                    <c:v>Prêts</c:v>
                  </c:pt>
                  <c:pt idx="6">
                    <c:v>Dons</c:v>
                  </c:pt>
                  <c:pt idx="7">
                    <c:v>Prêts</c:v>
                  </c:pt>
                  <c:pt idx="9">
                    <c:v>Dons</c:v>
                  </c:pt>
                  <c:pt idx="10">
                    <c:v>Prêts</c:v>
                  </c:pt>
                </c:lvl>
                <c:lvl>
                  <c:pt idx="0">
                    <c:v>Bilatéraux</c:v>
                  </c:pt>
                  <c:pt idx="3">
                    <c:v>Multilatéraux</c:v>
                  </c:pt>
                  <c:pt idx="6">
                    <c:v>ONG</c:v>
                  </c:pt>
                  <c:pt idx="9">
                    <c:v>Privé</c:v>
                  </c:pt>
                </c:lvl>
              </c:multiLvlStrCache>
            </c:multiLvlStrRef>
          </c:cat>
          <c:val>
            <c:numRef>
              <c:f>Feuil2!$J$4:$J$14</c:f>
            </c:numRef>
          </c:val>
        </c:ser>
        <c:ser>
          <c:idx val="1"/>
          <c:order val="1"/>
          <c:spPr>
            <a:solidFill>
              <a:schemeClr val="accent2"/>
            </a:solidFill>
            <a:ln>
              <a:noFill/>
            </a:ln>
            <a:effectLst/>
          </c:spPr>
          <c:invertIfNegative val="0"/>
          <c:dPt>
            <c:idx val="1"/>
            <c:invertIfNegative val="0"/>
            <c:bubble3D val="0"/>
            <c:spPr>
              <a:solidFill>
                <a:schemeClr val="tx2">
                  <a:lumMod val="20000"/>
                  <a:lumOff val="80000"/>
                </a:schemeClr>
              </a:solidFill>
              <a:ln>
                <a:noFill/>
              </a:ln>
              <a:effectLst/>
            </c:spPr>
          </c:dPt>
          <c:dPt>
            <c:idx val="4"/>
            <c:invertIfNegative val="0"/>
            <c:bubble3D val="0"/>
            <c:spPr>
              <a:solidFill>
                <a:schemeClr val="tx2">
                  <a:lumMod val="20000"/>
                  <a:lumOff val="80000"/>
                </a:schemeClr>
              </a:solidFill>
              <a:ln>
                <a:noFill/>
              </a:ln>
              <a:effectLst/>
            </c:spPr>
          </c:dPt>
          <c:dPt>
            <c:idx val="10"/>
            <c:invertIfNegative val="0"/>
            <c:bubble3D val="0"/>
            <c:spPr>
              <a:solidFill>
                <a:schemeClr val="accent1">
                  <a:lumMod val="40000"/>
                  <a:lumOff val="60000"/>
                </a:schemeClr>
              </a:solidFill>
              <a:ln>
                <a:noFill/>
              </a:ln>
              <a:effectLst/>
            </c:spPr>
          </c:dPt>
          <c:cat>
            <c:multiLvlStrRef>
              <c:f>Feuil2!$H$4:$I$14</c:f>
              <c:multiLvlStrCache>
                <c:ptCount val="11"/>
                <c:lvl>
                  <c:pt idx="0">
                    <c:v>Dons</c:v>
                  </c:pt>
                  <c:pt idx="1">
                    <c:v>Prêts</c:v>
                  </c:pt>
                  <c:pt idx="3">
                    <c:v>Dons</c:v>
                  </c:pt>
                  <c:pt idx="4">
                    <c:v>Prêts</c:v>
                  </c:pt>
                  <c:pt idx="6">
                    <c:v>Dons</c:v>
                  </c:pt>
                  <c:pt idx="7">
                    <c:v>Prêts</c:v>
                  </c:pt>
                  <c:pt idx="9">
                    <c:v>Dons</c:v>
                  </c:pt>
                  <c:pt idx="10">
                    <c:v>Prêts</c:v>
                  </c:pt>
                </c:lvl>
                <c:lvl>
                  <c:pt idx="0">
                    <c:v>Bilatéraux</c:v>
                  </c:pt>
                  <c:pt idx="3">
                    <c:v>Multilatéraux</c:v>
                  </c:pt>
                  <c:pt idx="6">
                    <c:v>ONG</c:v>
                  </c:pt>
                  <c:pt idx="9">
                    <c:v>Privé</c:v>
                  </c:pt>
                </c:lvl>
              </c:multiLvlStrCache>
            </c:multiLvlStrRef>
          </c:cat>
          <c:val>
            <c:numRef>
              <c:f>Feuil2!$K$4:$K$14</c:f>
              <c:numCache>
                <c:formatCode>#,##0.00</c:formatCode>
                <c:ptCount val="11"/>
                <c:pt idx="0">
                  <c:v>196.99419469739999</c:v>
                </c:pt>
                <c:pt idx="1">
                  <c:v>107.44551</c:v>
                </c:pt>
                <c:pt idx="3">
                  <c:v>339.28468603900001</c:v>
                </c:pt>
                <c:pt idx="4">
                  <c:v>361.08503567999998</c:v>
                </c:pt>
                <c:pt idx="6" formatCode="#,##0">
                  <c:v>65.067779142999996</c:v>
                </c:pt>
                <c:pt idx="10" formatCode="#,##0">
                  <c:v>40.319133694999998</c:v>
                </c:pt>
              </c:numCache>
            </c:numRef>
          </c:val>
        </c:ser>
        <c:dLbls>
          <c:showLegendKey val="0"/>
          <c:showVal val="0"/>
          <c:showCatName val="0"/>
          <c:showSerName val="0"/>
          <c:showPercent val="0"/>
          <c:showBubbleSize val="0"/>
        </c:dLbls>
        <c:gapWidth val="219"/>
        <c:overlap val="-27"/>
        <c:axId val="349248112"/>
        <c:axId val="349248504"/>
      </c:barChart>
      <c:catAx>
        <c:axId val="349248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9248504"/>
        <c:crosses val="autoZero"/>
        <c:auto val="1"/>
        <c:lblAlgn val="ctr"/>
        <c:lblOffset val="100"/>
        <c:noMultiLvlLbl val="0"/>
      </c:catAx>
      <c:valAx>
        <c:axId val="349248504"/>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92481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1">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A2183C-5EC3-4CD7-8B45-5EA0DDCA0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198</Pages>
  <Words>66778</Words>
  <Characters>367281</Characters>
  <Application>Microsoft Office Word</Application>
  <DocSecurity>0</DocSecurity>
  <Lines>3060</Lines>
  <Paragraphs>866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433193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Dell</cp:lastModifiedBy>
  <cp:revision>2</cp:revision>
  <cp:lastPrinted>2017-09-12T09:50:00Z</cp:lastPrinted>
  <dcterms:created xsi:type="dcterms:W3CDTF">2017-09-21T14:04:00Z</dcterms:created>
  <dcterms:modified xsi:type="dcterms:W3CDTF">2017-09-21T14:04:00Z</dcterms:modified>
</cp:coreProperties>
</file>