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drawings/drawing1.xml" ContentType="application/vnd.openxmlformats-officedocument.drawingml.chartshapes+xml"/>
  <Override PartName="/word/charts/chart6.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horzAnchor="margin" w:tblpYSpec="bottom"/>
        <w:tblW w:w="3000" w:type="pct"/>
        <w:tblLook w:val="04A0" w:firstRow="1" w:lastRow="0" w:firstColumn="1" w:lastColumn="0" w:noHBand="0" w:noVBand="1"/>
      </w:tblPr>
      <w:tblGrid>
        <w:gridCol w:w="5573"/>
      </w:tblGrid>
      <w:tr w:rsidR="003717AC" w:rsidTr="003717AC">
        <w:tc>
          <w:tcPr>
            <w:tcW w:w="5746" w:type="dxa"/>
          </w:tcPr>
          <w:p w:rsidR="003717AC" w:rsidRDefault="003717AC" w:rsidP="003717AC">
            <w:pPr>
              <w:pStyle w:val="Sansinterligne"/>
              <w:rPr>
                <w:b/>
                <w:bCs/>
              </w:rPr>
            </w:pPr>
            <w:bookmarkStart w:id="0" w:name="_GoBack"/>
            <w:bookmarkEnd w:id="0"/>
          </w:p>
        </w:tc>
      </w:tr>
    </w:tbl>
    <w:p w:rsidR="003717AC" w:rsidRDefault="003717AC" w:rsidP="003717AC">
      <w:r>
        <w:rPr>
          <w:noProof/>
          <w:lang w:eastAsia="fr-FR"/>
        </w:rPr>
        <mc:AlternateContent>
          <mc:Choice Requires="wpg">
            <w:drawing>
              <wp:anchor distT="0" distB="0" distL="114300" distR="114300" simplePos="0" relativeHeight="251660288" behindDoc="0" locked="0" layoutInCell="0" allowOverlap="1" wp14:anchorId="0A46DB8B" wp14:editId="5B6125F5">
                <wp:simplePos x="0" y="0"/>
                <wp:positionH relativeFrom="page">
                  <wp:align>left</wp:align>
                </wp:positionH>
                <wp:positionV relativeFrom="page">
                  <wp:align>top</wp:align>
                </wp:positionV>
                <wp:extent cx="5650992" cy="4828032"/>
                <wp:effectExtent l="0" t="0" r="44958" b="0"/>
                <wp:wrapNone/>
                <wp:docPr id="1" name="Groupe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50992" cy="4828032"/>
                          <a:chOff x="15" y="15"/>
                          <a:chExt cx="8918" cy="7619"/>
                        </a:xfrm>
                      </wpg:grpSpPr>
                      <wps:wsp>
                        <wps:cNvPr id="2" name="AutoShape 30"/>
                        <wps:cNvCnPr>
                          <a:cxnSpLocks noChangeShapeType="1"/>
                        </wps:cNvCnPr>
                        <wps:spPr bwMode="auto">
                          <a:xfrm>
                            <a:off x="15" y="15"/>
                            <a:ext cx="7512" cy="7386"/>
                          </a:xfrm>
                          <a:prstGeom prst="straightConnector1">
                            <a:avLst/>
                          </a:prstGeom>
                          <a:noFill/>
                          <a:ln w="9525">
                            <a:solidFill>
                              <a:srgbClr val="A7BFDE"/>
                            </a:solidFill>
                            <a:round/>
                            <a:headEnd/>
                            <a:tailEnd/>
                          </a:ln>
                          <a:extLst>
                            <a:ext uri="{909E8E84-426E-40DD-AFC4-6F175D3DCCD1}">
                              <a14:hiddenFill xmlns:a14="http://schemas.microsoft.com/office/drawing/2010/main">
                                <a:noFill/>
                              </a14:hiddenFill>
                            </a:ext>
                            <a:ext uri="{53640926-AAD7-44D8-BBD7-CCE9431645EC}">
                              <a14:shadowObscured xmlns:a14="http://schemas.microsoft.com/office/drawing/2010/main" val="1"/>
                            </a:ext>
                          </a:extLst>
                        </wps:spPr>
                        <wps:bodyPr/>
                      </wps:wsp>
                      <wps:wsp>
                        <wps:cNvPr id="3" name="Oval 32"/>
                        <wps:cNvSpPr>
                          <a:spLocks noChangeArrowheads="1"/>
                        </wps:cNvSpPr>
                        <wps:spPr bwMode="auto">
                          <a:xfrm>
                            <a:off x="6717" y="5418"/>
                            <a:ext cx="2216" cy="2216"/>
                          </a:xfrm>
                          <a:prstGeom prst="ellipse">
                            <a:avLst/>
                          </a:prstGeom>
                          <a:gradFill>
                            <a:gsLst>
                              <a:gs pos="0">
                                <a:schemeClr val="accent1">
                                  <a:tint val="66000"/>
                                  <a:satMod val="160000"/>
                                </a:schemeClr>
                              </a:gs>
                              <a:gs pos="50000">
                                <a:schemeClr val="accent1">
                                  <a:tint val="44500"/>
                                  <a:satMod val="160000"/>
                                </a:schemeClr>
                              </a:gs>
                              <a:gs pos="100000">
                                <a:schemeClr val="accent1">
                                  <a:tint val="23500"/>
                                  <a:satMod val="160000"/>
                                </a:schemeClr>
                              </a:gs>
                            </a:gsLst>
                            <a:path path="circle">
                              <a:fillToRect t="100000" r="100000"/>
                            </a:path>
                          </a:gradFill>
                          <a:scene3d>
                            <a:camera prst="perspectiveHeroicExtremeLeftFacing"/>
                            <a:lightRig rig="twoPt" dir="t">
                              <a:rot lat="0" lon="0" rev="600000"/>
                            </a:lightRig>
                          </a:scene3d>
                          <a:sp3d>
                            <a:bevelT w="190500" h="190500" prst="riblet"/>
                            <a:bevelB w="190500" h="190500" prst="artDeco"/>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5="http://schemas.microsoft.com/office/word/2012/wordml">
            <w:pict>
              <v:group w14:anchorId="450EA9B0" id="Groupe 29" o:spid="_x0000_s1026" style="position:absolute;margin-left:0;margin-top:0;width:444.95pt;height:380.15pt;z-index:251660288;mso-position-horizontal:left;mso-position-horizontal-relative:page;mso-position-vertical:top;mso-position-vertical-relative:page" coordorigin="15,15" coordsize="8918,76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" o:allowincell="f">
                <v:shapetype id="_x0000_t32" coordsize="21600,21600" o:spt="32" o:oned="t" path="m,l21600,21600e" filled="f">
                  <v:path arrowok="t" fillok="f" o:connecttype="none"/>
                  <o:lock v:ext="edit" shapetype="t"/>
                </v:shapetype>
                <v:shape id="AutoShape 30" o:spid="_x0000_s1027" type="#_x0000_t32" style="position:absolute;left:15;top:15;width:7512;height:738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" strokecolor="#a7bfde"/>
                <v:oval id="Oval 32" o:spid="_x0000_s1028" style="position:absolute;left:6717;top:5418;width:2216;height:22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Ud8sQA&#10;AADaAAAADwAAAGRycy9kb3ducmV2LnhtbESPT2sCMRTE7wW/Q3hCL0WzbVVkNUoRbC2e/HPQ22Pz&#10;3F3dvCybuKbfvhEEj8PM/IaZzoOpREuNKy0reO8nIIgzq0vOFex3y94YhPPIGivLpOCPHMxnnZcp&#10;ptreeEPt1uciQtilqKDwvk6ldFlBBl3f1sTRO9nGoI+yyaVu8BbhppIfSTKSBkuOCwXWtCgou2yv&#10;RsHAfa9/j0P+GbzJqzmvN2HcHoJSr93wNQHhKfhn+NFeaQWfcL8Sb4C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VHfLEAAAA2gAAAA8AAAAAAAAAAAAAAAAAmAIAAGRycy9k&#10;b3ducmV2LnhtbFBLBQYAAAAABAAEAPUAAACJAwAAAAA=&#10;" fillcolor="#8aabd3 [2132]" stroked="f">
                  <v:fill color2="#d6e2f0 [756]" focusposition=",1" focussize="" colors="0 #9ab5e4;.5 #c2d1ed;1 #e1e8f5" focus="100%" type="gradientRadial"/>
                </v:oval>
                <w10:wrap anchorx="page" anchory="page"/>
              </v:group>
            </w:pict>
          </mc:Fallback>
        </mc:AlternateContent>
      </w:r>
      <w:r>
        <w:rPr>
          <w:noProof/>
          <w:lang w:eastAsia="fr-FR"/>
        </w:rPr>
        <mc:AlternateContent>
          <mc:Choice Requires="wpg">
            <w:drawing>
              <wp:anchor distT="0" distB="0" distL="114300" distR="114300" simplePos="0" relativeHeight="251659264" behindDoc="0" locked="0" layoutInCell="0" allowOverlap="1" wp14:anchorId="38FA0644" wp14:editId="6ACF2582">
                <wp:simplePos x="0" y="0"/>
                <mc:AlternateContent>
                  <mc:Choice Requires="wp14">
                    <wp:positionH relativeFrom="margin">
                      <wp14:pctPosHOffset>25000</wp14:pctPosHOffset>
                    </wp:positionH>
                  </mc:Choice>
                  <mc:Fallback>
                    <wp:positionH relativeFrom="page">
                      <wp:posOffset>2339975</wp:posOffset>
                    </wp:positionH>
                  </mc:Fallback>
                </mc:AlternateContent>
                <wp:positionV relativeFrom="page">
                  <wp:align>top</wp:align>
                </wp:positionV>
                <wp:extent cx="3648456" cy="2880360"/>
                <wp:effectExtent l="0" t="0" r="85344" b="0"/>
                <wp:wrapNone/>
                <wp:docPr id="4" name="Groupe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48456" cy="2880360"/>
                          <a:chOff x="4136" y="15"/>
                          <a:chExt cx="5762" cy="4545"/>
                        </a:xfrm>
                      </wpg:grpSpPr>
                      <wps:wsp>
                        <wps:cNvPr id="5" name="AutoShape 25"/>
                        <wps:cNvCnPr>
                          <a:cxnSpLocks noChangeShapeType="1"/>
                        </wps:cNvCnPr>
                        <wps:spPr bwMode="auto">
                          <a:xfrm>
                            <a:off x="4136" y="15"/>
                            <a:ext cx="3058" cy="3855"/>
                          </a:xfrm>
                          <a:prstGeom prst="straightConnector1">
                            <a:avLst/>
                          </a:prstGeom>
                          <a:noFill/>
                          <a:ln w="9525">
                            <a:solidFill>
                              <a:srgbClr val="A7BFDE"/>
                            </a:solidFill>
                            <a:round/>
                            <a:headEnd/>
                            <a:tailEnd/>
                          </a:ln>
                          <a:extLst>
                            <a:ext uri="{909E8E84-426E-40DD-AFC4-6F175D3DCCD1}">
                              <a14:hiddenFill xmlns:a14="http://schemas.microsoft.com/office/drawing/2010/main">
                                <a:noFill/>
                              </a14:hiddenFill>
                            </a:ext>
                            <a:ext uri="{53640926-AAD7-44D8-BBD7-CCE9431645EC}">
                              <a14:shadowObscured xmlns:a14="http://schemas.microsoft.com/office/drawing/2010/main" val="1"/>
                            </a:ext>
                          </a:extLst>
                        </wps:spPr>
                        <wps:bodyPr/>
                      </wps:wsp>
                      <wps:wsp>
                        <wps:cNvPr id="6" name="Oval 26"/>
                        <wps:cNvSpPr>
                          <a:spLocks noChangeArrowheads="1"/>
                        </wps:cNvSpPr>
                        <wps:spPr bwMode="auto">
                          <a:xfrm>
                            <a:off x="5782" y="444"/>
                            <a:ext cx="4116" cy="4116"/>
                          </a:xfrm>
                          <a:prstGeom prst="ellipse">
                            <a:avLst/>
                          </a:prstGeom>
                          <a:gradFill flip="none" rotWithShape="1">
                            <a:gsLst>
                              <a:gs pos="0">
                                <a:schemeClr val="accent1">
                                  <a:tint val="66000"/>
                                  <a:satMod val="160000"/>
                                </a:schemeClr>
                              </a:gs>
                              <a:gs pos="50000">
                                <a:schemeClr val="accent1">
                                  <a:tint val="44500"/>
                                  <a:satMod val="160000"/>
                                </a:schemeClr>
                              </a:gs>
                              <a:gs pos="100000">
                                <a:schemeClr val="accent1">
                                  <a:tint val="23500"/>
                                  <a:satMod val="160000"/>
                                </a:schemeClr>
                              </a:gs>
                            </a:gsLst>
                            <a:path path="circle">
                              <a:fillToRect t="100000" r="100000"/>
                            </a:path>
                            <a:tileRect l="-100000" b="-100000"/>
                          </a:gradFill>
                          <a:scene3d>
                            <a:camera prst="perspectiveHeroicExtremeLeftFacing"/>
                            <a:lightRig rig="twoPt" dir="t"/>
                          </a:scene3d>
                          <a:sp3d>
                            <a:bevelT w="317500" h="317500" prst="riblet"/>
                            <a:bevelB w="635000" h="317500" prst="artDeco"/>
                            <a:contourClr>
                              <a:schemeClr val="accent1"/>
                            </a:contourClr>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5="http://schemas.microsoft.com/office/word/2012/wordml">
            <w:pict>
              <v:group w14:anchorId="624907ED" id="Groupe 24" o:spid="_x0000_s1026" style="position:absolute;margin-left:0;margin-top:0;width:287.3pt;height:226.8pt;z-index:251659264;mso-left-percent:250;mso-position-horizontal-relative:margin;mso-position-vertical:top;mso-position-vertical-relative:page;mso-left-percent:250" coordorigin="4136,15" coordsize="5762,45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" o:allowincell="f">
                <v:shape id="AutoShape 25" o:spid="_x0000_s1027" type="#_x0000_t32" style="position:absolute;left:4136;top:15;width:3058;height:385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ofwjr4AAADaAAAADwAAAGRycy9kb3ducmV2LnhtbERPy4rCMBTdC/MP4Q64EU0VHbQ2lWFg&#10;wI2CdT7g0tw+sLnpNLHWvzeC4PJw3sluMI3oqXO1ZQXzWQSCOLe65lLB3/l3ugbhPLLGxjIpuJOD&#10;XfoxSjDW9sYn6jNfihDCLkYFlfdtLKXLKzLoZrYlDlxhO4M+wK6UusNbCDeNXETRlzRYc2iosKWf&#10;ivJLdjVhRiHd/+TSHg8FbU5lfyya5UQqNf4cvrcgPA3+LX6591rBCp5Xgh9k+g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ah/COvgAAANoAAAAPAAAAAAAAAAAAAAAAAKEC&#10;AABkcnMvZG93bnJldi54bWxQSwUGAAAAAAQABAD5AAAAjAMAAAAA&#10;" strokecolor="#a7bfde"/>
                <v:oval id="Oval 26" o:spid="_x0000_s1028" style="position:absolute;left:5782;top:444;width:4116;height:41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F78MA&#10;AADaAAAADwAAAGRycy9kb3ducmV2LnhtbESPUWvCMBSF34X9h3AHvsiaTEaRzlRkMFAQpnU/4NLc&#10;td2amy6J2v37RRB8PJxzvsNZrkbbizP50DnW8JwpEMS1Mx03Gj6P708LECEiG+wdk4Y/CrAqHyZL&#10;LIy78IHOVWxEgnAoUEMb41BIGeqWLIbMDcTJ+3LeYkzSN9J4vCS47eVcqVxa7DgttDjQW0v1T3Wy&#10;GtbH2Qvl+wOq7/FX8c5vT/Fjq/X0cVy/gog0xnv41t4YDTlcr6QbIM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E/F78MAAADaAAAADwAAAAAAAAAAAAAAAACYAgAAZHJzL2Rv&#10;d25yZXYueG1sUEsFBgAAAAAEAAQA9QAAAIgDAAAAAA==&#10;" fillcolor="#8aabd3 [2132]" stroked="f">
                  <v:fill color2="#d6e2f0 [756]" rotate="t" focusposition=",1" focussize="" colors="0 #9ab5e4;.5 #c2d1ed;1 #e1e8f5" focus="100%" type="gradientRadial"/>
                </v:oval>
                <w10:wrap anchorx="margin" anchory="page"/>
              </v:group>
            </w:pict>
          </mc:Fallback>
        </mc:AlternateContent>
      </w:r>
    </w:p>
    <w:p w:rsidR="003717AC" w:rsidRDefault="003717AC" w:rsidP="003717AC">
      <w:r>
        <w:rPr>
          <w:noProof/>
          <w:lang w:eastAsia="fr-FR"/>
        </w:rPr>
        <mc:AlternateContent>
          <mc:Choice Requires="wpg">
            <w:drawing>
              <wp:anchor distT="0" distB="0" distL="114300" distR="114300" simplePos="0" relativeHeight="251661312" behindDoc="0" locked="0" layoutInCell="1" allowOverlap="1" wp14:anchorId="27DEDF05" wp14:editId="2C1E80C9">
                <wp:simplePos x="0" y="0"/>
                <mc:AlternateContent>
                  <mc:Choice Requires="wp14">
                    <wp:positionH relativeFrom="margin">
                      <wp14:pctPosHOffset>63000</wp14:pctPosHOffset>
                    </wp:positionH>
                  </mc:Choice>
                  <mc:Fallback>
                    <wp:positionH relativeFrom="page">
                      <wp:posOffset>4528820</wp:posOffset>
                    </wp:positionH>
                  </mc:Fallback>
                </mc:AlternateContent>
                <wp:positionV relativeFrom="page">
                  <wp:align>bottom</wp:align>
                </wp:positionV>
                <wp:extent cx="3831336" cy="9208008"/>
                <wp:effectExtent l="114300" t="0" r="0" b="0"/>
                <wp:wrapNone/>
                <wp:docPr id="16" name="Groupe 16"/>
                <wp:cNvGraphicFramePr/>
                <a:graphic xmlns:a="http://schemas.openxmlformats.org/drawingml/2006/main">
                  <a:graphicData uri="http://schemas.microsoft.com/office/word/2010/wordprocessingGroup">
                    <wpg:wgp>
                      <wpg:cNvGrpSpPr/>
                      <wpg:grpSpPr>
                        <a:xfrm>
                          <a:off x="0" y="0"/>
                          <a:ext cx="3831336" cy="9208008"/>
                          <a:chOff x="117230" y="0"/>
                          <a:chExt cx="3833446" cy="9205546"/>
                        </a:xfrm>
                      </wpg:grpSpPr>
                      <wps:wsp>
                        <wps:cNvPr id="11" name="AutoShape 19"/>
                        <wps:cNvCnPr>
                          <a:cxnSpLocks noChangeShapeType="1"/>
                        </wps:cNvCnPr>
                        <wps:spPr bwMode="auto">
                          <a:xfrm flipH="1">
                            <a:off x="285750" y="0"/>
                            <a:ext cx="2732405" cy="6375400"/>
                          </a:xfrm>
                          <a:prstGeom prst="straightConnector1">
                            <a:avLst/>
                          </a:prstGeom>
                          <a:noFill/>
                          <a:ln w="9525">
                            <a:solidFill>
                              <a:srgbClr val="A7BFDE"/>
                            </a:solidFill>
                            <a:round/>
                            <a:headEnd/>
                            <a:tailEnd/>
                          </a:ln>
                          <a:extLst>
                            <a:ext uri="{909E8E84-426E-40DD-AFC4-6F175D3DCCD1}">
                              <a14:hiddenFill xmlns:a14="http://schemas.microsoft.com/office/drawing/2010/main">
                                <a:noFill/>
                              </a14:hiddenFill>
                            </a:ext>
                            <a:ext uri="{53640926-AAD7-44D8-BBD7-CCE9431645EC}">
                              <a14:shadowObscured xmlns:a14="http://schemas.microsoft.com/office/drawing/2010/main" val="1"/>
                            </a:ext>
                          </a:extLst>
                        </wps:spPr>
                        <wps:bodyPr/>
                      </wps:wsp>
                      <wps:wsp>
                        <wps:cNvPr id="15" name="Oval 15"/>
                        <wps:cNvSpPr/>
                        <wps:spPr>
                          <a:xfrm>
                            <a:off x="117230" y="5372100"/>
                            <a:ext cx="3833446" cy="3833446"/>
                          </a:xfrm>
                          <a:prstGeom prst="ellipse">
                            <a:avLst/>
                          </a:prstGeom>
                          <a:gradFill flip="none" rotWithShape="1">
                            <a:gsLst>
                              <a:gs pos="0">
                                <a:schemeClr val="tx2">
                                  <a:lumMod val="40000"/>
                                  <a:lumOff val="60000"/>
                                  <a:tint val="66000"/>
                                  <a:satMod val="160000"/>
                                </a:schemeClr>
                              </a:gs>
                              <a:gs pos="50000">
                                <a:schemeClr val="tx2">
                                  <a:lumMod val="40000"/>
                                  <a:lumOff val="60000"/>
                                  <a:tint val="44500"/>
                                  <a:satMod val="160000"/>
                                </a:schemeClr>
                              </a:gs>
                              <a:gs pos="100000">
                                <a:schemeClr val="tx2">
                                  <a:lumMod val="40000"/>
                                  <a:lumOff val="60000"/>
                                  <a:tint val="23500"/>
                                  <a:satMod val="160000"/>
                                </a:schemeClr>
                              </a:gs>
                            </a:gsLst>
                            <a:path path="circle">
                              <a:fillToRect l="50000" t="50000" r="50000" b="50000"/>
                            </a:path>
                            <a:tileRect/>
                          </a:gradFill>
                          <a:ln>
                            <a:noFill/>
                          </a:ln>
                          <a:scene3d>
                            <a:camera prst="perspectiveContrastingRightFacing"/>
                            <a:lightRig rig="twoPt" dir="t">
                              <a:rot lat="0" lon="0" rev="4200000"/>
                            </a:lightRig>
                          </a:scene3d>
                          <a:sp3d>
                            <a:bevelT w="571500" h="571500" prst="riblet"/>
                            <a:bevelB w="571500" h="571500" prst="riblet"/>
                          </a:sp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w15="http://schemas.microsoft.com/office/word/2012/wordml">
            <w:pict>
              <v:group w14:anchorId="1C05F896" id="Groupe 16" o:spid="_x0000_s1026" style="position:absolute;margin-left:0;margin-top:0;width:301.7pt;height:725.05pt;z-index:251661312;mso-left-percent:630;mso-position-horizontal-relative:margin;mso-position-vertical:bottom;mso-position-vertical-relative:page;mso-left-percent:630;mso-width-relative:margin;mso-height-relative:margin" coordorigin="1172" coordsize="38334,920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">
                <v:shape id="AutoShape 19" o:spid="_x0000_s1027" type="#_x0000_t32" style="position:absolute;left:2857;width:27324;height:63754;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D/C8AAAADbAAAADwAAAGRycy9kb3ducmV2LnhtbERPS4vCMBC+C/6HMII3Tasi0jXKIgrq&#10;RXxcvI3NbFu2mZQkav33ZmHB23x8z5kvW1OLBzlfWVaQDhMQxLnVFRcKLufNYAbCB2SNtWVS8CIP&#10;y0W3M8dM2ycf6XEKhYgh7DNUUIbQZFL6vCSDfmgb4sj9WGcwROgKqR0+Y7ip5ShJptJgxbGhxIZW&#10;JeW/p7tRsN5PprtxlW4ON+MOLn01t5W8KtXvtd9fIAK14SP+d291nJ/C3y/xALl4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Ig/wvAAAAA2wAAAA8AAAAAAAAAAAAAAAAA&#10;oQIAAGRycy9kb3ducmV2LnhtbFBLBQYAAAAABAAEAPkAAACOAwAAAAA=&#10;" strokecolor="#a7bfde"/>
                <v:oval id="Oval 15" o:spid="_x0000_s1028" style="position:absolute;left:1172;top:53721;width:38334;height:3833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pcwcMA&#10;AADbAAAADwAAAGRycy9kb3ducmV2LnhtbERPTUvEMBC9C/sfwix4cxMFxa1NFxUFPfRgu7t4HJLZ&#10;tmwzqU3cVn+9EQRv83ifk29m14sTjaHzrOFypUAQG287bjRs6+eLWxAhIlvsPZOGLwqwKRZnOWbW&#10;T/xGpyo2IoVwyFBDG+OQSRlMSw7Dyg/EiTv40WFMcGykHXFK4a6XV0rdSIcdp4YWB3psyRyrT6eh&#10;eajWe/X0Pn18l7tamdegyslofb6c7+9ARJrjv/jP/WLT/Gv4/SUdII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kpcwcMAAADbAAAADwAAAAAAAAAAAAAAAACYAgAAZHJzL2Rv&#10;d25yZXYueG1sUEsFBgAAAAAEAAQA9QAAAIgDAAAAAA==&#10;" fillcolor="#8db3e2 [1311]" stroked="f" strokeweight="2pt">
                  <v:fill color2="#8db3e2 [1311]" rotate="t" focusposition=".5,.5" focussize="" colors="0 #b0cffb;.5 #cee0fc;1 #e6effd" focus="100%" type="gradientRadial"/>
                </v:oval>
                <w10:wrap anchorx="margin" anchory="page"/>
              </v:group>
            </w:pict>
          </mc:Fallback>
        </mc:AlternateContent>
      </w:r>
    </w:p>
    <w:tbl>
      <w:tblPr>
        <w:tblpPr w:leftFromText="187" w:rightFromText="187" w:vertAnchor="page" w:horzAnchor="page" w:tblpX="722" w:tblpY="8093"/>
        <w:tblW w:w="3416" w:type="pct"/>
        <w:tblLook w:val="04A0" w:firstRow="1" w:lastRow="0" w:firstColumn="1" w:lastColumn="0" w:noHBand="0" w:noVBand="1"/>
      </w:tblPr>
      <w:tblGrid>
        <w:gridCol w:w="6346"/>
      </w:tblGrid>
      <w:tr w:rsidR="003717AC" w:rsidTr="003717AC">
        <w:tc>
          <w:tcPr>
            <w:tcW w:w="6346" w:type="dxa"/>
          </w:tcPr>
          <w:p w:rsidR="00666B4E" w:rsidRPr="001A7B42" w:rsidRDefault="00666B4E" w:rsidP="00666B4E">
            <w:pPr>
              <w:pStyle w:val="Sansinterligne"/>
              <w:jc w:val="center"/>
              <w:rPr>
                <w:bCs/>
                <w:sz w:val="36"/>
                <w:szCs w:val="36"/>
              </w:rPr>
            </w:pPr>
            <w:r w:rsidRPr="001A7B42">
              <w:rPr>
                <w:bCs/>
                <w:sz w:val="36"/>
                <w:szCs w:val="36"/>
              </w:rPr>
              <w:t>TROISIEME RENCONTRE BILAN NATIONAL DE MISE EN ŒUVRE DES MESURES DE GRATUITE DES SOINS AU BURKINA FASO</w:t>
            </w:r>
          </w:p>
          <w:p w:rsidR="00666B4E" w:rsidRPr="001A7B42" w:rsidRDefault="00666B4E" w:rsidP="001A7B42">
            <w:pPr>
              <w:pStyle w:val="Sansinterligne"/>
              <w:jc w:val="center"/>
              <w:rPr>
                <w:b/>
                <w:bCs/>
              </w:rPr>
            </w:pPr>
            <w:r w:rsidRPr="001A7B42">
              <w:rPr>
                <w:b/>
                <w:bCs/>
              </w:rPr>
              <w:t xml:space="preserve">Rapport </w:t>
            </w:r>
            <w:r w:rsidR="006747C2" w:rsidRPr="001A7B42">
              <w:rPr>
                <w:b/>
                <w:bCs/>
              </w:rPr>
              <w:t xml:space="preserve">synthèse </w:t>
            </w:r>
            <w:r w:rsidRPr="001A7B42">
              <w:rPr>
                <w:b/>
                <w:bCs/>
              </w:rPr>
              <w:t>de la rencontre</w:t>
            </w:r>
          </w:p>
          <w:p w:rsidR="001A7B42" w:rsidRDefault="001A7B42" w:rsidP="001A7B42">
            <w:pPr>
              <w:pStyle w:val="Sansinterligne"/>
              <w:jc w:val="center"/>
              <w:rPr>
                <w:b/>
                <w:bCs/>
              </w:rPr>
            </w:pPr>
          </w:p>
          <w:p w:rsidR="003717AC" w:rsidRDefault="003717AC" w:rsidP="006747C2">
            <w:pPr>
              <w:pStyle w:val="Sansinterligne"/>
              <w:jc w:val="right"/>
              <w:rPr>
                <w:b/>
                <w:bCs/>
              </w:rPr>
            </w:pPr>
            <w:r>
              <w:rPr>
                <w:b/>
                <w:bCs/>
              </w:rPr>
              <w:t xml:space="preserve">CHU sis à TENGANDOGO, du 25 au </w:t>
            </w:r>
            <w:smartTag w:uri="urn:schemas-microsoft-com:office:smarttags" w:element="date">
              <w:smartTagPr>
                <w:attr w:name="ls" w:val="trans"/>
                <w:attr w:name="Month" w:val="7"/>
                <w:attr w:name="Day" w:val="26"/>
                <w:attr w:name="Year" w:val="2017"/>
              </w:smartTagPr>
              <w:r>
                <w:rPr>
                  <w:b/>
                  <w:bCs/>
                </w:rPr>
                <w:t>26 juillet 2017</w:t>
              </w:r>
            </w:smartTag>
          </w:p>
        </w:tc>
      </w:tr>
      <w:tr w:rsidR="003717AC" w:rsidTr="003717AC">
        <w:tc>
          <w:tcPr>
            <w:tcW w:w="6346" w:type="dxa"/>
          </w:tcPr>
          <w:p w:rsidR="003717AC" w:rsidRDefault="003717AC" w:rsidP="003717AC">
            <w:pPr>
              <w:pStyle w:val="Sansinterligne"/>
              <w:rPr>
                <w:b/>
                <w:bCs/>
              </w:rPr>
            </w:pPr>
          </w:p>
        </w:tc>
      </w:tr>
    </w:tbl>
    <w:p w:rsidR="003717AC" w:rsidRDefault="003717AC" w:rsidP="003717AC">
      <w:pPr>
        <w:rPr>
          <w:b/>
        </w:rPr>
      </w:pPr>
      <w:r>
        <w:rPr>
          <w:b/>
        </w:rPr>
        <w:br w:type="page"/>
      </w:r>
    </w:p>
    <w:sdt>
      <w:sdtPr>
        <w:id w:val="-1787340293"/>
        <w:docPartObj>
          <w:docPartGallery w:val="Table of Contents"/>
          <w:docPartUnique/>
        </w:docPartObj>
      </w:sdtPr>
      <w:sdtEndPr>
        <w:rPr>
          <w:b/>
          <w:bCs/>
        </w:rPr>
      </w:sdtEndPr>
      <w:sdtContent>
        <w:p w:rsidR="0044320C" w:rsidRPr="005B119C" w:rsidRDefault="0044320C" w:rsidP="005B119C">
          <w:pPr>
            <w:rPr>
              <w:b/>
              <w:sz w:val="28"/>
              <w:szCs w:val="28"/>
            </w:rPr>
          </w:pPr>
          <w:r w:rsidRPr="005B119C">
            <w:rPr>
              <w:b/>
              <w:sz w:val="28"/>
              <w:szCs w:val="28"/>
            </w:rPr>
            <w:t>Table des matières</w:t>
          </w:r>
        </w:p>
        <w:p w:rsidR="004108B1" w:rsidRDefault="0044320C">
          <w:pPr>
            <w:pStyle w:val="TM1"/>
            <w:tabs>
              <w:tab w:val="right" w:leader="dot" w:pos="9062"/>
            </w:tabs>
            <w:rPr>
              <w:rFonts w:eastAsiaTheme="minorEastAsia"/>
              <w:noProof/>
              <w:lang w:eastAsia="fr-FR"/>
            </w:rPr>
          </w:pPr>
          <w:r>
            <w:fldChar w:fldCharType="begin"/>
          </w:r>
          <w:r>
            <w:instrText xml:space="preserve"> TOC \o "1-3" \h \z \u </w:instrText>
          </w:r>
          <w:r>
            <w:fldChar w:fldCharType="separate"/>
          </w:r>
          <w:hyperlink w:anchor="_Toc491848445" w:history="1">
            <w:r w:rsidR="004108B1" w:rsidRPr="007E6990">
              <w:rPr>
                <w:rStyle w:val="Lienhypertexte"/>
                <w:noProof/>
              </w:rPr>
              <w:t>Liste des figures</w:t>
            </w:r>
            <w:r w:rsidR="004108B1">
              <w:rPr>
                <w:noProof/>
                <w:webHidden/>
              </w:rPr>
              <w:tab/>
            </w:r>
            <w:r w:rsidR="004108B1">
              <w:rPr>
                <w:noProof/>
                <w:webHidden/>
              </w:rPr>
              <w:fldChar w:fldCharType="begin"/>
            </w:r>
            <w:r w:rsidR="004108B1">
              <w:rPr>
                <w:noProof/>
                <w:webHidden/>
              </w:rPr>
              <w:instrText xml:space="preserve"> PAGEREF _Toc491848445 \h </w:instrText>
            </w:r>
            <w:r w:rsidR="004108B1">
              <w:rPr>
                <w:noProof/>
                <w:webHidden/>
              </w:rPr>
            </w:r>
            <w:r w:rsidR="004108B1">
              <w:rPr>
                <w:noProof/>
                <w:webHidden/>
              </w:rPr>
              <w:fldChar w:fldCharType="separate"/>
            </w:r>
            <w:r w:rsidR="004108B1">
              <w:rPr>
                <w:noProof/>
                <w:webHidden/>
              </w:rPr>
              <w:t>2</w:t>
            </w:r>
            <w:r w:rsidR="004108B1">
              <w:rPr>
                <w:noProof/>
                <w:webHidden/>
              </w:rPr>
              <w:fldChar w:fldCharType="end"/>
            </w:r>
          </w:hyperlink>
        </w:p>
        <w:p w:rsidR="004108B1" w:rsidRDefault="00F559F0">
          <w:pPr>
            <w:pStyle w:val="TM1"/>
            <w:tabs>
              <w:tab w:val="right" w:leader="dot" w:pos="9062"/>
            </w:tabs>
            <w:rPr>
              <w:rFonts w:eastAsiaTheme="minorEastAsia"/>
              <w:noProof/>
              <w:lang w:eastAsia="fr-FR"/>
            </w:rPr>
          </w:pPr>
          <w:hyperlink w:anchor="_Toc491848446" w:history="1">
            <w:r w:rsidR="004108B1" w:rsidRPr="007E6990">
              <w:rPr>
                <w:rStyle w:val="Lienhypertexte"/>
                <w:noProof/>
              </w:rPr>
              <w:t>Liste des tableaux</w:t>
            </w:r>
            <w:r w:rsidR="004108B1">
              <w:rPr>
                <w:noProof/>
                <w:webHidden/>
              </w:rPr>
              <w:tab/>
            </w:r>
            <w:r w:rsidR="004108B1">
              <w:rPr>
                <w:noProof/>
                <w:webHidden/>
              </w:rPr>
              <w:fldChar w:fldCharType="begin"/>
            </w:r>
            <w:r w:rsidR="004108B1">
              <w:rPr>
                <w:noProof/>
                <w:webHidden/>
              </w:rPr>
              <w:instrText xml:space="preserve"> PAGEREF _Toc491848446 \h </w:instrText>
            </w:r>
            <w:r w:rsidR="004108B1">
              <w:rPr>
                <w:noProof/>
                <w:webHidden/>
              </w:rPr>
            </w:r>
            <w:r w:rsidR="004108B1">
              <w:rPr>
                <w:noProof/>
                <w:webHidden/>
              </w:rPr>
              <w:fldChar w:fldCharType="separate"/>
            </w:r>
            <w:r w:rsidR="004108B1">
              <w:rPr>
                <w:noProof/>
                <w:webHidden/>
              </w:rPr>
              <w:t>2</w:t>
            </w:r>
            <w:r w:rsidR="004108B1">
              <w:rPr>
                <w:noProof/>
                <w:webHidden/>
              </w:rPr>
              <w:fldChar w:fldCharType="end"/>
            </w:r>
          </w:hyperlink>
        </w:p>
        <w:p w:rsidR="004108B1" w:rsidRDefault="00F559F0">
          <w:pPr>
            <w:pStyle w:val="TM1"/>
            <w:tabs>
              <w:tab w:val="right" w:leader="dot" w:pos="9062"/>
            </w:tabs>
            <w:rPr>
              <w:rFonts w:eastAsiaTheme="minorEastAsia"/>
              <w:noProof/>
              <w:lang w:eastAsia="fr-FR"/>
            </w:rPr>
          </w:pPr>
          <w:hyperlink w:anchor="_Toc491848447" w:history="1">
            <w:r w:rsidR="004108B1" w:rsidRPr="007E6990">
              <w:rPr>
                <w:rStyle w:val="Lienhypertexte"/>
                <w:rFonts w:ascii="Arial" w:hAnsi="Arial" w:cs="Arial"/>
                <w:noProof/>
              </w:rPr>
              <w:t>Introduction</w:t>
            </w:r>
            <w:r w:rsidR="004108B1">
              <w:rPr>
                <w:noProof/>
                <w:webHidden/>
              </w:rPr>
              <w:tab/>
            </w:r>
            <w:r w:rsidR="004108B1">
              <w:rPr>
                <w:noProof/>
                <w:webHidden/>
              </w:rPr>
              <w:fldChar w:fldCharType="begin"/>
            </w:r>
            <w:r w:rsidR="004108B1">
              <w:rPr>
                <w:noProof/>
                <w:webHidden/>
              </w:rPr>
              <w:instrText xml:space="preserve"> PAGEREF _Toc491848447 \h </w:instrText>
            </w:r>
            <w:r w:rsidR="004108B1">
              <w:rPr>
                <w:noProof/>
                <w:webHidden/>
              </w:rPr>
            </w:r>
            <w:r w:rsidR="004108B1">
              <w:rPr>
                <w:noProof/>
                <w:webHidden/>
              </w:rPr>
              <w:fldChar w:fldCharType="separate"/>
            </w:r>
            <w:r w:rsidR="004108B1">
              <w:rPr>
                <w:noProof/>
                <w:webHidden/>
              </w:rPr>
              <w:t>3</w:t>
            </w:r>
            <w:r w:rsidR="004108B1">
              <w:rPr>
                <w:noProof/>
                <w:webHidden/>
              </w:rPr>
              <w:fldChar w:fldCharType="end"/>
            </w:r>
          </w:hyperlink>
        </w:p>
        <w:p w:rsidR="004108B1" w:rsidRDefault="00F559F0">
          <w:pPr>
            <w:pStyle w:val="TM1"/>
            <w:tabs>
              <w:tab w:val="left" w:pos="440"/>
              <w:tab w:val="right" w:leader="dot" w:pos="9062"/>
            </w:tabs>
            <w:rPr>
              <w:rFonts w:eastAsiaTheme="minorEastAsia"/>
              <w:noProof/>
              <w:lang w:eastAsia="fr-FR"/>
            </w:rPr>
          </w:pPr>
          <w:hyperlink w:anchor="_Toc491848448" w:history="1">
            <w:r w:rsidR="004108B1" w:rsidRPr="007E6990">
              <w:rPr>
                <w:rStyle w:val="Lienhypertexte"/>
                <w:noProof/>
              </w:rPr>
              <w:t>I.</w:t>
            </w:r>
            <w:r w:rsidR="004108B1">
              <w:rPr>
                <w:rFonts w:eastAsiaTheme="minorEastAsia"/>
                <w:noProof/>
                <w:lang w:eastAsia="fr-FR"/>
              </w:rPr>
              <w:tab/>
            </w:r>
            <w:r w:rsidR="004108B1" w:rsidRPr="007E6990">
              <w:rPr>
                <w:rStyle w:val="Lienhypertexte"/>
                <w:noProof/>
              </w:rPr>
              <w:t>Rappels et activités d’appui à la stratégie</w:t>
            </w:r>
            <w:r w:rsidR="004108B1">
              <w:rPr>
                <w:noProof/>
                <w:webHidden/>
              </w:rPr>
              <w:tab/>
            </w:r>
            <w:r w:rsidR="004108B1">
              <w:rPr>
                <w:noProof/>
                <w:webHidden/>
              </w:rPr>
              <w:fldChar w:fldCharType="begin"/>
            </w:r>
            <w:r w:rsidR="004108B1">
              <w:rPr>
                <w:noProof/>
                <w:webHidden/>
              </w:rPr>
              <w:instrText xml:space="preserve"> PAGEREF _Toc491848448 \h </w:instrText>
            </w:r>
            <w:r w:rsidR="004108B1">
              <w:rPr>
                <w:noProof/>
                <w:webHidden/>
              </w:rPr>
            </w:r>
            <w:r w:rsidR="004108B1">
              <w:rPr>
                <w:noProof/>
                <w:webHidden/>
              </w:rPr>
              <w:fldChar w:fldCharType="separate"/>
            </w:r>
            <w:r w:rsidR="004108B1">
              <w:rPr>
                <w:noProof/>
                <w:webHidden/>
              </w:rPr>
              <w:t>3</w:t>
            </w:r>
            <w:r w:rsidR="004108B1">
              <w:rPr>
                <w:noProof/>
                <w:webHidden/>
              </w:rPr>
              <w:fldChar w:fldCharType="end"/>
            </w:r>
          </w:hyperlink>
        </w:p>
        <w:p w:rsidR="004108B1" w:rsidRDefault="00F559F0">
          <w:pPr>
            <w:pStyle w:val="TM2"/>
            <w:tabs>
              <w:tab w:val="left" w:pos="660"/>
              <w:tab w:val="right" w:leader="dot" w:pos="9062"/>
            </w:tabs>
            <w:rPr>
              <w:rFonts w:eastAsiaTheme="minorEastAsia"/>
              <w:noProof/>
              <w:lang w:eastAsia="fr-FR"/>
            </w:rPr>
          </w:pPr>
          <w:hyperlink w:anchor="_Toc491848449" w:history="1">
            <w:r w:rsidR="004108B1" w:rsidRPr="007E6990">
              <w:rPr>
                <w:rStyle w:val="Lienhypertexte"/>
                <w:rFonts w:ascii="Arial" w:hAnsi="Arial" w:cs="Arial"/>
                <w:noProof/>
              </w:rPr>
              <w:t>1.</w:t>
            </w:r>
            <w:r w:rsidR="004108B1">
              <w:rPr>
                <w:rFonts w:eastAsiaTheme="minorEastAsia"/>
                <w:noProof/>
                <w:lang w:eastAsia="fr-FR"/>
              </w:rPr>
              <w:tab/>
            </w:r>
            <w:r w:rsidR="004108B1" w:rsidRPr="007E6990">
              <w:rPr>
                <w:rStyle w:val="Lienhypertexte"/>
                <w:noProof/>
              </w:rPr>
              <w:t>Etat de mise en œuvre des recommandations issues de l’atelier bilan des 10 et 11 novembre 2016</w:t>
            </w:r>
            <w:r w:rsidR="004108B1">
              <w:rPr>
                <w:noProof/>
                <w:webHidden/>
              </w:rPr>
              <w:tab/>
            </w:r>
            <w:r w:rsidR="004108B1">
              <w:rPr>
                <w:noProof/>
                <w:webHidden/>
              </w:rPr>
              <w:fldChar w:fldCharType="begin"/>
            </w:r>
            <w:r w:rsidR="004108B1">
              <w:rPr>
                <w:noProof/>
                <w:webHidden/>
              </w:rPr>
              <w:instrText xml:space="preserve"> PAGEREF _Toc491848449 \h </w:instrText>
            </w:r>
            <w:r w:rsidR="004108B1">
              <w:rPr>
                <w:noProof/>
                <w:webHidden/>
              </w:rPr>
            </w:r>
            <w:r w:rsidR="004108B1">
              <w:rPr>
                <w:noProof/>
                <w:webHidden/>
              </w:rPr>
              <w:fldChar w:fldCharType="separate"/>
            </w:r>
            <w:r w:rsidR="004108B1">
              <w:rPr>
                <w:noProof/>
                <w:webHidden/>
              </w:rPr>
              <w:t>3</w:t>
            </w:r>
            <w:r w:rsidR="004108B1">
              <w:rPr>
                <w:noProof/>
                <w:webHidden/>
              </w:rPr>
              <w:fldChar w:fldCharType="end"/>
            </w:r>
          </w:hyperlink>
        </w:p>
        <w:p w:rsidR="004108B1" w:rsidRDefault="00F559F0">
          <w:pPr>
            <w:pStyle w:val="TM2"/>
            <w:tabs>
              <w:tab w:val="left" w:pos="660"/>
              <w:tab w:val="right" w:leader="dot" w:pos="9062"/>
            </w:tabs>
            <w:rPr>
              <w:rFonts w:eastAsiaTheme="minorEastAsia"/>
              <w:noProof/>
              <w:lang w:eastAsia="fr-FR"/>
            </w:rPr>
          </w:pPr>
          <w:hyperlink w:anchor="_Toc491848450" w:history="1">
            <w:r w:rsidR="004108B1" w:rsidRPr="007E6990">
              <w:rPr>
                <w:rStyle w:val="Lienhypertexte"/>
                <w:rFonts w:ascii="Arial" w:hAnsi="Arial" w:cs="Arial"/>
                <w:noProof/>
              </w:rPr>
              <w:t>2.</w:t>
            </w:r>
            <w:r w:rsidR="004108B1">
              <w:rPr>
                <w:rFonts w:eastAsiaTheme="minorEastAsia"/>
                <w:noProof/>
                <w:lang w:eastAsia="fr-FR"/>
              </w:rPr>
              <w:tab/>
            </w:r>
            <w:r w:rsidR="004108B1" w:rsidRPr="007E6990">
              <w:rPr>
                <w:rStyle w:val="Lienhypertexte"/>
                <w:noProof/>
              </w:rPr>
              <w:t>Rappel sur la stratégie</w:t>
            </w:r>
            <w:r w:rsidR="004108B1">
              <w:rPr>
                <w:noProof/>
                <w:webHidden/>
              </w:rPr>
              <w:tab/>
            </w:r>
            <w:r w:rsidR="004108B1">
              <w:rPr>
                <w:noProof/>
                <w:webHidden/>
              </w:rPr>
              <w:fldChar w:fldCharType="begin"/>
            </w:r>
            <w:r w:rsidR="004108B1">
              <w:rPr>
                <w:noProof/>
                <w:webHidden/>
              </w:rPr>
              <w:instrText xml:space="preserve"> PAGEREF _Toc491848450 \h </w:instrText>
            </w:r>
            <w:r w:rsidR="004108B1">
              <w:rPr>
                <w:noProof/>
                <w:webHidden/>
              </w:rPr>
            </w:r>
            <w:r w:rsidR="004108B1">
              <w:rPr>
                <w:noProof/>
                <w:webHidden/>
              </w:rPr>
              <w:fldChar w:fldCharType="separate"/>
            </w:r>
            <w:r w:rsidR="004108B1">
              <w:rPr>
                <w:noProof/>
                <w:webHidden/>
              </w:rPr>
              <w:t>4</w:t>
            </w:r>
            <w:r w:rsidR="004108B1">
              <w:rPr>
                <w:noProof/>
                <w:webHidden/>
              </w:rPr>
              <w:fldChar w:fldCharType="end"/>
            </w:r>
          </w:hyperlink>
        </w:p>
        <w:p w:rsidR="004108B1" w:rsidRDefault="00F559F0">
          <w:pPr>
            <w:pStyle w:val="TM2"/>
            <w:tabs>
              <w:tab w:val="left" w:pos="660"/>
              <w:tab w:val="right" w:leader="dot" w:pos="9062"/>
            </w:tabs>
            <w:rPr>
              <w:rFonts w:eastAsiaTheme="minorEastAsia"/>
              <w:noProof/>
              <w:lang w:eastAsia="fr-FR"/>
            </w:rPr>
          </w:pPr>
          <w:hyperlink w:anchor="_Toc491848451" w:history="1">
            <w:r w:rsidR="004108B1" w:rsidRPr="007E6990">
              <w:rPr>
                <w:rStyle w:val="Lienhypertexte"/>
                <w:noProof/>
              </w:rPr>
              <w:t>3.</w:t>
            </w:r>
            <w:r w:rsidR="004108B1">
              <w:rPr>
                <w:rFonts w:eastAsiaTheme="minorEastAsia"/>
                <w:noProof/>
                <w:lang w:eastAsia="fr-FR"/>
              </w:rPr>
              <w:tab/>
            </w:r>
            <w:r w:rsidR="004108B1" w:rsidRPr="007E6990">
              <w:rPr>
                <w:rStyle w:val="Lienhypertexte"/>
                <w:noProof/>
              </w:rPr>
              <w:t>Evaluation de l’effectivité de la gratuité des accouchements et des soins obstétricaux et néonatals d’urgence : IRSS</w:t>
            </w:r>
            <w:r w:rsidR="004108B1">
              <w:rPr>
                <w:noProof/>
                <w:webHidden/>
              </w:rPr>
              <w:tab/>
            </w:r>
            <w:r w:rsidR="004108B1">
              <w:rPr>
                <w:noProof/>
                <w:webHidden/>
              </w:rPr>
              <w:fldChar w:fldCharType="begin"/>
            </w:r>
            <w:r w:rsidR="004108B1">
              <w:rPr>
                <w:noProof/>
                <w:webHidden/>
              </w:rPr>
              <w:instrText xml:space="preserve"> PAGEREF _Toc491848451 \h </w:instrText>
            </w:r>
            <w:r w:rsidR="004108B1">
              <w:rPr>
                <w:noProof/>
                <w:webHidden/>
              </w:rPr>
            </w:r>
            <w:r w:rsidR="004108B1">
              <w:rPr>
                <w:noProof/>
                <w:webHidden/>
              </w:rPr>
              <w:fldChar w:fldCharType="separate"/>
            </w:r>
            <w:r w:rsidR="004108B1">
              <w:rPr>
                <w:noProof/>
                <w:webHidden/>
              </w:rPr>
              <w:t>6</w:t>
            </w:r>
            <w:r w:rsidR="004108B1">
              <w:rPr>
                <w:noProof/>
                <w:webHidden/>
              </w:rPr>
              <w:fldChar w:fldCharType="end"/>
            </w:r>
          </w:hyperlink>
        </w:p>
        <w:p w:rsidR="004108B1" w:rsidRDefault="00F559F0">
          <w:pPr>
            <w:pStyle w:val="TM2"/>
            <w:tabs>
              <w:tab w:val="left" w:pos="660"/>
              <w:tab w:val="right" w:leader="dot" w:pos="9062"/>
            </w:tabs>
            <w:rPr>
              <w:rFonts w:eastAsiaTheme="minorEastAsia"/>
              <w:noProof/>
              <w:lang w:eastAsia="fr-FR"/>
            </w:rPr>
          </w:pPr>
          <w:hyperlink w:anchor="_Toc491848452" w:history="1">
            <w:r w:rsidR="004108B1" w:rsidRPr="007E6990">
              <w:rPr>
                <w:rStyle w:val="Lienhypertexte"/>
                <w:noProof/>
              </w:rPr>
              <w:t>4.</w:t>
            </w:r>
            <w:r w:rsidR="004108B1">
              <w:rPr>
                <w:rFonts w:eastAsiaTheme="minorEastAsia"/>
                <w:noProof/>
                <w:lang w:eastAsia="fr-FR"/>
              </w:rPr>
              <w:tab/>
            </w:r>
            <w:r w:rsidR="004108B1" w:rsidRPr="007E6990">
              <w:rPr>
                <w:rStyle w:val="Lienhypertexte"/>
                <w:noProof/>
              </w:rPr>
              <w:t>Disponibilité des médicaments traceurs  à la CAMEG, CAMEG</w:t>
            </w:r>
            <w:r w:rsidR="004108B1">
              <w:rPr>
                <w:noProof/>
                <w:webHidden/>
              </w:rPr>
              <w:tab/>
            </w:r>
            <w:r w:rsidR="004108B1">
              <w:rPr>
                <w:noProof/>
                <w:webHidden/>
              </w:rPr>
              <w:fldChar w:fldCharType="begin"/>
            </w:r>
            <w:r w:rsidR="004108B1">
              <w:rPr>
                <w:noProof/>
                <w:webHidden/>
              </w:rPr>
              <w:instrText xml:space="preserve"> PAGEREF _Toc491848452 \h </w:instrText>
            </w:r>
            <w:r w:rsidR="004108B1">
              <w:rPr>
                <w:noProof/>
                <w:webHidden/>
              </w:rPr>
            </w:r>
            <w:r w:rsidR="004108B1">
              <w:rPr>
                <w:noProof/>
                <w:webHidden/>
              </w:rPr>
              <w:fldChar w:fldCharType="separate"/>
            </w:r>
            <w:r w:rsidR="004108B1">
              <w:rPr>
                <w:noProof/>
                <w:webHidden/>
              </w:rPr>
              <w:t>9</w:t>
            </w:r>
            <w:r w:rsidR="004108B1">
              <w:rPr>
                <w:noProof/>
                <w:webHidden/>
              </w:rPr>
              <w:fldChar w:fldCharType="end"/>
            </w:r>
          </w:hyperlink>
        </w:p>
        <w:p w:rsidR="004108B1" w:rsidRDefault="00F559F0">
          <w:pPr>
            <w:pStyle w:val="TM2"/>
            <w:tabs>
              <w:tab w:val="left" w:pos="660"/>
              <w:tab w:val="right" w:leader="dot" w:pos="9062"/>
            </w:tabs>
            <w:rPr>
              <w:rFonts w:eastAsiaTheme="minorEastAsia"/>
              <w:noProof/>
              <w:lang w:eastAsia="fr-FR"/>
            </w:rPr>
          </w:pPr>
          <w:hyperlink w:anchor="_Toc491848453" w:history="1">
            <w:r w:rsidR="004108B1" w:rsidRPr="007E6990">
              <w:rPr>
                <w:rStyle w:val="Lienhypertexte"/>
                <w:noProof/>
              </w:rPr>
              <w:t>5.</w:t>
            </w:r>
            <w:r w:rsidR="004108B1">
              <w:rPr>
                <w:rFonts w:eastAsiaTheme="minorEastAsia"/>
                <w:noProof/>
                <w:lang w:eastAsia="fr-FR"/>
              </w:rPr>
              <w:tab/>
            </w:r>
            <w:r w:rsidR="004108B1" w:rsidRPr="007E6990">
              <w:rPr>
                <w:rStyle w:val="Lienhypertexte"/>
                <w:noProof/>
              </w:rPr>
              <w:t>Projet pilote pharmacie hospitalière au CHR GAOUA</w:t>
            </w:r>
            <w:r w:rsidR="004108B1">
              <w:rPr>
                <w:noProof/>
                <w:webHidden/>
              </w:rPr>
              <w:tab/>
            </w:r>
            <w:r w:rsidR="004108B1">
              <w:rPr>
                <w:noProof/>
                <w:webHidden/>
              </w:rPr>
              <w:fldChar w:fldCharType="begin"/>
            </w:r>
            <w:r w:rsidR="004108B1">
              <w:rPr>
                <w:noProof/>
                <w:webHidden/>
              </w:rPr>
              <w:instrText xml:space="preserve"> PAGEREF _Toc491848453 \h </w:instrText>
            </w:r>
            <w:r w:rsidR="004108B1">
              <w:rPr>
                <w:noProof/>
                <w:webHidden/>
              </w:rPr>
            </w:r>
            <w:r w:rsidR="004108B1">
              <w:rPr>
                <w:noProof/>
                <w:webHidden/>
              </w:rPr>
              <w:fldChar w:fldCharType="separate"/>
            </w:r>
            <w:r w:rsidR="004108B1">
              <w:rPr>
                <w:noProof/>
                <w:webHidden/>
              </w:rPr>
              <w:t>9</w:t>
            </w:r>
            <w:r w:rsidR="004108B1">
              <w:rPr>
                <w:noProof/>
                <w:webHidden/>
              </w:rPr>
              <w:fldChar w:fldCharType="end"/>
            </w:r>
          </w:hyperlink>
        </w:p>
        <w:p w:rsidR="004108B1" w:rsidRDefault="00F559F0">
          <w:pPr>
            <w:pStyle w:val="TM2"/>
            <w:tabs>
              <w:tab w:val="left" w:pos="660"/>
              <w:tab w:val="right" w:leader="dot" w:pos="9062"/>
            </w:tabs>
            <w:rPr>
              <w:rFonts w:eastAsiaTheme="minorEastAsia"/>
              <w:noProof/>
              <w:lang w:eastAsia="fr-FR"/>
            </w:rPr>
          </w:pPr>
          <w:hyperlink w:anchor="_Toc491848454" w:history="1">
            <w:r w:rsidR="004108B1" w:rsidRPr="007E6990">
              <w:rPr>
                <w:rStyle w:val="Lienhypertexte"/>
                <w:noProof/>
              </w:rPr>
              <w:t>6.</w:t>
            </w:r>
            <w:r w:rsidR="004108B1">
              <w:rPr>
                <w:rFonts w:eastAsiaTheme="minorEastAsia"/>
                <w:noProof/>
                <w:lang w:eastAsia="fr-FR"/>
              </w:rPr>
              <w:tab/>
            </w:r>
            <w:r w:rsidR="004108B1" w:rsidRPr="007E6990">
              <w:rPr>
                <w:rStyle w:val="Lienhypertexte"/>
                <w:noProof/>
              </w:rPr>
              <w:t>Plateforme e-gratuite</w:t>
            </w:r>
            <w:r w:rsidR="004108B1">
              <w:rPr>
                <w:noProof/>
                <w:webHidden/>
              </w:rPr>
              <w:tab/>
            </w:r>
            <w:r w:rsidR="004108B1">
              <w:rPr>
                <w:noProof/>
                <w:webHidden/>
              </w:rPr>
              <w:fldChar w:fldCharType="begin"/>
            </w:r>
            <w:r w:rsidR="004108B1">
              <w:rPr>
                <w:noProof/>
                <w:webHidden/>
              </w:rPr>
              <w:instrText xml:space="preserve"> PAGEREF _Toc491848454 \h </w:instrText>
            </w:r>
            <w:r w:rsidR="004108B1">
              <w:rPr>
                <w:noProof/>
                <w:webHidden/>
              </w:rPr>
            </w:r>
            <w:r w:rsidR="004108B1">
              <w:rPr>
                <w:noProof/>
                <w:webHidden/>
              </w:rPr>
              <w:fldChar w:fldCharType="separate"/>
            </w:r>
            <w:r w:rsidR="004108B1">
              <w:rPr>
                <w:noProof/>
                <w:webHidden/>
              </w:rPr>
              <w:t>10</w:t>
            </w:r>
            <w:r w:rsidR="004108B1">
              <w:rPr>
                <w:noProof/>
                <w:webHidden/>
              </w:rPr>
              <w:fldChar w:fldCharType="end"/>
            </w:r>
          </w:hyperlink>
        </w:p>
        <w:p w:rsidR="004108B1" w:rsidRDefault="00F559F0">
          <w:pPr>
            <w:pStyle w:val="TM1"/>
            <w:tabs>
              <w:tab w:val="left" w:pos="440"/>
              <w:tab w:val="right" w:leader="dot" w:pos="9062"/>
            </w:tabs>
            <w:rPr>
              <w:rFonts w:eastAsiaTheme="minorEastAsia"/>
              <w:noProof/>
              <w:lang w:eastAsia="fr-FR"/>
            </w:rPr>
          </w:pPr>
          <w:hyperlink w:anchor="_Toc491848455" w:history="1">
            <w:r w:rsidR="004108B1" w:rsidRPr="007E6990">
              <w:rPr>
                <w:rStyle w:val="Lienhypertexte"/>
                <w:noProof/>
              </w:rPr>
              <w:t>II.</w:t>
            </w:r>
            <w:r w:rsidR="004108B1">
              <w:rPr>
                <w:rFonts w:eastAsiaTheme="minorEastAsia"/>
                <w:noProof/>
                <w:lang w:eastAsia="fr-FR"/>
              </w:rPr>
              <w:tab/>
            </w:r>
            <w:r w:rsidR="004108B1" w:rsidRPr="007E6990">
              <w:rPr>
                <w:rStyle w:val="Lienhypertexte"/>
                <w:noProof/>
              </w:rPr>
              <w:t>Redevabilité de la mise en œuvre</w:t>
            </w:r>
            <w:r w:rsidR="004108B1">
              <w:rPr>
                <w:noProof/>
                <w:webHidden/>
              </w:rPr>
              <w:tab/>
            </w:r>
            <w:r w:rsidR="004108B1">
              <w:rPr>
                <w:noProof/>
                <w:webHidden/>
              </w:rPr>
              <w:fldChar w:fldCharType="begin"/>
            </w:r>
            <w:r w:rsidR="004108B1">
              <w:rPr>
                <w:noProof/>
                <w:webHidden/>
              </w:rPr>
              <w:instrText xml:space="preserve"> PAGEREF _Toc491848455 \h </w:instrText>
            </w:r>
            <w:r w:rsidR="004108B1">
              <w:rPr>
                <w:noProof/>
                <w:webHidden/>
              </w:rPr>
            </w:r>
            <w:r w:rsidR="004108B1">
              <w:rPr>
                <w:noProof/>
                <w:webHidden/>
              </w:rPr>
              <w:fldChar w:fldCharType="separate"/>
            </w:r>
            <w:r w:rsidR="004108B1">
              <w:rPr>
                <w:noProof/>
                <w:webHidden/>
              </w:rPr>
              <w:t>11</w:t>
            </w:r>
            <w:r w:rsidR="004108B1">
              <w:rPr>
                <w:noProof/>
                <w:webHidden/>
              </w:rPr>
              <w:fldChar w:fldCharType="end"/>
            </w:r>
          </w:hyperlink>
        </w:p>
        <w:p w:rsidR="004108B1" w:rsidRDefault="00F559F0">
          <w:pPr>
            <w:pStyle w:val="TM2"/>
            <w:tabs>
              <w:tab w:val="left" w:pos="660"/>
              <w:tab w:val="right" w:leader="dot" w:pos="9062"/>
            </w:tabs>
            <w:rPr>
              <w:rFonts w:eastAsiaTheme="minorEastAsia"/>
              <w:noProof/>
              <w:lang w:eastAsia="fr-FR"/>
            </w:rPr>
          </w:pPr>
          <w:hyperlink w:anchor="_Toc491848456" w:history="1">
            <w:r w:rsidR="004108B1" w:rsidRPr="007E6990">
              <w:rPr>
                <w:rStyle w:val="Lienhypertexte"/>
                <w:noProof/>
              </w:rPr>
              <w:t>1.</w:t>
            </w:r>
            <w:r w:rsidR="004108B1">
              <w:rPr>
                <w:rFonts w:eastAsiaTheme="minorEastAsia"/>
                <w:noProof/>
                <w:lang w:eastAsia="fr-FR"/>
              </w:rPr>
              <w:tab/>
            </w:r>
            <w:r w:rsidR="004108B1" w:rsidRPr="007E6990">
              <w:rPr>
                <w:rStyle w:val="Lienhypertexte"/>
                <w:noProof/>
              </w:rPr>
              <w:t>Analyse des données</w:t>
            </w:r>
            <w:r w:rsidR="004108B1">
              <w:rPr>
                <w:noProof/>
                <w:webHidden/>
              </w:rPr>
              <w:tab/>
            </w:r>
            <w:r w:rsidR="004108B1">
              <w:rPr>
                <w:noProof/>
                <w:webHidden/>
              </w:rPr>
              <w:fldChar w:fldCharType="begin"/>
            </w:r>
            <w:r w:rsidR="004108B1">
              <w:rPr>
                <w:noProof/>
                <w:webHidden/>
              </w:rPr>
              <w:instrText xml:space="preserve"> PAGEREF _Toc491848456 \h </w:instrText>
            </w:r>
            <w:r w:rsidR="004108B1">
              <w:rPr>
                <w:noProof/>
                <w:webHidden/>
              </w:rPr>
            </w:r>
            <w:r w:rsidR="004108B1">
              <w:rPr>
                <w:noProof/>
                <w:webHidden/>
              </w:rPr>
              <w:fldChar w:fldCharType="separate"/>
            </w:r>
            <w:r w:rsidR="004108B1">
              <w:rPr>
                <w:noProof/>
                <w:webHidden/>
              </w:rPr>
              <w:t>11</w:t>
            </w:r>
            <w:r w:rsidR="004108B1">
              <w:rPr>
                <w:noProof/>
                <w:webHidden/>
              </w:rPr>
              <w:fldChar w:fldCharType="end"/>
            </w:r>
          </w:hyperlink>
        </w:p>
        <w:p w:rsidR="004108B1" w:rsidRDefault="00F559F0">
          <w:pPr>
            <w:pStyle w:val="TM2"/>
            <w:tabs>
              <w:tab w:val="left" w:pos="660"/>
              <w:tab w:val="right" w:leader="dot" w:pos="9062"/>
            </w:tabs>
            <w:rPr>
              <w:rFonts w:eastAsiaTheme="minorEastAsia"/>
              <w:noProof/>
              <w:lang w:eastAsia="fr-FR"/>
            </w:rPr>
          </w:pPr>
          <w:hyperlink w:anchor="_Toc491848457" w:history="1">
            <w:r w:rsidR="004108B1" w:rsidRPr="007E6990">
              <w:rPr>
                <w:rStyle w:val="Lienhypertexte"/>
                <w:noProof/>
              </w:rPr>
              <w:t>2.</w:t>
            </w:r>
            <w:r w:rsidR="004108B1">
              <w:rPr>
                <w:rFonts w:eastAsiaTheme="minorEastAsia"/>
                <w:noProof/>
                <w:lang w:eastAsia="fr-FR"/>
              </w:rPr>
              <w:tab/>
            </w:r>
            <w:r w:rsidR="004108B1" w:rsidRPr="007E6990">
              <w:rPr>
                <w:rStyle w:val="Lienhypertexte"/>
                <w:noProof/>
              </w:rPr>
              <w:t>Contrôle de l’effectivité par l’ONG HELP</w:t>
            </w:r>
            <w:r w:rsidR="004108B1">
              <w:rPr>
                <w:noProof/>
                <w:webHidden/>
              </w:rPr>
              <w:tab/>
            </w:r>
            <w:r w:rsidR="004108B1">
              <w:rPr>
                <w:noProof/>
                <w:webHidden/>
              </w:rPr>
              <w:fldChar w:fldCharType="begin"/>
            </w:r>
            <w:r w:rsidR="004108B1">
              <w:rPr>
                <w:noProof/>
                <w:webHidden/>
              </w:rPr>
              <w:instrText xml:space="preserve"> PAGEREF _Toc491848457 \h </w:instrText>
            </w:r>
            <w:r w:rsidR="004108B1">
              <w:rPr>
                <w:noProof/>
                <w:webHidden/>
              </w:rPr>
            </w:r>
            <w:r w:rsidR="004108B1">
              <w:rPr>
                <w:noProof/>
                <w:webHidden/>
              </w:rPr>
              <w:fldChar w:fldCharType="separate"/>
            </w:r>
            <w:r w:rsidR="004108B1">
              <w:rPr>
                <w:noProof/>
                <w:webHidden/>
              </w:rPr>
              <w:t>15</w:t>
            </w:r>
            <w:r w:rsidR="004108B1">
              <w:rPr>
                <w:noProof/>
                <w:webHidden/>
              </w:rPr>
              <w:fldChar w:fldCharType="end"/>
            </w:r>
          </w:hyperlink>
        </w:p>
        <w:p w:rsidR="004108B1" w:rsidRDefault="00F559F0">
          <w:pPr>
            <w:pStyle w:val="TM2"/>
            <w:tabs>
              <w:tab w:val="left" w:pos="660"/>
              <w:tab w:val="right" w:leader="dot" w:pos="9062"/>
            </w:tabs>
            <w:rPr>
              <w:rFonts w:eastAsiaTheme="minorEastAsia"/>
              <w:noProof/>
              <w:lang w:eastAsia="fr-FR"/>
            </w:rPr>
          </w:pPr>
          <w:hyperlink w:anchor="_Toc491848458" w:history="1">
            <w:r w:rsidR="004108B1" w:rsidRPr="007E6990">
              <w:rPr>
                <w:rStyle w:val="Lienhypertexte"/>
                <w:noProof/>
              </w:rPr>
              <w:t>3.</w:t>
            </w:r>
            <w:r w:rsidR="004108B1">
              <w:rPr>
                <w:rFonts w:eastAsiaTheme="minorEastAsia"/>
                <w:noProof/>
                <w:lang w:eastAsia="fr-FR"/>
              </w:rPr>
              <w:tab/>
            </w:r>
            <w:r w:rsidR="004108B1" w:rsidRPr="007E6990">
              <w:rPr>
                <w:rStyle w:val="Lienhypertexte"/>
                <w:noProof/>
              </w:rPr>
              <w:t>Contrôle de l’effectivité par l’ONG Terre des hommes</w:t>
            </w:r>
            <w:r w:rsidR="004108B1">
              <w:rPr>
                <w:noProof/>
                <w:webHidden/>
              </w:rPr>
              <w:tab/>
            </w:r>
            <w:r w:rsidR="004108B1">
              <w:rPr>
                <w:noProof/>
                <w:webHidden/>
              </w:rPr>
              <w:fldChar w:fldCharType="begin"/>
            </w:r>
            <w:r w:rsidR="004108B1">
              <w:rPr>
                <w:noProof/>
                <w:webHidden/>
              </w:rPr>
              <w:instrText xml:space="preserve"> PAGEREF _Toc491848458 \h </w:instrText>
            </w:r>
            <w:r w:rsidR="004108B1">
              <w:rPr>
                <w:noProof/>
                <w:webHidden/>
              </w:rPr>
            </w:r>
            <w:r w:rsidR="004108B1">
              <w:rPr>
                <w:noProof/>
                <w:webHidden/>
              </w:rPr>
              <w:fldChar w:fldCharType="separate"/>
            </w:r>
            <w:r w:rsidR="004108B1">
              <w:rPr>
                <w:noProof/>
                <w:webHidden/>
              </w:rPr>
              <w:t>17</w:t>
            </w:r>
            <w:r w:rsidR="004108B1">
              <w:rPr>
                <w:noProof/>
                <w:webHidden/>
              </w:rPr>
              <w:fldChar w:fldCharType="end"/>
            </w:r>
          </w:hyperlink>
        </w:p>
        <w:p w:rsidR="004108B1" w:rsidRDefault="00F559F0">
          <w:pPr>
            <w:pStyle w:val="TM2"/>
            <w:tabs>
              <w:tab w:val="left" w:pos="660"/>
              <w:tab w:val="right" w:leader="dot" w:pos="9062"/>
            </w:tabs>
            <w:rPr>
              <w:rFonts w:eastAsiaTheme="minorEastAsia"/>
              <w:noProof/>
              <w:lang w:eastAsia="fr-FR"/>
            </w:rPr>
          </w:pPr>
          <w:hyperlink w:anchor="_Toc491848459" w:history="1">
            <w:r w:rsidR="004108B1" w:rsidRPr="007E6990">
              <w:rPr>
                <w:rStyle w:val="Lienhypertexte"/>
                <w:noProof/>
              </w:rPr>
              <w:t>4.</w:t>
            </w:r>
            <w:r w:rsidR="004108B1">
              <w:rPr>
                <w:rFonts w:eastAsiaTheme="minorEastAsia"/>
                <w:noProof/>
                <w:lang w:eastAsia="fr-FR"/>
              </w:rPr>
              <w:tab/>
            </w:r>
            <w:r w:rsidR="004108B1" w:rsidRPr="007E6990">
              <w:rPr>
                <w:rStyle w:val="Lienhypertexte"/>
                <w:noProof/>
              </w:rPr>
              <w:t>Contrôle de l’effectivité par l’ONG ACF</w:t>
            </w:r>
            <w:r w:rsidR="004108B1">
              <w:rPr>
                <w:noProof/>
                <w:webHidden/>
              </w:rPr>
              <w:tab/>
            </w:r>
            <w:r w:rsidR="004108B1">
              <w:rPr>
                <w:noProof/>
                <w:webHidden/>
              </w:rPr>
              <w:fldChar w:fldCharType="begin"/>
            </w:r>
            <w:r w:rsidR="004108B1">
              <w:rPr>
                <w:noProof/>
                <w:webHidden/>
              </w:rPr>
              <w:instrText xml:space="preserve"> PAGEREF _Toc491848459 \h </w:instrText>
            </w:r>
            <w:r w:rsidR="004108B1">
              <w:rPr>
                <w:noProof/>
                <w:webHidden/>
              </w:rPr>
            </w:r>
            <w:r w:rsidR="004108B1">
              <w:rPr>
                <w:noProof/>
                <w:webHidden/>
              </w:rPr>
              <w:fldChar w:fldCharType="separate"/>
            </w:r>
            <w:r w:rsidR="004108B1">
              <w:rPr>
                <w:noProof/>
                <w:webHidden/>
              </w:rPr>
              <w:t>18</w:t>
            </w:r>
            <w:r w:rsidR="004108B1">
              <w:rPr>
                <w:noProof/>
                <w:webHidden/>
              </w:rPr>
              <w:fldChar w:fldCharType="end"/>
            </w:r>
          </w:hyperlink>
        </w:p>
        <w:p w:rsidR="004108B1" w:rsidRDefault="00F559F0">
          <w:pPr>
            <w:pStyle w:val="TM2"/>
            <w:tabs>
              <w:tab w:val="left" w:pos="660"/>
              <w:tab w:val="right" w:leader="dot" w:pos="9062"/>
            </w:tabs>
            <w:rPr>
              <w:rFonts w:eastAsiaTheme="minorEastAsia"/>
              <w:noProof/>
              <w:lang w:eastAsia="fr-FR"/>
            </w:rPr>
          </w:pPr>
          <w:hyperlink w:anchor="_Toc491848460" w:history="1">
            <w:r w:rsidR="004108B1" w:rsidRPr="007E6990">
              <w:rPr>
                <w:rStyle w:val="Lienhypertexte"/>
                <w:noProof/>
              </w:rPr>
              <w:t>5.</w:t>
            </w:r>
            <w:r w:rsidR="004108B1">
              <w:rPr>
                <w:rFonts w:eastAsiaTheme="minorEastAsia"/>
                <w:noProof/>
                <w:lang w:eastAsia="fr-FR"/>
              </w:rPr>
              <w:tab/>
            </w:r>
            <w:r w:rsidR="004108B1" w:rsidRPr="007E6990">
              <w:rPr>
                <w:rStyle w:val="Lienhypertexte"/>
                <w:noProof/>
              </w:rPr>
              <w:t>Contrôle de l’effectivité par l’ONG Save the children</w:t>
            </w:r>
            <w:r w:rsidR="004108B1">
              <w:rPr>
                <w:noProof/>
                <w:webHidden/>
              </w:rPr>
              <w:tab/>
            </w:r>
            <w:r w:rsidR="004108B1">
              <w:rPr>
                <w:noProof/>
                <w:webHidden/>
              </w:rPr>
              <w:fldChar w:fldCharType="begin"/>
            </w:r>
            <w:r w:rsidR="004108B1">
              <w:rPr>
                <w:noProof/>
                <w:webHidden/>
              </w:rPr>
              <w:instrText xml:space="preserve"> PAGEREF _Toc491848460 \h </w:instrText>
            </w:r>
            <w:r w:rsidR="004108B1">
              <w:rPr>
                <w:noProof/>
                <w:webHidden/>
              </w:rPr>
            </w:r>
            <w:r w:rsidR="004108B1">
              <w:rPr>
                <w:noProof/>
                <w:webHidden/>
              </w:rPr>
              <w:fldChar w:fldCharType="separate"/>
            </w:r>
            <w:r w:rsidR="004108B1">
              <w:rPr>
                <w:noProof/>
                <w:webHidden/>
              </w:rPr>
              <w:t>18</w:t>
            </w:r>
            <w:r w:rsidR="004108B1">
              <w:rPr>
                <w:noProof/>
                <w:webHidden/>
              </w:rPr>
              <w:fldChar w:fldCharType="end"/>
            </w:r>
          </w:hyperlink>
        </w:p>
        <w:p w:rsidR="004108B1" w:rsidRDefault="00F559F0">
          <w:pPr>
            <w:pStyle w:val="TM2"/>
            <w:tabs>
              <w:tab w:val="left" w:pos="660"/>
              <w:tab w:val="right" w:leader="dot" w:pos="9062"/>
            </w:tabs>
            <w:rPr>
              <w:rFonts w:eastAsiaTheme="minorEastAsia"/>
              <w:noProof/>
              <w:lang w:eastAsia="fr-FR"/>
            </w:rPr>
          </w:pPr>
          <w:hyperlink w:anchor="_Toc491848461" w:history="1">
            <w:r w:rsidR="004108B1" w:rsidRPr="007E6990">
              <w:rPr>
                <w:rStyle w:val="Lienhypertexte"/>
                <w:noProof/>
              </w:rPr>
              <w:t>6.</w:t>
            </w:r>
            <w:r w:rsidR="004108B1">
              <w:rPr>
                <w:rFonts w:eastAsiaTheme="minorEastAsia"/>
                <w:noProof/>
                <w:lang w:eastAsia="fr-FR"/>
              </w:rPr>
              <w:tab/>
            </w:r>
            <w:r w:rsidR="004108B1" w:rsidRPr="007E6990">
              <w:rPr>
                <w:rStyle w:val="Lienhypertexte"/>
                <w:noProof/>
              </w:rPr>
              <w:t>Synthèse de la gestion des irrégularités</w:t>
            </w:r>
            <w:r w:rsidR="004108B1">
              <w:rPr>
                <w:noProof/>
                <w:webHidden/>
              </w:rPr>
              <w:tab/>
            </w:r>
            <w:r w:rsidR="004108B1">
              <w:rPr>
                <w:noProof/>
                <w:webHidden/>
              </w:rPr>
              <w:fldChar w:fldCharType="begin"/>
            </w:r>
            <w:r w:rsidR="004108B1">
              <w:rPr>
                <w:noProof/>
                <w:webHidden/>
              </w:rPr>
              <w:instrText xml:space="preserve"> PAGEREF _Toc491848461 \h </w:instrText>
            </w:r>
            <w:r w:rsidR="004108B1">
              <w:rPr>
                <w:noProof/>
                <w:webHidden/>
              </w:rPr>
            </w:r>
            <w:r w:rsidR="004108B1">
              <w:rPr>
                <w:noProof/>
                <w:webHidden/>
              </w:rPr>
              <w:fldChar w:fldCharType="separate"/>
            </w:r>
            <w:r w:rsidR="004108B1">
              <w:rPr>
                <w:noProof/>
                <w:webHidden/>
              </w:rPr>
              <w:t>18</w:t>
            </w:r>
            <w:r w:rsidR="004108B1">
              <w:rPr>
                <w:noProof/>
                <w:webHidden/>
              </w:rPr>
              <w:fldChar w:fldCharType="end"/>
            </w:r>
          </w:hyperlink>
        </w:p>
        <w:p w:rsidR="004108B1" w:rsidRDefault="00F559F0">
          <w:pPr>
            <w:pStyle w:val="TM1"/>
            <w:tabs>
              <w:tab w:val="left" w:pos="660"/>
              <w:tab w:val="right" w:leader="dot" w:pos="9062"/>
            </w:tabs>
            <w:rPr>
              <w:rFonts w:eastAsiaTheme="minorEastAsia"/>
              <w:noProof/>
              <w:lang w:eastAsia="fr-FR"/>
            </w:rPr>
          </w:pPr>
          <w:hyperlink w:anchor="_Toc491848462" w:history="1">
            <w:r w:rsidR="004108B1" w:rsidRPr="007E6990">
              <w:rPr>
                <w:rStyle w:val="Lienhypertexte"/>
                <w:noProof/>
              </w:rPr>
              <w:t>III.</w:t>
            </w:r>
            <w:r w:rsidR="004108B1">
              <w:rPr>
                <w:rFonts w:eastAsiaTheme="minorEastAsia"/>
                <w:noProof/>
                <w:lang w:eastAsia="fr-FR"/>
              </w:rPr>
              <w:tab/>
            </w:r>
            <w:r w:rsidR="004108B1" w:rsidRPr="007E6990">
              <w:rPr>
                <w:rStyle w:val="Lienhypertexte"/>
                <w:noProof/>
              </w:rPr>
              <w:t>Présentations et échanges de clôture</w:t>
            </w:r>
            <w:r w:rsidR="004108B1">
              <w:rPr>
                <w:noProof/>
                <w:webHidden/>
              </w:rPr>
              <w:tab/>
            </w:r>
            <w:r w:rsidR="004108B1">
              <w:rPr>
                <w:noProof/>
                <w:webHidden/>
              </w:rPr>
              <w:fldChar w:fldCharType="begin"/>
            </w:r>
            <w:r w:rsidR="004108B1">
              <w:rPr>
                <w:noProof/>
                <w:webHidden/>
              </w:rPr>
              <w:instrText xml:space="preserve"> PAGEREF _Toc491848462 \h </w:instrText>
            </w:r>
            <w:r w:rsidR="004108B1">
              <w:rPr>
                <w:noProof/>
                <w:webHidden/>
              </w:rPr>
            </w:r>
            <w:r w:rsidR="004108B1">
              <w:rPr>
                <w:noProof/>
                <w:webHidden/>
              </w:rPr>
              <w:fldChar w:fldCharType="separate"/>
            </w:r>
            <w:r w:rsidR="004108B1">
              <w:rPr>
                <w:noProof/>
                <w:webHidden/>
              </w:rPr>
              <w:t>19</w:t>
            </w:r>
            <w:r w:rsidR="004108B1">
              <w:rPr>
                <w:noProof/>
                <w:webHidden/>
              </w:rPr>
              <w:fldChar w:fldCharType="end"/>
            </w:r>
          </w:hyperlink>
        </w:p>
        <w:p w:rsidR="004108B1" w:rsidRDefault="00F559F0">
          <w:pPr>
            <w:pStyle w:val="TM1"/>
            <w:tabs>
              <w:tab w:val="right" w:leader="dot" w:pos="9062"/>
            </w:tabs>
            <w:rPr>
              <w:rFonts w:eastAsiaTheme="minorEastAsia"/>
              <w:noProof/>
              <w:lang w:eastAsia="fr-FR"/>
            </w:rPr>
          </w:pPr>
          <w:hyperlink w:anchor="_Toc491848463" w:history="1">
            <w:r w:rsidR="004108B1" w:rsidRPr="007E6990">
              <w:rPr>
                <w:rStyle w:val="Lienhypertexte"/>
                <w:noProof/>
              </w:rPr>
              <w:t>Conclusion</w:t>
            </w:r>
            <w:r w:rsidR="004108B1">
              <w:rPr>
                <w:noProof/>
                <w:webHidden/>
              </w:rPr>
              <w:tab/>
            </w:r>
            <w:r w:rsidR="004108B1">
              <w:rPr>
                <w:noProof/>
                <w:webHidden/>
              </w:rPr>
              <w:fldChar w:fldCharType="begin"/>
            </w:r>
            <w:r w:rsidR="004108B1">
              <w:rPr>
                <w:noProof/>
                <w:webHidden/>
              </w:rPr>
              <w:instrText xml:space="preserve"> PAGEREF _Toc491848463 \h </w:instrText>
            </w:r>
            <w:r w:rsidR="004108B1">
              <w:rPr>
                <w:noProof/>
                <w:webHidden/>
              </w:rPr>
            </w:r>
            <w:r w:rsidR="004108B1">
              <w:rPr>
                <w:noProof/>
                <w:webHidden/>
              </w:rPr>
              <w:fldChar w:fldCharType="separate"/>
            </w:r>
            <w:r w:rsidR="004108B1">
              <w:rPr>
                <w:noProof/>
                <w:webHidden/>
              </w:rPr>
              <w:t>20</w:t>
            </w:r>
            <w:r w:rsidR="004108B1">
              <w:rPr>
                <w:noProof/>
                <w:webHidden/>
              </w:rPr>
              <w:fldChar w:fldCharType="end"/>
            </w:r>
          </w:hyperlink>
        </w:p>
        <w:p w:rsidR="004108B1" w:rsidRDefault="00F559F0">
          <w:pPr>
            <w:pStyle w:val="TM1"/>
            <w:tabs>
              <w:tab w:val="right" w:leader="dot" w:pos="9062"/>
            </w:tabs>
            <w:rPr>
              <w:rFonts w:eastAsiaTheme="minorEastAsia"/>
              <w:noProof/>
              <w:lang w:eastAsia="fr-FR"/>
            </w:rPr>
          </w:pPr>
          <w:hyperlink w:anchor="_Toc491848464" w:history="1">
            <w:r w:rsidR="004108B1" w:rsidRPr="007E6990">
              <w:rPr>
                <w:rStyle w:val="Lienhypertexte"/>
                <w:noProof/>
              </w:rPr>
              <w:t>Annexes</w:t>
            </w:r>
            <w:r w:rsidR="004108B1">
              <w:rPr>
                <w:noProof/>
                <w:webHidden/>
              </w:rPr>
              <w:tab/>
            </w:r>
            <w:r w:rsidR="004108B1">
              <w:rPr>
                <w:noProof/>
                <w:webHidden/>
              </w:rPr>
              <w:fldChar w:fldCharType="begin"/>
            </w:r>
            <w:r w:rsidR="004108B1">
              <w:rPr>
                <w:noProof/>
                <w:webHidden/>
              </w:rPr>
              <w:instrText xml:space="preserve"> PAGEREF _Toc491848464 \h </w:instrText>
            </w:r>
            <w:r w:rsidR="004108B1">
              <w:rPr>
                <w:noProof/>
                <w:webHidden/>
              </w:rPr>
            </w:r>
            <w:r w:rsidR="004108B1">
              <w:rPr>
                <w:noProof/>
                <w:webHidden/>
              </w:rPr>
              <w:fldChar w:fldCharType="separate"/>
            </w:r>
            <w:r w:rsidR="004108B1">
              <w:rPr>
                <w:noProof/>
                <w:webHidden/>
              </w:rPr>
              <w:t>22</w:t>
            </w:r>
            <w:r w:rsidR="004108B1">
              <w:rPr>
                <w:noProof/>
                <w:webHidden/>
              </w:rPr>
              <w:fldChar w:fldCharType="end"/>
            </w:r>
          </w:hyperlink>
        </w:p>
        <w:p w:rsidR="0044320C" w:rsidRDefault="0044320C">
          <w:r>
            <w:rPr>
              <w:b/>
              <w:bCs/>
            </w:rPr>
            <w:fldChar w:fldCharType="end"/>
          </w:r>
        </w:p>
      </w:sdtContent>
    </w:sdt>
    <w:p w:rsidR="0044320C" w:rsidRDefault="0044320C">
      <w:pPr>
        <w:rPr>
          <w:rFonts w:ascii="Arial" w:eastAsiaTheme="majorEastAsia" w:hAnsi="Arial" w:cs="Arial"/>
          <w:b/>
          <w:bCs/>
          <w:color w:val="365F91" w:themeColor="accent1" w:themeShade="BF"/>
          <w:sz w:val="24"/>
          <w:szCs w:val="24"/>
        </w:rPr>
      </w:pPr>
      <w:r>
        <w:rPr>
          <w:rFonts w:ascii="Arial" w:hAnsi="Arial" w:cs="Arial"/>
          <w:sz w:val="24"/>
          <w:szCs w:val="24"/>
        </w:rPr>
        <w:br w:type="page"/>
      </w:r>
    </w:p>
    <w:p w:rsidR="0044320C" w:rsidRDefault="008D2D58" w:rsidP="008D2D58">
      <w:pPr>
        <w:pStyle w:val="Titre1"/>
      </w:pPr>
      <w:bookmarkStart w:id="1" w:name="_Toc491848445"/>
      <w:r>
        <w:lastRenderedPageBreak/>
        <w:t>Liste des figures</w:t>
      </w:r>
      <w:bookmarkEnd w:id="1"/>
    </w:p>
    <w:p w:rsidR="0044320C" w:rsidRDefault="0044320C">
      <w:pPr>
        <w:pStyle w:val="Tabledesillustrations"/>
        <w:tabs>
          <w:tab w:val="right" w:leader="dot" w:pos="9062"/>
        </w:tabs>
        <w:rPr>
          <w:rFonts w:ascii="Arial" w:hAnsi="Arial" w:cs="Arial"/>
          <w:sz w:val="24"/>
          <w:szCs w:val="24"/>
        </w:rPr>
      </w:pPr>
    </w:p>
    <w:p w:rsidR="004108B1" w:rsidRDefault="0044320C">
      <w:pPr>
        <w:pStyle w:val="Tabledesillustrations"/>
        <w:tabs>
          <w:tab w:val="right" w:leader="dot" w:pos="9062"/>
        </w:tabs>
        <w:rPr>
          <w:rFonts w:eastAsiaTheme="minorEastAsia"/>
          <w:noProof/>
          <w:lang w:eastAsia="fr-FR"/>
        </w:rPr>
      </w:pPr>
      <w:r>
        <w:rPr>
          <w:rFonts w:ascii="Arial" w:hAnsi="Arial" w:cs="Arial"/>
          <w:sz w:val="24"/>
          <w:szCs w:val="24"/>
        </w:rPr>
        <w:fldChar w:fldCharType="begin"/>
      </w:r>
      <w:r>
        <w:rPr>
          <w:rFonts w:ascii="Arial" w:hAnsi="Arial" w:cs="Arial"/>
          <w:sz w:val="24"/>
          <w:szCs w:val="24"/>
        </w:rPr>
        <w:instrText xml:space="preserve"> TOC \h \z \c "Figure" </w:instrText>
      </w:r>
      <w:r>
        <w:rPr>
          <w:rFonts w:ascii="Arial" w:hAnsi="Arial" w:cs="Arial"/>
          <w:sz w:val="24"/>
          <w:szCs w:val="24"/>
        </w:rPr>
        <w:fldChar w:fldCharType="separate"/>
      </w:r>
      <w:hyperlink w:anchor="_Toc491848479" w:history="1">
        <w:r w:rsidR="004108B1" w:rsidRPr="008C594C">
          <w:rPr>
            <w:rStyle w:val="Lienhypertexte"/>
            <w:noProof/>
          </w:rPr>
          <w:t>Figure 1 : Evolution des nouveaux contacts chez les enfants de moins de 5 ans et des césariennes, DES</w:t>
        </w:r>
        <w:r w:rsidR="004108B1">
          <w:rPr>
            <w:noProof/>
            <w:webHidden/>
          </w:rPr>
          <w:tab/>
        </w:r>
        <w:r w:rsidR="004108B1">
          <w:rPr>
            <w:noProof/>
            <w:webHidden/>
          </w:rPr>
          <w:fldChar w:fldCharType="begin"/>
        </w:r>
        <w:r w:rsidR="004108B1">
          <w:rPr>
            <w:noProof/>
            <w:webHidden/>
          </w:rPr>
          <w:instrText xml:space="preserve"> PAGEREF _Toc491848479 \h </w:instrText>
        </w:r>
        <w:r w:rsidR="004108B1">
          <w:rPr>
            <w:noProof/>
            <w:webHidden/>
          </w:rPr>
        </w:r>
        <w:r w:rsidR="004108B1">
          <w:rPr>
            <w:noProof/>
            <w:webHidden/>
          </w:rPr>
          <w:fldChar w:fldCharType="separate"/>
        </w:r>
        <w:r w:rsidR="004108B1">
          <w:rPr>
            <w:noProof/>
            <w:webHidden/>
          </w:rPr>
          <w:t>5</w:t>
        </w:r>
        <w:r w:rsidR="004108B1">
          <w:rPr>
            <w:noProof/>
            <w:webHidden/>
          </w:rPr>
          <w:fldChar w:fldCharType="end"/>
        </w:r>
      </w:hyperlink>
    </w:p>
    <w:p w:rsidR="004108B1" w:rsidRDefault="00F559F0">
      <w:pPr>
        <w:pStyle w:val="Tabledesillustrations"/>
        <w:tabs>
          <w:tab w:val="right" w:leader="dot" w:pos="9062"/>
        </w:tabs>
        <w:rPr>
          <w:rFonts w:eastAsiaTheme="minorEastAsia"/>
          <w:noProof/>
          <w:lang w:eastAsia="fr-FR"/>
        </w:rPr>
      </w:pPr>
      <w:hyperlink w:anchor="_Toc491848480" w:history="1">
        <w:r w:rsidR="004108B1" w:rsidRPr="008C594C">
          <w:rPr>
            <w:rStyle w:val="Lienhypertexte"/>
            <w:noProof/>
          </w:rPr>
          <w:t>Figure 2 : Evolution des proportions d’accouchements compliqués et des césariennes, DES</w:t>
        </w:r>
        <w:r w:rsidR="004108B1">
          <w:rPr>
            <w:noProof/>
            <w:webHidden/>
          </w:rPr>
          <w:tab/>
        </w:r>
        <w:r w:rsidR="004108B1">
          <w:rPr>
            <w:noProof/>
            <w:webHidden/>
          </w:rPr>
          <w:fldChar w:fldCharType="begin"/>
        </w:r>
        <w:r w:rsidR="004108B1">
          <w:rPr>
            <w:noProof/>
            <w:webHidden/>
          </w:rPr>
          <w:instrText xml:space="preserve"> PAGEREF _Toc491848480 \h </w:instrText>
        </w:r>
        <w:r w:rsidR="004108B1">
          <w:rPr>
            <w:noProof/>
            <w:webHidden/>
          </w:rPr>
        </w:r>
        <w:r w:rsidR="004108B1">
          <w:rPr>
            <w:noProof/>
            <w:webHidden/>
          </w:rPr>
          <w:fldChar w:fldCharType="separate"/>
        </w:r>
        <w:r w:rsidR="004108B1">
          <w:rPr>
            <w:noProof/>
            <w:webHidden/>
          </w:rPr>
          <w:t>5</w:t>
        </w:r>
        <w:r w:rsidR="004108B1">
          <w:rPr>
            <w:noProof/>
            <w:webHidden/>
          </w:rPr>
          <w:fldChar w:fldCharType="end"/>
        </w:r>
      </w:hyperlink>
    </w:p>
    <w:p w:rsidR="004108B1" w:rsidRDefault="00F559F0">
      <w:pPr>
        <w:pStyle w:val="Tabledesillustrations"/>
        <w:tabs>
          <w:tab w:val="right" w:leader="dot" w:pos="9062"/>
        </w:tabs>
        <w:rPr>
          <w:rFonts w:eastAsiaTheme="minorEastAsia"/>
          <w:noProof/>
          <w:lang w:eastAsia="fr-FR"/>
        </w:rPr>
      </w:pPr>
      <w:hyperlink w:anchor="_Toc491848481" w:history="1">
        <w:r w:rsidR="004108B1" w:rsidRPr="008C594C">
          <w:rPr>
            <w:rStyle w:val="Lienhypertexte"/>
            <w:noProof/>
          </w:rPr>
          <w:t>Figure 3 :  Evolution de l’index de satisfaction des commandes MEG, DES</w:t>
        </w:r>
        <w:r w:rsidR="004108B1">
          <w:rPr>
            <w:noProof/>
            <w:webHidden/>
          </w:rPr>
          <w:tab/>
        </w:r>
        <w:r w:rsidR="004108B1">
          <w:rPr>
            <w:noProof/>
            <w:webHidden/>
          </w:rPr>
          <w:fldChar w:fldCharType="begin"/>
        </w:r>
        <w:r w:rsidR="004108B1">
          <w:rPr>
            <w:noProof/>
            <w:webHidden/>
          </w:rPr>
          <w:instrText xml:space="preserve"> PAGEREF _Toc491848481 \h </w:instrText>
        </w:r>
        <w:r w:rsidR="004108B1">
          <w:rPr>
            <w:noProof/>
            <w:webHidden/>
          </w:rPr>
        </w:r>
        <w:r w:rsidR="004108B1">
          <w:rPr>
            <w:noProof/>
            <w:webHidden/>
          </w:rPr>
          <w:fldChar w:fldCharType="separate"/>
        </w:r>
        <w:r w:rsidR="004108B1">
          <w:rPr>
            <w:noProof/>
            <w:webHidden/>
          </w:rPr>
          <w:t>5</w:t>
        </w:r>
        <w:r w:rsidR="004108B1">
          <w:rPr>
            <w:noProof/>
            <w:webHidden/>
          </w:rPr>
          <w:fldChar w:fldCharType="end"/>
        </w:r>
      </w:hyperlink>
    </w:p>
    <w:p w:rsidR="004108B1" w:rsidRDefault="00F559F0">
      <w:pPr>
        <w:pStyle w:val="Tabledesillustrations"/>
        <w:tabs>
          <w:tab w:val="right" w:leader="dot" w:pos="9062"/>
        </w:tabs>
        <w:rPr>
          <w:rFonts w:eastAsiaTheme="minorEastAsia"/>
          <w:noProof/>
          <w:lang w:eastAsia="fr-FR"/>
        </w:rPr>
      </w:pPr>
      <w:hyperlink w:anchor="_Toc491848482" w:history="1">
        <w:r w:rsidR="004108B1" w:rsidRPr="008C594C">
          <w:rPr>
            <w:rStyle w:val="Lienhypertexte"/>
            <w:noProof/>
          </w:rPr>
          <w:t>Figure 4 : Proportion des coûts des prestations payés par l’Etat et les ménages, IRSS</w:t>
        </w:r>
        <w:r w:rsidR="004108B1">
          <w:rPr>
            <w:noProof/>
            <w:webHidden/>
          </w:rPr>
          <w:tab/>
        </w:r>
        <w:r w:rsidR="004108B1">
          <w:rPr>
            <w:noProof/>
            <w:webHidden/>
          </w:rPr>
          <w:fldChar w:fldCharType="begin"/>
        </w:r>
        <w:r w:rsidR="004108B1">
          <w:rPr>
            <w:noProof/>
            <w:webHidden/>
          </w:rPr>
          <w:instrText xml:space="preserve"> PAGEREF _Toc491848482 \h </w:instrText>
        </w:r>
        <w:r w:rsidR="004108B1">
          <w:rPr>
            <w:noProof/>
            <w:webHidden/>
          </w:rPr>
        </w:r>
        <w:r w:rsidR="004108B1">
          <w:rPr>
            <w:noProof/>
            <w:webHidden/>
          </w:rPr>
          <w:fldChar w:fldCharType="separate"/>
        </w:r>
        <w:r w:rsidR="004108B1">
          <w:rPr>
            <w:noProof/>
            <w:webHidden/>
          </w:rPr>
          <w:t>8</w:t>
        </w:r>
        <w:r w:rsidR="004108B1">
          <w:rPr>
            <w:noProof/>
            <w:webHidden/>
          </w:rPr>
          <w:fldChar w:fldCharType="end"/>
        </w:r>
      </w:hyperlink>
    </w:p>
    <w:p w:rsidR="004108B1" w:rsidRDefault="00F559F0">
      <w:pPr>
        <w:pStyle w:val="Tabledesillustrations"/>
        <w:tabs>
          <w:tab w:val="right" w:leader="dot" w:pos="9062"/>
        </w:tabs>
        <w:rPr>
          <w:rFonts w:eastAsiaTheme="minorEastAsia"/>
          <w:noProof/>
          <w:lang w:eastAsia="fr-FR"/>
        </w:rPr>
      </w:pPr>
      <w:hyperlink w:anchor="_Toc491848483" w:history="1">
        <w:r w:rsidR="004108B1" w:rsidRPr="008C594C">
          <w:rPr>
            <w:rStyle w:val="Lienhypertexte"/>
            <w:noProof/>
          </w:rPr>
          <w:t>Figure 5 : Répartition des paiements directs par région, IRSS</w:t>
        </w:r>
        <w:r w:rsidR="004108B1">
          <w:rPr>
            <w:noProof/>
            <w:webHidden/>
          </w:rPr>
          <w:tab/>
        </w:r>
        <w:r w:rsidR="004108B1">
          <w:rPr>
            <w:noProof/>
            <w:webHidden/>
          </w:rPr>
          <w:fldChar w:fldCharType="begin"/>
        </w:r>
        <w:r w:rsidR="004108B1">
          <w:rPr>
            <w:noProof/>
            <w:webHidden/>
          </w:rPr>
          <w:instrText xml:space="preserve"> PAGEREF _Toc491848483 \h </w:instrText>
        </w:r>
        <w:r w:rsidR="004108B1">
          <w:rPr>
            <w:noProof/>
            <w:webHidden/>
          </w:rPr>
        </w:r>
        <w:r w:rsidR="004108B1">
          <w:rPr>
            <w:noProof/>
            <w:webHidden/>
          </w:rPr>
          <w:fldChar w:fldCharType="separate"/>
        </w:r>
        <w:r w:rsidR="004108B1">
          <w:rPr>
            <w:noProof/>
            <w:webHidden/>
          </w:rPr>
          <w:t>8</w:t>
        </w:r>
        <w:r w:rsidR="004108B1">
          <w:rPr>
            <w:noProof/>
            <w:webHidden/>
          </w:rPr>
          <w:fldChar w:fldCharType="end"/>
        </w:r>
      </w:hyperlink>
    </w:p>
    <w:p w:rsidR="004108B1" w:rsidRDefault="00F559F0">
      <w:pPr>
        <w:pStyle w:val="Tabledesillustrations"/>
        <w:tabs>
          <w:tab w:val="right" w:leader="dot" w:pos="9062"/>
        </w:tabs>
        <w:rPr>
          <w:rFonts w:eastAsiaTheme="minorEastAsia"/>
          <w:noProof/>
          <w:lang w:eastAsia="fr-FR"/>
        </w:rPr>
      </w:pPr>
      <w:hyperlink w:anchor="_Toc491848484" w:history="1">
        <w:r w:rsidR="004108B1" w:rsidRPr="008C594C">
          <w:rPr>
            <w:rStyle w:val="Lienhypertexte"/>
            <w:noProof/>
          </w:rPr>
          <w:t>Figure 6 : Distribution des coûts moyens des soins au CSPS, DES</w:t>
        </w:r>
        <w:r w:rsidR="004108B1">
          <w:rPr>
            <w:noProof/>
            <w:webHidden/>
          </w:rPr>
          <w:tab/>
        </w:r>
        <w:r w:rsidR="004108B1">
          <w:rPr>
            <w:noProof/>
            <w:webHidden/>
          </w:rPr>
          <w:fldChar w:fldCharType="begin"/>
        </w:r>
        <w:r w:rsidR="004108B1">
          <w:rPr>
            <w:noProof/>
            <w:webHidden/>
          </w:rPr>
          <w:instrText xml:space="preserve"> PAGEREF _Toc491848484 \h </w:instrText>
        </w:r>
        <w:r w:rsidR="004108B1">
          <w:rPr>
            <w:noProof/>
            <w:webHidden/>
          </w:rPr>
        </w:r>
        <w:r w:rsidR="004108B1">
          <w:rPr>
            <w:noProof/>
            <w:webHidden/>
          </w:rPr>
          <w:fldChar w:fldCharType="separate"/>
        </w:r>
        <w:r w:rsidR="004108B1">
          <w:rPr>
            <w:noProof/>
            <w:webHidden/>
          </w:rPr>
          <w:t>12</w:t>
        </w:r>
        <w:r w:rsidR="004108B1">
          <w:rPr>
            <w:noProof/>
            <w:webHidden/>
          </w:rPr>
          <w:fldChar w:fldCharType="end"/>
        </w:r>
      </w:hyperlink>
    </w:p>
    <w:p w:rsidR="004108B1" w:rsidRDefault="00F559F0">
      <w:pPr>
        <w:pStyle w:val="Tabledesillustrations"/>
        <w:tabs>
          <w:tab w:val="right" w:leader="dot" w:pos="9062"/>
        </w:tabs>
        <w:rPr>
          <w:rFonts w:eastAsiaTheme="minorEastAsia"/>
          <w:noProof/>
          <w:lang w:eastAsia="fr-FR"/>
        </w:rPr>
      </w:pPr>
      <w:hyperlink w:anchor="_Toc491848485" w:history="1">
        <w:r w:rsidR="004108B1" w:rsidRPr="008C594C">
          <w:rPr>
            <w:rStyle w:val="Lienhypertexte"/>
            <w:noProof/>
          </w:rPr>
          <w:t>Figure 7 : Distribution des coûts moyens des soins au CMA, DES</w:t>
        </w:r>
        <w:r w:rsidR="004108B1">
          <w:rPr>
            <w:noProof/>
            <w:webHidden/>
          </w:rPr>
          <w:tab/>
        </w:r>
        <w:r w:rsidR="004108B1">
          <w:rPr>
            <w:noProof/>
            <w:webHidden/>
          </w:rPr>
          <w:fldChar w:fldCharType="begin"/>
        </w:r>
        <w:r w:rsidR="004108B1">
          <w:rPr>
            <w:noProof/>
            <w:webHidden/>
          </w:rPr>
          <w:instrText xml:space="preserve"> PAGEREF _Toc491848485 \h </w:instrText>
        </w:r>
        <w:r w:rsidR="004108B1">
          <w:rPr>
            <w:noProof/>
            <w:webHidden/>
          </w:rPr>
        </w:r>
        <w:r w:rsidR="004108B1">
          <w:rPr>
            <w:noProof/>
            <w:webHidden/>
          </w:rPr>
          <w:fldChar w:fldCharType="separate"/>
        </w:r>
        <w:r w:rsidR="004108B1">
          <w:rPr>
            <w:noProof/>
            <w:webHidden/>
          </w:rPr>
          <w:t>12</w:t>
        </w:r>
        <w:r w:rsidR="004108B1">
          <w:rPr>
            <w:noProof/>
            <w:webHidden/>
          </w:rPr>
          <w:fldChar w:fldCharType="end"/>
        </w:r>
      </w:hyperlink>
    </w:p>
    <w:p w:rsidR="004108B1" w:rsidRDefault="00F559F0">
      <w:pPr>
        <w:pStyle w:val="Tabledesillustrations"/>
        <w:tabs>
          <w:tab w:val="right" w:leader="dot" w:pos="9062"/>
        </w:tabs>
        <w:rPr>
          <w:rFonts w:eastAsiaTheme="minorEastAsia"/>
          <w:noProof/>
          <w:lang w:eastAsia="fr-FR"/>
        </w:rPr>
      </w:pPr>
      <w:hyperlink w:anchor="_Toc491848486" w:history="1">
        <w:r w:rsidR="004108B1" w:rsidRPr="008C594C">
          <w:rPr>
            <w:rStyle w:val="Lienhypertexte"/>
            <w:noProof/>
          </w:rPr>
          <w:t>Figure 8 : Distribution des coûts moyens des soins au CHR/CHU, DES</w:t>
        </w:r>
        <w:r w:rsidR="004108B1">
          <w:rPr>
            <w:noProof/>
            <w:webHidden/>
          </w:rPr>
          <w:tab/>
        </w:r>
        <w:r w:rsidR="004108B1">
          <w:rPr>
            <w:noProof/>
            <w:webHidden/>
          </w:rPr>
          <w:fldChar w:fldCharType="begin"/>
        </w:r>
        <w:r w:rsidR="004108B1">
          <w:rPr>
            <w:noProof/>
            <w:webHidden/>
          </w:rPr>
          <w:instrText xml:space="preserve"> PAGEREF _Toc491848486 \h </w:instrText>
        </w:r>
        <w:r w:rsidR="004108B1">
          <w:rPr>
            <w:noProof/>
            <w:webHidden/>
          </w:rPr>
        </w:r>
        <w:r w:rsidR="004108B1">
          <w:rPr>
            <w:noProof/>
            <w:webHidden/>
          </w:rPr>
          <w:fldChar w:fldCharType="separate"/>
        </w:r>
        <w:r w:rsidR="004108B1">
          <w:rPr>
            <w:noProof/>
            <w:webHidden/>
          </w:rPr>
          <w:t>13</w:t>
        </w:r>
        <w:r w:rsidR="004108B1">
          <w:rPr>
            <w:noProof/>
            <w:webHidden/>
          </w:rPr>
          <w:fldChar w:fldCharType="end"/>
        </w:r>
      </w:hyperlink>
    </w:p>
    <w:p w:rsidR="004108B1" w:rsidRDefault="00F559F0">
      <w:pPr>
        <w:pStyle w:val="Tabledesillustrations"/>
        <w:tabs>
          <w:tab w:val="right" w:leader="dot" w:pos="9062"/>
        </w:tabs>
        <w:rPr>
          <w:rFonts w:eastAsiaTheme="minorEastAsia"/>
          <w:noProof/>
          <w:lang w:eastAsia="fr-FR"/>
        </w:rPr>
      </w:pPr>
      <w:hyperlink w:anchor="_Toc491848487" w:history="1">
        <w:r w:rsidR="004108B1" w:rsidRPr="008C594C">
          <w:rPr>
            <w:rStyle w:val="Lienhypertexte"/>
            <w:noProof/>
          </w:rPr>
          <w:t>Figure 9 : Répartition de la consommation totale en biens et services, DES</w:t>
        </w:r>
        <w:r w:rsidR="004108B1">
          <w:rPr>
            <w:noProof/>
            <w:webHidden/>
          </w:rPr>
          <w:tab/>
        </w:r>
        <w:r w:rsidR="004108B1">
          <w:rPr>
            <w:noProof/>
            <w:webHidden/>
          </w:rPr>
          <w:fldChar w:fldCharType="begin"/>
        </w:r>
        <w:r w:rsidR="004108B1">
          <w:rPr>
            <w:noProof/>
            <w:webHidden/>
          </w:rPr>
          <w:instrText xml:space="preserve"> PAGEREF _Toc491848487 \h </w:instrText>
        </w:r>
        <w:r w:rsidR="004108B1">
          <w:rPr>
            <w:noProof/>
            <w:webHidden/>
          </w:rPr>
        </w:r>
        <w:r w:rsidR="004108B1">
          <w:rPr>
            <w:noProof/>
            <w:webHidden/>
          </w:rPr>
          <w:fldChar w:fldCharType="separate"/>
        </w:r>
        <w:r w:rsidR="004108B1">
          <w:rPr>
            <w:noProof/>
            <w:webHidden/>
          </w:rPr>
          <w:t>15</w:t>
        </w:r>
        <w:r w:rsidR="004108B1">
          <w:rPr>
            <w:noProof/>
            <w:webHidden/>
          </w:rPr>
          <w:fldChar w:fldCharType="end"/>
        </w:r>
      </w:hyperlink>
    </w:p>
    <w:p w:rsidR="004108B1" w:rsidRDefault="00F559F0">
      <w:pPr>
        <w:pStyle w:val="Tabledesillustrations"/>
        <w:tabs>
          <w:tab w:val="right" w:leader="dot" w:pos="9062"/>
        </w:tabs>
        <w:rPr>
          <w:rFonts w:eastAsiaTheme="minorEastAsia"/>
          <w:noProof/>
          <w:lang w:eastAsia="fr-FR"/>
        </w:rPr>
      </w:pPr>
      <w:hyperlink w:anchor="_Toc491848488" w:history="1">
        <w:r w:rsidR="004108B1" w:rsidRPr="008C594C">
          <w:rPr>
            <w:rStyle w:val="Lienhypertexte"/>
            <w:noProof/>
          </w:rPr>
          <w:t>Figure 10 : poids des médicaments dans la consommation totale, DES</w:t>
        </w:r>
        <w:r w:rsidR="004108B1">
          <w:rPr>
            <w:noProof/>
            <w:webHidden/>
          </w:rPr>
          <w:tab/>
        </w:r>
        <w:r w:rsidR="004108B1">
          <w:rPr>
            <w:noProof/>
            <w:webHidden/>
          </w:rPr>
          <w:fldChar w:fldCharType="begin"/>
        </w:r>
        <w:r w:rsidR="004108B1">
          <w:rPr>
            <w:noProof/>
            <w:webHidden/>
          </w:rPr>
          <w:instrText xml:space="preserve"> PAGEREF _Toc491848488 \h </w:instrText>
        </w:r>
        <w:r w:rsidR="004108B1">
          <w:rPr>
            <w:noProof/>
            <w:webHidden/>
          </w:rPr>
        </w:r>
        <w:r w:rsidR="004108B1">
          <w:rPr>
            <w:noProof/>
            <w:webHidden/>
          </w:rPr>
          <w:fldChar w:fldCharType="separate"/>
        </w:r>
        <w:r w:rsidR="004108B1">
          <w:rPr>
            <w:noProof/>
            <w:webHidden/>
          </w:rPr>
          <w:t>15</w:t>
        </w:r>
        <w:r w:rsidR="004108B1">
          <w:rPr>
            <w:noProof/>
            <w:webHidden/>
          </w:rPr>
          <w:fldChar w:fldCharType="end"/>
        </w:r>
      </w:hyperlink>
    </w:p>
    <w:p w:rsidR="004108B1" w:rsidRDefault="00F559F0">
      <w:pPr>
        <w:pStyle w:val="Tabledesillustrations"/>
        <w:tabs>
          <w:tab w:val="right" w:leader="dot" w:pos="9062"/>
        </w:tabs>
        <w:rPr>
          <w:rFonts w:eastAsiaTheme="minorEastAsia"/>
          <w:noProof/>
          <w:lang w:eastAsia="fr-FR"/>
        </w:rPr>
      </w:pPr>
      <w:hyperlink w:anchor="_Toc491848489" w:history="1">
        <w:r w:rsidR="004108B1" w:rsidRPr="008C594C">
          <w:rPr>
            <w:rStyle w:val="Lienhypertexte"/>
            <w:noProof/>
          </w:rPr>
          <w:t>Figure 11 : Taux d’effectivité par région, ONG HELP</w:t>
        </w:r>
        <w:r w:rsidR="004108B1">
          <w:rPr>
            <w:noProof/>
            <w:webHidden/>
          </w:rPr>
          <w:tab/>
        </w:r>
        <w:r w:rsidR="004108B1">
          <w:rPr>
            <w:noProof/>
            <w:webHidden/>
          </w:rPr>
          <w:fldChar w:fldCharType="begin"/>
        </w:r>
        <w:r w:rsidR="004108B1">
          <w:rPr>
            <w:noProof/>
            <w:webHidden/>
          </w:rPr>
          <w:instrText xml:space="preserve"> PAGEREF _Toc491848489 \h </w:instrText>
        </w:r>
        <w:r w:rsidR="004108B1">
          <w:rPr>
            <w:noProof/>
            <w:webHidden/>
          </w:rPr>
        </w:r>
        <w:r w:rsidR="004108B1">
          <w:rPr>
            <w:noProof/>
            <w:webHidden/>
          </w:rPr>
          <w:fldChar w:fldCharType="separate"/>
        </w:r>
        <w:r w:rsidR="004108B1">
          <w:rPr>
            <w:noProof/>
            <w:webHidden/>
          </w:rPr>
          <w:t>16</w:t>
        </w:r>
        <w:r w:rsidR="004108B1">
          <w:rPr>
            <w:noProof/>
            <w:webHidden/>
          </w:rPr>
          <w:fldChar w:fldCharType="end"/>
        </w:r>
      </w:hyperlink>
    </w:p>
    <w:p w:rsidR="004108B1" w:rsidRDefault="00F559F0">
      <w:pPr>
        <w:pStyle w:val="Tabledesillustrations"/>
        <w:tabs>
          <w:tab w:val="right" w:leader="dot" w:pos="9062"/>
        </w:tabs>
        <w:rPr>
          <w:rFonts w:eastAsiaTheme="minorEastAsia"/>
          <w:noProof/>
          <w:lang w:eastAsia="fr-FR"/>
        </w:rPr>
      </w:pPr>
      <w:hyperlink w:anchor="_Toc491848490" w:history="1">
        <w:r w:rsidR="004108B1" w:rsidRPr="008C594C">
          <w:rPr>
            <w:rStyle w:val="Lienhypertexte"/>
            <w:noProof/>
          </w:rPr>
          <w:t>Figure 12 : Nombre de rackets de patients par région, ONG HELP</w:t>
        </w:r>
        <w:r w:rsidR="004108B1">
          <w:rPr>
            <w:noProof/>
            <w:webHidden/>
          </w:rPr>
          <w:tab/>
        </w:r>
        <w:r w:rsidR="004108B1">
          <w:rPr>
            <w:noProof/>
            <w:webHidden/>
          </w:rPr>
          <w:fldChar w:fldCharType="begin"/>
        </w:r>
        <w:r w:rsidR="004108B1">
          <w:rPr>
            <w:noProof/>
            <w:webHidden/>
          </w:rPr>
          <w:instrText xml:space="preserve"> PAGEREF _Toc491848490 \h </w:instrText>
        </w:r>
        <w:r w:rsidR="004108B1">
          <w:rPr>
            <w:noProof/>
            <w:webHidden/>
          </w:rPr>
        </w:r>
        <w:r w:rsidR="004108B1">
          <w:rPr>
            <w:noProof/>
            <w:webHidden/>
          </w:rPr>
          <w:fldChar w:fldCharType="separate"/>
        </w:r>
        <w:r w:rsidR="004108B1">
          <w:rPr>
            <w:noProof/>
            <w:webHidden/>
          </w:rPr>
          <w:t>16</w:t>
        </w:r>
        <w:r w:rsidR="004108B1">
          <w:rPr>
            <w:noProof/>
            <w:webHidden/>
          </w:rPr>
          <w:fldChar w:fldCharType="end"/>
        </w:r>
      </w:hyperlink>
    </w:p>
    <w:p w:rsidR="004108B1" w:rsidRDefault="00F559F0">
      <w:pPr>
        <w:pStyle w:val="Tabledesillustrations"/>
        <w:tabs>
          <w:tab w:val="right" w:leader="dot" w:pos="9062"/>
        </w:tabs>
        <w:rPr>
          <w:rFonts w:eastAsiaTheme="minorEastAsia"/>
          <w:noProof/>
          <w:lang w:eastAsia="fr-FR"/>
        </w:rPr>
      </w:pPr>
      <w:hyperlink w:anchor="_Toc491848491" w:history="1">
        <w:r w:rsidR="004108B1" w:rsidRPr="008C594C">
          <w:rPr>
            <w:rStyle w:val="Lienhypertexte"/>
            <w:noProof/>
          </w:rPr>
          <w:t>Figure 13 : Evolution des cas de rackets par mois, ONG HELP</w:t>
        </w:r>
        <w:r w:rsidR="004108B1">
          <w:rPr>
            <w:noProof/>
            <w:webHidden/>
          </w:rPr>
          <w:tab/>
        </w:r>
        <w:r w:rsidR="004108B1">
          <w:rPr>
            <w:noProof/>
            <w:webHidden/>
          </w:rPr>
          <w:fldChar w:fldCharType="begin"/>
        </w:r>
        <w:r w:rsidR="004108B1">
          <w:rPr>
            <w:noProof/>
            <w:webHidden/>
          </w:rPr>
          <w:instrText xml:space="preserve"> PAGEREF _Toc491848491 \h </w:instrText>
        </w:r>
        <w:r w:rsidR="004108B1">
          <w:rPr>
            <w:noProof/>
            <w:webHidden/>
          </w:rPr>
        </w:r>
        <w:r w:rsidR="004108B1">
          <w:rPr>
            <w:noProof/>
            <w:webHidden/>
          </w:rPr>
          <w:fldChar w:fldCharType="separate"/>
        </w:r>
        <w:r w:rsidR="004108B1">
          <w:rPr>
            <w:noProof/>
            <w:webHidden/>
          </w:rPr>
          <w:t>17</w:t>
        </w:r>
        <w:r w:rsidR="004108B1">
          <w:rPr>
            <w:noProof/>
            <w:webHidden/>
          </w:rPr>
          <w:fldChar w:fldCharType="end"/>
        </w:r>
      </w:hyperlink>
    </w:p>
    <w:p w:rsidR="004108B1" w:rsidRDefault="00F559F0">
      <w:pPr>
        <w:pStyle w:val="Tabledesillustrations"/>
        <w:tabs>
          <w:tab w:val="right" w:leader="dot" w:pos="9062"/>
        </w:tabs>
        <w:rPr>
          <w:rFonts w:eastAsiaTheme="minorEastAsia"/>
          <w:noProof/>
          <w:lang w:eastAsia="fr-FR"/>
        </w:rPr>
      </w:pPr>
      <w:hyperlink w:anchor="_Toc491848492" w:history="1">
        <w:r w:rsidR="004108B1" w:rsidRPr="008C594C">
          <w:rPr>
            <w:rStyle w:val="Lienhypertexte"/>
            <w:noProof/>
          </w:rPr>
          <w:t>Figure 14 : Evolution du taux d’effectivité par sortie de contrôle, ONG Terre des hommes</w:t>
        </w:r>
        <w:r w:rsidR="004108B1">
          <w:rPr>
            <w:noProof/>
            <w:webHidden/>
          </w:rPr>
          <w:tab/>
        </w:r>
        <w:r w:rsidR="004108B1">
          <w:rPr>
            <w:noProof/>
            <w:webHidden/>
          </w:rPr>
          <w:fldChar w:fldCharType="begin"/>
        </w:r>
        <w:r w:rsidR="004108B1">
          <w:rPr>
            <w:noProof/>
            <w:webHidden/>
          </w:rPr>
          <w:instrText xml:space="preserve"> PAGEREF _Toc491848492 \h </w:instrText>
        </w:r>
        <w:r w:rsidR="004108B1">
          <w:rPr>
            <w:noProof/>
            <w:webHidden/>
          </w:rPr>
        </w:r>
        <w:r w:rsidR="004108B1">
          <w:rPr>
            <w:noProof/>
            <w:webHidden/>
          </w:rPr>
          <w:fldChar w:fldCharType="separate"/>
        </w:r>
        <w:r w:rsidR="004108B1">
          <w:rPr>
            <w:noProof/>
            <w:webHidden/>
          </w:rPr>
          <w:t>17</w:t>
        </w:r>
        <w:r w:rsidR="004108B1">
          <w:rPr>
            <w:noProof/>
            <w:webHidden/>
          </w:rPr>
          <w:fldChar w:fldCharType="end"/>
        </w:r>
      </w:hyperlink>
    </w:p>
    <w:p w:rsidR="0044320C" w:rsidRDefault="0044320C">
      <w:pPr>
        <w:rPr>
          <w:rFonts w:ascii="Arial" w:hAnsi="Arial" w:cs="Arial"/>
          <w:sz w:val="24"/>
          <w:szCs w:val="24"/>
        </w:rPr>
      </w:pPr>
      <w:r>
        <w:rPr>
          <w:rFonts w:ascii="Arial" w:hAnsi="Arial" w:cs="Arial"/>
          <w:sz w:val="24"/>
          <w:szCs w:val="24"/>
        </w:rPr>
        <w:fldChar w:fldCharType="end"/>
      </w:r>
    </w:p>
    <w:p w:rsidR="0044320C" w:rsidRDefault="008D2D58" w:rsidP="008D2D58">
      <w:pPr>
        <w:pStyle w:val="Titre1"/>
      </w:pPr>
      <w:bookmarkStart w:id="2" w:name="_Toc491848446"/>
      <w:r>
        <w:t>Liste des tableaux</w:t>
      </w:r>
      <w:bookmarkEnd w:id="2"/>
    </w:p>
    <w:p w:rsidR="004108B1" w:rsidRDefault="0044320C">
      <w:pPr>
        <w:pStyle w:val="Tabledesillustrations"/>
        <w:tabs>
          <w:tab w:val="right" w:leader="dot" w:pos="9062"/>
        </w:tabs>
        <w:rPr>
          <w:rFonts w:eastAsiaTheme="minorEastAsia"/>
          <w:noProof/>
          <w:lang w:eastAsia="fr-FR"/>
        </w:rPr>
      </w:pPr>
      <w:r>
        <w:rPr>
          <w:rFonts w:ascii="Arial" w:hAnsi="Arial" w:cs="Arial"/>
          <w:sz w:val="24"/>
          <w:szCs w:val="24"/>
        </w:rPr>
        <w:fldChar w:fldCharType="begin"/>
      </w:r>
      <w:r>
        <w:rPr>
          <w:rFonts w:ascii="Arial" w:hAnsi="Arial" w:cs="Arial"/>
          <w:sz w:val="24"/>
          <w:szCs w:val="24"/>
        </w:rPr>
        <w:instrText xml:space="preserve"> TOC \h \z \c "Tableau" </w:instrText>
      </w:r>
      <w:r>
        <w:rPr>
          <w:rFonts w:ascii="Arial" w:hAnsi="Arial" w:cs="Arial"/>
          <w:sz w:val="24"/>
          <w:szCs w:val="24"/>
        </w:rPr>
        <w:fldChar w:fldCharType="separate"/>
      </w:r>
      <w:hyperlink w:anchor="_Toc491848493" w:history="1">
        <w:r w:rsidR="004108B1" w:rsidRPr="00BB3164">
          <w:rPr>
            <w:rStyle w:val="Lienhypertexte"/>
            <w:noProof/>
          </w:rPr>
          <w:t>Tableau 1  : Comparaision des coûts moyens des prestations en 2014 et 2016, IRSS</w:t>
        </w:r>
        <w:r w:rsidR="004108B1">
          <w:rPr>
            <w:noProof/>
            <w:webHidden/>
          </w:rPr>
          <w:tab/>
        </w:r>
        <w:r w:rsidR="004108B1">
          <w:rPr>
            <w:noProof/>
            <w:webHidden/>
          </w:rPr>
          <w:fldChar w:fldCharType="begin"/>
        </w:r>
        <w:r w:rsidR="004108B1">
          <w:rPr>
            <w:noProof/>
            <w:webHidden/>
          </w:rPr>
          <w:instrText xml:space="preserve"> PAGEREF _Toc491848493 \h </w:instrText>
        </w:r>
        <w:r w:rsidR="004108B1">
          <w:rPr>
            <w:noProof/>
            <w:webHidden/>
          </w:rPr>
        </w:r>
        <w:r w:rsidR="004108B1">
          <w:rPr>
            <w:noProof/>
            <w:webHidden/>
          </w:rPr>
          <w:fldChar w:fldCharType="separate"/>
        </w:r>
        <w:r w:rsidR="004108B1">
          <w:rPr>
            <w:noProof/>
            <w:webHidden/>
          </w:rPr>
          <w:t>7</w:t>
        </w:r>
        <w:r w:rsidR="004108B1">
          <w:rPr>
            <w:noProof/>
            <w:webHidden/>
          </w:rPr>
          <w:fldChar w:fldCharType="end"/>
        </w:r>
      </w:hyperlink>
    </w:p>
    <w:p w:rsidR="004108B1" w:rsidRDefault="00F559F0">
      <w:pPr>
        <w:pStyle w:val="Tabledesillustrations"/>
        <w:tabs>
          <w:tab w:val="right" w:leader="dot" w:pos="9062"/>
        </w:tabs>
        <w:rPr>
          <w:rFonts w:eastAsiaTheme="minorEastAsia"/>
          <w:noProof/>
          <w:lang w:eastAsia="fr-FR"/>
        </w:rPr>
      </w:pPr>
      <w:hyperlink w:anchor="_Toc491848494" w:history="1">
        <w:r w:rsidR="004108B1" w:rsidRPr="00BB3164">
          <w:rPr>
            <w:rStyle w:val="Lienhypertexte"/>
            <w:noProof/>
          </w:rPr>
          <w:t>Tableau 2  : Coûts réels des prestations de soins en 2016, IRSS</w:t>
        </w:r>
        <w:r w:rsidR="004108B1">
          <w:rPr>
            <w:noProof/>
            <w:webHidden/>
          </w:rPr>
          <w:tab/>
        </w:r>
        <w:r w:rsidR="004108B1">
          <w:rPr>
            <w:noProof/>
            <w:webHidden/>
          </w:rPr>
          <w:fldChar w:fldCharType="begin"/>
        </w:r>
        <w:r w:rsidR="004108B1">
          <w:rPr>
            <w:noProof/>
            <w:webHidden/>
          </w:rPr>
          <w:instrText xml:space="preserve"> PAGEREF _Toc491848494 \h </w:instrText>
        </w:r>
        <w:r w:rsidR="004108B1">
          <w:rPr>
            <w:noProof/>
            <w:webHidden/>
          </w:rPr>
        </w:r>
        <w:r w:rsidR="004108B1">
          <w:rPr>
            <w:noProof/>
            <w:webHidden/>
          </w:rPr>
          <w:fldChar w:fldCharType="separate"/>
        </w:r>
        <w:r w:rsidR="004108B1">
          <w:rPr>
            <w:noProof/>
            <w:webHidden/>
          </w:rPr>
          <w:t>7</w:t>
        </w:r>
        <w:r w:rsidR="004108B1">
          <w:rPr>
            <w:noProof/>
            <w:webHidden/>
          </w:rPr>
          <w:fldChar w:fldCharType="end"/>
        </w:r>
      </w:hyperlink>
    </w:p>
    <w:p w:rsidR="004108B1" w:rsidRDefault="00F559F0">
      <w:pPr>
        <w:pStyle w:val="Tabledesillustrations"/>
        <w:tabs>
          <w:tab w:val="right" w:leader="dot" w:pos="9062"/>
        </w:tabs>
        <w:rPr>
          <w:rFonts w:eastAsiaTheme="minorEastAsia"/>
          <w:noProof/>
          <w:lang w:eastAsia="fr-FR"/>
        </w:rPr>
      </w:pPr>
      <w:hyperlink w:anchor="_Toc491848495" w:history="1">
        <w:r w:rsidR="004108B1" w:rsidRPr="00BB3164">
          <w:rPr>
            <w:rStyle w:val="Lienhypertexte"/>
            <w:noProof/>
          </w:rPr>
          <w:t>Tableau 3 : Flux financiers en 2016, DES</w:t>
        </w:r>
        <w:r w:rsidR="004108B1">
          <w:rPr>
            <w:noProof/>
            <w:webHidden/>
          </w:rPr>
          <w:tab/>
        </w:r>
        <w:r w:rsidR="004108B1">
          <w:rPr>
            <w:noProof/>
            <w:webHidden/>
          </w:rPr>
          <w:fldChar w:fldCharType="begin"/>
        </w:r>
        <w:r w:rsidR="004108B1">
          <w:rPr>
            <w:noProof/>
            <w:webHidden/>
          </w:rPr>
          <w:instrText xml:space="preserve"> PAGEREF _Toc491848495 \h </w:instrText>
        </w:r>
        <w:r w:rsidR="004108B1">
          <w:rPr>
            <w:noProof/>
            <w:webHidden/>
          </w:rPr>
        </w:r>
        <w:r w:rsidR="004108B1">
          <w:rPr>
            <w:noProof/>
            <w:webHidden/>
          </w:rPr>
          <w:fldChar w:fldCharType="separate"/>
        </w:r>
        <w:r w:rsidR="004108B1">
          <w:rPr>
            <w:noProof/>
            <w:webHidden/>
          </w:rPr>
          <w:t>13</w:t>
        </w:r>
        <w:r w:rsidR="004108B1">
          <w:rPr>
            <w:noProof/>
            <w:webHidden/>
          </w:rPr>
          <w:fldChar w:fldCharType="end"/>
        </w:r>
      </w:hyperlink>
    </w:p>
    <w:p w:rsidR="004108B1" w:rsidRDefault="00F559F0">
      <w:pPr>
        <w:pStyle w:val="Tabledesillustrations"/>
        <w:tabs>
          <w:tab w:val="right" w:leader="dot" w:pos="9062"/>
        </w:tabs>
        <w:rPr>
          <w:rFonts w:eastAsiaTheme="minorEastAsia"/>
          <w:noProof/>
          <w:lang w:eastAsia="fr-FR"/>
        </w:rPr>
      </w:pPr>
      <w:hyperlink w:anchor="_Toc491848496" w:history="1">
        <w:r w:rsidR="004108B1" w:rsidRPr="00BB3164">
          <w:rPr>
            <w:rStyle w:val="Lienhypertexte"/>
            <w:noProof/>
          </w:rPr>
          <w:t>Tableau 4 : Flux financiers en 2017, DES</w:t>
        </w:r>
        <w:r w:rsidR="004108B1">
          <w:rPr>
            <w:noProof/>
            <w:webHidden/>
          </w:rPr>
          <w:tab/>
        </w:r>
        <w:r w:rsidR="004108B1">
          <w:rPr>
            <w:noProof/>
            <w:webHidden/>
          </w:rPr>
          <w:fldChar w:fldCharType="begin"/>
        </w:r>
        <w:r w:rsidR="004108B1">
          <w:rPr>
            <w:noProof/>
            <w:webHidden/>
          </w:rPr>
          <w:instrText xml:space="preserve"> PAGEREF _Toc491848496 \h </w:instrText>
        </w:r>
        <w:r w:rsidR="004108B1">
          <w:rPr>
            <w:noProof/>
            <w:webHidden/>
          </w:rPr>
        </w:r>
        <w:r w:rsidR="004108B1">
          <w:rPr>
            <w:noProof/>
            <w:webHidden/>
          </w:rPr>
          <w:fldChar w:fldCharType="separate"/>
        </w:r>
        <w:r w:rsidR="004108B1">
          <w:rPr>
            <w:noProof/>
            <w:webHidden/>
          </w:rPr>
          <w:t>14</w:t>
        </w:r>
        <w:r w:rsidR="004108B1">
          <w:rPr>
            <w:noProof/>
            <w:webHidden/>
          </w:rPr>
          <w:fldChar w:fldCharType="end"/>
        </w:r>
      </w:hyperlink>
    </w:p>
    <w:p w:rsidR="004108B1" w:rsidRDefault="00F559F0">
      <w:pPr>
        <w:pStyle w:val="Tabledesillustrations"/>
        <w:tabs>
          <w:tab w:val="right" w:leader="dot" w:pos="9062"/>
        </w:tabs>
        <w:rPr>
          <w:rFonts w:eastAsiaTheme="minorEastAsia"/>
          <w:noProof/>
          <w:lang w:eastAsia="fr-FR"/>
        </w:rPr>
      </w:pPr>
      <w:hyperlink w:anchor="_Toc491848497" w:history="1">
        <w:r w:rsidR="004108B1" w:rsidRPr="00BB3164">
          <w:rPr>
            <w:rStyle w:val="Lienhypertexte"/>
            <w:noProof/>
          </w:rPr>
          <w:t>Tableau 5 : Etat des recommandations</w:t>
        </w:r>
        <w:r w:rsidR="004108B1">
          <w:rPr>
            <w:noProof/>
            <w:webHidden/>
          </w:rPr>
          <w:tab/>
        </w:r>
        <w:r w:rsidR="004108B1">
          <w:rPr>
            <w:noProof/>
            <w:webHidden/>
          </w:rPr>
          <w:fldChar w:fldCharType="begin"/>
        </w:r>
        <w:r w:rsidR="004108B1">
          <w:rPr>
            <w:noProof/>
            <w:webHidden/>
          </w:rPr>
          <w:instrText xml:space="preserve"> PAGEREF _Toc491848497 \h </w:instrText>
        </w:r>
        <w:r w:rsidR="004108B1">
          <w:rPr>
            <w:noProof/>
            <w:webHidden/>
          </w:rPr>
        </w:r>
        <w:r w:rsidR="004108B1">
          <w:rPr>
            <w:noProof/>
            <w:webHidden/>
          </w:rPr>
          <w:fldChar w:fldCharType="separate"/>
        </w:r>
        <w:r w:rsidR="004108B1">
          <w:rPr>
            <w:noProof/>
            <w:webHidden/>
          </w:rPr>
          <w:t>19</w:t>
        </w:r>
        <w:r w:rsidR="004108B1">
          <w:rPr>
            <w:noProof/>
            <w:webHidden/>
          </w:rPr>
          <w:fldChar w:fldCharType="end"/>
        </w:r>
      </w:hyperlink>
    </w:p>
    <w:p w:rsidR="0044320C" w:rsidRDefault="0044320C">
      <w:pPr>
        <w:rPr>
          <w:rFonts w:ascii="Arial" w:eastAsiaTheme="majorEastAsia" w:hAnsi="Arial" w:cs="Arial"/>
          <w:b/>
          <w:bCs/>
          <w:color w:val="365F91" w:themeColor="accent1" w:themeShade="BF"/>
          <w:sz w:val="24"/>
          <w:szCs w:val="24"/>
        </w:rPr>
      </w:pPr>
      <w:r>
        <w:rPr>
          <w:rFonts w:ascii="Arial" w:hAnsi="Arial" w:cs="Arial"/>
          <w:sz w:val="24"/>
          <w:szCs w:val="24"/>
        </w:rPr>
        <w:fldChar w:fldCharType="end"/>
      </w:r>
      <w:r>
        <w:rPr>
          <w:rFonts w:ascii="Arial" w:hAnsi="Arial" w:cs="Arial"/>
          <w:sz w:val="24"/>
          <w:szCs w:val="24"/>
        </w:rPr>
        <w:br w:type="page"/>
      </w:r>
    </w:p>
    <w:p w:rsidR="003717AC" w:rsidRPr="002A0FE4" w:rsidRDefault="003717AC" w:rsidP="003717AC">
      <w:pPr>
        <w:pStyle w:val="Titre1"/>
        <w:rPr>
          <w:rFonts w:ascii="Arial" w:hAnsi="Arial" w:cs="Arial"/>
          <w:sz w:val="24"/>
          <w:szCs w:val="24"/>
        </w:rPr>
      </w:pPr>
      <w:bookmarkStart w:id="3" w:name="_Toc491848447"/>
      <w:r w:rsidRPr="002A0FE4">
        <w:rPr>
          <w:rFonts w:ascii="Arial" w:hAnsi="Arial" w:cs="Arial"/>
          <w:sz w:val="24"/>
          <w:szCs w:val="24"/>
        </w:rPr>
        <w:lastRenderedPageBreak/>
        <w:t>Introduction</w:t>
      </w:r>
      <w:bookmarkEnd w:id="3"/>
      <w:r w:rsidRPr="002A0FE4">
        <w:rPr>
          <w:rFonts w:ascii="Arial" w:hAnsi="Arial" w:cs="Arial"/>
          <w:sz w:val="24"/>
          <w:szCs w:val="24"/>
        </w:rPr>
        <w:t xml:space="preserve"> </w:t>
      </w:r>
    </w:p>
    <w:p w:rsidR="003717AC" w:rsidRDefault="003717AC" w:rsidP="003717AC">
      <w:pPr>
        <w:spacing w:after="0"/>
        <w:rPr>
          <w:rFonts w:ascii="Arial" w:hAnsi="Arial" w:cs="Arial"/>
          <w:sz w:val="24"/>
          <w:szCs w:val="24"/>
        </w:rPr>
      </w:pPr>
    </w:p>
    <w:p w:rsidR="003717AC" w:rsidRDefault="003717AC" w:rsidP="003717AC">
      <w:pPr>
        <w:spacing w:after="0" w:line="360" w:lineRule="auto"/>
        <w:jc w:val="both"/>
        <w:rPr>
          <w:rFonts w:ascii="Arial" w:hAnsi="Arial" w:cs="Arial"/>
          <w:sz w:val="24"/>
          <w:szCs w:val="24"/>
        </w:rPr>
      </w:pPr>
      <w:r>
        <w:rPr>
          <w:rFonts w:ascii="Arial" w:hAnsi="Arial" w:cs="Arial"/>
          <w:sz w:val="24"/>
          <w:szCs w:val="24"/>
        </w:rPr>
        <w:t>Comme prévu dans le cadre du suivi de la mise en œuvre des mesures de gratuité des soins</w:t>
      </w:r>
      <w:r w:rsidR="00A8348B">
        <w:rPr>
          <w:rFonts w:ascii="Arial" w:hAnsi="Arial" w:cs="Arial"/>
          <w:sz w:val="24"/>
          <w:szCs w:val="24"/>
        </w:rPr>
        <w:t xml:space="preserve"> au profit des femmes et des enfants de 0 à 5 ans</w:t>
      </w:r>
      <w:r>
        <w:rPr>
          <w:rFonts w:ascii="Arial" w:hAnsi="Arial" w:cs="Arial"/>
          <w:sz w:val="24"/>
          <w:szCs w:val="24"/>
        </w:rPr>
        <w:t xml:space="preserve"> , il s’est tenu du 25 au 26 juillet 2017</w:t>
      </w:r>
      <w:r w:rsidR="00A8348B">
        <w:rPr>
          <w:rFonts w:ascii="Arial" w:hAnsi="Arial" w:cs="Arial"/>
          <w:sz w:val="24"/>
          <w:szCs w:val="24"/>
        </w:rPr>
        <w:t>,</w:t>
      </w:r>
      <w:r>
        <w:rPr>
          <w:rFonts w:ascii="Arial" w:hAnsi="Arial" w:cs="Arial"/>
          <w:sz w:val="24"/>
          <w:szCs w:val="24"/>
        </w:rPr>
        <w:t xml:space="preserve"> la troisième</w:t>
      </w:r>
      <w:r w:rsidR="00A8348B">
        <w:rPr>
          <w:rFonts w:ascii="Arial" w:hAnsi="Arial" w:cs="Arial"/>
          <w:sz w:val="24"/>
          <w:szCs w:val="24"/>
        </w:rPr>
        <w:t xml:space="preserve"> (3</w:t>
      </w:r>
      <w:r w:rsidR="00A8348B" w:rsidRPr="00B2500D">
        <w:rPr>
          <w:rFonts w:ascii="Arial" w:hAnsi="Arial" w:cs="Arial"/>
          <w:sz w:val="24"/>
          <w:szCs w:val="24"/>
          <w:vertAlign w:val="superscript"/>
        </w:rPr>
        <w:t>ème</w:t>
      </w:r>
      <w:r w:rsidR="00A8348B">
        <w:rPr>
          <w:rFonts w:ascii="Arial" w:hAnsi="Arial" w:cs="Arial"/>
          <w:sz w:val="24"/>
          <w:szCs w:val="24"/>
        </w:rPr>
        <w:t xml:space="preserve">) </w:t>
      </w:r>
      <w:r>
        <w:rPr>
          <w:rFonts w:ascii="Arial" w:hAnsi="Arial" w:cs="Arial"/>
          <w:sz w:val="24"/>
          <w:szCs w:val="24"/>
        </w:rPr>
        <w:t xml:space="preserve"> rencontre bilan national de mise en œuvre des mesures de gratuité des soins dans la salle de conférences du CHU </w:t>
      </w:r>
      <w:r w:rsidR="00F748BC">
        <w:rPr>
          <w:rFonts w:ascii="Arial" w:hAnsi="Arial" w:cs="Arial"/>
          <w:sz w:val="24"/>
          <w:szCs w:val="24"/>
        </w:rPr>
        <w:t xml:space="preserve">de </w:t>
      </w:r>
      <w:r>
        <w:rPr>
          <w:rFonts w:ascii="Arial" w:hAnsi="Arial" w:cs="Arial"/>
          <w:sz w:val="24"/>
          <w:szCs w:val="24"/>
        </w:rPr>
        <w:t xml:space="preserve"> Tengandogo. L’ouverture des travaux a été présidée à 9H00</w:t>
      </w:r>
      <w:r w:rsidR="00F748BC">
        <w:rPr>
          <w:rFonts w:ascii="Arial" w:hAnsi="Arial" w:cs="Arial"/>
          <w:sz w:val="24"/>
          <w:szCs w:val="24"/>
        </w:rPr>
        <w:t xml:space="preserve"> mn</w:t>
      </w:r>
      <w:r>
        <w:rPr>
          <w:rFonts w:ascii="Arial" w:hAnsi="Arial" w:cs="Arial"/>
          <w:sz w:val="24"/>
          <w:szCs w:val="24"/>
        </w:rPr>
        <w:t xml:space="preserve"> par Monsieur le ministre de la santé, le Professeur Nicolas MEDA qui dans son allocution a rappelé le processus de mise en œuvre des mesures de gratuité des soins, les objectifs visés par la stratégie et donné un bref bilan d’une année de mise en œuvre. Il a par ailleurs félicité les acteurs opérationnels pour le travail abattu au quotidien auprès des patients et invité tous les participants à orienter leurs réflexions durant les deux jours de travaux sur l’intérêt du malade. A la suite du mot d’ouverture, une pause de quelques minutes d’interviews a été accordée à la forte délégation de la presse. Les travaux ont alors repris aux environs de 9H30mn sous la présidence de Monsieur le Secrétaire général du Ministère de la santé, </w:t>
      </w:r>
      <w:r w:rsidRPr="00C57F3D">
        <w:rPr>
          <w:rFonts w:ascii="Arial" w:hAnsi="Arial" w:cs="Arial"/>
          <w:sz w:val="24"/>
          <w:szCs w:val="24"/>
        </w:rPr>
        <w:t>Dr Robert Lucien Jean Claude KARGOUGOU</w:t>
      </w:r>
      <w:r>
        <w:rPr>
          <w:rFonts w:ascii="Arial" w:hAnsi="Arial" w:cs="Arial"/>
          <w:sz w:val="24"/>
          <w:szCs w:val="24"/>
        </w:rPr>
        <w:t xml:space="preserve"> avec à ses côtés les représentants de la Présidence du Faso, de la primature, de l’assemblée nationale et des </w:t>
      </w:r>
      <w:r w:rsidR="00F748BC">
        <w:rPr>
          <w:rFonts w:ascii="Arial" w:hAnsi="Arial" w:cs="Arial"/>
          <w:sz w:val="24"/>
          <w:szCs w:val="24"/>
        </w:rPr>
        <w:t>partenaires techniques et financiers (</w:t>
      </w:r>
      <w:r>
        <w:rPr>
          <w:rFonts w:ascii="Arial" w:hAnsi="Arial" w:cs="Arial"/>
          <w:sz w:val="24"/>
          <w:szCs w:val="24"/>
        </w:rPr>
        <w:t>PTF</w:t>
      </w:r>
      <w:r w:rsidR="00F748BC">
        <w:rPr>
          <w:rFonts w:ascii="Arial" w:hAnsi="Arial" w:cs="Arial"/>
          <w:sz w:val="24"/>
          <w:szCs w:val="24"/>
        </w:rPr>
        <w:t>)</w:t>
      </w:r>
      <w:r>
        <w:rPr>
          <w:rFonts w:ascii="Arial" w:hAnsi="Arial" w:cs="Arial"/>
          <w:sz w:val="24"/>
          <w:szCs w:val="24"/>
        </w:rPr>
        <w:t>.</w:t>
      </w:r>
    </w:p>
    <w:p w:rsidR="003717AC" w:rsidRDefault="003717AC" w:rsidP="003717AC">
      <w:pPr>
        <w:spacing w:after="0" w:line="360" w:lineRule="auto"/>
        <w:jc w:val="both"/>
        <w:rPr>
          <w:rFonts w:ascii="Arial" w:hAnsi="Arial" w:cs="Arial"/>
          <w:sz w:val="24"/>
          <w:szCs w:val="24"/>
        </w:rPr>
      </w:pPr>
      <w:r>
        <w:rPr>
          <w:rFonts w:ascii="Arial" w:hAnsi="Arial" w:cs="Arial"/>
          <w:sz w:val="24"/>
          <w:szCs w:val="24"/>
        </w:rPr>
        <w:t xml:space="preserve">L’agenda de la rencontre et la méthodologie de travail ont été présentés et adoptés. En termes de méthodologie, les deux jours de travaux ont consisté </w:t>
      </w:r>
      <w:r w:rsidR="00F748BC">
        <w:rPr>
          <w:rFonts w:ascii="Arial" w:hAnsi="Arial" w:cs="Arial"/>
          <w:sz w:val="24"/>
          <w:szCs w:val="24"/>
        </w:rPr>
        <w:t xml:space="preserve">en </w:t>
      </w:r>
      <w:r>
        <w:rPr>
          <w:rFonts w:ascii="Arial" w:hAnsi="Arial" w:cs="Arial"/>
          <w:sz w:val="24"/>
          <w:szCs w:val="24"/>
        </w:rPr>
        <w:t>des présentations suivies d’échanges. La première journée a consisté en des rappels et des présentations sur les activités d’appui à la stratégie. La deuxième journée quant à elle a concerné principalement les questions de redevabilité à savoir les résultats des sorties de contrôle de l’effectivité</w:t>
      </w:r>
      <w:r w:rsidR="00012DC4">
        <w:rPr>
          <w:rFonts w:ascii="Arial" w:hAnsi="Arial" w:cs="Arial"/>
          <w:sz w:val="24"/>
          <w:szCs w:val="24"/>
        </w:rPr>
        <w:t xml:space="preserve"> de la gratuité des soins,</w:t>
      </w:r>
      <w:r>
        <w:rPr>
          <w:rFonts w:ascii="Arial" w:hAnsi="Arial" w:cs="Arial"/>
          <w:sz w:val="24"/>
          <w:szCs w:val="24"/>
        </w:rPr>
        <w:t xml:space="preserve"> réalisées par les ONG.</w:t>
      </w:r>
    </w:p>
    <w:p w:rsidR="003717AC" w:rsidRPr="004874D4" w:rsidRDefault="003717AC" w:rsidP="003717AC">
      <w:pPr>
        <w:pStyle w:val="Titre1"/>
        <w:numPr>
          <w:ilvl w:val="0"/>
          <w:numId w:val="3"/>
        </w:numPr>
      </w:pPr>
      <w:bookmarkStart w:id="4" w:name="_Toc491848448"/>
      <w:r>
        <w:t>Rappels et activités d’appui à la stratégie</w:t>
      </w:r>
      <w:bookmarkEnd w:id="4"/>
    </w:p>
    <w:p w:rsidR="003717AC" w:rsidRPr="00EF18DD" w:rsidRDefault="003717AC" w:rsidP="003717AC">
      <w:pPr>
        <w:pStyle w:val="Paragraphedeliste"/>
        <w:numPr>
          <w:ilvl w:val="0"/>
          <w:numId w:val="2"/>
        </w:numPr>
        <w:spacing w:after="0"/>
        <w:rPr>
          <w:rStyle w:val="Titre2Car"/>
          <w:rFonts w:ascii="Arial" w:hAnsi="Arial" w:cs="Arial"/>
          <w:bCs w:val="0"/>
          <w:sz w:val="24"/>
          <w:szCs w:val="24"/>
        </w:rPr>
      </w:pPr>
      <w:bookmarkStart w:id="5" w:name="_Toc491848449"/>
      <w:r w:rsidRPr="004874D4">
        <w:rPr>
          <w:rStyle w:val="Titre2Car"/>
        </w:rPr>
        <w:t>Etat de mi</w:t>
      </w:r>
      <w:r>
        <w:rPr>
          <w:rStyle w:val="Titre2Car"/>
        </w:rPr>
        <w:t>se en œuvre des recommandations issues de l’atelier bilan des 10 et 11 novembre 2016</w:t>
      </w:r>
      <w:bookmarkEnd w:id="5"/>
    </w:p>
    <w:p w:rsidR="003717AC" w:rsidRDefault="003717AC" w:rsidP="003717AC">
      <w:pPr>
        <w:spacing w:after="0" w:line="360" w:lineRule="auto"/>
        <w:jc w:val="both"/>
        <w:rPr>
          <w:rFonts w:ascii="Arial" w:hAnsi="Arial" w:cs="Arial"/>
          <w:sz w:val="24"/>
          <w:szCs w:val="24"/>
        </w:rPr>
      </w:pPr>
      <w:r>
        <w:rPr>
          <w:rFonts w:ascii="Arial" w:hAnsi="Arial" w:cs="Arial"/>
          <w:sz w:val="24"/>
          <w:szCs w:val="24"/>
        </w:rPr>
        <w:t>La dernière rencontre</w:t>
      </w:r>
      <w:r w:rsidR="0017725E">
        <w:rPr>
          <w:rFonts w:ascii="Arial" w:hAnsi="Arial" w:cs="Arial"/>
          <w:sz w:val="24"/>
          <w:szCs w:val="24"/>
        </w:rPr>
        <w:t xml:space="preserve"> bilan</w:t>
      </w:r>
      <w:r>
        <w:rPr>
          <w:rFonts w:ascii="Arial" w:hAnsi="Arial" w:cs="Arial"/>
          <w:sz w:val="24"/>
          <w:szCs w:val="24"/>
        </w:rPr>
        <w:t xml:space="preserve"> a permis la f</w:t>
      </w:r>
      <w:r w:rsidRPr="00EF18DD">
        <w:rPr>
          <w:rFonts w:ascii="Arial" w:hAnsi="Arial" w:cs="Arial"/>
          <w:sz w:val="24"/>
          <w:szCs w:val="24"/>
        </w:rPr>
        <w:t>ormulati</w:t>
      </w:r>
      <w:r>
        <w:rPr>
          <w:rFonts w:ascii="Arial" w:hAnsi="Arial" w:cs="Arial"/>
          <w:sz w:val="24"/>
          <w:szCs w:val="24"/>
        </w:rPr>
        <w:t>on de sept (07) grandes recommandations déclinées en 25 activités avec des responsabilités partagées entre les structures suivantes :</w:t>
      </w:r>
      <w:r w:rsidRPr="00EF18DD">
        <w:rPr>
          <w:rFonts w:ascii="Arial" w:hAnsi="Arial" w:cs="Arial"/>
          <w:sz w:val="24"/>
          <w:szCs w:val="24"/>
        </w:rPr>
        <w:t xml:space="preserve"> DES, DSF, DAF, DSITS, DCPM, DGPML, DRH, DRS, DG, MCD</w:t>
      </w:r>
      <w:r>
        <w:rPr>
          <w:rFonts w:ascii="Arial" w:hAnsi="Arial" w:cs="Arial"/>
          <w:sz w:val="24"/>
          <w:szCs w:val="24"/>
        </w:rPr>
        <w:t xml:space="preserve">. Au total, 12 activités (48%) ont pu être réalisées entièrement, 6 (28%) partiellement réalisées et 7 (24%) non réalisées. les activités non réalisées sont </w:t>
      </w:r>
      <w:r>
        <w:rPr>
          <w:rFonts w:ascii="Arial" w:hAnsi="Arial" w:cs="Arial"/>
          <w:sz w:val="24"/>
          <w:szCs w:val="24"/>
        </w:rPr>
        <w:lastRenderedPageBreak/>
        <w:t xml:space="preserve">relatives à l’information et la communication sur les mesures de gratuité, </w:t>
      </w:r>
      <w:r w:rsidR="0017725E">
        <w:rPr>
          <w:rFonts w:ascii="Arial" w:hAnsi="Arial" w:cs="Arial"/>
          <w:sz w:val="24"/>
          <w:szCs w:val="24"/>
        </w:rPr>
        <w:t xml:space="preserve">à </w:t>
      </w:r>
      <w:r>
        <w:rPr>
          <w:rFonts w:ascii="Arial" w:hAnsi="Arial" w:cs="Arial"/>
          <w:sz w:val="24"/>
          <w:szCs w:val="24"/>
        </w:rPr>
        <w:t xml:space="preserve">l’harmonisation des tarifs des actes gratuits </w:t>
      </w:r>
      <w:r w:rsidR="0017725E">
        <w:rPr>
          <w:rFonts w:ascii="Arial" w:hAnsi="Arial" w:cs="Arial"/>
          <w:sz w:val="24"/>
          <w:szCs w:val="24"/>
        </w:rPr>
        <w:t xml:space="preserve">et à </w:t>
      </w:r>
      <w:r>
        <w:rPr>
          <w:rFonts w:ascii="Arial" w:hAnsi="Arial" w:cs="Arial"/>
          <w:sz w:val="24"/>
          <w:szCs w:val="24"/>
        </w:rPr>
        <w:t xml:space="preserve">la disponibilité des outils et supports de collecte de données </w:t>
      </w:r>
      <w:r w:rsidR="005922A1">
        <w:rPr>
          <w:rFonts w:ascii="Arial" w:hAnsi="Arial" w:cs="Arial"/>
          <w:sz w:val="24"/>
          <w:szCs w:val="24"/>
        </w:rPr>
        <w:t xml:space="preserve">sur la </w:t>
      </w:r>
      <w:r>
        <w:rPr>
          <w:rFonts w:ascii="Arial" w:hAnsi="Arial" w:cs="Arial"/>
          <w:sz w:val="24"/>
          <w:szCs w:val="24"/>
        </w:rPr>
        <w:t xml:space="preserve">gratuité. </w:t>
      </w:r>
    </w:p>
    <w:p w:rsidR="003717AC" w:rsidRDefault="003717AC" w:rsidP="003717AC">
      <w:pPr>
        <w:spacing w:after="0" w:line="360" w:lineRule="auto"/>
        <w:jc w:val="both"/>
        <w:rPr>
          <w:rFonts w:ascii="Arial" w:hAnsi="Arial" w:cs="Arial"/>
          <w:sz w:val="24"/>
          <w:szCs w:val="24"/>
        </w:rPr>
      </w:pPr>
      <w:r>
        <w:rPr>
          <w:rFonts w:ascii="Arial" w:hAnsi="Arial" w:cs="Arial"/>
          <w:sz w:val="24"/>
          <w:szCs w:val="24"/>
        </w:rPr>
        <w:t xml:space="preserve">Pour </w:t>
      </w:r>
      <w:r w:rsidR="00104D41">
        <w:rPr>
          <w:rFonts w:ascii="Arial" w:hAnsi="Arial" w:cs="Arial"/>
          <w:sz w:val="24"/>
          <w:szCs w:val="24"/>
        </w:rPr>
        <w:t xml:space="preserve">les </w:t>
      </w:r>
      <w:r>
        <w:rPr>
          <w:rFonts w:ascii="Arial" w:hAnsi="Arial" w:cs="Arial"/>
          <w:sz w:val="24"/>
          <w:szCs w:val="24"/>
        </w:rPr>
        <w:t xml:space="preserve">activités non réalisées, des </w:t>
      </w:r>
      <w:r w:rsidR="00104D41">
        <w:rPr>
          <w:rFonts w:ascii="Arial" w:hAnsi="Arial" w:cs="Arial"/>
          <w:sz w:val="24"/>
          <w:szCs w:val="24"/>
        </w:rPr>
        <w:t xml:space="preserve">réflexions </w:t>
      </w:r>
      <w:r>
        <w:rPr>
          <w:rFonts w:ascii="Arial" w:hAnsi="Arial" w:cs="Arial"/>
          <w:sz w:val="24"/>
          <w:szCs w:val="24"/>
        </w:rPr>
        <w:t>sont en cours</w:t>
      </w:r>
      <w:r w:rsidR="00104D41">
        <w:rPr>
          <w:rFonts w:ascii="Arial" w:hAnsi="Arial" w:cs="Arial"/>
          <w:sz w:val="24"/>
          <w:szCs w:val="24"/>
        </w:rPr>
        <w:t xml:space="preserve"> pour trouver des s</w:t>
      </w:r>
      <w:r w:rsidR="005068D5">
        <w:rPr>
          <w:rFonts w:ascii="Arial" w:hAnsi="Arial" w:cs="Arial"/>
          <w:sz w:val="24"/>
          <w:szCs w:val="24"/>
        </w:rPr>
        <w:t>olutions et les mettre en œuvre</w:t>
      </w:r>
      <w:r>
        <w:rPr>
          <w:rFonts w:ascii="Arial" w:hAnsi="Arial" w:cs="Arial"/>
          <w:sz w:val="24"/>
          <w:szCs w:val="24"/>
        </w:rPr>
        <w:t>. La nomenclature et les tarifs des actes sont en cours d’étude dans le cadre de l’opérationnalisation de l’assurance maladie universelle. La confection et la reproduction des outils et supports de données gratuité seront déléguées à chaque district</w:t>
      </w:r>
      <w:r w:rsidR="003E4408">
        <w:rPr>
          <w:rFonts w:ascii="Arial" w:hAnsi="Arial" w:cs="Arial"/>
          <w:sz w:val="24"/>
          <w:szCs w:val="24"/>
        </w:rPr>
        <w:t xml:space="preserve"> sanitaire</w:t>
      </w:r>
      <w:r>
        <w:rPr>
          <w:rFonts w:ascii="Arial" w:hAnsi="Arial" w:cs="Arial"/>
          <w:sz w:val="24"/>
          <w:szCs w:val="24"/>
        </w:rPr>
        <w:t>. Concernant la communication sur la stratégie, des spots publicitaires et des microprogrammes seront conçus pour être diffusés.</w:t>
      </w:r>
    </w:p>
    <w:p w:rsidR="003717AC" w:rsidRPr="00EF18DD" w:rsidRDefault="003717AC" w:rsidP="003717AC">
      <w:pPr>
        <w:spacing w:after="0" w:line="360" w:lineRule="auto"/>
        <w:jc w:val="both"/>
        <w:rPr>
          <w:rFonts w:ascii="Arial" w:hAnsi="Arial" w:cs="Arial"/>
          <w:sz w:val="24"/>
          <w:szCs w:val="24"/>
        </w:rPr>
      </w:pPr>
    </w:p>
    <w:p w:rsidR="003717AC" w:rsidRPr="00EF18DD" w:rsidRDefault="003717AC" w:rsidP="003717AC">
      <w:pPr>
        <w:pStyle w:val="Paragraphedeliste"/>
        <w:numPr>
          <w:ilvl w:val="0"/>
          <w:numId w:val="2"/>
        </w:numPr>
        <w:spacing w:after="0"/>
        <w:rPr>
          <w:rStyle w:val="Titre2Car"/>
          <w:rFonts w:ascii="Arial" w:hAnsi="Arial" w:cs="Arial"/>
          <w:bCs w:val="0"/>
          <w:sz w:val="24"/>
          <w:szCs w:val="24"/>
        </w:rPr>
      </w:pPr>
      <w:r>
        <w:rPr>
          <w:rStyle w:val="Titre2Car"/>
        </w:rPr>
        <w:t xml:space="preserve"> </w:t>
      </w:r>
      <w:bookmarkStart w:id="6" w:name="_Toc491848450"/>
      <w:r>
        <w:rPr>
          <w:rStyle w:val="Titre2Car"/>
        </w:rPr>
        <w:t>R</w:t>
      </w:r>
      <w:r w:rsidRPr="004874D4">
        <w:rPr>
          <w:rStyle w:val="Titre2Car"/>
        </w:rPr>
        <w:t>appel sur la stratégie</w:t>
      </w:r>
      <w:bookmarkEnd w:id="6"/>
      <w:r>
        <w:rPr>
          <w:rStyle w:val="Titre2Car"/>
        </w:rPr>
        <w:t> </w:t>
      </w:r>
    </w:p>
    <w:p w:rsidR="003717AC" w:rsidRPr="00EF18DD" w:rsidRDefault="003717AC" w:rsidP="003717AC">
      <w:pPr>
        <w:spacing w:after="0"/>
        <w:rPr>
          <w:rFonts w:ascii="Arial" w:hAnsi="Arial" w:cs="Arial"/>
          <w:b/>
          <w:sz w:val="24"/>
          <w:szCs w:val="24"/>
        </w:rPr>
      </w:pPr>
    </w:p>
    <w:p w:rsidR="003717AC" w:rsidRDefault="003717AC" w:rsidP="003717AC">
      <w:pPr>
        <w:spacing w:after="0" w:line="360" w:lineRule="auto"/>
        <w:jc w:val="both"/>
        <w:rPr>
          <w:rFonts w:ascii="Arial" w:hAnsi="Arial" w:cs="Arial"/>
          <w:sz w:val="24"/>
          <w:szCs w:val="24"/>
        </w:rPr>
      </w:pPr>
      <w:r>
        <w:rPr>
          <w:rFonts w:ascii="Arial" w:hAnsi="Arial" w:cs="Arial"/>
          <w:sz w:val="24"/>
          <w:szCs w:val="24"/>
        </w:rPr>
        <w:t xml:space="preserve">La présentation a déroulé aux participants tout le contenu de la stratégie de gratuité des soins depuis le processus d’implémentation, les cibles bénéficiaires, le panier de soins éligibles, le financement, </w:t>
      </w:r>
      <w:r w:rsidR="003E4408">
        <w:rPr>
          <w:rFonts w:ascii="Arial" w:hAnsi="Arial" w:cs="Arial"/>
          <w:sz w:val="24"/>
          <w:szCs w:val="24"/>
        </w:rPr>
        <w:t xml:space="preserve">jusqu’au </w:t>
      </w:r>
      <w:r>
        <w:rPr>
          <w:rFonts w:ascii="Arial" w:hAnsi="Arial" w:cs="Arial"/>
          <w:sz w:val="24"/>
          <w:szCs w:val="24"/>
        </w:rPr>
        <w:t xml:space="preserve">acteurs et leurs rôles. L’évolution de quelques indicateurs de mise en œuvre a clôturé la présentation. De ces indicateurs, il ressort que le nombre de nouveaux contacts chez les enfants de moins de 5 ans a quasiment doublé dès la mise en œuvre des mesures de gratuité des soins. Egalement, la gratuité des césariennes n’a pas changé la pratique des cliniciens de sorte que le taux de césarienne parmi les naissances vivantes est resté presqu’inchangé comme l’illustre la figure 1. </w:t>
      </w:r>
    </w:p>
    <w:p w:rsidR="003717AC" w:rsidRDefault="003717AC" w:rsidP="003717AC">
      <w:pPr>
        <w:pStyle w:val="Lgende"/>
      </w:pPr>
    </w:p>
    <w:p w:rsidR="003717AC" w:rsidRDefault="003717AC" w:rsidP="003717AC">
      <w:pPr>
        <w:spacing w:after="0" w:line="360" w:lineRule="auto"/>
        <w:jc w:val="both"/>
        <w:rPr>
          <w:rFonts w:ascii="Arial" w:hAnsi="Arial" w:cs="Arial"/>
          <w:sz w:val="24"/>
          <w:szCs w:val="24"/>
        </w:rPr>
      </w:pPr>
      <w:r>
        <w:rPr>
          <w:rFonts w:ascii="Arial" w:hAnsi="Arial" w:cs="Arial"/>
          <w:noProof/>
          <w:sz w:val="24"/>
          <w:szCs w:val="24"/>
          <w:lang w:eastAsia="fr-FR"/>
        </w:rPr>
        <w:drawing>
          <wp:inline distT="0" distB="0" distL="0" distR="0" wp14:anchorId="231D0AD6" wp14:editId="2C3583B1">
            <wp:extent cx="5760720" cy="2752450"/>
            <wp:effectExtent l="0" t="0" r="0" b="0"/>
            <wp:docPr id="41" name="Imag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2752450"/>
                    </a:xfrm>
                    <a:prstGeom prst="rect">
                      <a:avLst/>
                    </a:prstGeom>
                    <a:noFill/>
                  </pic:spPr>
                </pic:pic>
              </a:graphicData>
            </a:graphic>
          </wp:inline>
        </w:drawing>
      </w:r>
    </w:p>
    <w:p w:rsidR="00D578B3" w:rsidRDefault="00D578B3" w:rsidP="00D578B3">
      <w:pPr>
        <w:pStyle w:val="Lgende"/>
        <w:rPr>
          <w:rFonts w:ascii="Arial" w:hAnsi="Arial" w:cs="Arial"/>
          <w:sz w:val="24"/>
          <w:szCs w:val="24"/>
        </w:rPr>
      </w:pPr>
      <w:bookmarkStart w:id="7" w:name="_Toc491848479"/>
      <w:r>
        <w:lastRenderedPageBreak/>
        <w:t xml:space="preserve">Figure </w:t>
      </w:r>
      <w:fldSimple w:instr=" SEQ Figure \* ARABIC ">
        <w:r>
          <w:rPr>
            <w:noProof/>
          </w:rPr>
          <w:t>1</w:t>
        </w:r>
      </w:fldSimple>
      <w:r>
        <w:rPr>
          <w:noProof/>
        </w:rPr>
        <w:t> : Evolution des nouveaux contacts chez les enfants de moins de 5 ans et des césariennes, DES</w:t>
      </w:r>
      <w:bookmarkEnd w:id="7"/>
    </w:p>
    <w:p w:rsidR="003717AC" w:rsidRDefault="003717AC" w:rsidP="003717AC">
      <w:pPr>
        <w:spacing w:after="0" w:line="360" w:lineRule="auto"/>
        <w:jc w:val="both"/>
        <w:rPr>
          <w:rFonts w:ascii="Arial" w:hAnsi="Arial" w:cs="Arial"/>
          <w:sz w:val="24"/>
          <w:szCs w:val="24"/>
        </w:rPr>
      </w:pPr>
    </w:p>
    <w:p w:rsidR="003717AC" w:rsidRDefault="003717AC" w:rsidP="003717AC">
      <w:pPr>
        <w:spacing w:after="0" w:line="360" w:lineRule="auto"/>
        <w:jc w:val="both"/>
        <w:rPr>
          <w:rFonts w:ascii="Arial" w:hAnsi="Arial" w:cs="Arial"/>
          <w:sz w:val="24"/>
          <w:szCs w:val="24"/>
        </w:rPr>
      </w:pPr>
      <w:r>
        <w:rPr>
          <w:rFonts w:ascii="Arial" w:hAnsi="Arial" w:cs="Arial"/>
          <w:sz w:val="24"/>
          <w:szCs w:val="24"/>
        </w:rPr>
        <w:t xml:space="preserve">Par contre, les </w:t>
      </w:r>
      <w:r w:rsidRPr="00706EB1">
        <w:rPr>
          <w:rFonts w:ascii="Arial" w:hAnsi="Arial" w:cs="Arial"/>
          <w:sz w:val="24"/>
          <w:szCs w:val="24"/>
        </w:rPr>
        <w:t>accouchement</w:t>
      </w:r>
      <w:r>
        <w:rPr>
          <w:rFonts w:ascii="Arial" w:hAnsi="Arial" w:cs="Arial"/>
          <w:sz w:val="24"/>
          <w:szCs w:val="24"/>
        </w:rPr>
        <w:t xml:space="preserve">s dystociques sont en </w:t>
      </w:r>
      <w:r w:rsidRPr="00706EB1">
        <w:rPr>
          <w:rFonts w:ascii="Arial" w:hAnsi="Arial" w:cs="Arial"/>
          <w:sz w:val="24"/>
          <w:szCs w:val="24"/>
        </w:rPr>
        <w:t xml:space="preserve">augmentation constante </w:t>
      </w:r>
      <w:r>
        <w:rPr>
          <w:rFonts w:ascii="Arial" w:hAnsi="Arial" w:cs="Arial"/>
          <w:sz w:val="24"/>
          <w:szCs w:val="24"/>
        </w:rPr>
        <w:t>(figure 2)</w:t>
      </w:r>
      <w:r w:rsidR="00806DC8">
        <w:rPr>
          <w:rFonts w:ascii="Arial" w:hAnsi="Arial" w:cs="Arial"/>
          <w:sz w:val="24"/>
          <w:szCs w:val="24"/>
        </w:rPr>
        <w:t>.</w:t>
      </w:r>
      <w:r w:rsidR="005068D5">
        <w:rPr>
          <w:rFonts w:ascii="Arial" w:hAnsi="Arial" w:cs="Arial"/>
          <w:sz w:val="24"/>
          <w:szCs w:val="24"/>
        </w:rPr>
        <w:t xml:space="preserve"> </w:t>
      </w:r>
      <w:r w:rsidR="00806DC8">
        <w:rPr>
          <w:rFonts w:ascii="Arial" w:hAnsi="Arial" w:cs="Arial"/>
          <w:sz w:val="24"/>
          <w:szCs w:val="24"/>
        </w:rPr>
        <w:t>C</w:t>
      </w:r>
      <w:r>
        <w:rPr>
          <w:rFonts w:ascii="Arial" w:hAnsi="Arial" w:cs="Arial"/>
          <w:sz w:val="24"/>
          <w:szCs w:val="24"/>
        </w:rPr>
        <w:t>ela</w:t>
      </w:r>
      <w:r w:rsidRPr="00706EB1">
        <w:rPr>
          <w:rFonts w:ascii="Arial" w:hAnsi="Arial" w:cs="Arial"/>
          <w:sz w:val="24"/>
          <w:szCs w:val="24"/>
        </w:rPr>
        <w:t xml:space="preserve"> </w:t>
      </w:r>
      <w:r>
        <w:rPr>
          <w:rFonts w:ascii="Arial" w:hAnsi="Arial" w:cs="Arial"/>
          <w:sz w:val="24"/>
          <w:szCs w:val="24"/>
        </w:rPr>
        <w:t>est dû</w:t>
      </w:r>
      <w:r w:rsidRPr="00706EB1">
        <w:rPr>
          <w:rFonts w:ascii="Arial" w:hAnsi="Arial" w:cs="Arial"/>
          <w:sz w:val="24"/>
          <w:szCs w:val="24"/>
        </w:rPr>
        <w:t xml:space="preserve"> au mode de déclaration des maternité</w:t>
      </w:r>
      <w:r>
        <w:rPr>
          <w:rFonts w:ascii="Arial" w:hAnsi="Arial" w:cs="Arial"/>
          <w:sz w:val="24"/>
          <w:szCs w:val="24"/>
        </w:rPr>
        <w:t>s des CMA, des CHR et des CHU qui considèrent</w:t>
      </w:r>
      <w:r w:rsidRPr="00706EB1">
        <w:rPr>
          <w:rFonts w:ascii="Arial" w:hAnsi="Arial" w:cs="Arial"/>
          <w:sz w:val="24"/>
          <w:szCs w:val="24"/>
        </w:rPr>
        <w:t xml:space="preserve"> systématique</w:t>
      </w:r>
      <w:r>
        <w:rPr>
          <w:rFonts w:ascii="Arial" w:hAnsi="Arial" w:cs="Arial"/>
          <w:sz w:val="24"/>
          <w:szCs w:val="24"/>
        </w:rPr>
        <w:t xml:space="preserve">ment </w:t>
      </w:r>
      <w:r w:rsidRPr="00706EB1">
        <w:rPr>
          <w:rFonts w:ascii="Arial" w:hAnsi="Arial" w:cs="Arial"/>
          <w:sz w:val="24"/>
          <w:szCs w:val="24"/>
        </w:rPr>
        <w:t>tout accou</w:t>
      </w:r>
      <w:r>
        <w:rPr>
          <w:rFonts w:ascii="Arial" w:hAnsi="Arial" w:cs="Arial"/>
          <w:sz w:val="24"/>
          <w:szCs w:val="24"/>
        </w:rPr>
        <w:t>chement comme étant dystocique.</w:t>
      </w:r>
    </w:p>
    <w:p w:rsidR="008D2D58" w:rsidRDefault="008D2D58" w:rsidP="003717AC">
      <w:pPr>
        <w:pStyle w:val="Lgende"/>
      </w:pPr>
    </w:p>
    <w:p w:rsidR="003717AC" w:rsidRDefault="003717AC" w:rsidP="003717AC">
      <w:pPr>
        <w:spacing w:after="0" w:line="360" w:lineRule="auto"/>
        <w:jc w:val="both"/>
        <w:rPr>
          <w:rFonts w:ascii="Arial" w:hAnsi="Arial" w:cs="Arial"/>
          <w:sz w:val="24"/>
          <w:szCs w:val="24"/>
        </w:rPr>
      </w:pPr>
      <w:r w:rsidRPr="00706EB1">
        <w:rPr>
          <w:rFonts w:ascii="Arial" w:hAnsi="Arial" w:cs="Arial"/>
          <w:noProof/>
          <w:sz w:val="24"/>
          <w:szCs w:val="24"/>
          <w:lang w:eastAsia="fr-FR"/>
        </w:rPr>
        <w:drawing>
          <wp:inline distT="0" distB="0" distL="0" distR="0" wp14:anchorId="1C09EFE0" wp14:editId="44441E4B">
            <wp:extent cx="5762847" cy="3104707"/>
            <wp:effectExtent l="0" t="0" r="9525" b="19685"/>
            <wp:docPr id="32" name="Graphique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D578B3" w:rsidRDefault="00D578B3" w:rsidP="00D578B3">
      <w:pPr>
        <w:pStyle w:val="Lgende"/>
        <w:rPr>
          <w:rFonts w:ascii="Arial" w:hAnsi="Arial" w:cs="Arial"/>
          <w:sz w:val="24"/>
          <w:szCs w:val="24"/>
        </w:rPr>
      </w:pPr>
      <w:bookmarkStart w:id="8" w:name="_Toc491848480"/>
      <w:r>
        <w:t xml:space="preserve">Figure </w:t>
      </w:r>
      <w:fldSimple w:instr=" SEQ Figure \* ARABIC ">
        <w:r>
          <w:rPr>
            <w:noProof/>
          </w:rPr>
          <w:t>2</w:t>
        </w:r>
      </w:fldSimple>
      <w:r>
        <w:rPr>
          <w:noProof/>
        </w:rPr>
        <w:t> : Evolution des proportions d’accouchements compliqués et des césariennes, DES</w:t>
      </w:r>
      <w:bookmarkEnd w:id="8"/>
    </w:p>
    <w:p w:rsidR="003717AC" w:rsidRDefault="003717AC" w:rsidP="003717AC">
      <w:pPr>
        <w:spacing w:after="0" w:line="360" w:lineRule="auto"/>
        <w:jc w:val="both"/>
        <w:rPr>
          <w:rFonts w:ascii="Arial" w:hAnsi="Arial" w:cs="Arial"/>
          <w:sz w:val="24"/>
          <w:szCs w:val="24"/>
        </w:rPr>
      </w:pPr>
    </w:p>
    <w:p w:rsidR="003717AC" w:rsidRDefault="003717AC" w:rsidP="003717AC">
      <w:pPr>
        <w:spacing w:after="0" w:line="360" w:lineRule="auto"/>
        <w:jc w:val="both"/>
        <w:rPr>
          <w:rFonts w:ascii="Arial" w:hAnsi="Arial" w:cs="Arial"/>
          <w:sz w:val="24"/>
          <w:szCs w:val="24"/>
        </w:rPr>
      </w:pPr>
      <w:r>
        <w:rPr>
          <w:rFonts w:ascii="Arial" w:hAnsi="Arial" w:cs="Arial"/>
          <w:sz w:val="24"/>
          <w:szCs w:val="24"/>
        </w:rPr>
        <w:t>Enfin, une évolution du taux de satisfaction des commandes MEG en 2017 (figue 3) montre un relèvement du niveau de satisfaction à partir du mois de juin</w:t>
      </w:r>
      <w:r w:rsidR="00806DC8">
        <w:rPr>
          <w:rFonts w:ascii="Arial" w:hAnsi="Arial" w:cs="Arial"/>
          <w:sz w:val="24"/>
          <w:szCs w:val="24"/>
        </w:rPr>
        <w:t xml:space="preserve"> 2017</w:t>
      </w:r>
      <w:r>
        <w:rPr>
          <w:rFonts w:ascii="Arial" w:hAnsi="Arial" w:cs="Arial"/>
          <w:sz w:val="24"/>
          <w:szCs w:val="24"/>
        </w:rPr>
        <w:t>.</w:t>
      </w:r>
    </w:p>
    <w:p w:rsidR="003717AC" w:rsidRDefault="003717AC" w:rsidP="003717AC">
      <w:pPr>
        <w:spacing w:after="0" w:line="360" w:lineRule="auto"/>
        <w:jc w:val="both"/>
        <w:rPr>
          <w:rFonts w:ascii="Arial" w:hAnsi="Arial" w:cs="Arial"/>
          <w:sz w:val="24"/>
          <w:szCs w:val="24"/>
        </w:rPr>
      </w:pPr>
      <w:r w:rsidRPr="002D0DB0">
        <w:rPr>
          <w:rFonts w:ascii="Arial" w:hAnsi="Arial" w:cs="Arial"/>
          <w:noProof/>
          <w:sz w:val="24"/>
          <w:szCs w:val="24"/>
          <w:lang w:eastAsia="fr-FR"/>
        </w:rPr>
        <w:drawing>
          <wp:inline distT="0" distB="0" distL="0" distR="0" wp14:anchorId="044B0CC0" wp14:editId="4E34CBA2">
            <wp:extent cx="5760720" cy="2733984"/>
            <wp:effectExtent l="0" t="0" r="0" b="0"/>
            <wp:docPr id="40" name="Graphique 40">
              <a:extLst xmlns:a="http://schemas.openxmlformats.org/drawingml/2006/main">
                <a:ext uri="{FF2B5EF4-FFF2-40B4-BE49-F238E27FC236}">
                  <a16:creationId xmlns:w15="http://schemas.microsoft.com/office/word/2012/wordml" xmlns:arto="http://schemas.microsoft.com/office/word/2006/arto" xmlns:p="http://schemas.openxmlformats.org/presentationml/2006/main" xmlns:a16="http://schemas.microsoft.com/office/drawing/2014/main" xmlns="" xmlns:lc="http://schemas.openxmlformats.org/drawingml/2006/lockedCanvas" xmlns:w="http://schemas.openxmlformats.org/wordprocessingml/2006/main" xmlns:w10="urn:schemas-microsoft-com:office:word" xmlns:v="urn:schemas-microsoft-com:vml" xmlns:o="urn:schemas-microsoft-com:office:office" id="{83237858-4EEA-4C39-9307-BC80BDD755C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D578B3" w:rsidRDefault="00D578B3" w:rsidP="00D578B3">
      <w:pPr>
        <w:pStyle w:val="Lgende"/>
        <w:rPr>
          <w:rFonts w:ascii="Arial" w:hAnsi="Arial" w:cs="Arial"/>
          <w:sz w:val="24"/>
          <w:szCs w:val="24"/>
        </w:rPr>
      </w:pPr>
      <w:bookmarkStart w:id="9" w:name="_Toc491848481"/>
      <w:r>
        <w:t xml:space="preserve">Figure </w:t>
      </w:r>
      <w:fldSimple w:instr=" SEQ Figure \* ARABIC ">
        <w:r>
          <w:rPr>
            <w:noProof/>
          </w:rPr>
          <w:t>3</w:t>
        </w:r>
      </w:fldSimple>
      <w:r>
        <w:rPr>
          <w:noProof/>
        </w:rPr>
        <w:t> :  Evolution de l’index de satisfaction des commandes MEG, DES</w:t>
      </w:r>
      <w:bookmarkEnd w:id="9"/>
    </w:p>
    <w:p w:rsidR="003717AC" w:rsidRDefault="003717AC" w:rsidP="003717AC">
      <w:pPr>
        <w:spacing w:after="0" w:line="360" w:lineRule="auto"/>
        <w:jc w:val="both"/>
        <w:rPr>
          <w:rFonts w:ascii="Arial" w:hAnsi="Arial" w:cs="Arial"/>
          <w:sz w:val="24"/>
          <w:szCs w:val="24"/>
        </w:rPr>
      </w:pPr>
    </w:p>
    <w:p w:rsidR="003717AC" w:rsidRPr="002A0FE4" w:rsidRDefault="003717AC" w:rsidP="003717AC">
      <w:pPr>
        <w:spacing w:after="0" w:line="360" w:lineRule="auto"/>
        <w:jc w:val="both"/>
        <w:rPr>
          <w:rFonts w:ascii="Arial" w:hAnsi="Arial" w:cs="Arial"/>
          <w:sz w:val="24"/>
          <w:szCs w:val="24"/>
        </w:rPr>
      </w:pPr>
      <w:r>
        <w:rPr>
          <w:rFonts w:ascii="Arial" w:hAnsi="Arial" w:cs="Arial"/>
          <w:sz w:val="24"/>
          <w:szCs w:val="24"/>
        </w:rPr>
        <w:t>Les échanges sur la présentation ont porté sur l’élargissement du panier de soins gratuits pour prendre en compte notamment l</w:t>
      </w:r>
      <w:r w:rsidRPr="002A0FE4">
        <w:rPr>
          <w:rFonts w:ascii="Arial" w:hAnsi="Arial" w:cs="Arial"/>
          <w:sz w:val="24"/>
          <w:szCs w:val="24"/>
        </w:rPr>
        <w:t xml:space="preserve">es intrants de la malnutrition </w:t>
      </w:r>
      <w:r>
        <w:rPr>
          <w:rFonts w:ascii="Arial" w:hAnsi="Arial" w:cs="Arial"/>
          <w:sz w:val="24"/>
          <w:szCs w:val="24"/>
        </w:rPr>
        <w:t xml:space="preserve">aigüe </w:t>
      </w:r>
      <w:r w:rsidRPr="002A0FE4">
        <w:rPr>
          <w:rFonts w:ascii="Arial" w:hAnsi="Arial" w:cs="Arial"/>
          <w:sz w:val="24"/>
          <w:szCs w:val="24"/>
        </w:rPr>
        <w:t>modérée</w:t>
      </w:r>
      <w:r>
        <w:rPr>
          <w:rFonts w:ascii="Arial" w:hAnsi="Arial" w:cs="Arial"/>
          <w:sz w:val="24"/>
          <w:szCs w:val="24"/>
        </w:rPr>
        <w:t xml:space="preserve"> chez l’enfant, le </w:t>
      </w:r>
      <w:r w:rsidRPr="002A0FE4">
        <w:rPr>
          <w:rFonts w:ascii="Arial" w:hAnsi="Arial" w:cs="Arial"/>
          <w:sz w:val="24"/>
          <w:szCs w:val="24"/>
        </w:rPr>
        <w:t xml:space="preserve">dépistage du cancer du sein par </w:t>
      </w:r>
      <w:r>
        <w:rPr>
          <w:rFonts w:ascii="Arial" w:hAnsi="Arial" w:cs="Arial"/>
          <w:sz w:val="24"/>
          <w:szCs w:val="24"/>
        </w:rPr>
        <w:t>la mammographie.</w:t>
      </w:r>
      <w:r w:rsidRPr="002C436D">
        <w:rPr>
          <w:rFonts w:ascii="Arial" w:hAnsi="Arial" w:cs="Arial"/>
          <w:sz w:val="24"/>
          <w:szCs w:val="24"/>
        </w:rPr>
        <w:t xml:space="preserve"> </w:t>
      </w:r>
      <w:r>
        <w:rPr>
          <w:rFonts w:ascii="Arial" w:hAnsi="Arial" w:cs="Arial"/>
          <w:sz w:val="24"/>
          <w:szCs w:val="24"/>
        </w:rPr>
        <w:t>Un costing de cet élargissement sera fait à l’appui du plaidoyer pour la mobilisation des ressources nécessaires. L’insuffisance de la pratique du dépistage du cancer du col</w:t>
      </w:r>
      <w:r w:rsidR="009A0A8B">
        <w:rPr>
          <w:rFonts w:ascii="Arial" w:hAnsi="Arial" w:cs="Arial"/>
          <w:sz w:val="24"/>
          <w:szCs w:val="24"/>
        </w:rPr>
        <w:t xml:space="preserve"> de l’utérus</w:t>
      </w:r>
      <w:r>
        <w:rPr>
          <w:rFonts w:ascii="Arial" w:hAnsi="Arial" w:cs="Arial"/>
          <w:sz w:val="24"/>
          <w:szCs w:val="24"/>
        </w:rPr>
        <w:t> a également été discutée. Le dépistage est en effet</w:t>
      </w:r>
      <w:r w:rsidRPr="002A0FE4">
        <w:rPr>
          <w:rFonts w:ascii="Arial" w:hAnsi="Arial" w:cs="Arial"/>
          <w:sz w:val="24"/>
          <w:szCs w:val="24"/>
        </w:rPr>
        <w:t xml:space="preserve"> essentiellement réalisé dans l</w:t>
      </w:r>
      <w:r>
        <w:rPr>
          <w:rFonts w:ascii="Arial" w:hAnsi="Arial" w:cs="Arial"/>
          <w:sz w:val="24"/>
          <w:szCs w:val="24"/>
        </w:rPr>
        <w:t>es CHR/CHU. Des</w:t>
      </w:r>
      <w:r w:rsidRPr="002A0FE4">
        <w:rPr>
          <w:rFonts w:ascii="Arial" w:hAnsi="Arial" w:cs="Arial"/>
          <w:sz w:val="24"/>
          <w:szCs w:val="24"/>
        </w:rPr>
        <w:t xml:space="preserve"> difficultés </w:t>
      </w:r>
      <w:r>
        <w:rPr>
          <w:rFonts w:ascii="Arial" w:hAnsi="Arial" w:cs="Arial"/>
          <w:sz w:val="24"/>
          <w:szCs w:val="24"/>
        </w:rPr>
        <w:t>de mise en œuvre sont relevées dans les Districts sanitaires</w:t>
      </w:r>
      <w:r w:rsidRPr="002A0FE4">
        <w:rPr>
          <w:rFonts w:ascii="Arial" w:hAnsi="Arial" w:cs="Arial"/>
          <w:sz w:val="24"/>
          <w:szCs w:val="24"/>
        </w:rPr>
        <w:t xml:space="preserve"> </w:t>
      </w:r>
      <w:r>
        <w:rPr>
          <w:rFonts w:ascii="Arial" w:hAnsi="Arial" w:cs="Arial"/>
          <w:sz w:val="24"/>
          <w:szCs w:val="24"/>
        </w:rPr>
        <w:t xml:space="preserve">pour des raisons </w:t>
      </w:r>
      <w:r w:rsidRPr="002A0FE4">
        <w:rPr>
          <w:rFonts w:ascii="Arial" w:hAnsi="Arial" w:cs="Arial"/>
          <w:sz w:val="24"/>
          <w:szCs w:val="24"/>
        </w:rPr>
        <w:t xml:space="preserve">de compétences </w:t>
      </w:r>
      <w:r>
        <w:rPr>
          <w:rFonts w:ascii="Arial" w:hAnsi="Arial" w:cs="Arial"/>
          <w:sz w:val="24"/>
          <w:szCs w:val="24"/>
        </w:rPr>
        <w:t>du personnel. Il est prévu à cet effet un renforcement des compétences.</w:t>
      </w:r>
    </w:p>
    <w:p w:rsidR="003717AC" w:rsidRPr="002A0FE4" w:rsidRDefault="003717AC" w:rsidP="003717AC">
      <w:pPr>
        <w:spacing w:after="0" w:line="360" w:lineRule="auto"/>
        <w:jc w:val="both"/>
        <w:rPr>
          <w:rFonts w:ascii="Arial" w:hAnsi="Arial" w:cs="Arial"/>
          <w:sz w:val="24"/>
          <w:szCs w:val="24"/>
        </w:rPr>
      </w:pPr>
      <w:r>
        <w:rPr>
          <w:rFonts w:ascii="Arial" w:hAnsi="Arial" w:cs="Arial"/>
          <w:sz w:val="24"/>
          <w:szCs w:val="24"/>
        </w:rPr>
        <w:t>Enfin, une suggestion d’amélioration de la présentation en incluant des i</w:t>
      </w:r>
      <w:r w:rsidRPr="002A0FE4">
        <w:rPr>
          <w:rFonts w:ascii="Arial" w:hAnsi="Arial" w:cs="Arial"/>
          <w:sz w:val="24"/>
          <w:szCs w:val="24"/>
        </w:rPr>
        <w:t xml:space="preserve">ndicateurs sur les efforts de disponibilité du personnel </w:t>
      </w:r>
      <w:r>
        <w:rPr>
          <w:rFonts w:ascii="Arial" w:hAnsi="Arial" w:cs="Arial"/>
          <w:sz w:val="24"/>
          <w:szCs w:val="24"/>
        </w:rPr>
        <w:t>a été faite et retenue.</w:t>
      </w:r>
    </w:p>
    <w:p w:rsidR="003717AC" w:rsidRPr="002A0FE4" w:rsidRDefault="003717AC" w:rsidP="003717AC">
      <w:pPr>
        <w:pStyle w:val="Titre2"/>
        <w:numPr>
          <w:ilvl w:val="0"/>
          <w:numId w:val="2"/>
        </w:numPr>
      </w:pPr>
      <w:bookmarkStart w:id="10" w:name="_Toc491848451"/>
      <w:r w:rsidRPr="002A0FE4">
        <w:t>Evaluation de l’effectivité de la gratuité des accouchements et des soins obstétricaux et néonatals d’urgence : IRSS</w:t>
      </w:r>
      <w:bookmarkEnd w:id="10"/>
    </w:p>
    <w:p w:rsidR="003717AC" w:rsidRDefault="003717AC" w:rsidP="003717AC">
      <w:pPr>
        <w:spacing w:after="0" w:line="360" w:lineRule="auto"/>
        <w:jc w:val="both"/>
        <w:rPr>
          <w:rFonts w:ascii="Arial" w:hAnsi="Arial" w:cs="Arial"/>
          <w:sz w:val="24"/>
          <w:szCs w:val="24"/>
        </w:rPr>
      </w:pPr>
      <w:r>
        <w:rPr>
          <w:rFonts w:ascii="Arial" w:hAnsi="Arial" w:cs="Arial"/>
          <w:sz w:val="24"/>
          <w:szCs w:val="24"/>
        </w:rPr>
        <w:t>L’IRSS a  conduit une étude d’évaluation de l’effectivité des mesures de gratuité</w:t>
      </w:r>
      <w:r w:rsidR="000F14C5">
        <w:rPr>
          <w:rFonts w:ascii="Arial" w:hAnsi="Arial" w:cs="Arial"/>
          <w:sz w:val="24"/>
          <w:szCs w:val="24"/>
        </w:rPr>
        <w:t xml:space="preserve"> des soins</w:t>
      </w:r>
      <w:r>
        <w:rPr>
          <w:rFonts w:ascii="Arial" w:hAnsi="Arial" w:cs="Arial"/>
          <w:sz w:val="24"/>
          <w:szCs w:val="24"/>
        </w:rPr>
        <w:t xml:space="preserve"> en 2016. Une synthèse des résultats de l’étude a été présentée aux participants. On retient de ces résultats, les conclusions suivantes :  </w:t>
      </w:r>
    </w:p>
    <w:p w:rsidR="003717AC" w:rsidRPr="002A0FE4" w:rsidRDefault="003717AC" w:rsidP="003717AC">
      <w:pPr>
        <w:pStyle w:val="Paragraphedeliste"/>
        <w:numPr>
          <w:ilvl w:val="0"/>
          <w:numId w:val="1"/>
        </w:numPr>
        <w:spacing w:after="0" w:line="360" w:lineRule="auto"/>
        <w:jc w:val="both"/>
        <w:rPr>
          <w:rFonts w:ascii="Arial" w:hAnsi="Arial" w:cs="Arial"/>
          <w:sz w:val="24"/>
          <w:szCs w:val="24"/>
        </w:rPr>
      </w:pPr>
      <w:r>
        <w:rPr>
          <w:rFonts w:ascii="Arial" w:hAnsi="Arial" w:cs="Arial"/>
          <w:sz w:val="24"/>
          <w:szCs w:val="24"/>
        </w:rPr>
        <w:t>une a</w:t>
      </w:r>
      <w:r w:rsidRPr="002A0FE4">
        <w:rPr>
          <w:rFonts w:ascii="Arial" w:hAnsi="Arial" w:cs="Arial"/>
          <w:sz w:val="24"/>
          <w:szCs w:val="24"/>
        </w:rPr>
        <w:t>ugmentation des coûts</w:t>
      </w:r>
      <w:r>
        <w:rPr>
          <w:rFonts w:ascii="Arial" w:hAnsi="Arial" w:cs="Arial"/>
          <w:sz w:val="24"/>
          <w:szCs w:val="24"/>
        </w:rPr>
        <w:t xml:space="preserve"> des actes médicaux en 2016 par rapport à 2014</w:t>
      </w:r>
    </w:p>
    <w:p w:rsidR="003717AC" w:rsidRPr="002A0FE4" w:rsidRDefault="003717AC" w:rsidP="003717AC">
      <w:pPr>
        <w:pStyle w:val="Paragraphedeliste"/>
        <w:numPr>
          <w:ilvl w:val="0"/>
          <w:numId w:val="1"/>
        </w:numPr>
        <w:spacing w:after="0" w:line="360" w:lineRule="auto"/>
        <w:jc w:val="both"/>
        <w:rPr>
          <w:rFonts w:ascii="Arial" w:hAnsi="Arial" w:cs="Arial"/>
          <w:sz w:val="24"/>
          <w:szCs w:val="24"/>
        </w:rPr>
      </w:pPr>
      <w:r>
        <w:rPr>
          <w:rFonts w:ascii="Arial" w:hAnsi="Arial" w:cs="Arial"/>
          <w:sz w:val="24"/>
          <w:szCs w:val="24"/>
        </w:rPr>
        <w:t>une subsistance des p</w:t>
      </w:r>
      <w:r w:rsidRPr="002A0FE4">
        <w:rPr>
          <w:rFonts w:ascii="Arial" w:hAnsi="Arial" w:cs="Arial"/>
          <w:sz w:val="24"/>
          <w:szCs w:val="24"/>
        </w:rPr>
        <w:t>aiement</w:t>
      </w:r>
      <w:r>
        <w:rPr>
          <w:rFonts w:ascii="Arial" w:hAnsi="Arial" w:cs="Arial"/>
          <w:sz w:val="24"/>
          <w:szCs w:val="24"/>
        </w:rPr>
        <w:t>s</w:t>
      </w:r>
      <w:r w:rsidRPr="002A0FE4">
        <w:rPr>
          <w:rFonts w:ascii="Arial" w:hAnsi="Arial" w:cs="Arial"/>
          <w:sz w:val="24"/>
          <w:szCs w:val="24"/>
        </w:rPr>
        <w:t xml:space="preserve"> direct</w:t>
      </w:r>
      <w:r>
        <w:rPr>
          <w:rFonts w:ascii="Arial" w:hAnsi="Arial" w:cs="Arial"/>
          <w:sz w:val="24"/>
          <w:szCs w:val="24"/>
        </w:rPr>
        <w:t>s</w:t>
      </w:r>
      <w:r w:rsidRPr="002A0FE4">
        <w:rPr>
          <w:rFonts w:ascii="Arial" w:hAnsi="Arial" w:cs="Arial"/>
          <w:sz w:val="24"/>
          <w:szCs w:val="24"/>
        </w:rPr>
        <w:t xml:space="preserve"> </w:t>
      </w:r>
      <w:r>
        <w:rPr>
          <w:rFonts w:ascii="Arial" w:hAnsi="Arial" w:cs="Arial"/>
          <w:sz w:val="24"/>
          <w:szCs w:val="24"/>
        </w:rPr>
        <w:t>à la charge des ménages de 9% en moyenne des coûts totaux des actes médicaux</w:t>
      </w:r>
    </w:p>
    <w:p w:rsidR="003717AC" w:rsidRPr="002A0FE4" w:rsidRDefault="003717AC" w:rsidP="003717AC">
      <w:pPr>
        <w:pStyle w:val="Paragraphedeliste"/>
        <w:numPr>
          <w:ilvl w:val="0"/>
          <w:numId w:val="1"/>
        </w:numPr>
        <w:spacing w:after="0" w:line="360" w:lineRule="auto"/>
        <w:jc w:val="both"/>
        <w:rPr>
          <w:rFonts w:ascii="Arial" w:hAnsi="Arial" w:cs="Arial"/>
          <w:sz w:val="24"/>
          <w:szCs w:val="24"/>
        </w:rPr>
      </w:pPr>
      <w:r>
        <w:rPr>
          <w:rFonts w:ascii="Arial" w:hAnsi="Arial" w:cs="Arial"/>
          <w:sz w:val="24"/>
          <w:szCs w:val="24"/>
        </w:rPr>
        <w:t>plus</w:t>
      </w:r>
      <w:r w:rsidRPr="002A0FE4">
        <w:rPr>
          <w:rFonts w:ascii="Arial" w:hAnsi="Arial" w:cs="Arial"/>
          <w:sz w:val="24"/>
          <w:szCs w:val="24"/>
        </w:rPr>
        <w:t xml:space="preserve"> l’acte </w:t>
      </w:r>
      <w:r>
        <w:rPr>
          <w:rFonts w:ascii="Arial" w:hAnsi="Arial" w:cs="Arial"/>
          <w:sz w:val="24"/>
          <w:szCs w:val="24"/>
        </w:rPr>
        <w:t xml:space="preserve">médical </w:t>
      </w:r>
      <w:r w:rsidRPr="002A0FE4">
        <w:rPr>
          <w:rFonts w:ascii="Arial" w:hAnsi="Arial" w:cs="Arial"/>
          <w:sz w:val="24"/>
          <w:szCs w:val="24"/>
        </w:rPr>
        <w:t>est compliqué</w:t>
      </w:r>
      <w:r>
        <w:rPr>
          <w:rFonts w:ascii="Arial" w:hAnsi="Arial" w:cs="Arial"/>
          <w:sz w:val="24"/>
          <w:szCs w:val="24"/>
        </w:rPr>
        <w:t>, plus le p</w:t>
      </w:r>
      <w:r w:rsidRPr="002A0FE4">
        <w:rPr>
          <w:rFonts w:ascii="Arial" w:hAnsi="Arial" w:cs="Arial"/>
          <w:sz w:val="24"/>
          <w:szCs w:val="24"/>
        </w:rPr>
        <w:t xml:space="preserve">aiement direct </w:t>
      </w:r>
      <w:r>
        <w:rPr>
          <w:rFonts w:ascii="Arial" w:hAnsi="Arial" w:cs="Arial"/>
          <w:sz w:val="24"/>
          <w:szCs w:val="24"/>
        </w:rPr>
        <w:t xml:space="preserve">est </w:t>
      </w:r>
      <w:r w:rsidRPr="002A0FE4">
        <w:rPr>
          <w:rFonts w:ascii="Arial" w:hAnsi="Arial" w:cs="Arial"/>
          <w:sz w:val="24"/>
          <w:szCs w:val="24"/>
        </w:rPr>
        <w:t>élevé</w:t>
      </w:r>
    </w:p>
    <w:p w:rsidR="003717AC" w:rsidRPr="002A0FE4" w:rsidRDefault="003717AC" w:rsidP="003717AC">
      <w:pPr>
        <w:pStyle w:val="Paragraphedeliste"/>
        <w:numPr>
          <w:ilvl w:val="0"/>
          <w:numId w:val="1"/>
        </w:numPr>
        <w:spacing w:after="0" w:line="360" w:lineRule="auto"/>
        <w:jc w:val="both"/>
        <w:rPr>
          <w:rFonts w:ascii="Arial" w:hAnsi="Arial" w:cs="Arial"/>
          <w:sz w:val="24"/>
          <w:szCs w:val="24"/>
        </w:rPr>
      </w:pPr>
      <w:r w:rsidRPr="002A0FE4">
        <w:rPr>
          <w:rFonts w:ascii="Arial" w:hAnsi="Arial" w:cs="Arial"/>
          <w:sz w:val="24"/>
          <w:szCs w:val="24"/>
        </w:rPr>
        <w:t>plus le niveau de</w:t>
      </w:r>
      <w:r>
        <w:rPr>
          <w:rFonts w:ascii="Arial" w:hAnsi="Arial" w:cs="Arial"/>
          <w:sz w:val="24"/>
          <w:szCs w:val="24"/>
        </w:rPr>
        <w:t xml:space="preserve"> la</w:t>
      </w:r>
      <w:r w:rsidRPr="002A0FE4">
        <w:rPr>
          <w:rFonts w:ascii="Arial" w:hAnsi="Arial" w:cs="Arial"/>
          <w:sz w:val="24"/>
          <w:szCs w:val="24"/>
        </w:rPr>
        <w:t xml:space="preserve"> structure de soins est élevé</w:t>
      </w:r>
      <w:r>
        <w:rPr>
          <w:rFonts w:ascii="Arial" w:hAnsi="Arial" w:cs="Arial"/>
          <w:sz w:val="24"/>
          <w:szCs w:val="24"/>
        </w:rPr>
        <w:t>,</w:t>
      </w:r>
      <w:r w:rsidRPr="002A0FE4">
        <w:rPr>
          <w:rFonts w:ascii="Arial" w:hAnsi="Arial" w:cs="Arial"/>
          <w:sz w:val="24"/>
          <w:szCs w:val="24"/>
        </w:rPr>
        <w:t xml:space="preserve"> </w:t>
      </w:r>
      <w:r>
        <w:rPr>
          <w:rFonts w:ascii="Arial" w:hAnsi="Arial" w:cs="Arial"/>
          <w:sz w:val="24"/>
          <w:szCs w:val="24"/>
        </w:rPr>
        <w:t>plus le p</w:t>
      </w:r>
      <w:r w:rsidRPr="002A0FE4">
        <w:rPr>
          <w:rFonts w:ascii="Arial" w:hAnsi="Arial" w:cs="Arial"/>
          <w:sz w:val="24"/>
          <w:szCs w:val="24"/>
        </w:rPr>
        <w:t xml:space="preserve">aiement direct </w:t>
      </w:r>
      <w:r>
        <w:rPr>
          <w:rFonts w:ascii="Arial" w:hAnsi="Arial" w:cs="Arial"/>
          <w:sz w:val="24"/>
          <w:szCs w:val="24"/>
        </w:rPr>
        <w:t xml:space="preserve">est </w:t>
      </w:r>
      <w:r w:rsidRPr="002A0FE4">
        <w:rPr>
          <w:rFonts w:ascii="Arial" w:hAnsi="Arial" w:cs="Arial"/>
          <w:sz w:val="24"/>
          <w:szCs w:val="24"/>
        </w:rPr>
        <w:t xml:space="preserve">élevé </w:t>
      </w:r>
    </w:p>
    <w:p w:rsidR="003717AC" w:rsidRPr="002A0FE4" w:rsidRDefault="003717AC" w:rsidP="003717AC">
      <w:pPr>
        <w:pStyle w:val="Paragraphedeliste"/>
        <w:numPr>
          <w:ilvl w:val="0"/>
          <w:numId w:val="1"/>
        </w:numPr>
        <w:spacing w:after="0" w:line="360" w:lineRule="auto"/>
        <w:jc w:val="both"/>
        <w:rPr>
          <w:rFonts w:ascii="Arial" w:hAnsi="Arial" w:cs="Arial"/>
          <w:sz w:val="24"/>
          <w:szCs w:val="24"/>
        </w:rPr>
      </w:pPr>
      <w:r>
        <w:rPr>
          <w:rFonts w:ascii="Arial" w:hAnsi="Arial" w:cs="Arial"/>
          <w:sz w:val="24"/>
          <w:szCs w:val="24"/>
        </w:rPr>
        <w:t>les p</w:t>
      </w:r>
      <w:r w:rsidRPr="002A0FE4">
        <w:rPr>
          <w:rFonts w:ascii="Arial" w:hAnsi="Arial" w:cs="Arial"/>
          <w:sz w:val="24"/>
          <w:szCs w:val="24"/>
        </w:rPr>
        <w:t>aiement</w:t>
      </w:r>
      <w:r>
        <w:rPr>
          <w:rFonts w:ascii="Arial" w:hAnsi="Arial" w:cs="Arial"/>
          <w:sz w:val="24"/>
          <w:szCs w:val="24"/>
        </w:rPr>
        <w:t>s</w:t>
      </w:r>
      <w:r w:rsidRPr="002A0FE4">
        <w:rPr>
          <w:rFonts w:ascii="Arial" w:hAnsi="Arial" w:cs="Arial"/>
          <w:sz w:val="24"/>
          <w:szCs w:val="24"/>
        </w:rPr>
        <w:t xml:space="preserve"> direct</w:t>
      </w:r>
      <w:r>
        <w:rPr>
          <w:rFonts w:ascii="Arial" w:hAnsi="Arial" w:cs="Arial"/>
          <w:sz w:val="24"/>
          <w:szCs w:val="24"/>
        </w:rPr>
        <w:t>s sont plus</w:t>
      </w:r>
      <w:r w:rsidRPr="002A0FE4">
        <w:rPr>
          <w:rFonts w:ascii="Arial" w:hAnsi="Arial" w:cs="Arial"/>
          <w:sz w:val="24"/>
          <w:szCs w:val="24"/>
        </w:rPr>
        <w:t xml:space="preserve"> élevé</w:t>
      </w:r>
      <w:r>
        <w:rPr>
          <w:rFonts w:ascii="Arial" w:hAnsi="Arial" w:cs="Arial"/>
          <w:sz w:val="24"/>
          <w:szCs w:val="24"/>
        </w:rPr>
        <w:t>s dans la région du Centre et plus bas dans les régions de</w:t>
      </w:r>
      <w:r w:rsidRPr="002A0FE4">
        <w:rPr>
          <w:rFonts w:ascii="Arial" w:hAnsi="Arial" w:cs="Arial"/>
          <w:sz w:val="24"/>
          <w:szCs w:val="24"/>
        </w:rPr>
        <w:t xml:space="preserve"> l’</w:t>
      </w:r>
      <w:r>
        <w:rPr>
          <w:rFonts w:ascii="Arial" w:hAnsi="Arial" w:cs="Arial"/>
          <w:sz w:val="24"/>
          <w:szCs w:val="24"/>
        </w:rPr>
        <w:t>Est et d</w:t>
      </w:r>
      <w:r w:rsidRPr="002A0FE4">
        <w:rPr>
          <w:rFonts w:ascii="Arial" w:hAnsi="Arial" w:cs="Arial"/>
          <w:sz w:val="24"/>
          <w:szCs w:val="24"/>
        </w:rPr>
        <w:t>es Hauts-Bassins</w:t>
      </w:r>
    </w:p>
    <w:p w:rsidR="003717AC" w:rsidRDefault="003717AC" w:rsidP="003717AC">
      <w:pPr>
        <w:pStyle w:val="Paragraphedeliste"/>
        <w:numPr>
          <w:ilvl w:val="0"/>
          <w:numId w:val="1"/>
        </w:numPr>
        <w:spacing w:after="0" w:line="360" w:lineRule="auto"/>
        <w:jc w:val="both"/>
        <w:rPr>
          <w:rFonts w:ascii="Arial" w:hAnsi="Arial" w:cs="Arial"/>
          <w:sz w:val="24"/>
          <w:szCs w:val="24"/>
        </w:rPr>
      </w:pPr>
      <w:r>
        <w:rPr>
          <w:rFonts w:ascii="Arial" w:hAnsi="Arial" w:cs="Arial"/>
          <w:sz w:val="24"/>
          <w:szCs w:val="24"/>
        </w:rPr>
        <w:t xml:space="preserve">les paiements directs </w:t>
      </w:r>
      <w:r w:rsidR="00604BBE">
        <w:rPr>
          <w:rFonts w:ascii="Arial" w:hAnsi="Arial" w:cs="Arial"/>
          <w:sz w:val="24"/>
          <w:szCs w:val="24"/>
        </w:rPr>
        <w:t>concernent</w:t>
      </w:r>
      <w:r w:rsidRPr="002A0FE4">
        <w:rPr>
          <w:rFonts w:ascii="Arial" w:hAnsi="Arial" w:cs="Arial"/>
          <w:sz w:val="24"/>
          <w:szCs w:val="24"/>
        </w:rPr>
        <w:t xml:space="preserve"> </w:t>
      </w:r>
      <w:r w:rsidR="00604BBE">
        <w:rPr>
          <w:rFonts w:ascii="Arial" w:hAnsi="Arial" w:cs="Arial"/>
          <w:sz w:val="24"/>
          <w:szCs w:val="24"/>
        </w:rPr>
        <w:t xml:space="preserve">les </w:t>
      </w:r>
      <w:r w:rsidRPr="002A0FE4">
        <w:rPr>
          <w:rFonts w:ascii="Arial" w:hAnsi="Arial" w:cs="Arial"/>
          <w:sz w:val="24"/>
          <w:szCs w:val="24"/>
        </w:rPr>
        <w:t>produits d’entretien</w:t>
      </w:r>
      <w:r>
        <w:rPr>
          <w:rFonts w:ascii="Arial" w:hAnsi="Arial" w:cs="Arial"/>
          <w:sz w:val="24"/>
          <w:szCs w:val="24"/>
        </w:rPr>
        <w:t xml:space="preserve"> (42,4%)</w:t>
      </w:r>
      <w:r w:rsidRPr="002A0FE4">
        <w:rPr>
          <w:rFonts w:ascii="Arial" w:hAnsi="Arial" w:cs="Arial"/>
          <w:sz w:val="24"/>
          <w:szCs w:val="24"/>
        </w:rPr>
        <w:t>,</w:t>
      </w:r>
      <w:r>
        <w:rPr>
          <w:rFonts w:ascii="Arial" w:hAnsi="Arial" w:cs="Arial"/>
          <w:sz w:val="24"/>
          <w:szCs w:val="24"/>
        </w:rPr>
        <w:t xml:space="preserve"> </w:t>
      </w:r>
      <w:r w:rsidR="00604BBE">
        <w:rPr>
          <w:rFonts w:ascii="Arial" w:hAnsi="Arial" w:cs="Arial"/>
          <w:sz w:val="24"/>
          <w:szCs w:val="24"/>
        </w:rPr>
        <w:t xml:space="preserve">les </w:t>
      </w:r>
      <w:r>
        <w:rPr>
          <w:rFonts w:ascii="Arial" w:hAnsi="Arial" w:cs="Arial"/>
          <w:sz w:val="24"/>
          <w:szCs w:val="24"/>
        </w:rPr>
        <w:t>consommables</w:t>
      </w:r>
      <w:r w:rsidR="000F14C5">
        <w:rPr>
          <w:rFonts w:ascii="Arial" w:hAnsi="Arial" w:cs="Arial"/>
          <w:sz w:val="24"/>
          <w:szCs w:val="24"/>
        </w:rPr>
        <w:t xml:space="preserve"> médicaux</w:t>
      </w:r>
      <w:r>
        <w:rPr>
          <w:rFonts w:ascii="Arial" w:hAnsi="Arial" w:cs="Arial"/>
          <w:sz w:val="24"/>
          <w:szCs w:val="24"/>
        </w:rPr>
        <w:t xml:space="preserve"> et </w:t>
      </w:r>
      <w:r w:rsidR="00604BBE">
        <w:rPr>
          <w:rFonts w:ascii="Arial" w:hAnsi="Arial" w:cs="Arial"/>
          <w:sz w:val="24"/>
          <w:szCs w:val="24"/>
        </w:rPr>
        <w:t>les</w:t>
      </w:r>
      <w:r w:rsidR="000F14C5">
        <w:rPr>
          <w:rFonts w:ascii="Arial" w:hAnsi="Arial" w:cs="Arial"/>
          <w:sz w:val="24"/>
          <w:szCs w:val="24"/>
        </w:rPr>
        <w:t xml:space="preserve"> </w:t>
      </w:r>
      <w:r>
        <w:rPr>
          <w:rFonts w:ascii="Arial" w:hAnsi="Arial" w:cs="Arial"/>
          <w:sz w:val="24"/>
          <w:szCs w:val="24"/>
        </w:rPr>
        <w:t xml:space="preserve">médicaments surtout de spécialité (46,5%) et </w:t>
      </w:r>
      <w:r w:rsidR="00604BBE">
        <w:rPr>
          <w:rFonts w:ascii="Arial" w:hAnsi="Arial" w:cs="Arial"/>
          <w:sz w:val="24"/>
          <w:szCs w:val="24"/>
        </w:rPr>
        <w:t xml:space="preserve">les </w:t>
      </w:r>
      <w:r>
        <w:rPr>
          <w:rFonts w:ascii="Arial" w:hAnsi="Arial" w:cs="Arial"/>
          <w:sz w:val="24"/>
          <w:szCs w:val="24"/>
        </w:rPr>
        <w:t>sommes remises au personnel de santé (1,6%)</w:t>
      </w:r>
      <w:r w:rsidR="000F14C5">
        <w:rPr>
          <w:rFonts w:ascii="Arial" w:hAnsi="Arial" w:cs="Arial"/>
          <w:sz w:val="24"/>
          <w:szCs w:val="24"/>
        </w:rPr>
        <w:t>. Le tableau I présente une comparaison des coûts moyens des prestations entre 2014 et 2016</w:t>
      </w:r>
      <w:r w:rsidR="00B56924">
        <w:rPr>
          <w:rFonts w:ascii="Arial" w:hAnsi="Arial" w:cs="Arial"/>
          <w:sz w:val="24"/>
          <w:szCs w:val="24"/>
        </w:rPr>
        <w:t>.</w:t>
      </w:r>
    </w:p>
    <w:p w:rsidR="003717AC" w:rsidRDefault="003717AC" w:rsidP="003717AC">
      <w:pPr>
        <w:pStyle w:val="Lgende"/>
      </w:pPr>
    </w:p>
    <w:p w:rsidR="00F24542" w:rsidRDefault="00F24542" w:rsidP="001A7B42"/>
    <w:p w:rsidR="00F24542" w:rsidRDefault="00F24542" w:rsidP="001A7B42"/>
    <w:p w:rsidR="00F24542" w:rsidRPr="006747C2" w:rsidRDefault="00F24542" w:rsidP="001A7B42"/>
    <w:p w:rsidR="003717AC" w:rsidRDefault="003717AC" w:rsidP="003717AC">
      <w:pPr>
        <w:pStyle w:val="Lgende"/>
        <w:rPr>
          <w:rFonts w:ascii="Arial" w:hAnsi="Arial" w:cs="Arial"/>
          <w:sz w:val="24"/>
          <w:szCs w:val="24"/>
        </w:rPr>
      </w:pPr>
      <w:bookmarkStart w:id="11" w:name="_Toc491848493"/>
      <w:r>
        <w:lastRenderedPageBreak/>
        <w:t xml:space="preserve">Tableau </w:t>
      </w:r>
      <w:r w:rsidR="00F559F0">
        <w:fldChar w:fldCharType="begin"/>
      </w:r>
      <w:r w:rsidR="00F559F0">
        <w:instrText xml:space="preserve"> SEQ Tableau \* ARABIC </w:instrText>
      </w:r>
      <w:r w:rsidR="00F559F0">
        <w:fldChar w:fldCharType="separate"/>
      </w:r>
      <w:r>
        <w:rPr>
          <w:noProof/>
        </w:rPr>
        <w:t>1</w:t>
      </w:r>
      <w:r w:rsidR="00F559F0">
        <w:rPr>
          <w:noProof/>
        </w:rPr>
        <w:fldChar w:fldCharType="end"/>
      </w:r>
      <w:r w:rsidR="008D2D58">
        <w:rPr>
          <w:noProof/>
        </w:rPr>
        <w:t> </w:t>
      </w:r>
      <w:r w:rsidR="000F14C5">
        <w:rPr>
          <w:noProof/>
        </w:rPr>
        <w:t> </w:t>
      </w:r>
      <w:r w:rsidR="008D2D58">
        <w:rPr>
          <w:noProof/>
        </w:rPr>
        <w:t>: Comparaision des coûts moyens des prestations en 2014 et 2016, IRSS</w:t>
      </w:r>
      <w:bookmarkEnd w:id="11"/>
    </w:p>
    <w:tbl>
      <w:tblPr>
        <w:tblStyle w:val="Trameclaire-Accent5"/>
        <w:tblW w:w="10031" w:type="dxa"/>
        <w:tblLook w:val="04A0" w:firstRow="1" w:lastRow="0" w:firstColumn="1" w:lastColumn="0" w:noHBand="0" w:noVBand="1"/>
      </w:tblPr>
      <w:tblGrid>
        <w:gridCol w:w="3527"/>
        <w:gridCol w:w="1081"/>
        <w:gridCol w:w="1081"/>
        <w:gridCol w:w="2249"/>
        <w:gridCol w:w="2093"/>
      </w:tblGrid>
      <w:tr w:rsidR="003717AC" w:rsidRPr="00494FAF" w:rsidTr="003717AC">
        <w:trPr>
          <w:cnfStyle w:val="100000000000" w:firstRow="1" w:lastRow="0" w:firstColumn="0" w:lastColumn="0" w:oddVBand="0" w:evenVBand="0" w:oddHBand="0" w:evenHBand="0" w:firstRowFirstColumn="0" w:firstRowLastColumn="0" w:lastRowFirstColumn="0" w:lastRowLastColumn="0"/>
          <w:trHeight w:val="390"/>
        </w:trPr>
        <w:tc>
          <w:tcPr>
            <w:cnfStyle w:val="001000000000" w:firstRow="0" w:lastRow="0" w:firstColumn="1" w:lastColumn="0" w:oddVBand="0" w:evenVBand="0" w:oddHBand="0" w:evenHBand="0" w:firstRowFirstColumn="0" w:firstRowLastColumn="0" w:lastRowFirstColumn="0" w:lastRowLastColumn="0"/>
            <w:tcW w:w="0" w:type="auto"/>
            <w:vMerge w:val="restart"/>
            <w:hideMark/>
          </w:tcPr>
          <w:p w:rsidR="003717AC" w:rsidRPr="00494FAF" w:rsidRDefault="003717AC" w:rsidP="003717AC">
            <w:pPr>
              <w:spacing w:line="256" w:lineRule="auto"/>
              <w:jc w:val="center"/>
              <w:rPr>
                <w:rFonts w:ascii="Arial" w:eastAsia="Times New Roman" w:hAnsi="Arial" w:cs="Arial"/>
                <w:lang w:eastAsia="fr-FR"/>
              </w:rPr>
            </w:pPr>
            <w:r w:rsidRPr="00494FAF">
              <w:rPr>
                <w:rFonts w:ascii="Calibri" w:eastAsia="Times New Roman" w:hAnsi="Calibri" w:cs="Arial"/>
                <w:kern w:val="24"/>
                <w:lang w:eastAsia="fr-FR"/>
              </w:rPr>
              <w:t>Prestation</w:t>
            </w:r>
          </w:p>
        </w:tc>
        <w:tc>
          <w:tcPr>
            <w:tcW w:w="0" w:type="auto"/>
            <w:gridSpan w:val="2"/>
            <w:hideMark/>
          </w:tcPr>
          <w:p w:rsidR="003717AC" w:rsidRPr="00494FAF" w:rsidRDefault="003717AC" w:rsidP="003717AC">
            <w:pPr>
              <w:spacing w:line="256"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lang w:eastAsia="fr-FR"/>
              </w:rPr>
            </w:pPr>
            <w:r w:rsidRPr="00494FAF">
              <w:rPr>
                <w:rFonts w:ascii="Calibri" w:eastAsia="Times New Roman" w:hAnsi="Calibri" w:cs="Arial"/>
                <w:kern w:val="24"/>
                <w:lang w:eastAsia="fr-FR"/>
              </w:rPr>
              <w:t>Coût moyen</w:t>
            </w:r>
          </w:p>
        </w:tc>
        <w:tc>
          <w:tcPr>
            <w:tcW w:w="0" w:type="auto"/>
            <w:gridSpan w:val="2"/>
            <w:hideMark/>
          </w:tcPr>
          <w:p w:rsidR="003717AC" w:rsidRPr="00494FAF" w:rsidRDefault="003717AC" w:rsidP="003717AC">
            <w:pPr>
              <w:spacing w:line="256"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lang w:eastAsia="fr-FR"/>
              </w:rPr>
            </w:pPr>
            <w:r w:rsidRPr="00494FAF">
              <w:rPr>
                <w:rFonts w:ascii="Calibri" w:eastAsia="Times New Roman" w:hAnsi="Calibri" w:cs="Arial"/>
                <w:kern w:val="24"/>
                <w:lang w:eastAsia="fr-FR"/>
              </w:rPr>
              <w:t>Coûts minimal et maximal</w:t>
            </w:r>
          </w:p>
        </w:tc>
      </w:tr>
      <w:tr w:rsidR="003717AC" w:rsidRPr="00494FAF" w:rsidTr="003717AC">
        <w:trPr>
          <w:cnfStyle w:val="000000100000" w:firstRow="0" w:lastRow="0" w:firstColumn="0" w:lastColumn="0" w:oddVBand="0" w:evenVBand="0" w:oddHBand="1" w:evenHBand="0" w:firstRowFirstColumn="0" w:firstRowLastColumn="0" w:lastRowFirstColumn="0" w:lastRowLastColumn="0"/>
          <w:trHeight w:val="390"/>
        </w:trPr>
        <w:tc>
          <w:tcPr>
            <w:cnfStyle w:val="001000000000" w:firstRow="0" w:lastRow="0" w:firstColumn="1" w:lastColumn="0" w:oddVBand="0" w:evenVBand="0" w:oddHBand="0" w:evenHBand="0" w:firstRowFirstColumn="0" w:firstRowLastColumn="0" w:lastRowFirstColumn="0" w:lastRowLastColumn="0"/>
            <w:tcW w:w="0" w:type="auto"/>
            <w:vMerge/>
            <w:hideMark/>
          </w:tcPr>
          <w:p w:rsidR="003717AC" w:rsidRPr="00494FAF" w:rsidRDefault="003717AC" w:rsidP="003717AC">
            <w:pPr>
              <w:rPr>
                <w:rFonts w:ascii="Arial" w:eastAsia="Times New Roman" w:hAnsi="Arial" w:cs="Arial"/>
                <w:lang w:eastAsia="fr-FR"/>
              </w:rPr>
            </w:pPr>
          </w:p>
        </w:tc>
        <w:tc>
          <w:tcPr>
            <w:tcW w:w="0" w:type="auto"/>
            <w:hideMark/>
          </w:tcPr>
          <w:p w:rsidR="003717AC" w:rsidRPr="00494FAF" w:rsidRDefault="003717AC" w:rsidP="003717AC">
            <w:pPr>
              <w:spacing w:line="256"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eastAsia="fr-FR"/>
              </w:rPr>
            </w:pPr>
            <w:r w:rsidRPr="00494FAF">
              <w:rPr>
                <w:rFonts w:ascii="Calibri" w:eastAsia="Times New Roman" w:hAnsi="Calibri" w:cs="Arial"/>
                <w:b/>
                <w:bCs/>
                <w:kern w:val="24"/>
                <w:lang w:eastAsia="fr-FR"/>
              </w:rPr>
              <w:t>2016</w:t>
            </w:r>
          </w:p>
        </w:tc>
        <w:tc>
          <w:tcPr>
            <w:tcW w:w="0" w:type="auto"/>
            <w:hideMark/>
          </w:tcPr>
          <w:p w:rsidR="003717AC" w:rsidRPr="00494FAF" w:rsidRDefault="003717AC" w:rsidP="003717AC">
            <w:pPr>
              <w:spacing w:line="256"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eastAsia="fr-FR"/>
              </w:rPr>
            </w:pPr>
            <w:r w:rsidRPr="00494FAF">
              <w:rPr>
                <w:rFonts w:ascii="Calibri" w:eastAsia="Times New Roman" w:hAnsi="Calibri" w:cs="Arial"/>
                <w:b/>
                <w:bCs/>
                <w:kern w:val="24"/>
                <w:lang w:eastAsia="fr-FR"/>
              </w:rPr>
              <w:t>2014</w:t>
            </w:r>
          </w:p>
        </w:tc>
        <w:tc>
          <w:tcPr>
            <w:tcW w:w="0" w:type="auto"/>
            <w:hideMark/>
          </w:tcPr>
          <w:p w:rsidR="003717AC" w:rsidRPr="00494FAF" w:rsidRDefault="003717AC" w:rsidP="003717AC">
            <w:pPr>
              <w:spacing w:line="256"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eastAsia="fr-FR"/>
              </w:rPr>
            </w:pPr>
            <w:r w:rsidRPr="00494FAF">
              <w:rPr>
                <w:rFonts w:ascii="Calibri" w:eastAsia="Times New Roman" w:hAnsi="Calibri" w:cs="Arial"/>
                <w:b/>
                <w:bCs/>
                <w:kern w:val="24"/>
                <w:lang w:eastAsia="fr-FR"/>
              </w:rPr>
              <w:t>2016</w:t>
            </w:r>
          </w:p>
        </w:tc>
        <w:tc>
          <w:tcPr>
            <w:tcW w:w="0" w:type="auto"/>
            <w:hideMark/>
          </w:tcPr>
          <w:p w:rsidR="003717AC" w:rsidRPr="00494FAF" w:rsidRDefault="003717AC" w:rsidP="003717AC">
            <w:pPr>
              <w:spacing w:line="256"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eastAsia="fr-FR"/>
              </w:rPr>
            </w:pPr>
            <w:r w:rsidRPr="00494FAF">
              <w:rPr>
                <w:rFonts w:ascii="Calibri" w:eastAsia="Times New Roman" w:hAnsi="Calibri" w:cs="Arial"/>
                <w:b/>
                <w:bCs/>
                <w:kern w:val="24"/>
                <w:lang w:eastAsia="fr-FR"/>
              </w:rPr>
              <w:t>2014</w:t>
            </w:r>
          </w:p>
        </w:tc>
      </w:tr>
      <w:tr w:rsidR="003717AC" w:rsidRPr="00494FAF" w:rsidTr="003717AC">
        <w:trPr>
          <w:trHeight w:val="390"/>
        </w:trPr>
        <w:tc>
          <w:tcPr>
            <w:cnfStyle w:val="001000000000" w:firstRow="0" w:lastRow="0" w:firstColumn="1" w:lastColumn="0" w:oddVBand="0" w:evenVBand="0" w:oddHBand="0" w:evenHBand="0" w:firstRowFirstColumn="0" w:firstRowLastColumn="0" w:lastRowFirstColumn="0" w:lastRowLastColumn="0"/>
            <w:tcW w:w="0" w:type="auto"/>
            <w:hideMark/>
          </w:tcPr>
          <w:p w:rsidR="003717AC" w:rsidRPr="00494FAF" w:rsidRDefault="003717AC" w:rsidP="003717AC">
            <w:pPr>
              <w:spacing w:line="256" w:lineRule="auto"/>
              <w:jc w:val="center"/>
              <w:rPr>
                <w:rFonts w:ascii="Arial" w:eastAsia="Times New Roman" w:hAnsi="Arial" w:cs="Arial"/>
                <w:lang w:eastAsia="fr-FR"/>
              </w:rPr>
            </w:pPr>
            <w:r w:rsidRPr="00494FAF">
              <w:rPr>
                <w:rFonts w:ascii="Calibri" w:eastAsia="Times New Roman" w:hAnsi="Calibri" w:cs="Arial"/>
                <w:kern w:val="24"/>
                <w:lang w:eastAsia="fr-FR"/>
              </w:rPr>
              <w:t>Eutocique</w:t>
            </w:r>
          </w:p>
        </w:tc>
        <w:tc>
          <w:tcPr>
            <w:tcW w:w="0" w:type="auto"/>
            <w:hideMark/>
          </w:tcPr>
          <w:p w:rsidR="003717AC" w:rsidRPr="00494FAF" w:rsidRDefault="003717AC" w:rsidP="003717AC">
            <w:pPr>
              <w:spacing w:line="256"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lang w:eastAsia="fr-FR"/>
              </w:rPr>
            </w:pPr>
            <w:r w:rsidRPr="00494FAF">
              <w:rPr>
                <w:rFonts w:ascii="Calibri" w:eastAsia="Times New Roman" w:hAnsi="Calibri" w:cs="Arial"/>
                <w:kern w:val="24"/>
                <w:lang w:eastAsia="fr-FR"/>
              </w:rPr>
              <w:t>4115</w:t>
            </w:r>
          </w:p>
        </w:tc>
        <w:tc>
          <w:tcPr>
            <w:tcW w:w="0" w:type="auto"/>
            <w:hideMark/>
          </w:tcPr>
          <w:p w:rsidR="003717AC" w:rsidRPr="00494FAF" w:rsidRDefault="003717AC" w:rsidP="003717AC">
            <w:pPr>
              <w:spacing w:line="256"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lang w:eastAsia="fr-FR"/>
              </w:rPr>
            </w:pPr>
            <w:r w:rsidRPr="00494FAF">
              <w:rPr>
                <w:rFonts w:ascii="Calibri" w:eastAsia="Times New Roman" w:hAnsi="Calibri" w:cs="Arial"/>
                <w:kern w:val="24"/>
                <w:lang w:eastAsia="fr-FR"/>
              </w:rPr>
              <w:t>4890</w:t>
            </w:r>
          </w:p>
        </w:tc>
        <w:tc>
          <w:tcPr>
            <w:tcW w:w="0" w:type="auto"/>
            <w:hideMark/>
          </w:tcPr>
          <w:p w:rsidR="003717AC" w:rsidRPr="00494FAF" w:rsidRDefault="003717AC" w:rsidP="003717AC">
            <w:pPr>
              <w:spacing w:line="256"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lang w:eastAsia="fr-FR"/>
              </w:rPr>
            </w:pPr>
            <w:r w:rsidRPr="00494FAF">
              <w:rPr>
                <w:rFonts w:ascii="Calibri" w:eastAsia="Times New Roman" w:hAnsi="Calibri" w:cs="Arial"/>
                <w:kern w:val="24"/>
                <w:lang w:eastAsia="fr-FR"/>
              </w:rPr>
              <w:t>1825 – 34210</w:t>
            </w:r>
          </w:p>
        </w:tc>
        <w:tc>
          <w:tcPr>
            <w:tcW w:w="0" w:type="auto"/>
            <w:hideMark/>
          </w:tcPr>
          <w:p w:rsidR="003717AC" w:rsidRPr="00494FAF" w:rsidRDefault="003717AC" w:rsidP="003717AC">
            <w:pPr>
              <w:spacing w:line="256"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lang w:eastAsia="fr-FR"/>
              </w:rPr>
            </w:pPr>
            <w:r w:rsidRPr="00494FAF">
              <w:rPr>
                <w:rFonts w:ascii="Calibri" w:eastAsia="Times New Roman" w:hAnsi="Calibri" w:cs="Arial"/>
                <w:kern w:val="24"/>
                <w:lang w:eastAsia="fr-FR"/>
              </w:rPr>
              <w:t> </w:t>
            </w:r>
          </w:p>
        </w:tc>
      </w:tr>
      <w:tr w:rsidR="003717AC" w:rsidRPr="00494FAF" w:rsidTr="003717AC">
        <w:trPr>
          <w:cnfStyle w:val="000000100000" w:firstRow="0" w:lastRow="0" w:firstColumn="0" w:lastColumn="0" w:oddVBand="0" w:evenVBand="0" w:oddHBand="1" w:evenHBand="0" w:firstRowFirstColumn="0" w:firstRowLastColumn="0" w:lastRowFirstColumn="0" w:lastRowLastColumn="0"/>
          <w:trHeight w:val="638"/>
        </w:trPr>
        <w:tc>
          <w:tcPr>
            <w:cnfStyle w:val="001000000000" w:firstRow="0" w:lastRow="0" w:firstColumn="1" w:lastColumn="0" w:oddVBand="0" w:evenVBand="0" w:oddHBand="0" w:evenHBand="0" w:firstRowFirstColumn="0" w:firstRowLastColumn="0" w:lastRowFirstColumn="0" w:lastRowLastColumn="0"/>
            <w:tcW w:w="0" w:type="auto"/>
            <w:hideMark/>
          </w:tcPr>
          <w:p w:rsidR="003717AC" w:rsidRPr="00494FAF" w:rsidRDefault="003717AC" w:rsidP="003717AC">
            <w:pPr>
              <w:spacing w:line="256" w:lineRule="auto"/>
              <w:jc w:val="center"/>
              <w:rPr>
                <w:rFonts w:ascii="Arial" w:eastAsia="Times New Roman" w:hAnsi="Arial" w:cs="Arial"/>
                <w:lang w:eastAsia="fr-FR"/>
              </w:rPr>
            </w:pPr>
            <w:r w:rsidRPr="00494FAF">
              <w:rPr>
                <w:rFonts w:ascii="Calibri" w:eastAsia="Times New Roman" w:hAnsi="Calibri" w:cs="Arial"/>
                <w:kern w:val="24"/>
                <w:lang w:eastAsia="fr-FR"/>
              </w:rPr>
              <w:t>Eutocique + épisiotomie</w:t>
            </w:r>
          </w:p>
        </w:tc>
        <w:tc>
          <w:tcPr>
            <w:tcW w:w="0" w:type="auto"/>
            <w:hideMark/>
          </w:tcPr>
          <w:p w:rsidR="003717AC" w:rsidRPr="00494FAF" w:rsidRDefault="003717AC" w:rsidP="003717AC">
            <w:pPr>
              <w:spacing w:line="256"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eastAsia="fr-FR"/>
              </w:rPr>
            </w:pPr>
            <w:r w:rsidRPr="00494FAF">
              <w:rPr>
                <w:rFonts w:ascii="Calibri" w:eastAsia="Times New Roman" w:hAnsi="Calibri" w:cs="Arial"/>
                <w:color w:val="000000" w:themeColor="dark1"/>
                <w:kern w:val="24"/>
                <w:lang w:eastAsia="fr-FR"/>
              </w:rPr>
              <w:t> </w:t>
            </w:r>
          </w:p>
          <w:p w:rsidR="003717AC" w:rsidRPr="00494FAF" w:rsidRDefault="003717AC" w:rsidP="003717AC">
            <w:pPr>
              <w:spacing w:line="256"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eastAsia="fr-FR"/>
              </w:rPr>
            </w:pPr>
            <w:r w:rsidRPr="00494FAF">
              <w:rPr>
                <w:rFonts w:ascii="Calibri" w:eastAsia="Times New Roman" w:hAnsi="Calibri" w:cs="Arial"/>
                <w:color w:val="000000" w:themeColor="dark1"/>
                <w:kern w:val="24"/>
                <w:lang w:eastAsia="fr-FR"/>
              </w:rPr>
              <w:t>7565</w:t>
            </w:r>
          </w:p>
        </w:tc>
        <w:tc>
          <w:tcPr>
            <w:tcW w:w="0" w:type="auto"/>
            <w:hideMark/>
          </w:tcPr>
          <w:p w:rsidR="003717AC" w:rsidRPr="00494FAF" w:rsidRDefault="003717AC" w:rsidP="003717AC">
            <w:pPr>
              <w:spacing w:line="256"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eastAsia="fr-FR"/>
              </w:rPr>
            </w:pPr>
            <w:r w:rsidRPr="00494FAF">
              <w:rPr>
                <w:rFonts w:ascii="Calibri" w:eastAsia="Times New Roman" w:hAnsi="Calibri" w:cs="Arial"/>
                <w:color w:val="000000" w:themeColor="dark1"/>
                <w:kern w:val="24"/>
                <w:lang w:eastAsia="fr-FR"/>
              </w:rPr>
              <w:t> </w:t>
            </w:r>
          </w:p>
          <w:p w:rsidR="003717AC" w:rsidRPr="00494FAF" w:rsidRDefault="003717AC" w:rsidP="003717AC">
            <w:pPr>
              <w:spacing w:line="256"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eastAsia="fr-FR"/>
              </w:rPr>
            </w:pPr>
            <w:r w:rsidRPr="00494FAF">
              <w:rPr>
                <w:rFonts w:ascii="Calibri" w:eastAsia="Times New Roman" w:hAnsi="Calibri" w:cs="Arial"/>
                <w:color w:val="000000" w:themeColor="dark1"/>
                <w:kern w:val="24"/>
                <w:lang w:eastAsia="fr-FR"/>
              </w:rPr>
              <w:t>7380</w:t>
            </w:r>
          </w:p>
        </w:tc>
        <w:tc>
          <w:tcPr>
            <w:tcW w:w="0" w:type="auto"/>
            <w:hideMark/>
          </w:tcPr>
          <w:p w:rsidR="003717AC" w:rsidRPr="00494FAF" w:rsidRDefault="003717AC" w:rsidP="003717AC">
            <w:pPr>
              <w:spacing w:line="256"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eastAsia="fr-FR"/>
              </w:rPr>
            </w:pPr>
            <w:r w:rsidRPr="00494FAF">
              <w:rPr>
                <w:rFonts w:ascii="Calibri" w:eastAsia="Times New Roman" w:hAnsi="Calibri" w:cs="Arial"/>
                <w:color w:val="000000" w:themeColor="dark1"/>
                <w:kern w:val="24"/>
                <w:lang w:eastAsia="fr-FR"/>
              </w:rPr>
              <w:t>2975 – 38700</w:t>
            </w:r>
          </w:p>
        </w:tc>
        <w:tc>
          <w:tcPr>
            <w:tcW w:w="0" w:type="auto"/>
            <w:hideMark/>
          </w:tcPr>
          <w:p w:rsidR="003717AC" w:rsidRPr="00494FAF" w:rsidRDefault="003717AC" w:rsidP="003717AC">
            <w:pPr>
              <w:spacing w:line="256"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eastAsia="fr-FR"/>
              </w:rPr>
            </w:pPr>
            <w:r w:rsidRPr="00494FAF">
              <w:rPr>
                <w:rFonts w:ascii="Calibri" w:eastAsia="Times New Roman" w:hAnsi="Calibri" w:cs="Arial"/>
                <w:color w:val="000000" w:themeColor="dark1"/>
                <w:kern w:val="24"/>
                <w:lang w:eastAsia="fr-FR"/>
              </w:rPr>
              <w:t> </w:t>
            </w:r>
          </w:p>
        </w:tc>
      </w:tr>
      <w:tr w:rsidR="003717AC" w:rsidRPr="00494FAF" w:rsidTr="003717AC">
        <w:trPr>
          <w:trHeight w:val="390"/>
        </w:trPr>
        <w:tc>
          <w:tcPr>
            <w:cnfStyle w:val="001000000000" w:firstRow="0" w:lastRow="0" w:firstColumn="1" w:lastColumn="0" w:oddVBand="0" w:evenVBand="0" w:oddHBand="0" w:evenHBand="0" w:firstRowFirstColumn="0" w:firstRowLastColumn="0" w:lastRowFirstColumn="0" w:lastRowLastColumn="0"/>
            <w:tcW w:w="0" w:type="auto"/>
            <w:hideMark/>
          </w:tcPr>
          <w:p w:rsidR="003717AC" w:rsidRPr="00494FAF" w:rsidRDefault="003717AC" w:rsidP="003717AC">
            <w:pPr>
              <w:spacing w:line="256" w:lineRule="auto"/>
              <w:jc w:val="center"/>
              <w:rPr>
                <w:rFonts w:ascii="Arial" w:eastAsia="Times New Roman" w:hAnsi="Arial" w:cs="Arial"/>
                <w:lang w:eastAsia="fr-FR"/>
              </w:rPr>
            </w:pPr>
            <w:r w:rsidRPr="00494FAF">
              <w:rPr>
                <w:rFonts w:ascii="Calibri" w:eastAsia="Times New Roman" w:hAnsi="Calibri" w:cs="Arial"/>
                <w:kern w:val="24"/>
                <w:lang w:eastAsia="fr-FR"/>
              </w:rPr>
              <w:t>Dystocique</w:t>
            </w:r>
          </w:p>
        </w:tc>
        <w:tc>
          <w:tcPr>
            <w:tcW w:w="0" w:type="auto"/>
            <w:hideMark/>
          </w:tcPr>
          <w:p w:rsidR="003717AC" w:rsidRPr="00494FAF" w:rsidRDefault="003717AC" w:rsidP="003717AC">
            <w:pPr>
              <w:spacing w:line="256"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lang w:eastAsia="fr-FR"/>
              </w:rPr>
            </w:pPr>
            <w:r w:rsidRPr="00494FAF">
              <w:rPr>
                <w:rFonts w:ascii="Calibri" w:eastAsia="Times New Roman" w:hAnsi="Calibri" w:cs="Arial"/>
                <w:color w:val="000000" w:themeColor="dark1"/>
                <w:kern w:val="24"/>
                <w:lang w:eastAsia="fr-FR"/>
              </w:rPr>
              <w:t>18470</w:t>
            </w:r>
          </w:p>
        </w:tc>
        <w:tc>
          <w:tcPr>
            <w:tcW w:w="0" w:type="auto"/>
            <w:hideMark/>
          </w:tcPr>
          <w:p w:rsidR="003717AC" w:rsidRPr="00494FAF" w:rsidRDefault="003717AC" w:rsidP="003717AC">
            <w:pPr>
              <w:spacing w:line="256"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lang w:eastAsia="fr-FR"/>
              </w:rPr>
            </w:pPr>
            <w:r w:rsidRPr="00494FAF">
              <w:rPr>
                <w:rFonts w:ascii="Calibri" w:eastAsia="Times New Roman" w:hAnsi="Calibri" w:cs="Arial"/>
                <w:color w:val="000000" w:themeColor="dark1"/>
                <w:kern w:val="24"/>
                <w:lang w:eastAsia="fr-FR"/>
              </w:rPr>
              <w:t>12575</w:t>
            </w:r>
          </w:p>
        </w:tc>
        <w:tc>
          <w:tcPr>
            <w:tcW w:w="0" w:type="auto"/>
            <w:hideMark/>
          </w:tcPr>
          <w:p w:rsidR="003717AC" w:rsidRPr="00494FAF" w:rsidRDefault="003717AC" w:rsidP="003717AC">
            <w:pPr>
              <w:spacing w:line="256"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lang w:eastAsia="fr-FR"/>
              </w:rPr>
            </w:pPr>
            <w:r w:rsidRPr="00494FAF">
              <w:rPr>
                <w:rFonts w:ascii="Calibri" w:eastAsia="Times New Roman" w:hAnsi="Calibri" w:cs="Arial"/>
                <w:color w:val="000000" w:themeColor="dark1"/>
                <w:kern w:val="24"/>
                <w:lang w:eastAsia="fr-FR"/>
              </w:rPr>
              <w:t>4055 – 53650</w:t>
            </w:r>
          </w:p>
        </w:tc>
        <w:tc>
          <w:tcPr>
            <w:tcW w:w="0" w:type="auto"/>
            <w:hideMark/>
          </w:tcPr>
          <w:p w:rsidR="003717AC" w:rsidRPr="00494FAF" w:rsidRDefault="003717AC" w:rsidP="003717AC">
            <w:pPr>
              <w:spacing w:line="256"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lang w:eastAsia="fr-FR"/>
              </w:rPr>
            </w:pPr>
            <w:r w:rsidRPr="00494FAF">
              <w:rPr>
                <w:rFonts w:ascii="Calibri" w:eastAsia="Times New Roman" w:hAnsi="Calibri" w:cs="Arial"/>
                <w:color w:val="000000" w:themeColor="dark1"/>
                <w:kern w:val="24"/>
                <w:lang w:eastAsia="fr-FR"/>
              </w:rPr>
              <w:t> </w:t>
            </w:r>
          </w:p>
        </w:tc>
      </w:tr>
      <w:tr w:rsidR="003717AC" w:rsidRPr="00494FAF" w:rsidTr="003717AC">
        <w:trPr>
          <w:cnfStyle w:val="000000100000" w:firstRow="0" w:lastRow="0" w:firstColumn="0" w:lastColumn="0" w:oddVBand="0" w:evenVBand="0" w:oddHBand="1" w:evenHBand="0" w:firstRowFirstColumn="0" w:firstRowLastColumn="0" w:lastRowFirstColumn="0" w:lastRowLastColumn="0"/>
          <w:trHeight w:val="654"/>
        </w:trPr>
        <w:tc>
          <w:tcPr>
            <w:cnfStyle w:val="001000000000" w:firstRow="0" w:lastRow="0" w:firstColumn="1" w:lastColumn="0" w:oddVBand="0" w:evenVBand="0" w:oddHBand="0" w:evenHBand="0" w:firstRowFirstColumn="0" w:firstRowLastColumn="0" w:lastRowFirstColumn="0" w:lastRowLastColumn="0"/>
            <w:tcW w:w="0" w:type="auto"/>
            <w:hideMark/>
          </w:tcPr>
          <w:p w:rsidR="003717AC" w:rsidRPr="00494FAF" w:rsidRDefault="003717AC" w:rsidP="003717AC">
            <w:pPr>
              <w:spacing w:line="256" w:lineRule="auto"/>
              <w:jc w:val="center"/>
              <w:rPr>
                <w:rFonts w:ascii="Arial" w:eastAsia="Times New Roman" w:hAnsi="Arial" w:cs="Arial"/>
                <w:lang w:eastAsia="fr-FR"/>
              </w:rPr>
            </w:pPr>
            <w:r w:rsidRPr="00494FAF">
              <w:rPr>
                <w:rFonts w:ascii="Calibri" w:eastAsia="Times New Roman" w:hAnsi="Calibri" w:cs="Arial"/>
                <w:kern w:val="24"/>
                <w:lang w:eastAsia="fr-FR"/>
              </w:rPr>
              <w:t>Dystocique + épisiotomie</w:t>
            </w:r>
          </w:p>
        </w:tc>
        <w:tc>
          <w:tcPr>
            <w:tcW w:w="0" w:type="auto"/>
            <w:hideMark/>
          </w:tcPr>
          <w:p w:rsidR="003717AC" w:rsidRPr="00494FAF" w:rsidRDefault="003717AC" w:rsidP="003717AC">
            <w:pPr>
              <w:spacing w:line="256"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eastAsia="fr-FR"/>
              </w:rPr>
            </w:pPr>
            <w:r w:rsidRPr="00494FAF">
              <w:rPr>
                <w:rFonts w:ascii="Calibri" w:eastAsia="Times New Roman" w:hAnsi="Calibri" w:cs="Arial"/>
                <w:color w:val="000000" w:themeColor="dark1"/>
                <w:kern w:val="24"/>
                <w:lang w:eastAsia="fr-FR"/>
              </w:rPr>
              <w:t> </w:t>
            </w:r>
          </w:p>
          <w:p w:rsidR="003717AC" w:rsidRPr="00494FAF" w:rsidRDefault="003717AC" w:rsidP="003717AC">
            <w:pPr>
              <w:spacing w:line="256"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eastAsia="fr-FR"/>
              </w:rPr>
            </w:pPr>
            <w:r w:rsidRPr="00494FAF">
              <w:rPr>
                <w:rFonts w:ascii="Calibri" w:eastAsia="Times New Roman" w:hAnsi="Calibri" w:cs="Arial"/>
                <w:color w:val="000000" w:themeColor="dark1"/>
                <w:kern w:val="24"/>
                <w:lang w:eastAsia="fr-FR"/>
              </w:rPr>
              <w:t>20390</w:t>
            </w:r>
          </w:p>
        </w:tc>
        <w:tc>
          <w:tcPr>
            <w:tcW w:w="0" w:type="auto"/>
            <w:hideMark/>
          </w:tcPr>
          <w:p w:rsidR="003717AC" w:rsidRPr="00494FAF" w:rsidRDefault="003717AC" w:rsidP="003717AC">
            <w:pPr>
              <w:spacing w:line="256"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eastAsia="fr-FR"/>
              </w:rPr>
            </w:pPr>
            <w:r w:rsidRPr="00494FAF">
              <w:rPr>
                <w:rFonts w:ascii="Calibri" w:eastAsia="Times New Roman" w:hAnsi="Calibri" w:cs="Arial"/>
                <w:color w:val="000000" w:themeColor="dark1"/>
                <w:kern w:val="24"/>
                <w:lang w:eastAsia="fr-FR"/>
              </w:rPr>
              <w:t> </w:t>
            </w:r>
          </w:p>
          <w:p w:rsidR="003717AC" w:rsidRPr="00494FAF" w:rsidRDefault="003717AC" w:rsidP="003717AC">
            <w:pPr>
              <w:spacing w:line="256"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eastAsia="fr-FR"/>
              </w:rPr>
            </w:pPr>
            <w:r w:rsidRPr="00494FAF">
              <w:rPr>
                <w:rFonts w:ascii="Calibri" w:eastAsia="Times New Roman" w:hAnsi="Calibri" w:cs="Arial"/>
                <w:color w:val="000000" w:themeColor="dark1"/>
                <w:kern w:val="24"/>
                <w:lang w:eastAsia="fr-FR"/>
              </w:rPr>
              <w:t>16235</w:t>
            </w:r>
          </w:p>
        </w:tc>
        <w:tc>
          <w:tcPr>
            <w:tcW w:w="0" w:type="auto"/>
            <w:hideMark/>
          </w:tcPr>
          <w:p w:rsidR="003717AC" w:rsidRPr="00494FAF" w:rsidRDefault="003717AC" w:rsidP="003717AC">
            <w:pPr>
              <w:spacing w:line="256"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eastAsia="fr-FR"/>
              </w:rPr>
            </w:pPr>
            <w:r w:rsidRPr="00494FAF">
              <w:rPr>
                <w:rFonts w:ascii="Calibri" w:eastAsia="Times New Roman" w:hAnsi="Calibri" w:cs="Arial"/>
                <w:color w:val="000000" w:themeColor="dark1"/>
                <w:kern w:val="24"/>
                <w:lang w:eastAsia="fr-FR"/>
              </w:rPr>
              <w:t> </w:t>
            </w:r>
          </w:p>
          <w:p w:rsidR="003717AC" w:rsidRPr="00494FAF" w:rsidRDefault="003717AC" w:rsidP="003717AC">
            <w:pPr>
              <w:spacing w:line="256"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eastAsia="fr-FR"/>
              </w:rPr>
            </w:pPr>
            <w:r w:rsidRPr="00494FAF">
              <w:rPr>
                <w:rFonts w:ascii="Calibri" w:eastAsia="Times New Roman" w:hAnsi="Calibri" w:cs="Arial"/>
                <w:color w:val="000000" w:themeColor="dark1"/>
                <w:kern w:val="24"/>
                <w:lang w:eastAsia="fr-FR"/>
              </w:rPr>
              <w:t>4990 – 57325</w:t>
            </w:r>
          </w:p>
        </w:tc>
        <w:tc>
          <w:tcPr>
            <w:tcW w:w="0" w:type="auto"/>
            <w:hideMark/>
          </w:tcPr>
          <w:p w:rsidR="003717AC" w:rsidRPr="00494FAF" w:rsidRDefault="003717AC" w:rsidP="003717AC">
            <w:pPr>
              <w:spacing w:line="256"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eastAsia="fr-FR"/>
              </w:rPr>
            </w:pPr>
            <w:r w:rsidRPr="00494FAF">
              <w:rPr>
                <w:rFonts w:ascii="Calibri" w:eastAsia="Times New Roman" w:hAnsi="Calibri" w:cs="Arial"/>
                <w:color w:val="000000" w:themeColor="dark1"/>
                <w:kern w:val="24"/>
                <w:lang w:eastAsia="fr-FR"/>
              </w:rPr>
              <w:t> </w:t>
            </w:r>
          </w:p>
        </w:tc>
      </w:tr>
      <w:tr w:rsidR="003717AC" w:rsidRPr="00494FAF" w:rsidTr="003717AC">
        <w:trPr>
          <w:trHeight w:val="390"/>
        </w:trPr>
        <w:tc>
          <w:tcPr>
            <w:cnfStyle w:val="001000000000" w:firstRow="0" w:lastRow="0" w:firstColumn="1" w:lastColumn="0" w:oddVBand="0" w:evenVBand="0" w:oddHBand="0" w:evenHBand="0" w:firstRowFirstColumn="0" w:firstRowLastColumn="0" w:lastRowFirstColumn="0" w:lastRowLastColumn="0"/>
            <w:tcW w:w="0" w:type="auto"/>
            <w:hideMark/>
          </w:tcPr>
          <w:p w:rsidR="003717AC" w:rsidRPr="00494FAF" w:rsidRDefault="003717AC" w:rsidP="003717AC">
            <w:pPr>
              <w:spacing w:line="256" w:lineRule="auto"/>
              <w:jc w:val="center"/>
              <w:rPr>
                <w:rFonts w:ascii="Arial" w:eastAsia="Times New Roman" w:hAnsi="Arial" w:cs="Arial"/>
                <w:lang w:eastAsia="fr-FR"/>
              </w:rPr>
            </w:pPr>
            <w:r w:rsidRPr="00494FAF">
              <w:rPr>
                <w:rFonts w:ascii="Calibri" w:eastAsia="Times New Roman" w:hAnsi="Calibri" w:cs="Arial"/>
                <w:kern w:val="24"/>
                <w:lang w:eastAsia="fr-FR"/>
              </w:rPr>
              <w:t>Césarienne</w:t>
            </w:r>
          </w:p>
        </w:tc>
        <w:tc>
          <w:tcPr>
            <w:tcW w:w="0" w:type="auto"/>
            <w:hideMark/>
          </w:tcPr>
          <w:p w:rsidR="003717AC" w:rsidRPr="00494FAF" w:rsidRDefault="003717AC" w:rsidP="003717AC">
            <w:pPr>
              <w:spacing w:line="256"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lang w:eastAsia="fr-FR"/>
              </w:rPr>
            </w:pPr>
            <w:r w:rsidRPr="00494FAF">
              <w:rPr>
                <w:rFonts w:ascii="Calibri" w:eastAsia="Times New Roman" w:hAnsi="Calibri" w:cs="Arial"/>
                <w:color w:val="000000" w:themeColor="dark1"/>
                <w:kern w:val="24"/>
                <w:lang w:eastAsia="fr-FR"/>
              </w:rPr>
              <w:t>84570</w:t>
            </w:r>
          </w:p>
        </w:tc>
        <w:tc>
          <w:tcPr>
            <w:tcW w:w="0" w:type="auto"/>
            <w:hideMark/>
          </w:tcPr>
          <w:p w:rsidR="003717AC" w:rsidRPr="00494FAF" w:rsidRDefault="003717AC" w:rsidP="003717AC">
            <w:pPr>
              <w:spacing w:line="256"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lang w:eastAsia="fr-FR"/>
              </w:rPr>
            </w:pPr>
            <w:r w:rsidRPr="00494FAF">
              <w:rPr>
                <w:rFonts w:ascii="Calibri" w:eastAsia="Times New Roman" w:hAnsi="Calibri" w:cs="Arial"/>
                <w:color w:val="000000" w:themeColor="dark1"/>
                <w:kern w:val="24"/>
                <w:lang w:eastAsia="fr-FR"/>
              </w:rPr>
              <w:t>52705</w:t>
            </w:r>
          </w:p>
        </w:tc>
        <w:tc>
          <w:tcPr>
            <w:tcW w:w="0" w:type="auto"/>
            <w:hideMark/>
          </w:tcPr>
          <w:p w:rsidR="003717AC" w:rsidRPr="00494FAF" w:rsidRDefault="003717AC" w:rsidP="003717AC">
            <w:pPr>
              <w:spacing w:line="256"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lang w:eastAsia="fr-FR"/>
              </w:rPr>
            </w:pPr>
            <w:r w:rsidRPr="00494FAF">
              <w:rPr>
                <w:rFonts w:ascii="Calibri" w:eastAsia="Times New Roman" w:hAnsi="Calibri" w:cs="Arial"/>
                <w:color w:val="000000" w:themeColor="dark1"/>
                <w:kern w:val="24"/>
                <w:lang w:eastAsia="fr-FR"/>
              </w:rPr>
              <w:t>41675 - 146385</w:t>
            </w:r>
          </w:p>
        </w:tc>
        <w:tc>
          <w:tcPr>
            <w:tcW w:w="0" w:type="auto"/>
            <w:hideMark/>
          </w:tcPr>
          <w:p w:rsidR="003717AC" w:rsidRPr="00494FAF" w:rsidRDefault="003717AC" w:rsidP="003717AC">
            <w:pPr>
              <w:spacing w:line="256"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lang w:eastAsia="fr-FR"/>
              </w:rPr>
            </w:pPr>
            <w:r w:rsidRPr="00494FAF">
              <w:rPr>
                <w:rFonts w:ascii="Calibri" w:eastAsia="Times New Roman" w:hAnsi="Calibri" w:cs="Arial"/>
                <w:color w:val="000000" w:themeColor="dark1"/>
                <w:kern w:val="24"/>
                <w:lang w:eastAsia="fr-FR"/>
              </w:rPr>
              <w:t>26150 - 82220</w:t>
            </w:r>
          </w:p>
        </w:tc>
      </w:tr>
    </w:tbl>
    <w:p w:rsidR="003717AC" w:rsidRDefault="003717AC" w:rsidP="003717AC">
      <w:pPr>
        <w:spacing w:after="0" w:line="360" w:lineRule="auto"/>
        <w:jc w:val="both"/>
        <w:rPr>
          <w:rFonts w:ascii="Arial" w:hAnsi="Arial" w:cs="Arial"/>
          <w:sz w:val="24"/>
          <w:szCs w:val="24"/>
        </w:rPr>
      </w:pPr>
    </w:p>
    <w:p w:rsidR="003717AC" w:rsidRDefault="003717AC" w:rsidP="003717AC">
      <w:pPr>
        <w:spacing w:after="0" w:line="360" w:lineRule="auto"/>
        <w:jc w:val="both"/>
        <w:rPr>
          <w:rFonts w:ascii="Arial" w:hAnsi="Arial" w:cs="Arial"/>
          <w:sz w:val="24"/>
          <w:szCs w:val="24"/>
        </w:rPr>
      </w:pPr>
    </w:p>
    <w:p w:rsidR="003717AC" w:rsidRDefault="003717AC" w:rsidP="003717AC">
      <w:pPr>
        <w:pStyle w:val="Lgende"/>
        <w:rPr>
          <w:rFonts w:ascii="Arial" w:hAnsi="Arial" w:cs="Arial"/>
          <w:sz w:val="24"/>
          <w:szCs w:val="24"/>
        </w:rPr>
      </w:pPr>
      <w:bookmarkStart w:id="12" w:name="_Toc491848494"/>
      <w:r>
        <w:t xml:space="preserve">Tableau </w:t>
      </w:r>
      <w:r w:rsidR="00F559F0">
        <w:fldChar w:fldCharType="begin"/>
      </w:r>
      <w:r w:rsidR="00F559F0">
        <w:instrText xml:space="preserve"> SEQ Tableau \* ARABIC </w:instrText>
      </w:r>
      <w:r w:rsidR="00F559F0">
        <w:fldChar w:fldCharType="separate"/>
      </w:r>
      <w:r>
        <w:rPr>
          <w:noProof/>
        </w:rPr>
        <w:t>2</w:t>
      </w:r>
      <w:r w:rsidR="00F559F0">
        <w:rPr>
          <w:noProof/>
        </w:rPr>
        <w:fldChar w:fldCharType="end"/>
      </w:r>
      <w:r w:rsidR="008D2D58">
        <w:rPr>
          <w:noProof/>
        </w:rPr>
        <w:t> </w:t>
      </w:r>
      <w:r w:rsidR="00E074FD">
        <w:rPr>
          <w:noProof/>
        </w:rPr>
        <w:t> </w:t>
      </w:r>
      <w:r w:rsidR="008D2D58">
        <w:rPr>
          <w:noProof/>
        </w:rPr>
        <w:t>: Coûts réels des prestations de soins en 2016, IRSS</w:t>
      </w:r>
      <w:bookmarkEnd w:id="12"/>
    </w:p>
    <w:tbl>
      <w:tblPr>
        <w:tblStyle w:val="Trameclaire-Accent5"/>
        <w:tblW w:w="10209" w:type="dxa"/>
        <w:tblLook w:val="04A0" w:firstRow="1" w:lastRow="0" w:firstColumn="1" w:lastColumn="0" w:noHBand="0" w:noVBand="1"/>
      </w:tblPr>
      <w:tblGrid>
        <w:gridCol w:w="2570"/>
        <w:gridCol w:w="1887"/>
        <w:gridCol w:w="2694"/>
        <w:gridCol w:w="3058"/>
      </w:tblGrid>
      <w:tr w:rsidR="003717AC" w:rsidRPr="00494FAF" w:rsidTr="003717AC">
        <w:trPr>
          <w:cnfStyle w:val="100000000000" w:firstRow="1" w:lastRow="0" w:firstColumn="0" w:lastColumn="0" w:oddVBand="0" w:evenVBand="0" w:oddHBand="0"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0" w:type="auto"/>
            <w:hideMark/>
          </w:tcPr>
          <w:p w:rsidR="003717AC" w:rsidRPr="00494FAF" w:rsidRDefault="003717AC" w:rsidP="003717AC">
            <w:pPr>
              <w:jc w:val="center"/>
              <w:rPr>
                <w:rFonts w:ascii="Arial" w:eastAsia="Times New Roman" w:hAnsi="Arial" w:cs="Arial"/>
                <w:lang w:eastAsia="fr-FR"/>
              </w:rPr>
            </w:pPr>
            <w:r w:rsidRPr="00494FAF">
              <w:rPr>
                <w:rFonts w:ascii="Times New Roman" w:eastAsia="Calibri" w:hAnsi="Times New Roman" w:cs="Times New Roman"/>
                <w:color w:val="000000" w:themeColor="text1"/>
                <w:kern w:val="24"/>
                <w:lang w:eastAsia="fr-FR"/>
              </w:rPr>
              <w:t>Type de prestation</w:t>
            </w:r>
          </w:p>
        </w:tc>
        <w:tc>
          <w:tcPr>
            <w:tcW w:w="0" w:type="auto"/>
            <w:hideMark/>
          </w:tcPr>
          <w:p w:rsidR="003717AC" w:rsidRPr="00494FAF" w:rsidRDefault="003717AC" w:rsidP="003717AC">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lang w:eastAsia="fr-FR"/>
              </w:rPr>
            </w:pPr>
            <w:r w:rsidRPr="00494FAF">
              <w:rPr>
                <w:rFonts w:ascii="Times New Roman" w:eastAsia="Calibri" w:hAnsi="Times New Roman" w:cs="Times New Roman"/>
                <w:color w:val="000000" w:themeColor="text1"/>
                <w:kern w:val="24"/>
                <w:lang w:eastAsia="fr-FR"/>
              </w:rPr>
              <w:t>Co</w:t>
            </w:r>
            <w:r w:rsidR="00E074FD">
              <w:rPr>
                <w:rFonts w:ascii="Times New Roman" w:eastAsia="Calibri" w:hAnsi="Times New Roman" w:cs="Times New Roman"/>
                <w:color w:val="000000" w:themeColor="text1"/>
                <w:kern w:val="24"/>
                <w:lang w:eastAsia="fr-FR"/>
              </w:rPr>
              <w:t>û</w:t>
            </w:r>
            <w:r w:rsidRPr="00494FAF">
              <w:rPr>
                <w:rFonts w:ascii="Times New Roman" w:eastAsia="Calibri" w:hAnsi="Times New Roman" w:cs="Times New Roman"/>
                <w:color w:val="000000" w:themeColor="text1"/>
                <w:kern w:val="24"/>
                <w:lang w:eastAsia="fr-FR"/>
              </w:rPr>
              <w:t xml:space="preserve">t total moyen </w:t>
            </w:r>
          </w:p>
        </w:tc>
        <w:tc>
          <w:tcPr>
            <w:tcW w:w="0" w:type="auto"/>
            <w:hideMark/>
          </w:tcPr>
          <w:p w:rsidR="003717AC" w:rsidRPr="00494FAF" w:rsidRDefault="003717AC" w:rsidP="003717AC">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lang w:eastAsia="fr-FR"/>
              </w:rPr>
            </w:pPr>
            <w:r w:rsidRPr="00494FAF">
              <w:rPr>
                <w:rFonts w:ascii="Times New Roman" w:eastAsia="Calibri" w:hAnsi="Times New Roman" w:cs="Times New Roman"/>
                <w:color w:val="000000" w:themeColor="text1"/>
                <w:kern w:val="24"/>
                <w:lang w:eastAsia="fr-FR"/>
              </w:rPr>
              <w:t>Co</w:t>
            </w:r>
            <w:r w:rsidR="00E074FD">
              <w:rPr>
                <w:rFonts w:ascii="Times New Roman" w:eastAsia="Calibri" w:hAnsi="Times New Roman" w:cs="Times New Roman"/>
                <w:color w:val="000000" w:themeColor="text1"/>
                <w:kern w:val="24"/>
                <w:lang w:eastAsia="fr-FR"/>
              </w:rPr>
              <w:t>û</w:t>
            </w:r>
            <w:r w:rsidRPr="00494FAF">
              <w:rPr>
                <w:rFonts w:ascii="Times New Roman" w:eastAsia="Calibri" w:hAnsi="Times New Roman" w:cs="Times New Roman"/>
                <w:color w:val="000000" w:themeColor="text1"/>
                <w:kern w:val="24"/>
                <w:lang w:eastAsia="fr-FR"/>
              </w:rPr>
              <w:t>t à la charge de l’Etat</w:t>
            </w:r>
          </w:p>
        </w:tc>
        <w:tc>
          <w:tcPr>
            <w:tcW w:w="0" w:type="auto"/>
            <w:hideMark/>
          </w:tcPr>
          <w:p w:rsidR="003717AC" w:rsidRPr="00494FAF" w:rsidRDefault="003717AC" w:rsidP="003717AC">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lang w:eastAsia="fr-FR"/>
              </w:rPr>
            </w:pPr>
            <w:r w:rsidRPr="00494FAF">
              <w:rPr>
                <w:rFonts w:ascii="Times New Roman" w:eastAsia="Calibri" w:hAnsi="Times New Roman" w:cs="Times New Roman"/>
                <w:color w:val="000000" w:themeColor="text1"/>
                <w:kern w:val="24"/>
                <w:lang w:eastAsia="fr-FR"/>
              </w:rPr>
              <w:t>Co</w:t>
            </w:r>
            <w:r w:rsidR="00E074FD">
              <w:rPr>
                <w:rFonts w:ascii="Times New Roman" w:eastAsia="Calibri" w:hAnsi="Times New Roman" w:cs="Times New Roman"/>
                <w:color w:val="000000" w:themeColor="text1"/>
                <w:kern w:val="24"/>
                <w:lang w:eastAsia="fr-FR"/>
              </w:rPr>
              <w:t>û</w:t>
            </w:r>
            <w:r w:rsidRPr="00494FAF">
              <w:rPr>
                <w:rFonts w:ascii="Times New Roman" w:eastAsia="Calibri" w:hAnsi="Times New Roman" w:cs="Times New Roman"/>
                <w:color w:val="000000" w:themeColor="text1"/>
                <w:kern w:val="24"/>
                <w:lang w:eastAsia="fr-FR"/>
              </w:rPr>
              <w:t>t à la charge des ménages</w:t>
            </w:r>
          </w:p>
        </w:tc>
      </w:tr>
      <w:tr w:rsidR="003717AC" w:rsidRPr="00494FAF" w:rsidTr="003717AC">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3717AC" w:rsidRPr="00494FAF" w:rsidRDefault="003717AC" w:rsidP="003717AC">
            <w:pPr>
              <w:spacing w:line="306" w:lineRule="atLeast"/>
              <w:jc w:val="both"/>
              <w:rPr>
                <w:rFonts w:ascii="Arial" w:eastAsia="Times New Roman" w:hAnsi="Arial" w:cs="Arial"/>
                <w:lang w:eastAsia="fr-FR"/>
              </w:rPr>
            </w:pPr>
            <w:r w:rsidRPr="00494FAF">
              <w:rPr>
                <w:rFonts w:ascii="Times New Roman" w:eastAsia="Calibri" w:hAnsi="Times New Roman" w:cs="Times New Roman"/>
                <w:color w:val="000000" w:themeColor="text1"/>
                <w:kern w:val="24"/>
                <w:lang w:eastAsia="fr-FR"/>
              </w:rPr>
              <w:t> </w:t>
            </w:r>
          </w:p>
        </w:tc>
        <w:tc>
          <w:tcPr>
            <w:tcW w:w="0" w:type="auto"/>
            <w:hideMark/>
          </w:tcPr>
          <w:p w:rsidR="003717AC" w:rsidRPr="00494FAF" w:rsidRDefault="003717AC" w:rsidP="003717AC">
            <w:pPr>
              <w:spacing w:line="306" w:lineRule="atLeast"/>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eastAsia="fr-FR"/>
              </w:rPr>
            </w:pPr>
            <w:r w:rsidRPr="00494FAF">
              <w:rPr>
                <w:rFonts w:ascii="Times New Roman" w:eastAsia="Calibri" w:hAnsi="Times New Roman" w:cs="Times New Roman"/>
                <w:color w:val="000000" w:themeColor="text1"/>
                <w:kern w:val="24"/>
                <w:lang w:eastAsia="fr-FR"/>
              </w:rPr>
              <w:t> </w:t>
            </w:r>
          </w:p>
        </w:tc>
        <w:tc>
          <w:tcPr>
            <w:tcW w:w="0" w:type="auto"/>
            <w:hideMark/>
          </w:tcPr>
          <w:p w:rsidR="003717AC" w:rsidRPr="00494FAF" w:rsidRDefault="003717AC" w:rsidP="003717AC">
            <w:pPr>
              <w:spacing w:line="306" w:lineRule="atLeast"/>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eastAsia="fr-FR"/>
              </w:rPr>
            </w:pPr>
            <w:r w:rsidRPr="00494FAF">
              <w:rPr>
                <w:rFonts w:ascii="Times New Roman" w:eastAsia="Calibri" w:hAnsi="Times New Roman" w:cs="Times New Roman"/>
                <w:color w:val="000000" w:themeColor="text1"/>
                <w:kern w:val="24"/>
                <w:lang w:eastAsia="fr-FR"/>
              </w:rPr>
              <w:t> </w:t>
            </w:r>
          </w:p>
        </w:tc>
        <w:tc>
          <w:tcPr>
            <w:tcW w:w="0" w:type="auto"/>
            <w:hideMark/>
          </w:tcPr>
          <w:p w:rsidR="003717AC" w:rsidRPr="00494FAF" w:rsidRDefault="003717AC" w:rsidP="003717AC">
            <w:pPr>
              <w:spacing w:line="306" w:lineRule="atLeast"/>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eastAsia="fr-FR"/>
              </w:rPr>
            </w:pPr>
            <w:r w:rsidRPr="00494FAF">
              <w:rPr>
                <w:rFonts w:ascii="Times New Roman" w:eastAsia="Calibri" w:hAnsi="Times New Roman" w:cs="Times New Roman"/>
                <w:color w:val="000000" w:themeColor="text1"/>
                <w:kern w:val="24"/>
                <w:lang w:eastAsia="fr-FR"/>
              </w:rPr>
              <w:t> </w:t>
            </w:r>
          </w:p>
        </w:tc>
      </w:tr>
      <w:tr w:rsidR="003717AC" w:rsidRPr="00494FAF" w:rsidTr="003717AC">
        <w:trPr>
          <w:trHeight w:val="541"/>
        </w:trPr>
        <w:tc>
          <w:tcPr>
            <w:cnfStyle w:val="001000000000" w:firstRow="0" w:lastRow="0" w:firstColumn="1" w:lastColumn="0" w:oddVBand="0" w:evenVBand="0" w:oddHBand="0" w:evenHBand="0" w:firstRowFirstColumn="0" w:firstRowLastColumn="0" w:lastRowFirstColumn="0" w:lastRowLastColumn="0"/>
            <w:tcW w:w="0" w:type="auto"/>
            <w:hideMark/>
          </w:tcPr>
          <w:p w:rsidR="003717AC" w:rsidRPr="00494FAF" w:rsidRDefault="003717AC" w:rsidP="003717AC">
            <w:pPr>
              <w:jc w:val="center"/>
              <w:rPr>
                <w:rFonts w:ascii="Arial" w:eastAsia="Times New Roman" w:hAnsi="Arial" w:cs="Arial"/>
                <w:b w:val="0"/>
                <w:lang w:eastAsia="fr-FR"/>
              </w:rPr>
            </w:pPr>
            <w:r w:rsidRPr="00494FAF">
              <w:rPr>
                <w:rFonts w:ascii="Times New Roman" w:eastAsia="Calibri" w:hAnsi="Times New Roman" w:cs="Times New Roman"/>
                <w:color w:val="000000" w:themeColor="text1"/>
                <w:kern w:val="24"/>
                <w:lang w:eastAsia="fr-FR"/>
              </w:rPr>
              <w:t>Eutocique </w:t>
            </w:r>
          </w:p>
        </w:tc>
        <w:tc>
          <w:tcPr>
            <w:tcW w:w="0" w:type="auto"/>
            <w:hideMark/>
          </w:tcPr>
          <w:p w:rsidR="003717AC" w:rsidRPr="00494FAF" w:rsidRDefault="003717AC" w:rsidP="003717A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lang w:eastAsia="fr-FR"/>
              </w:rPr>
            </w:pPr>
            <w:r w:rsidRPr="00494FAF">
              <w:rPr>
                <w:rFonts w:ascii="Times New Roman" w:eastAsia="Calibri" w:hAnsi="Times New Roman" w:cs="Times New Roman"/>
                <w:color w:val="000000" w:themeColor="text1"/>
                <w:kern w:val="24"/>
                <w:lang w:eastAsia="fr-FR"/>
              </w:rPr>
              <w:t>4115</w:t>
            </w:r>
          </w:p>
        </w:tc>
        <w:tc>
          <w:tcPr>
            <w:tcW w:w="0" w:type="auto"/>
            <w:hideMark/>
          </w:tcPr>
          <w:p w:rsidR="003717AC" w:rsidRPr="00494FAF" w:rsidRDefault="003717AC" w:rsidP="003717A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lang w:eastAsia="fr-FR"/>
              </w:rPr>
            </w:pPr>
            <w:r w:rsidRPr="00494FAF">
              <w:rPr>
                <w:rFonts w:ascii="Times New Roman" w:eastAsia="Calibri" w:hAnsi="Times New Roman" w:cs="Times New Roman"/>
                <w:color w:val="000000" w:themeColor="text1"/>
                <w:kern w:val="24"/>
                <w:lang w:eastAsia="fr-FR"/>
              </w:rPr>
              <w:t>3740</w:t>
            </w:r>
          </w:p>
        </w:tc>
        <w:tc>
          <w:tcPr>
            <w:tcW w:w="0" w:type="auto"/>
            <w:hideMark/>
          </w:tcPr>
          <w:p w:rsidR="003717AC" w:rsidRPr="00494FAF" w:rsidRDefault="003717AC" w:rsidP="003717A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lang w:eastAsia="fr-FR"/>
              </w:rPr>
            </w:pPr>
            <w:r w:rsidRPr="00494FAF">
              <w:rPr>
                <w:rFonts w:ascii="Times New Roman" w:eastAsia="Calibri" w:hAnsi="Times New Roman" w:cs="Times New Roman"/>
                <w:color w:val="000000" w:themeColor="text1"/>
                <w:kern w:val="24"/>
                <w:lang w:eastAsia="fr-FR"/>
              </w:rPr>
              <w:t>375</w:t>
            </w:r>
          </w:p>
        </w:tc>
      </w:tr>
      <w:tr w:rsidR="003717AC" w:rsidRPr="00494FAF" w:rsidTr="003717AC">
        <w:trPr>
          <w:cnfStyle w:val="000000100000" w:firstRow="0" w:lastRow="0" w:firstColumn="0" w:lastColumn="0" w:oddVBand="0" w:evenVBand="0" w:oddHBand="1" w:evenHBand="0" w:firstRowFirstColumn="0" w:firstRowLastColumn="0" w:lastRowFirstColumn="0" w:lastRowLastColumn="0"/>
          <w:trHeight w:val="828"/>
        </w:trPr>
        <w:tc>
          <w:tcPr>
            <w:cnfStyle w:val="001000000000" w:firstRow="0" w:lastRow="0" w:firstColumn="1" w:lastColumn="0" w:oddVBand="0" w:evenVBand="0" w:oddHBand="0" w:evenHBand="0" w:firstRowFirstColumn="0" w:firstRowLastColumn="0" w:lastRowFirstColumn="0" w:lastRowLastColumn="0"/>
            <w:tcW w:w="0" w:type="auto"/>
            <w:hideMark/>
          </w:tcPr>
          <w:p w:rsidR="003717AC" w:rsidRPr="00494FAF" w:rsidRDefault="003717AC" w:rsidP="003717AC">
            <w:pPr>
              <w:jc w:val="center"/>
              <w:rPr>
                <w:rFonts w:ascii="Arial" w:eastAsia="Times New Roman" w:hAnsi="Arial" w:cs="Arial"/>
                <w:b w:val="0"/>
                <w:lang w:eastAsia="fr-FR"/>
              </w:rPr>
            </w:pPr>
            <w:r w:rsidRPr="00494FAF">
              <w:rPr>
                <w:rFonts w:ascii="Times New Roman" w:eastAsia="Calibri" w:hAnsi="Times New Roman" w:cs="Times New Roman"/>
                <w:color w:val="000000" w:themeColor="text1"/>
                <w:kern w:val="24"/>
                <w:lang w:eastAsia="fr-FR"/>
              </w:rPr>
              <w:t>Eutocique +</w:t>
            </w:r>
          </w:p>
          <w:p w:rsidR="003717AC" w:rsidRPr="00494FAF" w:rsidRDefault="003717AC" w:rsidP="003717AC">
            <w:pPr>
              <w:jc w:val="center"/>
              <w:rPr>
                <w:rFonts w:ascii="Arial" w:eastAsia="Times New Roman" w:hAnsi="Arial" w:cs="Arial"/>
                <w:b w:val="0"/>
                <w:lang w:eastAsia="fr-FR"/>
              </w:rPr>
            </w:pPr>
            <w:r w:rsidRPr="00494FAF">
              <w:rPr>
                <w:rFonts w:ascii="Times New Roman" w:eastAsia="Calibri" w:hAnsi="Times New Roman" w:cs="Times New Roman"/>
                <w:color w:val="000000" w:themeColor="text1"/>
                <w:kern w:val="24"/>
                <w:lang w:eastAsia="fr-FR"/>
              </w:rPr>
              <w:t>Episiotomie</w:t>
            </w:r>
          </w:p>
        </w:tc>
        <w:tc>
          <w:tcPr>
            <w:tcW w:w="0" w:type="auto"/>
            <w:hideMark/>
          </w:tcPr>
          <w:p w:rsidR="003717AC" w:rsidRPr="00494FAF" w:rsidRDefault="003717AC" w:rsidP="003717A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eastAsia="fr-FR"/>
              </w:rPr>
            </w:pPr>
            <w:r w:rsidRPr="00494FAF">
              <w:rPr>
                <w:rFonts w:ascii="Times New Roman" w:eastAsia="Calibri" w:hAnsi="Times New Roman" w:cs="Times New Roman"/>
                <w:color w:val="000000" w:themeColor="text1"/>
                <w:kern w:val="24"/>
                <w:lang w:eastAsia="fr-FR"/>
              </w:rPr>
              <w:t>7565</w:t>
            </w:r>
          </w:p>
        </w:tc>
        <w:tc>
          <w:tcPr>
            <w:tcW w:w="0" w:type="auto"/>
            <w:hideMark/>
          </w:tcPr>
          <w:p w:rsidR="003717AC" w:rsidRPr="00494FAF" w:rsidRDefault="003717AC" w:rsidP="003717A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eastAsia="fr-FR"/>
              </w:rPr>
            </w:pPr>
            <w:r w:rsidRPr="00494FAF">
              <w:rPr>
                <w:rFonts w:ascii="Times New Roman" w:eastAsia="Calibri" w:hAnsi="Times New Roman" w:cs="Times New Roman"/>
                <w:color w:val="000000" w:themeColor="text1"/>
                <w:kern w:val="24"/>
                <w:lang w:eastAsia="fr-FR"/>
              </w:rPr>
              <w:t>6860</w:t>
            </w:r>
          </w:p>
        </w:tc>
        <w:tc>
          <w:tcPr>
            <w:tcW w:w="0" w:type="auto"/>
            <w:hideMark/>
          </w:tcPr>
          <w:p w:rsidR="003717AC" w:rsidRPr="00494FAF" w:rsidRDefault="003717AC" w:rsidP="003717A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eastAsia="fr-FR"/>
              </w:rPr>
            </w:pPr>
            <w:r w:rsidRPr="00494FAF">
              <w:rPr>
                <w:rFonts w:ascii="Times New Roman" w:eastAsia="Calibri" w:hAnsi="Times New Roman" w:cs="Times New Roman"/>
                <w:color w:val="000000" w:themeColor="text1"/>
                <w:kern w:val="24"/>
                <w:lang w:eastAsia="fr-FR"/>
              </w:rPr>
              <w:t>705</w:t>
            </w:r>
          </w:p>
        </w:tc>
      </w:tr>
      <w:tr w:rsidR="003717AC" w:rsidRPr="00494FAF" w:rsidTr="003717AC">
        <w:trPr>
          <w:trHeight w:val="541"/>
        </w:trPr>
        <w:tc>
          <w:tcPr>
            <w:cnfStyle w:val="001000000000" w:firstRow="0" w:lastRow="0" w:firstColumn="1" w:lastColumn="0" w:oddVBand="0" w:evenVBand="0" w:oddHBand="0" w:evenHBand="0" w:firstRowFirstColumn="0" w:firstRowLastColumn="0" w:lastRowFirstColumn="0" w:lastRowLastColumn="0"/>
            <w:tcW w:w="0" w:type="auto"/>
            <w:hideMark/>
          </w:tcPr>
          <w:p w:rsidR="003717AC" w:rsidRPr="00494FAF" w:rsidRDefault="003717AC" w:rsidP="003717AC">
            <w:pPr>
              <w:jc w:val="center"/>
              <w:rPr>
                <w:rFonts w:ascii="Arial" w:eastAsia="Times New Roman" w:hAnsi="Arial" w:cs="Arial"/>
                <w:b w:val="0"/>
                <w:lang w:eastAsia="fr-FR"/>
              </w:rPr>
            </w:pPr>
            <w:r w:rsidRPr="00494FAF">
              <w:rPr>
                <w:rFonts w:ascii="Times New Roman" w:eastAsia="Calibri" w:hAnsi="Times New Roman" w:cs="Times New Roman"/>
                <w:color w:val="000000" w:themeColor="text1"/>
                <w:kern w:val="24"/>
                <w:lang w:eastAsia="fr-FR"/>
              </w:rPr>
              <w:t>Dystocique </w:t>
            </w:r>
          </w:p>
        </w:tc>
        <w:tc>
          <w:tcPr>
            <w:tcW w:w="0" w:type="auto"/>
            <w:hideMark/>
          </w:tcPr>
          <w:p w:rsidR="003717AC" w:rsidRPr="00494FAF" w:rsidRDefault="003717AC" w:rsidP="003717A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lang w:eastAsia="fr-FR"/>
              </w:rPr>
            </w:pPr>
            <w:r w:rsidRPr="00494FAF">
              <w:rPr>
                <w:rFonts w:ascii="Times New Roman" w:eastAsia="Calibri" w:hAnsi="Times New Roman" w:cs="Times New Roman"/>
                <w:color w:val="000000" w:themeColor="text1"/>
                <w:kern w:val="24"/>
                <w:lang w:eastAsia="fr-FR"/>
              </w:rPr>
              <w:t>18475</w:t>
            </w:r>
          </w:p>
        </w:tc>
        <w:tc>
          <w:tcPr>
            <w:tcW w:w="0" w:type="auto"/>
            <w:hideMark/>
          </w:tcPr>
          <w:p w:rsidR="003717AC" w:rsidRPr="00494FAF" w:rsidRDefault="003717AC" w:rsidP="003717A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lang w:eastAsia="fr-FR"/>
              </w:rPr>
            </w:pPr>
            <w:r w:rsidRPr="00494FAF">
              <w:rPr>
                <w:rFonts w:ascii="Times New Roman" w:eastAsia="Calibri" w:hAnsi="Times New Roman" w:cs="Times New Roman"/>
                <w:color w:val="000000" w:themeColor="text1"/>
                <w:kern w:val="24"/>
                <w:lang w:eastAsia="fr-FR"/>
              </w:rPr>
              <w:t>17130</w:t>
            </w:r>
          </w:p>
        </w:tc>
        <w:tc>
          <w:tcPr>
            <w:tcW w:w="0" w:type="auto"/>
            <w:hideMark/>
          </w:tcPr>
          <w:p w:rsidR="003717AC" w:rsidRPr="00494FAF" w:rsidRDefault="003717AC" w:rsidP="003717A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lang w:eastAsia="fr-FR"/>
              </w:rPr>
            </w:pPr>
            <w:r w:rsidRPr="00494FAF">
              <w:rPr>
                <w:rFonts w:ascii="Times New Roman" w:eastAsia="Calibri" w:hAnsi="Times New Roman" w:cs="Times New Roman"/>
                <w:color w:val="000000" w:themeColor="text1"/>
                <w:kern w:val="24"/>
                <w:lang w:eastAsia="fr-FR"/>
              </w:rPr>
              <w:t>1345</w:t>
            </w:r>
          </w:p>
        </w:tc>
      </w:tr>
      <w:tr w:rsidR="003717AC" w:rsidRPr="00494FAF" w:rsidTr="003717AC">
        <w:trPr>
          <w:cnfStyle w:val="000000100000" w:firstRow="0" w:lastRow="0" w:firstColumn="0" w:lastColumn="0" w:oddVBand="0" w:evenVBand="0" w:oddHBand="1" w:evenHBand="0" w:firstRowFirstColumn="0" w:firstRowLastColumn="0" w:lastRowFirstColumn="0" w:lastRowLastColumn="0"/>
          <w:trHeight w:val="559"/>
        </w:trPr>
        <w:tc>
          <w:tcPr>
            <w:cnfStyle w:val="001000000000" w:firstRow="0" w:lastRow="0" w:firstColumn="1" w:lastColumn="0" w:oddVBand="0" w:evenVBand="0" w:oddHBand="0" w:evenHBand="0" w:firstRowFirstColumn="0" w:firstRowLastColumn="0" w:lastRowFirstColumn="0" w:lastRowLastColumn="0"/>
            <w:tcW w:w="0" w:type="auto"/>
            <w:hideMark/>
          </w:tcPr>
          <w:p w:rsidR="003717AC" w:rsidRPr="00494FAF" w:rsidRDefault="003717AC" w:rsidP="003717AC">
            <w:pPr>
              <w:jc w:val="center"/>
              <w:rPr>
                <w:rFonts w:ascii="Arial" w:eastAsia="Times New Roman" w:hAnsi="Arial" w:cs="Arial"/>
                <w:b w:val="0"/>
                <w:lang w:eastAsia="fr-FR"/>
              </w:rPr>
            </w:pPr>
            <w:r w:rsidRPr="00494FAF">
              <w:rPr>
                <w:rFonts w:ascii="Times New Roman" w:eastAsia="Calibri" w:hAnsi="Times New Roman" w:cs="Times New Roman"/>
                <w:color w:val="000000" w:themeColor="text1"/>
                <w:kern w:val="24"/>
                <w:lang w:eastAsia="fr-FR"/>
              </w:rPr>
              <w:t>Dystocique+ épisiotomie</w:t>
            </w:r>
          </w:p>
        </w:tc>
        <w:tc>
          <w:tcPr>
            <w:tcW w:w="0" w:type="auto"/>
            <w:hideMark/>
          </w:tcPr>
          <w:p w:rsidR="003717AC" w:rsidRPr="00494FAF" w:rsidRDefault="003717AC" w:rsidP="003717A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eastAsia="fr-FR"/>
              </w:rPr>
            </w:pPr>
            <w:r w:rsidRPr="00494FAF">
              <w:rPr>
                <w:rFonts w:ascii="Times New Roman" w:eastAsia="Calibri" w:hAnsi="Times New Roman" w:cs="Times New Roman"/>
                <w:color w:val="000000" w:themeColor="text1"/>
                <w:kern w:val="24"/>
                <w:lang w:eastAsia="fr-FR"/>
              </w:rPr>
              <w:t>20395</w:t>
            </w:r>
          </w:p>
        </w:tc>
        <w:tc>
          <w:tcPr>
            <w:tcW w:w="0" w:type="auto"/>
            <w:hideMark/>
          </w:tcPr>
          <w:p w:rsidR="003717AC" w:rsidRPr="00494FAF" w:rsidRDefault="003717AC" w:rsidP="003717A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eastAsia="fr-FR"/>
              </w:rPr>
            </w:pPr>
            <w:r w:rsidRPr="00494FAF">
              <w:rPr>
                <w:rFonts w:ascii="Times New Roman" w:eastAsia="Calibri" w:hAnsi="Times New Roman" w:cs="Times New Roman"/>
                <w:color w:val="000000" w:themeColor="text1"/>
                <w:kern w:val="24"/>
                <w:lang w:eastAsia="fr-FR"/>
              </w:rPr>
              <w:t>18815</w:t>
            </w:r>
          </w:p>
        </w:tc>
        <w:tc>
          <w:tcPr>
            <w:tcW w:w="0" w:type="auto"/>
            <w:hideMark/>
          </w:tcPr>
          <w:p w:rsidR="003717AC" w:rsidRPr="00494FAF" w:rsidRDefault="003717AC" w:rsidP="003717A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eastAsia="fr-FR"/>
              </w:rPr>
            </w:pPr>
            <w:r w:rsidRPr="00494FAF">
              <w:rPr>
                <w:rFonts w:ascii="Times New Roman" w:eastAsia="Calibri" w:hAnsi="Times New Roman" w:cs="Times New Roman"/>
                <w:color w:val="000000" w:themeColor="text1"/>
                <w:kern w:val="24"/>
                <w:lang w:eastAsia="fr-FR"/>
              </w:rPr>
              <w:t>1580</w:t>
            </w:r>
          </w:p>
        </w:tc>
      </w:tr>
      <w:tr w:rsidR="003717AC" w:rsidRPr="00494FAF" w:rsidTr="003717AC">
        <w:trPr>
          <w:trHeight w:val="559"/>
        </w:trPr>
        <w:tc>
          <w:tcPr>
            <w:cnfStyle w:val="001000000000" w:firstRow="0" w:lastRow="0" w:firstColumn="1" w:lastColumn="0" w:oddVBand="0" w:evenVBand="0" w:oddHBand="0" w:evenHBand="0" w:firstRowFirstColumn="0" w:firstRowLastColumn="0" w:lastRowFirstColumn="0" w:lastRowLastColumn="0"/>
            <w:tcW w:w="0" w:type="auto"/>
            <w:hideMark/>
          </w:tcPr>
          <w:p w:rsidR="003717AC" w:rsidRPr="00494FAF" w:rsidRDefault="003717AC" w:rsidP="003717AC">
            <w:pPr>
              <w:jc w:val="center"/>
              <w:rPr>
                <w:rFonts w:ascii="Arial" w:eastAsia="Times New Roman" w:hAnsi="Arial" w:cs="Arial"/>
                <w:b w:val="0"/>
                <w:lang w:eastAsia="fr-FR"/>
              </w:rPr>
            </w:pPr>
            <w:r w:rsidRPr="00494FAF">
              <w:rPr>
                <w:rFonts w:ascii="Times New Roman" w:eastAsia="Calibri" w:hAnsi="Times New Roman" w:cs="Times New Roman"/>
                <w:color w:val="000000" w:themeColor="text1"/>
                <w:kern w:val="24"/>
                <w:lang w:eastAsia="fr-FR"/>
              </w:rPr>
              <w:t>Hémorragie postpartum</w:t>
            </w:r>
          </w:p>
        </w:tc>
        <w:tc>
          <w:tcPr>
            <w:tcW w:w="0" w:type="auto"/>
            <w:hideMark/>
          </w:tcPr>
          <w:p w:rsidR="003717AC" w:rsidRPr="00494FAF" w:rsidRDefault="003717AC" w:rsidP="003717A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lang w:eastAsia="fr-FR"/>
              </w:rPr>
            </w:pPr>
            <w:r w:rsidRPr="00494FAF">
              <w:rPr>
                <w:rFonts w:ascii="Times New Roman" w:eastAsia="Calibri" w:hAnsi="Times New Roman" w:cs="Times New Roman"/>
                <w:color w:val="000000" w:themeColor="text1"/>
                <w:kern w:val="24"/>
                <w:lang w:eastAsia="fr-FR"/>
              </w:rPr>
              <w:t>33605</w:t>
            </w:r>
          </w:p>
        </w:tc>
        <w:tc>
          <w:tcPr>
            <w:tcW w:w="0" w:type="auto"/>
            <w:hideMark/>
          </w:tcPr>
          <w:p w:rsidR="003717AC" w:rsidRPr="00494FAF" w:rsidRDefault="003717AC" w:rsidP="003717A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lang w:eastAsia="fr-FR"/>
              </w:rPr>
            </w:pPr>
            <w:r w:rsidRPr="00494FAF">
              <w:rPr>
                <w:rFonts w:ascii="Times New Roman" w:eastAsia="Calibri" w:hAnsi="Times New Roman" w:cs="Times New Roman"/>
                <w:color w:val="000000" w:themeColor="text1"/>
                <w:kern w:val="24"/>
                <w:lang w:eastAsia="fr-FR"/>
              </w:rPr>
              <w:t>30910</w:t>
            </w:r>
          </w:p>
        </w:tc>
        <w:tc>
          <w:tcPr>
            <w:tcW w:w="0" w:type="auto"/>
            <w:hideMark/>
          </w:tcPr>
          <w:p w:rsidR="003717AC" w:rsidRPr="00494FAF" w:rsidRDefault="003717AC" w:rsidP="003717A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lang w:eastAsia="fr-FR"/>
              </w:rPr>
            </w:pPr>
            <w:r w:rsidRPr="00494FAF">
              <w:rPr>
                <w:rFonts w:ascii="Times New Roman" w:eastAsia="Calibri" w:hAnsi="Times New Roman" w:cs="Times New Roman"/>
                <w:color w:val="000000" w:themeColor="text1"/>
                <w:kern w:val="24"/>
                <w:lang w:eastAsia="fr-FR"/>
              </w:rPr>
              <w:t>2695</w:t>
            </w:r>
          </w:p>
        </w:tc>
      </w:tr>
      <w:tr w:rsidR="003717AC" w:rsidRPr="00494FAF" w:rsidTr="003717AC">
        <w:trPr>
          <w:cnfStyle w:val="000000100000" w:firstRow="0" w:lastRow="0" w:firstColumn="0" w:lastColumn="0" w:oddVBand="0" w:evenVBand="0" w:oddHBand="1" w:evenHBand="0" w:firstRowFirstColumn="0" w:firstRowLastColumn="0" w:lastRowFirstColumn="0" w:lastRowLastColumn="0"/>
          <w:trHeight w:val="541"/>
        </w:trPr>
        <w:tc>
          <w:tcPr>
            <w:cnfStyle w:val="001000000000" w:firstRow="0" w:lastRow="0" w:firstColumn="1" w:lastColumn="0" w:oddVBand="0" w:evenVBand="0" w:oddHBand="0" w:evenHBand="0" w:firstRowFirstColumn="0" w:firstRowLastColumn="0" w:lastRowFirstColumn="0" w:lastRowLastColumn="0"/>
            <w:tcW w:w="0" w:type="auto"/>
            <w:hideMark/>
          </w:tcPr>
          <w:p w:rsidR="003717AC" w:rsidRPr="00494FAF" w:rsidRDefault="003717AC" w:rsidP="003717AC">
            <w:pPr>
              <w:jc w:val="center"/>
              <w:rPr>
                <w:rFonts w:ascii="Arial" w:eastAsia="Times New Roman" w:hAnsi="Arial" w:cs="Arial"/>
                <w:b w:val="0"/>
                <w:lang w:eastAsia="fr-FR"/>
              </w:rPr>
            </w:pPr>
            <w:r w:rsidRPr="00494FAF">
              <w:rPr>
                <w:rFonts w:ascii="Times New Roman" w:eastAsia="Calibri" w:hAnsi="Times New Roman" w:cs="Times New Roman"/>
                <w:color w:val="000000" w:themeColor="text1"/>
                <w:kern w:val="24"/>
                <w:lang w:eastAsia="fr-FR"/>
              </w:rPr>
              <w:t>AMIU</w:t>
            </w:r>
          </w:p>
          <w:p w:rsidR="003717AC" w:rsidRPr="00494FAF" w:rsidRDefault="003717AC" w:rsidP="003717AC">
            <w:pPr>
              <w:jc w:val="center"/>
              <w:rPr>
                <w:rFonts w:ascii="Arial" w:eastAsia="Times New Roman" w:hAnsi="Arial" w:cs="Arial"/>
                <w:b w:val="0"/>
                <w:lang w:eastAsia="fr-FR"/>
              </w:rPr>
            </w:pPr>
            <w:r w:rsidRPr="00494FAF">
              <w:rPr>
                <w:rFonts w:ascii="Times New Roman" w:eastAsia="Calibri" w:hAnsi="Times New Roman" w:cs="Times New Roman"/>
                <w:color w:val="000000" w:themeColor="text1"/>
                <w:kern w:val="24"/>
                <w:lang w:eastAsia="fr-FR"/>
              </w:rPr>
              <w:t> </w:t>
            </w:r>
          </w:p>
        </w:tc>
        <w:tc>
          <w:tcPr>
            <w:tcW w:w="0" w:type="auto"/>
            <w:hideMark/>
          </w:tcPr>
          <w:p w:rsidR="003717AC" w:rsidRPr="00494FAF" w:rsidRDefault="003717AC" w:rsidP="003717A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eastAsia="fr-FR"/>
              </w:rPr>
            </w:pPr>
            <w:r w:rsidRPr="00494FAF">
              <w:rPr>
                <w:rFonts w:ascii="Times New Roman" w:eastAsia="Calibri" w:hAnsi="Times New Roman" w:cs="Times New Roman"/>
                <w:color w:val="000000" w:themeColor="text1"/>
                <w:kern w:val="24"/>
                <w:lang w:eastAsia="fr-FR"/>
              </w:rPr>
              <w:t>27205</w:t>
            </w:r>
          </w:p>
        </w:tc>
        <w:tc>
          <w:tcPr>
            <w:tcW w:w="0" w:type="auto"/>
            <w:hideMark/>
          </w:tcPr>
          <w:p w:rsidR="003717AC" w:rsidRPr="00494FAF" w:rsidRDefault="003717AC" w:rsidP="003717A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eastAsia="fr-FR"/>
              </w:rPr>
            </w:pPr>
            <w:r w:rsidRPr="00494FAF">
              <w:rPr>
                <w:rFonts w:ascii="Times New Roman" w:eastAsia="Calibri" w:hAnsi="Times New Roman" w:cs="Times New Roman"/>
                <w:color w:val="000000" w:themeColor="text1"/>
                <w:kern w:val="24"/>
                <w:lang w:eastAsia="fr-FR"/>
              </w:rPr>
              <w:t>25290</w:t>
            </w:r>
          </w:p>
        </w:tc>
        <w:tc>
          <w:tcPr>
            <w:tcW w:w="0" w:type="auto"/>
            <w:hideMark/>
          </w:tcPr>
          <w:p w:rsidR="003717AC" w:rsidRPr="00494FAF" w:rsidRDefault="003717AC" w:rsidP="003717A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eastAsia="fr-FR"/>
              </w:rPr>
            </w:pPr>
            <w:r w:rsidRPr="00494FAF">
              <w:rPr>
                <w:rFonts w:ascii="Times New Roman" w:eastAsia="Calibri" w:hAnsi="Times New Roman" w:cs="Times New Roman"/>
                <w:color w:val="000000" w:themeColor="text1"/>
                <w:kern w:val="24"/>
                <w:lang w:eastAsia="fr-FR"/>
              </w:rPr>
              <w:t>1915</w:t>
            </w:r>
          </w:p>
        </w:tc>
      </w:tr>
      <w:tr w:rsidR="003717AC" w:rsidRPr="00494FAF" w:rsidTr="003717AC">
        <w:trPr>
          <w:trHeight w:val="541"/>
        </w:trPr>
        <w:tc>
          <w:tcPr>
            <w:cnfStyle w:val="001000000000" w:firstRow="0" w:lastRow="0" w:firstColumn="1" w:lastColumn="0" w:oddVBand="0" w:evenVBand="0" w:oddHBand="0" w:evenHBand="0" w:firstRowFirstColumn="0" w:firstRowLastColumn="0" w:lastRowFirstColumn="0" w:lastRowLastColumn="0"/>
            <w:tcW w:w="0" w:type="auto"/>
            <w:hideMark/>
          </w:tcPr>
          <w:p w:rsidR="003717AC" w:rsidRPr="00494FAF" w:rsidRDefault="003717AC" w:rsidP="003717AC">
            <w:pPr>
              <w:jc w:val="center"/>
              <w:rPr>
                <w:rFonts w:ascii="Arial" w:eastAsia="Times New Roman" w:hAnsi="Arial" w:cs="Arial"/>
                <w:b w:val="0"/>
                <w:lang w:eastAsia="fr-FR"/>
              </w:rPr>
            </w:pPr>
            <w:r w:rsidRPr="00494FAF">
              <w:rPr>
                <w:rFonts w:ascii="Times New Roman" w:eastAsia="Calibri" w:hAnsi="Times New Roman" w:cs="Times New Roman"/>
                <w:color w:val="000000" w:themeColor="text1"/>
                <w:kern w:val="24"/>
                <w:lang w:eastAsia="fr-FR"/>
              </w:rPr>
              <w:t>Eclampsie </w:t>
            </w:r>
          </w:p>
        </w:tc>
        <w:tc>
          <w:tcPr>
            <w:tcW w:w="0" w:type="auto"/>
            <w:hideMark/>
          </w:tcPr>
          <w:p w:rsidR="003717AC" w:rsidRPr="00494FAF" w:rsidRDefault="003717AC" w:rsidP="003717A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lang w:eastAsia="fr-FR"/>
              </w:rPr>
            </w:pPr>
            <w:r w:rsidRPr="00494FAF">
              <w:rPr>
                <w:rFonts w:ascii="Times New Roman" w:eastAsia="Calibri" w:hAnsi="Times New Roman" w:cs="Times New Roman"/>
                <w:color w:val="000000" w:themeColor="text1"/>
                <w:kern w:val="24"/>
                <w:lang w:eastAsia="fr-FR"/>
              </w:rPr>
              <w:t>29245</w:t>
            </w:r>
          </w:p>
        </w:tc>
        <w:tc>
          <w:tcPr>
            <w:tcW w:w="0" w:type="auto"/>
            <w:hideMark/>
          </w:tcPr>
          <w:p w:rsidR="003717AC" w:rsidRPr="00494FAF" w:rsidRDefault="003717AC" w:rsidP="003717A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lang w:eastAsia="fr-FR"/>
              </w:rPr>
            </w:pPr>
            <w:r w:rsidRPr="00494FAF">
              <w:rPr>
                <w:rFonts w:ascii="Times New Roman" w:eastAsia="Calibri" w:hAnsi="Times New Roman" w:cs="Times New Roman"/>
                <w:color w:val="000000" w:themeColor="text1"/>
                <w:kern w:val="24"/>
                <w:lang w:eastAsia="fr-FR"/>
              </w:rPr>
              <w:t>26730</w:t>
            </w:r>
          </w:p>
        </w:tc>
        <w:tc>
          <w:tcPr>
            <w:tcW w:w="0" w:type="auto"/>
            <w:hideMark/>
          </w:tcPr>
          <w:p w:rsidR="003717AC" w:rsidRPr="00494FAF" w:rsidRDefault="003717AC" w:rsidP="003717A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lang w:eastAsia="fr-FR"/>
              </w:rPr>
            </w:pPr>
            <w:r w:rsidRPr="00494FAF">
              <w:rPr>
                <w:rFonts w:ascii="Times New Roman" w:eastAsia="Calibri" w:hAnsi="Times New Roman" w:cs="Times New Roman"/>
                <w:color w:val="000000" w:themeColor="text1"/>
                <w:kern w:val="24"/>
                <w:lang w:eastAsia="fr-FR"/>
              </w:rPr>
              <w:t>2515</w:t>
            </w:r>
          </w:p>
        </w:tc>
      </w:tr>
      <w:tr w:rsidR="003717AC" w:rsidRPr="00494FAF" w:rsidTr="003717AC">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3717AC" w:rsidRPr="00494FAF" w:rsidRDefault="003717AC" w:rsidP="003717AC">
            <w:pPr>
              <w:spacing w:line="306" w:lineRule="atLeast"/>
              <w:jc w:val="center"/>
              <w:rPr>
                <w:rFonts w:ascii="Arial" w:eastAsia="Times New Roman" w:hAnsi="Arial" w:cs="Arial"/>
                <w:b w:val="0"/>
                <w:lang w:eastAsia="fr-FR"/>
              </w:rPr>
            </w:pPr>
            <w:r w:rsidRPr="00494FAF">
              <w:rPr>
                <w:rFonts w:ascii="Times New Roman" w:eastAsia="Calibri" w:hAnsi="Times New Roman" w:cs="Times New Roman"/>
                <w:color w:val="000000" w:themeColor="text1"/>
                <w:kern w:val="24"/>
                <w:lang w:eastAsia="fr-FR"/>
              </w:rPr>
              <w:t>Césarienne</w:t>
            </w:r>
          </w:p>
        </w:tc>
        <w:tc>
          <w:tcPr>
            <w:tcW w:w="0" w:type="auto"/>
            <w:hideMark/>
          </w:tcPr>
          <w:p w:rsidR="003717AC" w:rsidRPr="00494FAF" w:rsidRDefault="003717AC" w:rsidP="003717AC">
            <w:pPr>
              <w:spacing w:line="306" w:lineRule="atLeast"/>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eastAsia="fr-FR"/>
              </w:rPr>
            </w:pPr>
            <w:r w:rsidRPr="00494FAF">
              <w:rPr>
                <w:rFonts w:ascii="Times New Roman" w:eastAsia="Calibri" w:hAnsi="Times New Roman" w:cs="Times New Roman"/>
                <w:color w:val="000000" w:themeColor="text1"/>
                <w:kern w:val="24"/>
                <w:lang w:eastAsia="fr-FR"/>
              </w:rPr>
              <w:t>84570</w:t>
            </w:r>
          </w:p>
        </w:tc>
        <w:tc>
          <w:tcPr>
            <w:tcW w:w="0" w:type="auto"/>
            <w:hideMark/>
          </w:tcPr>
          <w:p w:rsidR="003717AC" w:rsidRPr="00494FAF" w:rsidRDefault="003717AC" w:rsidP="003717AC">
            <w:pPr>
              <w:spacing w:line="306" w:lineRule="atLeast"/>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eastAsia="fr-FR"/>
              </w:rPr>
            </w:pPr>
            <w:r w:rsidRPr="00494FAF">
              <w:rPr>
                <w:rFonts w:ascii="Times New Roman" w:eastAsia="Calibri" w:hAnsi="Times New Roman" w:cs="Times New Roman"/>
                <w:color w:val="000000" w:themeColor="text1"/>
                <w:kern w:val="24"/>
                <w:lang w:eastAsia="fr-FR"/>
              </w:rPr>
              <w:t>77280</w:t>
            </w:r>
          </w:p>
        </w:tc>
        <w:tc>
          <w:tcPr>
            <w:tcW w:w="0" w:type="auto"/>
            <w:hideMark/>
          </w:tcPr>
          <w:p w:rsidR="003717AC" w:rsidRPr="00494FAF" w:rsidRDefault="003717AC" w:rsidP="003717AC">
            <w:pPr>
              <w:spacing w:line="306" w:lineRule="atLeast"/>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eastAsia="fr-FR"/>
              </w:rPr>
            </w:pPr>
            <w:r w:rsidRPr="00494FAF">
              <w:rPr>
                <w:rFonts w:ascii="Times New Roman" w:eastAsia="Calibri" w:hAnsi="Times New Roman" w:cs="Times New Roman"/>
                <w:color w:val="000000" w:themeColor="text1"/>
                <w:kern w:val="24"/>
                <w:lang w:eastAsia="fr-FR"/>
              </w:rPr>
              <w:t>7290</w:t>
            </w:r>
          </w:p>
        </w:tc>
      </w:tr>
    </w:tbl>
    <w:p w:rsidR="003717AC" w:rsidRDefault="003717AC" w:rsidP="003717AC">
      <w:pPr>
        <w:spacing w:after="0" w:line="360" w:lineRule="auto"/>
        <w:jc w:val="both"/>
        <w:rPr>
          <w:rFonts w:ascii="Arial" w:hAnsi="Arial" w:cs="Arial"/>
          <w:sz w:val="24"/>
          <w:szCs w:val="24"/>
        </w:rPr>
      </w:pPr>
    </w:p>
    <w:p w:rsidR="003717AC" w:rsidRDefault="003717AC" w:rsidP="003717AC">
      <w:pPr>
        <w:spacing w:after="0" w:line="360" w:lineRule="auto"/>
        <w:jc w:val="both"/>
        <w:rPr>
          <w:rFonts w:ascii="Arial" w:hAnsi="Arial" w:cs="Arial"/>
          <w:sz w:val="24"/>
          <w:szCs w:val="24"/>
        </w:rPr>
      </w:pPr>
      <w:r>
        <w:rPr>
          <w:noProof/>
          <w:lang w:eastAsia="fr-FR"/>
        </w:rPr>
        <w:lastRenderedPageBreak/>
        <w:drawing>
          <wp:inline distT="0" distB="0" distL="0" distR="0" wp14:anchorId="5A74F44B" wp14:editId="53CCD768">
            <wp:extent cx="5762847" cy="3147238"/>
            <wp:effectExtent l="0" t="0" r="0" b="0"/>
            <wp:docPr id="43" name="Image 3"/>
            <wp:cNvGraphicFramePr/>
            <a:graphic xmlns:a="http://schemas.openxmlformats.org/drawingml/2006/main">
              <a:graphicData uri="http://schemas.openxmlformats.org/drawingml/2006/picture">
                <pic:pic xmlns:pic="http://schemas.openxmlformats.org/drawingml/2006/picture">
                  <pic:nvPicPr>
                    <pic:cNvPr id="4" name="Image 3"/>
                    <pic:cNvPicPr/>
                  </pic:nvPicPr>
                  <pic:blipFill>
                    <a:blip r:embed="rId12"/>
                    <a:stretch>
                      <a:fillRect/>
                    </a:stretch>
                  </pic:blipFill>
                  <pic:spPr>
                    <a:xfrm>
                      <a:off x="0" y="0"/>
                      <a:ext cx="5760720" cy="3146076"/>
                    </a:xfrm>
                    <a:prstGeom prst="rect">
                      <a:avLst/>
                    </a:prstGeom>
                  </pic:spPr>
                </pic:pic>
              </a:graphicData>
            </a:graphic>
          </wp:inline>
        </w:drawing>
      </w:r>
    </w:p>
    <w:p w:rsidR="00D578B3" w:rsidRDefault="00D578B3" w:rsidP="00D578B3">
      <w:pPr>
        <w:pStyle w:val="Lgende"/>
        <w:rPr>
          <w:rFonts w:ascii="Arial" w:hAnsi="Arial" w:cs="Arial"/>
          <w:sz w:val="24"/>
          <w:szCs w:val="24"/>
        </w:rPr>
      </w:pPr>
      <w:bookmarkStart w:id="13" w:name="_Toc491848482"/>
      <w:r>
        <w:t xml:space="preserve">Figure </w:t>
      </w:r>
      <w:fldSimple w:instr=" SEQ Figure \* ARABIC ">
        <w:r>
          <w:rPr>
            <w:noProof/>
          </w:rPr>
          <w:t>4</w:t>
        </w:r>
      </w:fldSimple>
      <w:r>
        <w:rPr>
          <w:noProof/>
        </w:rPr>
        <w:t> : Proportion des coûts des prestations payés par l’Etat et les ménages, IRSS</w:t>
      </w:r>
      <w:bookmarkEnd w:id="13"/>
    </w:p>
    <w:p w:rsidR="003717AC" w:rsidRDefault="003717AC" w:rsidP="003717AC">
      <w:pPr>
        <w:spacing w:after="0" w:line="360" w:lineRule="auto"/>
        <w:jc w:val="both"/>
        <w:rPr>
          <w:rFonts w:ascii="Arial" w:hAnsi="Arial" w:cs="Arial"/>
          <w:sz w:val="24"/>
          <w:szCs w:val="24"/>
        </w:rPr>
      </w:pPr>
    </w:p>
    <w:p w:rsidR="003717AC" w:rsidRDefault="003717AC" w:rsidP="003717AC">
      <w:pPr>
        <w:spacing w:after="0" w:line="360" w:lineRule="auto"/>
        <w:jc w:val="both"/>
        <w:rPr>
          <w:rFonts w:ascii="Arial" w:hAnsi="Arial" w:cs="Arial"/>
          <w:sz w:val="24"/>
          <w:szCs w:val="24"/>
        </w:rPr>
      </w:pPr>
      <w:r>
        <w:rPr>
          <w:noProof/>
          <w:lang w:eastAsia="fr-FR"/>
        </w:rPr>
        <w:drawing>
          <wp:inline distT="0" distB="0" distL="0" distR="0" wp14:anchorId="74709BC7" wp14:editId="1F1509D2">
            <wp:extent cx="5760720" cy="2851575"/>
            <wp:effectExtent l="0" t="0" r="0" b="6350"/>
            <wp:docPr id="20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60720" cy="2851575"/>
                    </a:xfrm>
                    <a:prstGeom prst="rect">
                      <a:avLst/>
                    </a:prstGeom>
                    <a:noFill/>
                    <a:ln>
                      <a:noFill/>
                    </a:ln>
                    <a:effectLst/>
                    <a:extLst/>
                  </pic:spPr>
                </pic:pic>
              </a:graphicData>
            </a:graphic>
          </wp:inline>
        </w:drawing>
      </w:r>
    </w:p>
    <w:p w:rsidR="00D578B3" w:rsidRDefault="00D578B3" w:rsidP="00D578B3">
      <w:pPr>
        <w:pStyle w:val="Lgende"/>
        <w:rPr>
          <w:rFonts w:ascii="Arial" w:hAnsi="Arial" w:cs="Arial"/>
          <w:sz w:val="24"/>
          <w:szCs w:val="24"/>
        </w:rPr>
      </w:pPr>
      <w:bookmarkStart w:id="14" w:name="_Toc491848483"/>
      <w:r>
        <w:t xml:space="preserve">Figure </w:t>
      </w:r>
      <w:fldSimple w:instr=" SEQ Figure \* ARABIC ">
        <w:r>
          <w:rPr>
            <w:noProof/>
          </w:rPr>
          <w:t>5</w:t>
        </w:r>
      </w:fldSimple>
      <w:r>
        <w:rPr>
          <w:noProof/>
        </w:rPr>
        <w:t> : Répartition des paiements directs par région, IRSS</w:t>
      </w:r>
      <w:bookmarkEnd w:id="14"/>
    </w:p>
    <w:p w:rsidR="003717AC" w:rsidRDefault="003717AC" w:rsidP="003717AC">
      <w:pPr>
        <w:spacing w:after="0" w:line="360" w:lineRule="auto"/>
        <w:jc w:val="both"/>
        <w:rPr>
          <w:rFonts w:ascii="Arial" w:hAnsi="Arial" w:cs="Arial"/>
          <w:sz w:val="24"/>
          <w:szCs w:val="24"/>
        </w:rPr>
      </w:pPr>
    </w:p>
    <w:p w:rsidR="003717AC" w:rsidRPr="00E34DFB" w:rsidRDefault="003717AC" w:rsidP="003717AC">
      <w:pPr>
        <w:spacing w:after="0" w:line="360" w:lineRule="auto"/>
        <w:jc w:val="both"/>
        <w:rPr>
          <w:rFonts w:ascii="Arial" w:hAnsi="Arial" w:cs="Arial"/>
          <w:sz w:val="24"/>
          <w:szCs w:val="24"/>
        </w:rPr>
      </w:pPr>
      <w:r w:rsidRPr="009375F8">
        <w:rPr>
          <w:rFonts w:ascii="Arial" w:hAnsi="Arial" w:cs="Arial"/>
          <w:sz w:val="24"/>
          <w:szCs w:val="24"/>
        </w:rPr>
        <w:t>Les discussions sur la présentation</w:t>
      </w:r>
      <w:r>
        <w:rPr>
          <w:rFonts w:ascii="Arial" w:hAnsi="Arial" w:cs="Arial"/>
          <w:sz w:val="24"/>
          <w:szCs w:val="24"/>
        </w:rPr>
        <w:t xml:space="preserve"> ont porté sur les</w:t>
      </w:r>
      <w:r w:rsidRPr="009375F8">
        <w:rPr>
          <w:rFonts w:ascii="Arial" w:hAnsi="Arial" w:cs="Arial"/>
          <w:sz w:val="24"/>
          <w:szCs w:val="24"/>
        </w:rPr>
        <w:t xml:space="preserve"> </w:t>
      </w:r>
      <w:r>
        <w:rPr>
          <w:rFonts w:ascii="Arial" w:hAnsi="Arial" w:cs="Arial"/>
          <w:sz w:val="24"/>
          <w:szCs w:val="24"/>
        </w:rPr>
        <w:t xml:space="preserve">raisons des paiements directs bas dans les Hauts Bassins, la non prise en compte des soins </w:t>
      </w:r>
      <w:r w:rsidR="0095692F">
        <w:rPr>
          <w:rFonts w:ascii="Arial" w:hAnsi="Arial" w:cs="Arial"/>
          <w:sz w:val="24"/>
          <w:szCs w:val="24"/>
        </w:rPr>
        <w:t xml:space="preserve">néonatals </w:t>
      </w:r>
      <w:r>
        <w:rPr>
          <w:rFonts w:ascii="Arial" w:hAnsi="Arial" w:cs="Arial"/>
          <w:sz w:val="24"/>
          <w:szCs w:val="24"/>
        </w:rPr>
        <w:t xml:space="preserve">dans l’étude comme l’indique son intitulé, la méthodologie de l’enquête, la problématique du paiement des produits d’entretien par les patients. </w:t>
      </w:r>
      <w:r w:rsidR="001C65A3">
        <w:rPr>
          <w:rFonts w:ascii="Arial" w:hAnsi="Arial" w:cs="Arial"/>
          <w:sz w:val="24"/>
          <w:szCs w:val="24"/>
        </w:rPr>
        <w:t xml:space="preserve">Des </w:t>
      </w:r>
      <w:r>
        <w:rPr>
          <w:rFonts w:ascii="Arial" w:hAnsi="Arial" w:cs="Arial"/>
          <w:sz w:val="24"/>
          <w:szCs w:val="24"/>
        </w:rPr>
        <w:t xml:space="preserve">réponses ont été apportées par le présentateur aux différentes préoccupations. Aussi, il a noté que l’étude n’est pas allée à ce stade en profondeur pour connaitre les raisons des disparités de coûts </w:t>
      </w:r>
      <w:r>
        <w:rPr>
          <w:rFonts w:ascii="Arial" w:hAnsi="Arial" w:cs="Arial"/>
          <w:sz w:val="24"/>
          <w:szCs w:val="24"/>
        </w:rPr>
        <w:lastRenderedPageBreak/>
        <w:t>directs entre les régions. En ce qui concerne</w:t>
      </w:r>
      <w:r w:rsidRPr="009375F8">
        <w:rPr>
          <w:rFonts w:ascii="Arial" w:hAnsi="Arial" w:cs="Arial"/>
          <w:sz w:val="24"/>
          <w:szCs w:val="24"/>
        </w:rPr>
        <w:t xml:space="preserve"> les soins </w:t>
      </w:r>
      <w:r>
        <w:rPr>
          <w:rFonts w:ascii="Arial" w:hAnsi="Arial" w:cs="Arial"/>
          <w:sz w:val="24"/>
          <w:szCs w:val="24"/>
        </w:rPr>
        <w:t>chez les enfants,</w:t>
      </w:r>
      <w:r w:rsidRPr="005674E6">
        <w:rPr>
          <w:rFonts w:ascii="Arial" w:hAnsi="Arial" w:cs="Arial"/>
          <w:sz w:val="24"/>
          <w:szCs w:val="24"/>
        </w:rPr>
        <w:t xml:space="preserve"> </w:t>
      </w:r>
      <w:r w:rsidRPr="009375F8">
        <w:rPr>
          <w:rFonts w:ascii="Arial" w:hAnsi="Arial" w:cs="Arial"/>
          <w:sz w:val="24"/>
          <w:szCs w:val="24"/>
        </w:rPr>
        <w:t>d’autres recherches y seront consacrées</w:t>
      </w:r>
      <w:r>
        <w:rPr>
          <w:rFonts w:ascii="Arial" w:hAnsi="Arial" w:cs="Arial"/>
          <w:sz w:val="24"/>
          <w:szCs w:val="24"/>
        </w:rPr>
        <w:t xml:space="preserve"> si des financements sont disponibles. Pour la méthodologie de l’étude,</w:t>
      </w:r>
      <w:r w:rsidRPr="005674E6">
        <w:rPr>
          <w:rFonts w:ascii="Arial" w:hAnsi="Arial" w:cs="Arial"/>
          <w:sz w:val="24"/>
          <w:szCs w:val="24"/>
        </w:rPr>
        <w:t xml:space="preserve"> </w:t>
      </w:r>
      <w:r>
        <w:rPr>
          <w:rFonts w:ascii="Arial" w:hAnsi="Arial" w:cs="Arial"/>
          <w:sz w:val="24"/>
          <w:szCs w:val="24"/>
        </w:rPr>
        <w:t xml:space="preserve">des </w:t>
      </w:r>
      <w:r w:rsidRPr="009375F8">
        <w:rPr>
          <w:rFonts w:ascii="Arial" w:hAnsi="Arial" w:cs="Arial"/>
          <w:sz w:val="24"/>
          <w:szCs w:val="24"/>
        </w:rPr>
        <w:t xml:space="preserve">dispositions </w:t>
      </w:r>
      <w:r>
        <w:rPr>
          <w:rFonts w:ascii="Arial" w:hAnsi="Arial" w:cs="Arial"/>
          <w:sz w:val="24"/>
          <w:szCs w:val="24"/>
        </w:rPr>
        <w:t xml:space="preserve">ont été </w:t>
      </w:r>
      <w:r w:rsidRPr="009375F8">
        <w:rPr>
          <w:rFonts w:ascii="Arial" w:hAnsi="Arial" w:cs="Arial"/>
          <w:sz w:val="24"/>
          <w:szCs w:val="24"/>
        </w:rPr>
        <w:t>prises pour avoir des données complètes</w:t>
      </w:r>
      <w:r>
        <w:rPr>
          <w:rFonts w:ascii="Arial" w:hAnsi="Arial" w:cs="Arial"/>
          <w:sz w:val="24"/>
          <w:szCs w:val="24"/>
        </w:rPr>
        <w:t xml:space="preserve"> et des échantillons représentatifs. Enfin, pour l’a</w:t>
      </w:r>
      <w:r w:rsidRPr="009375F8">
        <w:rPr>
          <w:rFonts w:ascii="Arial" w:hAnsi="Arial" w:cs="Arial"/>
          <w:sz w:val="24"/>
          <w:szCs w:val="24"/>
        </w:rPr>
        <w:t xml:space="preserve">chat des produits </w:t>
      </w:r>
      <w:r>
        <w:rPr>
          <w:rFonts w:ascii="Arial" w:hAnsi="Arial" w:cs="Arial"/>
          <w:sz w:val="24"/>
          <w:szCs w:val="24"/>
        </w:rPr>
        <w:t xml:space="preserve">d’entretien, il </w:t>
      </w:r>
      <w:r w:rsidR="00F64F49">
        <w:rPr>
          <w:rFonts w:ascii="Arial" w:hAnsi="Arial" w:cs="Arial"/>
          <w:sz w:val="24"/>
          <w:szCs w:val="24"/>
        </w:rPr>
        <w:t xml:space="preserve">ressort </w:t>
      </w:r>
      <w:r>
        <w:rPr>
          <w:rFonts w:ascii="Arial" w:hAnsi="Arial" w:cs="Arial"/>
          <w:sz w:val="24"/>
          <w:szCs w:val="24"/>
        </w:rPr>
        <w:t xml:space="preserve">que les </w:t>
      </w:r>
      <w:r w:rsidRPr="009375F8">
        <w:rPr>
          <w:rFonts w:ascii="Arial" w:hAnsi="Arial" w:cs="Arial"/>
          <w:sz w:val="24"/>
          <w:szCs w:val="24"/>
        </w:rPr>
        <w:t xml:space="preserve">ressources </w:t>
      </w:r>
      <w:r>
        <w:rPr>
          <w:rFonts w:ascii="Arial" w:hAnsi="Arial" w:cs="Arial"/>
          <w:sz w:val="24"/>
          <w:szCs w:val="24"/>
        </w:rPr>
        <w:t xml:space="preserve">transférées </w:t>
      </w:r>
      <w:r w:rsidRPr="009375F8">
        <w:rPr>
          <w:rFonts w:ascii="Arial" w:hAnsi="Arial" w:cs="Arial"/>
          <w:sz w:val="24"/>
          <w:szCs w:val="24"/>
        </w:rPr>
        <w:t>aux collectivités territoriales</w:t>
      </w:r>
      <w:r>
        <w:rPr>
          <w:rFonts w:ascii="Arial" w:hAnsi="Arial" w:cs="Arial"/>
          <w:sz w:val="24"/>
          <w:szCs w:val="24"/>
        </w:rPr>
        <w:t xml:space="preserve"> pour la gestion des formations sanitaires sont insuffisantes.</w:t>
      </w:r>
    </w:p>
    <w:p w:rsidR="003717AC" w:rsidRPr="00C526F4" w:rsidRDefault="003717AC" w:rsidP="003717AC">
      <w:pPr>
        <w:pStyle w:val="Titre2"/>
        <w:numPr>
          <w:ilvl w:val="0"/>
          <w:numId w:val="2"/>
        </w:numPr>
      </w:pPr>
      <w:bookmarkStart w:id="15" w:name="_Toc491848452"/>
      <w:r w:rsidRPr="002A0FE4">
        <w:t xml:space="preserve">Disponibilité des médicaments traceurs </w:t>
      </w:r>
      <w:r w:rsidR="00CB7282">
        <w:t xml:space="preserve"> à la </w:t>
      </w:r>
      <w:r w:rsidRPr="002A0FE4">
        <w:t>CAMEG</w:t>
      </w:r>
      <w:r w:rsidR="000539A6">
        <w:t>, CAMEG</w:t>
      </w:r>
      <w:bookmarkEnd w:id="15"/>
    </w:p>
    <w:p w:rsidR="003717AC" w:rsidRPr="002A0FE4" w:rsidRDefault="003717AC" w:rsidP="003717AC">
      <w:pPr>
        <w:spacing w:after="0" w:line="360" w:lineRule="auto"/>
        <w:jc w:val="both"/>
        <w:rPr>
          <w:rFonts w:ascii="Arial" w:hAnsi="Arial" w:cs="Arial"/>
          <w:sz w:val="24"/>
          <w:szCs w:val="24"/>
        </w:rPr>
      </w:pPr>
      <w:r>
        <w:rPr>
          <w:rFonts w:ascii="Arial" w:hAnsi="Arial" w:cs="Arial"/>
          <w:sz w:val="24"/>
          <w:szCs w:val="24"/>
        </w:rPr>
        <w:t>La présentation a fait ressortir les efforts qui sont consentis pour suivre et améliorer la disponibilité des médicaments traceurs. Au titre des a</w:t>
      </w:r>
      <w:r w:rsidRPr="002A0FE4">
        <w:rPr>
          <w:rFonts w:ascii="Arial" w:hAnsi="Arial" w:cs="Arial"/>
          <w:sz w:val="24"/>
          <w:szCs w:val="24"/>
        </w:rPr>
        <w:t>ctions entreprises</w:t>
      </w:r>
      <w:r>
        <w:rPr>
          <w:rFonts w:ascii="Arial" w:hAnsi="Arial" w:cs="Arial"/>
          <w:sz w:val="24"/>
          <w:szCs w:val="24"/>
        </w:rPr>
        <w:t>, il y a un plan d’</w:t>
      </w:r>
      <w:r w:rsidRPr="002A0FE4">
        <w:rPr>
          <w:rFonts w:ascii="Arial" w:hAnsi="Arial" w:cs="Arial"/>
          <w:sz w:val="24"/>
          <w:szCs w:val="24"/>
        </w:rPr>
        <w:t>urgence</w:t>
      </w:r>
      <w:r w:rsidRPr="00F4720B">
        <w:t xml:space="preserve"> </w:t>
      </w:r>
      <w:r w:rsidRPr="00F4720B">
        <w:rPr>
          <w:rFonts w:ascii="Arial" w:hAnsi="Arial" w:cs="Arial"/>
          <w:sz w:val="24"/>
          <w:szCs w:val="24"/>
        </w:rPr>
        <w:t>de sécurisation des produits de santé</w:t>
      </w:r>
      <w:r>
        <w:rPr>
          <w:rFonts w:ascii="Arial" w:hAnsi="Arial" w:cs="Arial"/>
          <w:sz w:val="24"/>
          <w:szCs w:val="24"/>
        </w:rPr>
        <w:t xml:space="preserve"> qui a été mis en place en mi-avril 2017.</w:t>
      </w:r>
      <w:r w:rsidRPr="00F4720B">
        <w:rPr>
          <w:rFonts w:ascii="Arial" w:hAnsi="Arial" w:cs="Arial"/>
          <w:sz w:val="24"/>
          <w:szCs w:val="24"/>
        </w:rPr>
        <w:t xml:space="preserve"> </w:t>
      </w:r>
      <w:r>
        <w:rPr>
          <w:rFonts w:ascii="Arial" w:hAnsi="Arial" w:cs="Arial"/>
          <w:sz w:val="24"/>
          <w:szCs w:val="24"/>
        </w:rPr>
        <w:t>Ce plan prévoit l’é</w:t>
      </w:r>
      <w:r w:rsidRPr="00F4720B">
        <w:rPr>
          <w:rFonts w:ascii="Arial" w:hAnsi="Arial" w:cs="Arial"/>
          <w:sz w:val="24"/>
          <w:szCs w:val="24"/>
        </w:rPr>
        <w:t>valuation du niveau basal de</w:t>
      </w:r>
      <w:r>
        <w:rPr>
          <w:rFonts w:ascii="Arial" w:hAnsi="Arial" w:cs="Arial"/>
          <w:sz w:val="24"/>
          <w:szCs w:val="24"/>
        </w:rPr>
        <w:t>s stocks des produits d’intérêt, le m</w:t>
      </w:r>
      <w:r w:rsidRPr="00F4720B">
        <w:rPr>
          <w:rFonts w:ascii="Arial" w:hAnsi="Arial" w:cs="Arial"/>
          <w:sz w:val="24"/>
          <w:szCs w:val="24"/>
        </w:rPr>
        <w:t>onitorage hebdomadaire de la dispo</w:t>
      </w:r>
      <w:r>
        <w:rPr>
          <w:rFonts w:ascii="Arial" w:hAnsi="Arial" w:cs="Arial"/>
          <w:sz w:val="24"/>
          <w:szCs w:val="24"/>
        </w:rPr>
        <w:t>nibilité</w:t>
      </w:r>
      <w:r w:rsidRPr="00F4720B">
        <w:rPr>
          <w:rFonts w:ascii="Arial" w:hAnsi="Arial" w:cs="Arial"/>
          <w:sz w:val="24"/>
          <w:szCs w:val="24"/>
        </w:rPr>
        <w:t xml:space="preserve"> des produits </w:t>
      </w:r>
      <w:r>
        <w:rPr>
          <w:rFonts w:ascii="Arial" w:hAnsi="Arial" w:cs="Arial"/>
          <w:sz w:val="24"/>
          <w:szCs w:val="24"/>
        </w:rPr>
        <w:t xml:space="preserve">d’intérêt, la </w:t>
      </w:r>
      <w:r w:rsidRPr="00F4720B">
        <w:rPr>
          <w:rFonts w:ascii="Arial" w:hAnsi="Arial" w:cs="Arial"/>
          <w:sz w:val="24"/>
          <w:szCs w:val="24"/>
        </w:rPr>
        <w:t>mobilisation des ressources (suivi des créa</w:t>
      </w:r>
      <w:r>
        <w:rPr>
          <w:rFonts w:ascii="Arial" w:hAnsi="Arial" w:cs="Arial"/>
          <w:sz w:val="24"/>
          <w:szCs w:val="24"/>
        </w:rPr>
        <w:t>nces, financements alternatifs), le s</w:t>
      </w:r>
      <w:r w:rsidRPr="00F4720B">
        <w:rPr>
          <w:rFonts w:ascii="Arial" w:hAnsi="Arial" w:cs="Arial"/>
          <w:sz w:val="24"/>
          <w:szCs w:val="24"/>
        </w:rPr>
        <w:t>uivi des règl</w:t>
      </w:r>
      <w:r>
        <w:rPr>
          <w:rFonts w:ascii="Arial" w:hAnsi="Arial" w:cs="Arial"/>
          <w:sz w:val="24"/>
          <w:szCs w:val="24"/>
        </w:rPr>
        <w:t>ements des dettes fournisseurs, l’a</w:t>
      </w:r>
      <w:r w:rsidRPr="00F4720B">
        <w:rPr>
          <w:rFonts w:ascii="Arial" w:hAnsi="Arial" w:cs="Arial"/>
          <w:sz w:val="24"/>
          <w:szCs w:val="24"/>
        </w:rPr>
        <w:t>ctivation de mécanismes de dépannages d’urgence via certains fournisseurs et/o</w:t>
      </w:r>
      <w:r>
        <w:rPr>
          <w:rFonts w:ascii="Arial" w:hAnsi="Arial" w:cs="Arial"/>
          <w:sz w:val="24"/>
          <w:szCs w:val="24"/>
        </w:rPr>
        <w:t>u les centrales d’achats sœurs, le s</w:t>
      </w:r>
      <w:r w:rsidRPr="00F4720B">
        <w:rPr>
          <w:rFonts w:ascii="Arial" w:hAnsi="Arial" w:cs="Arial"/>
          <w:sz w:val="24"/>
          <w:szCs w:val="24"/>
        </w:rPr>
        <w:t>uivi des livraisons et de la distribution des produits (red</w:t>
      </w:r>
      <w:r>
        <w:rPr>
          <w:rFonts w:ascii="Arial" w:hAnsi="Arial" w:cs="Arial"/>
          <w:sz w:val="24"/>
          <w:szCs w:val="24"/>
        </w:rPr>
        <w:t>é</w:t>
      </w:r>
      <w:r w:rsidRPr="00F4720B">
        <w:rPr>
          <w:rFonts w:ascii="Arial" w:hAnsi="Arial" w:cs="Arial"/>
          <w:sz w:val="24"/>
          <w:szCs w:val="24"/>
        </w:rPr>
        <w:t>p</w:t>
      </w:r>
      <w:r>
        <w:rPr>
          <w:rFonts w:ascii="Arial" w:hAnsi="Arial" w:cs="Arial"/>
          <w:sz w:val="24"/>
          <w:szCs w:val="24"/>
        </w:rPr>
        <w:t>loi</w:t>
      </w:r>
      <w:r w:rsidRPr="00F4720B">
        <w:rPr>
          <w:rFonts w:ascii="Arial" w:hAnsi="Arial" w:cs="Arial"/>
          <w:sz w:val="24"/>
          <w:szCs w:val="24"/>
        </w:rPr>
        <w:t>e</w:t>
      </w:r>
      <w:r>
        <w:rPr>
          <w:rFonts w:ascii="Arial" w:hAnsi="Arial" w:cs="Arial"/>
          <w:sz w:val="24"/>
          <w:szCs w:val="24"/>
        </w:rPr>
        <w:t>me</w:t>
      </w:r>
      <w:r w:rsidRPr="00F4720B">
        <w:rPr>
          <w:rFonts w:ascii="Arial" w:hAnsi="Arial" w:cs="Arial"/>
          <w:sz w:val="24"/>
          <w:szCs w:val="24"/>
        </w:rPr>
        <w:t>nt).</w:t>
      </w:r>
      <w:r>
        <w:rPr>
          <w:rFonts w:ascii="Arial" w:hAnsi="Arial" w:cs="Arial"/>
          <w:sz w:val="24"/>
          <w:szCs w:val="24"/>
        </w:rPr>
        <w:t xml:space="preserve"> Une a</w:t>
      </w:r>
      <w:r w:rsidRPr="002A0FE4">
        <w:rPr>
          <w:rFonts w:ascii="Arial" w:hAnsi="Arial" w:cs="Arial"/>
          <w:sz w:val="24"/>
          <w:szCs w:val="24"/>
        </w:rPr>
        <w:t>mélioration du taux de disponibilité des médicaments</w:t>
      </w:r>
      <w:r>
        <w:rPr>
          <w:rFonts w:ascii="Arial" w:hAnsi="Arial" w:cs="Arial"/>
          <w:sz w:val="24"/>
          <w:szCs w:val="24"/>
        </w:rPr>
        <w:t xml:space="preserve"> sera visible dès les mois à venir.</w:t>
      </w:r>
    </w:p>
    <w:p w:rsidR="003717AC" w:rsidRPr="002A0FE4" w:rsidRDefault="003717AC" w:rsidP="003717AC">
      <w:pPr>
        <w:spacing w:after="0" w:line="360" w:lineRule="auto"/>
        <w:jc w:val="both"/>
        <w:rPr>
          <w:rFonts w:ascii="Arial" w:hAnsi="Arial" w:cs="Arial"/>
          <w:sz w:val="24"/>
          <w:szCs w:val="24"/>
        </w:rPr>
      </w:pPr>
      <w:r>
        <w:rPr>
          <w:rFonts w:ascii="Arial" w:hAnsi="Arial" w:cs="Arial"/>
          <w:sz w:val="24"/>
          <w:szCs w:val="24"/>
        </w:rPr>
        <w:t>Les débats sur la présentation ont permis d’aplanir les divergences de compréhension des notions</w:t>
      </w:r>
      <w:r w:rsidRPr="0059344D">
        <w:rPr>
          <w:rFonts w:ascii="Arial" w:hAnsi="Arial" w:cs="Arial"/>
          <w:sz w:val="24"/>
          <w:szCs w:val="24"/>
        </w:rPr>
        <w:t xml:space="preserve"> </w:t>
      </w:r>
      <w:r w:rsidRPr="002A0FE4">
        <w:rPr>
          <w:rFonts w:ascii="Arial" w:hAnsi="Arial" w:cs="Arial"/>
          <w:sz w:val="24"/>
          <w:szCs w:val="24"/>
        </w:rPr>
        <w:t>de disponibilité de médicaments</w:t>
      </w:r>
      <w:r>
        <w:rPr>
          <w:rFonts w:ascii="Arial" w:hAnsi="Arial" w:cs="Arial"/>
          <w:sz w:val="24"/>
          <w:szCs w:val="24"/>
        </w:rPr>
        <w:t xml:space="preserve">, de la </w:t>
      </w:r>
      <w:r w:rsidRPr="002A0FE4">
        <w:rPr>
          <w:rFonts w:ascii="Arial" w:hAnsi="Arial" w:cs="Arial"/>
          <w:sz w:val="24"/>
          <w:szCs w:val="24"/>
        </w:rPr>
        <w:t>liste des médicaments</w:t>
      </w:r>
      <w:r>
        <w:rPr>
          <w:rFonts w:ascii="Arial" w:hAnsi="Arial" w:cs="Arial"/>
          <w:sz w:val="24"/>
          <w:szCs w:val="24"/>
        </w:rPr>
        <w:t xml:space="preserve"> et</w:t>
      </w:r>
      <w:r w:rsidRPr="002A0FE4">
        <w:rPr>
          <w:rFonts w:ascii="Arial" w:hAnsi="Arial" w:cs="Arial"/>
          <w:sz w:val="24"/>
          <w:szCs w:val="24"/>
        </w:rPr>
        <w:t xml:space="preserve"> de molécules traceurs</w:t>
      </w:r>
      <w:r>
        <w:rPr>
          <w:rFonts w:ascii="Arial" w:hAnsi="Arial" w:cs="Arial"/>
          <w:sz w:val="24"/>
          <w:szCs w:val="24"/>
        </w:rPr>
        <w:t>. D’autres interventions ont porté sur les rationnements des produits et les révisions des commandes MEG des structures par la CAMEG. En définitive, il a été recommandé à la CAMEG d’améliorer son système de communication avec les structures.</w:t>
      </w:r>
    </w:p>
    <w:p w:rsidR="003717AC" w:rsidRPr="0059344D" w:rsidRDefault="003717AC" w:rsidP="003717AC">
      <w:pPr>
        <w:spacing w:after="0"/>
        <w:rPr>
          <w:rFonts w:ascii="Arial" w:hAnsi="Arial" w:cs="Arial"/>
          <w:sz w:val="24"/>
          <w:szCs w:val="24"/>
        </w:rPr>
      </w:pPr>
    </w:p>
    <w:p w:rsidR="003717AC" w:rsidRPr="006E5BFE" w:rsidRDefault="003717AC" w:rsidP="003717AC">
      <w:pPr>
        <w:pStyle w:val="Titre2"/>
        <w:numPr>
          <w:ilvl w:val="0"/>
          <w:numId w:val="2"/>
        </w:numPr>
      </w:pPr>
      <w:bookmarkStart w:id="16" w:name="_Toc491848453"/>
      <w:r w:rsidRPr="002A0FE4">
        <w:t>Projet pilote pharmacie hospitalière au CHR GAOUA</w:t>
      </w:r>
      <w:bookmarkEnd w:id="16"/>
    </w:p>
    <w:p w:rsidR="003717AC" w:rsidRDefault="003717AC" w:rsidP="003717AC">
      <w:pPr>
        <w:spacing w:after="0" w:line="360" w:lineRule="auto"/>
        <w:jc w:val="both"/>
        <w:rPr>
          <w:rFonts w:ascii="Arial" w:hAnsi="Arial" w:cs="Arial"/>
          <w:sz w:val="24"/>
          <w:szCs w:val="24"/>
        </w:rPr>
      </w:pPr>
      <w:r>
        <w:rPr>
          <w:rFonts w:ascii="Arial" w:hAnsi="Arial" w:cs="Arial"/>
          <w:sz w:val="24"/>
          <w:szCs w:val="24"/>
        </w:rPr>
        <w:t>La DGPML a en charge la conduite de ce grand programme de pharmacie hospitalière. Elle accompagne toutes les structures de soins dans ce sens et envisage d’abord couvrir progressivement tous les CHR</w:t>
      </w:r>
      <w:r w:rsidR="000539A6">
        <w:rPr>
          <w:rFonts w:ascii="Arial" w:hAnsi="Arial" w:cs="Arial"/>
          <w:sz w:val="24"/>
          <w:szCs w:val="24"/>
        </w:rPr>
        <w:t xml:space="preserve"> et </w:t>
      </w:r>
      <w:r>
        <w:rPr>
          <w:rFonts w:ascii="Arial" w:hAnsi="Arial" w:cs="Arial"/>
          <w:sz w:val="24"/>
          <w:szCs w:val="24"/>
        </w:rPr>
        <w:t xml:space="preserve">CHU. C’est dans cette optique que le CHR de Gaoua déjà en avance sur ce projet et sur sa demande a été choisi comme site pilote de mise en œuvre de la pharmacie hospitalière. </w:t>
      </w:r>
    </w:p>
    <w:p w:rsidR="003717AC" w:rsidRDefault="003717AC" w:rsidP="003717AC">
      <w:pPr>
        <w:spacing w:after="0" w:line="360" w:lineRule="auto"/>
        <w:jc w:val="both"/>
        <w:rPr>
          <w:rFonts w:ascii="Arial" w:hAnsi="Arial" w:cs="Arial"/>
          <w:sz w:val="24"/>
          <w:szCs w:val="24"/>
        </w:rPr>
      </w:pPr>
      <w:r>
        <w:rPr>
          <w:rFonts w:ascii="Arial" w:hAnsi="Arial" w:cs="Arial"/>
          <w:sz w:val="24"/>
          <w:szCs w:val="24"/>
        </w:rPr>
        <w:t xml:space="preserve">La présentation a d’abord étayé le concept de pharmacie hospitalière et les activités y relatives. Les résultats auxquels la mission conjointe (DGPML-DES) d’appui conseil </w:t>
      </w:r>
      <w:r>
        <w:rPr>
          <w:rFonts w:ascii="Arial" w:hAnsi="Arial" w:cs="Arial"/>
          <w:sz w:val="24"/>
          <w:szCs w:val="24"/>
        </w:rPr>
        <w:lastRenderedPageBreak/>
        <w:t>au CHR ont été présentés suivi du projet de mise en place de la dispensation nominative individuelle (DNI) au CHR.</w:t>
      </w:r>
    </w:p>
    <w:p w:rsidR="003717AC" w:rsidRDefault="003717AC" w:rsidP="003717AC">
      <w:pPr>
        <w:spacing w:after="0" w:line="360" w:lineRule="auto"/>
        <w:jc w:val="both"/>
        <w:rPr>
          <w:rFonts w:ascii="Arial" w:hAnsi="Arial" w:cs="Arial"/>
          <w:sz w:val="24"/>
          <w:szCs w:val="24"/>
        </w:rPr>
      </w:pPr>
      <w:r>
        <w:rPr>
          <w:rFonts w:ascii="Arial" w:hAnsi="Arial" w:cs="Arial"/>
          <w:sz w:val="24"/>
          <w:szCs w:val="24"/>
        </w:rPr>
        <w:t>La mission d’appui conseil a décelé des forces et des faiblesses de l’hôpital pour la mise en place de la DNI. La principale faiblesse concerne les ressources humaines (nombre insuffisant et forte mobilité). Néanmoins avec l’existant, un projet de démarrage en septembre</w:t>
      </w:r>
      <w:r w:rsidR="00157140">
        <w:rPr>
          <w:rFonts w:ascii="Arial" w:hAnsi="Arial" w:cs="Arial"/>
          <w:sz w:val="24"/>
          <w:szCs w:val="24"/>
        </w:rPr>
        <w:t xml:space="preserve"> 2017</w:t>
      </w:r>
      <w:r>
        <w:rPr>
          <w:rFonts w:ascii="Arial" w:hAnsi="Arial" w:cs="Arial"/>
          <w:sz w:val="24"/>
          <w:szCs w:val="24"/>
        </w:rPr>
        <w:t xml:space="preserve"> a été élaboré en attendant de forts plaidoyers pour avoir les accompagnements nécessaires.</w:t>
      </w:r>
    </w:p>
    <w:p w:rsidR="003717AC" w:rsidRPr="002A0FE4" w:rsidRDefault="003717AC" w:rsidP="003717AC">
      <w:pPr>
        <w:spacing w:after="0" w:line="360" w:lineRule="auto"/>
        <w:jc w:val="both"/>
        <w:rPr>
          <w:rFonts w:ascii="Arial" w:hAnsi="Arial" w:cs="Arial"/>
          <w:sz w:val="24"/>
          <w:szCs w:val="24"/>
        </w:rPr>
      </w:pPr>
      <w:r>
        <w:rPr>
          <w:rFonts w:ascii="Arial" w:hAnsi="Arial" w:cs="Arial"/>
          <w:sz w:val="24"/>
          <w:szCs w:val="24"/>
        </w:rPr>
        <w:t>Lors des échanges, des précisions ont été donné</w:t>
      </w:r>
      <w:r w:rsidR="00157140">
        <w:rPr>
          <w:rFonts w:ascii="Arial" w:hAnsi="Arial" w:cs="Arial"/>
          <w:sz w:val="24"/>
          <w:szCs w:val="24"/>
        </w:rPr>
        <w:t>es</w:t>
      </w:r>
      <w:r>
        <w:rPr>
          <w:rFonts w:ascii="Arial" w:hAnsi="Arial" w:cs="Arial"/>
          <w:sz w:val="24"/>
          <w:szCs w:val="24"/>
        </w:rPr>
        <w:t xml:space="preserve"> sur les précautions prises pour la t</w:t>
      </w:r>
      <w:r w:rsidRPr="002A0FE4">
        <w:rPr>
          <w:rFonts w:ascii="Arial" w:hAnsi="Arial" w:cs="Arial"/>
          <w:sz w:val="24"/>
          <w:szCs w:val="24"/>
        </w:rPr>
        <w:t>raçabilité de l’ad</w:t>
      </w:r>
      <w:r>
        <w:rPr>
          <w:rFonts w:ascii="Arial" w:hAnsi="Arial" w:cs="Arial"/>
          <w:sz w:val="24"/>
          <w:szCs w:val="24"/>
        </w:rPr>
        <w:t>ministration</w:t>
      </w:r>
      <w:r w:rsidR="00157140">
        <w:rPr>
          <w:rFonts w:ascii="Arial" w:hAnsi="Arial" w:cs="Arial"/>
          <w:sz w:val="24"/>
          <w:szCs w:val="24"/>
        </w:rPr>
        <w:t xml:space="preserve"> des médicaments</w:t>
      </w:r>
      <w:r>
        <w:rPr>
          <w:rFonts w:ascii="Arial" w:hAnsi="Arial" w:cs="Arial"/>
          <w:sz w:val="24"/>
          <w:szCs w:val="24"/>
        </w:rPr>
        <w:t xml:space="preserve"> au lit des malades et l’évaluation des besoins en personnel en fonction du nombre de lit</w:t>
      </w:r>
      <w:r w:rsidR="00157140">
        <w:rPr>
          <w:rFonts w:ascii="Arial" w:hAnsi="Arial" w:cs="Arial"/>
          <w:sz w:val="24"/>
          <w:szCs w:val="24"/>
        </w:rPr>
        <w:t xml:space="preserve">s disponibles au sein de </w:t>
      </w:r>
      <w:r>
        <w:rPr>
          <w:rFonts w:ascii="Arial" w:hAnsi="Arial" w:cs="Arial"/>
          <w:sz w:val="24"/>
          <w:szCs w:val="24"/>
        </w:rPr>
        <w:t>l’hôpital..</w:t>
      </w:r>
    </w:p>
    <w:p w:rsidR="003717AC" w:rsidRPr="002A0FE4" w:rsidRDefault="003717AC" w:rsidP="003717AC">
      <w:pPr>
        <w:pStyle w:val="Titre2"/>
        <w:numPr>
          <w:ilvl w:val="0"/>
          <w:numId w:val="2"/>
        </w:numPr>
      </w:pPr>
      <w:bookmarkStart w:id="17" w:name="_Toc491848454"/>
      <w:r w:rsidRPr="002A0FE4">
        <w:t>Plateforme e-gratuite</w:t>
      </w:r>
      <w:bookmarkEnd w:id="17"/>
    </w:p>
    <w:p w:rsidR="003717AC" w:rsidRPr="002A0FE4" w:rsidRDefault="003717AC" w:rsidP="003717AC">
      <w:pPr>
        <w:spacing w:after="0"/>
        <w:rPr>
          <w:rFonts w:ascii="Arial" w:hAnsi="Arial" w:cs="Arial"/>
          <w:sz w:val="24"/>
          <w:szCs w:val="24"/>
        </w:rPr>
      </w:pPr>
    </w:p>
    <w:p w:rsidR="003717AC" w:rsidRDefault="003717AC" w:rsidP="003717AC">
      <w:pPr>
        <w:spacing w:after="0" w:line="360" w:lineRule="auto"/>
        <w:jc w:val="both"/>
        <w:rPr>
          <w:rFonts w:ascii="Arial" w:hAnsi="Arial" w:cs="Arial"/>
          <w:sz w:val="24"/>
          <w:szCs w:val="24"/>
        </w:rPr>
      </w:pPr>
      <w:r>
        <w:rPr>
          <w:rFonts w:ascii="Arial" w:hAnsi="Arial" w:cs="Arial"/>
          <w:sz w:val="24"/>
          <w:szCs w:val="24"/>
        </w:rPr>
        <w:t>L’informatisation de la collecte des données gratuité a fait l’objet de recommandation au dernier atelier bilan. Cette présentation de la plateforme était l’occasion non seulement de montrer la réalisation de cette recommandation, mais également de familiariser les responsables à l’utilisation de l’outil. La DSITS qui a comme objectif de favoriser l’intégration des systèmes d’information a présenté en premier lieu les projets innovants développés sous le même progiciel que la plateforme e-gratuite. Ce sont entre autres Endos_BF, RSMS, MHEALTH/PCIMEC. La plateforme e-gratuite a ensuite été présentée. Elle comporte comme avantages l’unicité du canevas de rapportage, l’a</w:t>
      </w:r>
      <w:r w:rsidRPr="007C4F2F">
        <w:rPr>
          <w:rFonts w:ascii="Arial" w:hAnsi="Arial" w:cs="Arial"/>
          <w:sz w:val="24"/>
          <w:szCs w:val="24"/>
        </w:rPr>
        <w:t>mélioration du rapportage (complétude, promptitude, saisie et</w:t>
      </w:r>
      <w:r>
        <w:rPr>
          <w:rFonts w:ascii="Arial" w:hAnsi="Arial" w:cs="Arial"/>
          <w:sz w:val="24"/>
          <w:szCs w:val="24"/>
        </w:rPr>
        <w:t xml:space="preserve"> contrôle qualité des données), la f</w:t>
      </w:r>
      <w:r w:rsidRPr="007C4F2F">
        <w:rPr>
          <w:rFonts w:ascii="Arial" w:hAnsi="Arial" w:cs="Arial"/>
          <w:sz w:val="24"/>
          <w:szCs w:val="24"/>
        </w:rPr>
        <w:t>acilitat</w:t>
      </w:r>
      <w:r>
        <w:rPr>
          <w:rFonts w:ascii="Arial" w:hAnsi="Arial" w:cs="Arial"/>
          <w:sz w:val="24"/>
          <w:szCs w:val="24"/>
        </w:rPr>
        <w:t>ion de l’agrégation des données, l’a</w:t>
      </w:r>
      <w:r w:rsidRPr="007C4F2F">
        <w:rPr>
          <w:rFonts w:ascii="Arial" w:hAnsi="Arial" w:cs="Arial"/>
          <w:sz w:val="24"/>
          <w:szCs w:val="24"/>
        </w:rPr>
        <w:t>utomatisation d</w:t>
      </w:r>
      <w:r>
        <w:rPr>
          <w:rFonts w:ascii="Arial" w:hAnsi="Arial" w:cs="Arial"/>
          <w:sz w:val="24"/>
          <w:szCs w:val="24"/>
        </w:rPr>
        <w:t xml:space="preserve">e la production des indicateurs. Hébergée </w:t>
      </w:r>
      <w:r w:rsidRPr="007C4F2F">
        <w:rPr>
          <w:rFonts w:ascii="Arial" w:hAnsi="Arial" w:cs="Arial"/>
          <w:sz w:val="24"/>
          <w:szCs w:val="24"/>
        </w:rPr>
        <w:t>dans le Data Center gouvernemental du Burkina Faso</w:t>
      </w:r>
      <w:r>
        <w:rPr>
          <w:rFonts w:ascii="Arial" w:hAnsi="Arial" w:cs="Arial"/>
          <w:sz w:val="24"/>
          <w:szCs w:val="24"/>
        </w:rPr>
        <w:t>, elle possède</w:t>
      </w:r>
      <w:r w:rsidRPr="007C4F2F">
        <w:rPr>
          <w:rFonts w:ascii="Arial" w:hAnsi="Arial" w:cs="Arial"/>
          <w:sz w:val="24"/>
          <w:szCs w:val="24"/>
        </w:rPr>
        <w:t xml:space="preserve"> 2 canaux de saisie (Via RESINA et/ou VIA internet)</w:t>
      </w:r>
      <w:r>
        <w:rPr>
          <w:rFonts w:ascii="Arial" w:hAnsi="Arial" w:cs="Arial"/>
          <w:sz w:val="24"/>
          <w:szCs w:val="24"/>
        </w:rPr>
        <w:t>.</w:t>
      </w:r>
    </w:p>
    <w:p w:rsidR="003717AC" w:rsidRDefault="003717AC" w:rsidP="003717AC">
      <w:pPr>
        <w:spacing w:after="0" w:line="360" w:lineRule="auto"/>
        <w:jc w:val="both"/>
        <w:rPr>
          <w:rFonts w:ascii="Arial" w:hAnsi="Arial" w:cs="Arial"/>
          <w:sz w:val="24"/>
          <w:szCs w:val="24"/>
        </w:rPr>
      </w:pPr>
      <w:r>
        <w:rPr>
          <w:rFonts w:ascii="Arial" w:hAnsi="Arial" w:cs="Arial"/>
          <w:sz w:val="24"/>
          <w:szCs w:val="24"/>
        </w:rPr>
        <w:t>Elle comporte cependant quelques limites en ce sens qu</w:t>
      </w:r>
      <w:r w:rsidR="007B214A">
        <w:rPr>
          <w:rFonts w:ascii="Arial" w:hAnsi="Arial" w:cs="Arial"/>
          <w:sz w:val="24"/>
          <w:szCs w:val="24"/>
        </w:rPr>
        <w:t>’</w:t>
      </w:r>
      <w:r>
        <w:rPr>
          <w:rFonts w:ascii="Arial" w:hAnsi="Arial" w:cs="Arial"/>
          <w:sz w:val="24"/>
          <w:szCs w:val="24"/>
        </w:rPr>
        <w:t xml:space="preserve"> elle ne recueille que les données agrégées et ce au niveau district et hôpital. Les données primaires par patient ne sont pas donc pas recueillies. Le RESINA sous lequel la plateforme est rapidement accessible n’est pas déployé sur l’ensemble du territoire national. De même, les structures qui en disposent ne l’utilisent pas suffisamment.</w:t>
      </w:r>
    </w:p>
    <w:p w:rsidR="003717AC" w:rsidRDefault="003717AC" w:rsidP="003717AC">
      <w:pPr>
        <w:spacing w:after="0" w:line="360" w:lineRule="auto"/>
        <w:jc w:val="both"/>
        <w:rPr>
          <w:rFonts w:ascii="Arial" w:hAnsi="Arial" w:cs="Arial"/>
          <w:sz w:val="24"/>
          <w:szCs w:val="24"/>
        </w:rPr>
      </w:pPr>
      <w:r>
        <w:rPr>
          <w:rFonts w:ascii="Arial" w:hAnsi="Arial" w:cs="Arial"/>
          <w:sz w:val="24"/>
          <w:szCs w:val="24"/>
        </w:rPr>
        <w:t>Aussi, en perspective, il est prévu à court terme de mettre en place la t</w:t>
      </w:r>
      <w:r w:rsidRPr="00BD64A1">
        <w:rPr>
          <w:rFonts w:ascii="Arial" w:hAnsi="Arial" w:cs="Arial"/>
          <w:sz w:val="24"/>
          <w:szCs w:val="24"/>
        </w:rPr>
        <w:t>ransmissi</w:t>
      </w:r>
      <w:r>
        <w:rPr>
          <w:rFonts w:ascii="Arial" w:hAnsi="Arial" w:cs="Arial"/>
          <w:sz w:val="24"/>
          <w:szCs w:val="24"/>
        </w:rPr>
        <w:t xml:space="preserve">on  des rapports par téléphonie </w:t>
      </w:r>
      <w:r w:rsidRPr="00BD64A1">
        <w:rPr>
          <w:rFonts w:ascii="Arial" w:hAnsi="Arial" w:cs="Arial"/>
          <w:sz w:val="24"/>
          <w:szCs w:val="24"/>
        </w:rPr>
        <w:t>SMS depuis les FS</w:t>
      </w:r>
      <w:r>
        <w:rPr>
          <w:rFonts w:ascii="Arial" w:hAnsi="Arial" w:cs="Arial"/>
          <w:sz w:val="24"/>
          <w:szCs w:val="24"/>
        </w:rPr>
        <w:t xml:space="preserve">, de déployer et de faire utiliser le </w:t>
      </w:r>
      <w:r w:rsidRPr="00BD64A1">
        <w:rPr>
          <w:rFonts w:ascii="Arial" w:hAnsi="Arial" w:cs="Arial"/>
          <w:sz w:val="24"/>
          <w:szCs w:val="24"/>
        </w:rPr>
        <w:t xml:space="preserve">RESINA </w:t>
      </w:r>
      <w:r>
        <w:rPr>
          <w:rFonts w:ascii="Arial" w:hAnsi="Arial" w:cs="Arial"/>
          <w:sz w:val="24"/>
          <w:szCs w:val="24"/>
        </w:rPr>
        <w:t>par</w:t>
      </w:r>
      <w:r w:rsidRPr="00BD64A1">
        <w:rPr>
          <w:rFonts w:ascii="Arial" w:hAnsi="Arial" w:cs="Arial"/>
          <w:sz w:val="24"/>
          <w:szCs w:val="24"/>
        </w:rPr>
        <w:t xml:space="preserve"> l’ensemble des DS</w:t>
      </w:r>
      <w:r>
        <w:rPr>
          <w:rFonts w:ascii="Arial" w:hAnsi="Arial" w:cs="Arial"/>
          <w:sz w:val="24"/>
          <w:szCs w:val="24"/>
        </w:rPr>
        <w:t>. A moyen et long terme, la mi</w:t>
      </w:r>
      <w:r w:rsidRPr="00BD64A1">
        <w:rPr>
          <w:rFonts w:ascii="Arial" w:hAnsi="Arial" w:cs="Arial"/>
          <w:sz w:val="24"/>
          <w:szCs w:val="24"/>
        </w:rPr>
        <w:t xml:space="preserve">se en place d’un </w:t>
      </w:r>
      <w:r w:rsidRPr="00BD64A1">
        <w:rPr>
          <w:rFonts w:ascii="Arial" w:hAnsi="Arial" w:cs="Arial"/>
          <w:sz w:val="24"/>
          <w:szCs w:val="24"/>
        </w:rPr>
        <w:lastRenderedPageBreak/>
        <w:t>système de collecte des donn</w:t>
      </w:r>
      <w:r>
        <w:rPr>
          <w:rFonts w:ascii="Arial" w:hAnsi="Arial" w:cs="Arial"/>
          <w:sz w:val="24"/>
          <w:szCs w:val="24"/>
        </w:rPr>
        <w:t xml:space="preserve">ées primaires et le </w:t>
      </w:r>
      <w:r w:rsidR="00523108">
        <w:rPr>
          <w:rFonts w:ascii="Arial" w:hAnsi="Arial" w:cs="Arial"/>
          <w:sz w:val="24"/>
          <w:szCs w:val="24"/>
        </w:rPr>
        <w:t>d</w:t>
      </w:r>
      <w:r>
        <w:rPr>
          <w:rFonts w:ascii="Arial" w:hAnsi="Arial" w:cs="Arial"/>
          <w:sz w:val="24"/>
          <w:szCs w:val="24"/>
        </w:rPr>
        <w:t>éploiement du</w:t>
      </w:r>
      <w:r w:rsidRPr="00BD64A1">
        <w:rPr>
          <w:rFonts w:ascii="Arial" w:hAnsi="Arial" w:cs="Arial"/>
          <w:sz w:val="24"/>
          <w:szCs w:val="24"/>
        </w:rPr>
        <w:t xml:space="preserve"> RESINA à l’ensemble des formations sanitaires du </w:t>
      </w:r>
      <w:r w:rsidR="00BC1575">
        <w:rPr>
          <w:rFonts w:ascii="Arial" w:hAnsi="Arial" w:cs="Arial"/>
          <w:sz w:val="24"/>
          <w:szCs w:val="24"/>
        </w:rPr>
        <w:t>pays</w:t>
      </w:r>
      <w:r>
        <w:rPr>
          <w:rFonts w:ascii="Arial" w:hAnsi="Arial" w:cs="Arial"/>
          <w:sz w:val="24"/>
          <w:szCs w:val="24"/>
        </w:rPr>
        <w:t xml:space="preserve"> sont une nécessité.</w:t>
      </w:r>
    </w:p>
    <w:p w:rsidR="003717AC" w:rsidRDefault="003717AC" w:rsidP="003717AC">
      <w:pPr>
        <w:spacing w:after="0" w:line="360" w:lineRule="auto"/>
        <w:jc w:val="both"/>
        <w:rPr>
          <w:rFonts w:ascii="Arial" w:hAnsi="Arial" w:cs="Arial"/>
          <w:sz w:val="24"/>
          <w:szCs w:val="24"/>
        </w:rPr>
      </w:pPr>
      <w:r>
        <w:rPr>
          <w:rFonts w:ascii="Arial" w:hAnsi="Arial" w:cs="Arial"/>
          <w:sz w:val="24"/>
          <w:szCs w:val="24"/>
        </w:rPr>
        <w:t xml:space="preserve">Les questions posées ont concerné la </w:t>
      </w:r>
      <w:r w:rsidRPr="002A0FE4">
        <w:rPr>
          <w:rFonts w:ascii="Arial" w:hAnsi="Arial" w:cs="Arial"/>
          <w:sz w:val="24"/>
          <w:szCs w:val="24"/>
        </w:rPr>
        <w:t xml:space="preserve">garantie de sécurisation des données à long terme surtout </w:t>
      </w:r>
      <w:r>
        <w:rPr>
          <w:rFonts w:ascii="Arial" w:hAnsi="Arial" w:cs="Arial"/>
          <w:sz w:val="24"/>
          <w:szCs w:val="24"/>
        </w:rPr>
        <w:t>E</w:t>
      </w:r>
      <w:r w:rsidRPr="002A0FE4">
        <w:rPr>
          <w:rFonts w:ascii="Arial" w:hAnsi="Arial" w:cs="Arial"/>
          <w:sz w:val="24"/>
          <w:szCs w:val="24"/>
        </w:rPr>
        <w:t>ndos</w:t>
      </w:r>
      <w:r>
        <w:rPr>
          <w:rFonts w:ascii="Arial" w:hAnsi="Arial" w:cs="Arial"/>
          <w:sz w:val="24"/>
          <w:szCs w:val="24"/>
        </w:rPr>
        <w:t xml:space="preserve"> vu que son hébergement n’est pas au Burkina Faso, la f</w:t>
      </w:r>
      <w:r w:rsidRPr="002A0FE4">
        <w:rPr>
          <w:rFonts w:ascii="Arial" w:hAnsi="Arial" w:cs="Arial"/>
          <w:sz w:val="24"/>
          <w:szCs w:val="24"/>
        </w:rPr>
        <w:t>ormation des responsables</w:t>
      </w:r>
      <w:r>
        <w:rPr>
          <w:rFonts w:ascii="Arial" w:hAnsi="Arial" w:cs="Arial"/>
          <w:sz w:val="24"/>
          <w:szCs w:val="24"/>
        </w:rPr>
        <w:t xml:space="preserve"> sur l’utilisation de la plateforme, la faiblesse du débit du RESINA et la manière dont le d</w:t>
      </w:r>
      <w:r w:rsidRPr="002A0FE4">
        <w:rPr>
          <w:rFonts w:ascii="Arial" w:hAnsi="Arial" w:cs="Arial"/>
          <w:sz w:val="24"/>
          <w:szCs w:val="24"/>
        </w:rPr>
        <w:t>ossier patient </w:t>
      </w:r>
      <w:r w:rsidR="00246E2B">
        <w:rPr>
          <w:rFonts w:ascii="Arial" w:hAnsi="Arial" w:cs="Arial"/>
          <w:sz w:val="24"/>
          <w:szCs w:val="24"/>
        </w:rPr>
        <w:t xml:space="preserve">pourrait être </w:t>
      </w:r>
      <w:r>
        <w:rPr>
          <w:rFonts w:ascii="Arial" w:hAnsi="Arial" w:cs="Arial"/>
          <w:sz w:val="24"/>
          <w:szCs w:val="24"/>
        </w:rPr>
        <w:t>implémenté et géré via</w:t>
      </w:r>
      <w:r w:rsidRPr="002A0FE4">
        <w:rPr>
          <w:rFonts w:ascii="Arial" w:hAnsi="Arial" w:cs="Arial"/>
          <w:sz w:val="24"/>
          <w:szCs w:val="24"/>
        </w:rPr>
        <w:t xml:space="preserve"> la plateforme</w:t>
      </w:r>
      <w:r>
        <w:rPr>
          <w:rFonts w:ascii="Arial" w:hAnsi="Arial" w:cs="Arial"/>
          <w:sz w:val="24"/>
          <w:szCs w:val="24"/>
        </w:rPr>
        <w:t>. Des précautions sont prises pour la sécurisation des données par la DSITS et l’ANPTIC. Les données Endos peuvent être rapatriées techniquement si la décision est prise. Le dossier patient est une perspective à long terme et ne pourra se mettre en œuvre qu’avec la participation des acteurs de terrain.</w:t>
      </w:r>
    </w:p>
    <w:p w:rsidR="003717AC" w:rsidRDefault="003717AC" w:rsidP="003717AC">
      <w:pPr>
        <w:pStyle w:val="Titre1"/>
        <w:numPr>
          <w:ilvl w:val="0"/>
          <w:numId w:val="3"/>
        </w:numPr>
      </w:pPr>
      <w:bookmarkStart w:id="18" w:name="_Toc491848455"/>
      <w:r>
        <w:t>Redevabilité de la mise en œuvre</w:t>
      </w:r>
      <w:bookmarkEnd w:id="18"/>
      <w:r>
        <w:t xml:space="preserve"> </w:t>
      </w:r>
    </w:p>
    <w:p w:rsidR="003717AC" w:rsidRPr="00115106" w:rsidRDefault="003717AC" w:rsidP="003717AC">
      <w:pPr>
        <w:spacing w:after="0" w:line="360" w:lineRule="auto"/>
        <w:jc w:val="both"/>
        <w:rPr>
          <w:rFonts w:ascii="Arial" w:hAnsi="Arial" w:cs="Arial"/>
          <w:sz w:val="24"/>
          <w:szCs w:val="24"/>
        </w:rPr>
      </w:pPr>
      <w:r>
        <w:rPr>
          <w:rFonts w:ascii="Arial" w:hAnsi="Arial" w:cs="Arial"/>
          <w:sz w:val="24"/>
          <w:szCs w:val="24"/>
        </w:rPr>
        <w:t xml:space="preserve">Comment les mesures de gratuité des soins sont mises en œuvre dans les structures de santé ? Ce sont entre autres les sorties de contrôle sur le terrain qui apportent des réponses à cette question. Ces sorties sont réalisées par le ministère de la santé dans le volet contrôle de la gestion financière et par les ONG à qui une délégation a été faite pour le contrôle de l’effectivité. La procédure de contrôle des ONG est commune et contenue dans un manuel de procédures. Avant toute sortie, une analyse des données des formations sanitaires transmises via la plateforme e-gratuite est faite afin d’orienter les contrôleurs. Les sorties révèlent des irrégularités qui font l’objet d’une </w:t>
      </w:r>
      <w:r w:rsidR="001031ED">
        <w:rPr>
          <w:rFonts w:ascii="Arial" w:hAnsi="Arial" w:cs="Arial"/>
          <w:sz w:val="24"/>
          <w:szCs w:val="24"/>
        </w:rPr>
        <w:t xml:space="preserve">investigation </w:t>
      </w:r>
      <w:r>
        <w:rPr>
          <w:rFonts w:ascii="Arial" w:hAnsi="Arial" w:cs="Arial"/>
          <w:sz w:val="24"/>
          <w:szCs w:val="24"/>
        </w:rPr>
        <w:t>approfondie.</w:t>
      </w:r>
    </w:p>
    <w:p w:rsidR="003717AC" w:rsidRDefault="003717AC" w:rsidP="003717AC">
      <w:pPr>
        <w:pStyle w:val="Titre2"/>
        <w:numPr>
          <w:ilvl w:val="0"/>
          <w:numId w:val="4"/>
        </w:numPr>
      </w:pPr>
      <w:bookmarkStart w:id="19" w:name="_Toc491848456"/>
      <w:r w:rsidRPr="002A0FE4">
        <w:t>Analyse des données</w:t>
      </w:r>
      <w:bookmarkEnd w:id="19"/>
    </w:p>
    <w:p w:rsidR="003717AC" w:rsidRDefault="003717AC" w:rsidP="003717AC">
      <w:pPr>
        <w:spacing w:after="0" w:line="360" w:lineRule="auto"/>
        <w:jc w:val="both"/>
        <w:rPr>
          <w:rFonts w:ascii="Arial" w:hAnsi="Arial" w:cs="Arial"/>
          <w:sz w:val="24"/>
          <w:szCs w:val="24"/>
        </w:rPr>
      </w:pPr>
      <w:r>
        <w:rPr>
          <w:rFonts w:ascii="Arial" w:hAnsi="Arial" w:cs="Arial"/>
          <w:sz w:val="24"/>
          <w:szCs w:val="24"/>
        </w:rPr>
        <w:t xml:space="preserve">Les données techniques et financières au niveau national ont été suivies et analysées depuis le début de la mise en œuvre en avril 2016 </w:t>
      </w:r>
      <w:r w:rsidR="00F13AFF">
        <w:rPr>
          <w:rFonts w:ascii="Arial" w:hAnsi="Arial" w:cs="Arial"/>
          <w:sz w:val="24"/>
          <w:szCs w:val="24"/>
        </w:rPr>
        <w:t>jusqu’</w:t>
      </w:r>
      <w:r>
        <w:rPr>
          <w:rFonts w:ascii="Arial" w:hAnsi="Arial" w:cs="Arial"/>
          <w:sz w:val="24"/>
          <w:szCs w:val="24"/>
        </w:rPr>
        <w:t>à mai 2017 par la Direction des établissements de santé.</w:t>
      </w:r>
    </w:p>
    <w:p w:rsidR="003717AC" w:rsidRDefault="003717AC" w:rsidP="003717AC">
      <w:pPr>
        <w:spacing w:after="0" w:line="360" w:lineRule="auto"/>
        <w:jc w:val="both"/>
        <w:rPr>
          <w:rFonts w:ascii="Arial" w:hAnsi="Arial" w:cs="Arial"/>
          <w:sz w:val="24"/>
          <w:szCs w:val="24"/>
        </w:rPr>
      </w:pPr>
      <w:r>
        <w:rPr>
          <w:rFonts w:ascii="Arial" w:hAnsi="Arial" w:cs="Arial"/>
          <w:sz w:val="24"/>
          <w:szCs w:val="24"/>
        </w:rPr>
        <w:t xml:space="preserve">De l’analyse globale des coûts moyens des soins par niveau de soins, il ressort les informations contenues dans les graphiques suivants. </w:t>
      </w:r>
    </w:p>
    <w:p w:rsidR="003717AC" w:rsidRDefault="003717AC" w:rsidP="003717AC">
      <w:pPr>
        <w:spacing w:after="0" w:line="360" w:lineRule="auto"/>
        <w:jc w:val="both"/>
        <w:rPr>
          <w:rFonts w:ascii="Arial" w:hAnsi="Arial" w:cs="Arial"/>
          <w:sz w:val="24"/>
          <w:szCs w:val="24"/>
        </w:rPr>
      </w:pPr>
    </w:p>
    <w:p w:rsidR="00D578B3" w:rsidRDefault="00D578B3" w:rsidP="003717AC">
      <w:pPr>
        <w:spacing w:after="0" w:line="360" w:lineRule="auto"/>
        <w:jc w:val="both"/>
        <w:rPr>
          <w:noProof/>
          <w:lang w:eastAsia="fr-FR"/>
        </w:rPr>
      </w:pPr>
    </w:p>
    <w:p w:rsidR="00D578B3" w:rsidRDefault="00D578B3" w:rsidP="003717AC">
      <w:pPr>
        <w:spacing w:after="0" w:line="360" w:lineRule="auto"/>
        <w:jc w:val="both"/>
        <w:rPr>
          <w:noProof/>
          <w:lang w:eastAsia="fr-FR"/>
        </w:rPr>
      </w:pPr>
    </w:p>
    <w:p w:rsidR="003717AC" w:rsidRDefault="003717AC" w:rsidP="003717AC">
      <w:pPr>
        <w:spacing w:after="0" w:line="360" w:lineRule="auto"/>
        <w:jc w:val="both"/>
        <w:rPr>
          <w:rFonts w:ascii="Arial" w:hAnsi="Arial" w:cs="Arial"/>
          <w:sz w:val="24"/>
          <w:szCs w:val="24"/>
        </w:rPr>
      </w:pPr>
      <w:r>
        <w:rPr>
          <w:noProof/>
          <w:lang w:eastAsia="fr-FR"/>
        </w:rPr>
        <w:lastRenderedPageBreak/>
        <w:drawing>
          <wp:inline distT="0" distB="0" distL="0" distR="0" wp14:anchorId="05267FC1" wp14:editId="30FFC703">
            <wp:extent cx="5760720" cy="2553311"/>
            <wp:effectExtent l="0" t="0" r="0" b="0"/>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60720" cy="2553311"/>
                    </a:xfrm>
                    <a:prstGeom prst="rect">
                      <a:avLst/>
                    </a:prstGeom>
                    <a:noFill/>
                    <a:ln>
                      <a:noFill/>
                    </a:ln>
                    <a:effectLst/>
                    <a:extLst/>
                  </pic:spPr>
                </pic:pic>
              </a:graphicData>
            </a:graphic>
          </wp:inline>
        </w:drawing>
      </w:r>
    </w:p>
    <w:p w:rsidR="00D578B3" w:rsidRDefault="00D578B3" w:rsidP="00D578B3">
      <w:pPr>
        <w:pStyle w:val="Lgende"/>
        <w:rPr>
          <w:rFonts w:ascii="Arial" w:hAnsi="Arial" w:cs="Arial"/>
          <w:sz w:val="24"/>
          <w:szCs w:val="24"/>
        </w:rPr>
      </w:pPr>
      <w:bookmarkStart w:id="20" w:name="_Toc491848484"/>
      <w:r>
        <w:t xml:space="preserve">Figure </w:t>
      </w:r>
      <w:fldSimple w:instr=" SEQ Figure \* ARABIC ">
        <w:r>
          <w:rPr>
            <w:noProof/>
          </w:rPr>
          <w:t>6</w:t>
        </w:r>
      </w:fldSimple>
      <w:r>
        <w:rPr>
          <w:noProof/>
        </w:rPr>
        <w:t> : Distribution des coûts moyens des soins au CSPS, DES</w:t>
      </w:r>
      <w:bookmarkEnd w:id="20"/>
    </w:p>
    <w:p w:rsidR="00D578B3" w:rsidRDefault="00D578B3" w:rsidP="003717AC">
      <w:pPr>
        <w:spacing w:after="0" w:line="360" w:lineRule="auto"/>
        <w:jc w:val="both"/>
        <w:rPr>
          <w:rFonts w:ascii="Arial" w:hAnsi="Arial" w:cs="Arial"/>
          <w:b/>
          <w:sz w:val="24"/>
          <w:szCs w:val="24"/>
        </w:rPr>
      </w:pPr>
    </w:p>
    <w:p w:rsidR="003717AC" w:rsidRPr="00903DD5" w:rsidRDefault="003717AC" w:rsidP="003717AC">
      <w:pPr>
        <w:spacing w:after="0" w:line="360" w:lineRule="auto"/>
        <w:jc w:val="both"/>
        <w:rPr>
          <w:rFonts w:ascii="Arial" w:hAnsi="Arial" w:cs="Arial"/>
          <w:sz w:val="24"/>
          <w:szCs w:val="24"/>
        </w:rPr>
      </w:pPr>
      <w:r w:rsidRPr="00903DD5">
        <w:rPr>
          <w:rFonts w:ascii="Arial" w:hAnsi="Arial" w:cs="Arial"/>
          <w:b/>
          <w:sz w:val="24"/>
          <w:szCs w:val="24"/>
        </w:rPr>
        <w:t>Commentaire </w:t>
      </w:r>
      <w:r w:rsidRPr="00903DD5">
        <w:rPr>
          <w:rFonts w:ascii="Arial" w:hAnsi="Arial" w:cs="Arial"/>
          <w:sz w:val="24"/>
          <w:szCs w:val="24"/>
        </w:rPr>
        <w:t>: le coût médian des soins pour un patient est compris entre 1000 et 1200 FCFA au niveau CSPS.</w:t>
      </w:r>
    </w:p>
    <w:p w:rsidR="005B119C" w:rsidRDefault="005B119C" w:rsidP="005B119C">
      <w:pPr>
        <w:pStyle w:val="Lgende"/>
      </w:pPr>
    </w:p>
    <w:p w:rsidR="005B119C" w:rsidRDefault="005B119C" w:rsidP="005B119C">
      <w:pPr>
        <w:pStyle w:val="Lgende"/>
      </w:pPr>
    </w:p>
    <w:p w:rsidR="005B119C" w:rsidRDefault="005B119C" w:rsidP="005B119C">
      <w:pPr>
        <w:pStyle w:val="Lgende"/>
      </w:pPr>
    </w:p>
    <w:p w:rsidR="005B119C" w:rsidRDefault="005B119C" w:rsidP="005B119C">
      <w:pPr>
        <w:pStyle w:val="Lgende"/>
      </w:pPr>
    </w:p>
    <w:p w:rsidR="005B119C" w:rsidRDefault="005B119C" w:rsidP="005B119C">
      <w:pPr>
        <w:pStyle w:val="Lgende"/>
      </w:pPr>
    </w:p>
    <w:p w:rsidR="005B119C" w:rsidRDefault="005B119C" w:rsidP="005B119C">
      <w:pPr>
        <w:pStyle w:val="Lgende"/>
      </w:pPr>
    </w:p>
    <w:p w:rsidR="005B119C" w:rsidRDefault="005B119C" w:rsidP="005B119C">
      <w:pPr>
        <w:pStyle w:val="Lgende"/>
      </w:pPr>
    </w:p>
    <w:p w:rsidR="005B119C" w:rsidRDefault="005B119C" w:rsidP="005B119C">
      <w:pPr>
        <w:pStyle w:val="Lgende"/>
      </w:pPr>
    </w:p>
    <w:p w:rsidR="003717AC" w:rsidRDefault="003717AC" w:rsidP="003717AC">
      <w:pPr>
        <w:pStyle w:val="Lgende"/>
        <w:rPr>
          <w:rFonts w:ascii="Arial" w:hAnsi="Arial" w:cs="Arial"/>
          <w:sz w:val="24"/>
          <w:szCs w:val="24"/>
        </w:rPr>
      </w:pPr>
    </w:p>
    <w:p w:rsidR="003717AC" w:rsidRDefault="003717AC" w:rsidP="003717AC">
      <w:pPr>
        <w:spacing w:after="0" w:line="360" w:lineRule="auto"/>
        <w:jc w:val="both"/>
        <w:rPr>
          <w:rFonts w:ascii="Arial" w:hAnsi="Arial" w:cs="Arial"/>
          <w:sz w:val="24"/>
          <w:szCs w:val="24"/>
        </w:rPr>
      </w:pPr>
      <w:r>
        <w:rPr>
          <w:noProof/>
          <w:lang w:eastAsia="fr-FR"/>
        </w:rPr>
        <w:drawing>
          <wp:inline distT="0" distB="0" distL="0" distR="0" wp14:anchorId="5F8284E5" wp14:editId="2D3137FC">
            <wp:extent cx="5760720" cy="2109896"/>
            <wp:effectExtent l="0" t="0" r="0" b="5080"/>
            <wp:docPr id="4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60720" cy="2109896"/>
                    </a:xfrm>
                    <a:prstGeom prst="rect">
                      <a:avLst/>
                    </a:prstGeom>
                    <a:noFill/>
                    <a:ln>
                      <a:noFill/>
                    </a:ln>
                    <a:effectLst/>
                    <a:extLst/>
                  </pic:spPr>
                </pic:pic>
              </a:graphicData>
            </a:graphic>
          </wp:inline>
        </w:drawing>
      </w:r>
    </w:p>
    <w:p w:rsidR="004C34F0" w:rsidRDefault="004C34F0" w:rsidP="004C34F0">
      <w:pPr>
        <w:pStyle w:val="Lgende"/>
        <w:rPr>
          <w:rFonts w:ascii="Arial" w:hAnsi="Arial" w:cs="Arial"/>
          <w:sz w:val="24"/>
          <w:szCs w:val="24"/>
        </w:rPr>
      </w:pPr>
      <w:bookmarkStart w:id="21" w:name="_Toc491848485"/>
      <w:r>
        <w:t xml:space="preserve">Figure </w:t>
      </w:r>
      <w:fldSimple w:instr=" SEQ Figure \* ARABIC ">
        <w:r>
          <w:rPr>
            <w:noProof/>
          </w:rPr>
          <w:t>7</w:t>
        </w:r>
      </w:fldSimple>
      <w:r>
        <w:rPr>
          <w:noProof/>
        </w:rPr>
        <w:t> : Distribution des coûts moyens des soins au CMA, DES</w:t>
      </w:r>
      <w:bookmarkEnd w:id="21"/>
    </w:p>
    <w:p w:rsidR="004C34F0" w:rsidRDefault="004C34F0" w:rsidP="003717AC">
      <w:pPr>
        <w:spacing w:after="0" w:line="360" w:lineRule="auto"/>
        <w:jc w:val="both"/>
        <w:rPr>
          <w:rFonts w:ascii="Arial" w:hAnsi="Arial" w:cs="Arial"/>
          <w:b/>
          <w:sz w:val="24"/>
          <w:szCs w:val="24"/>
        </w:rPr>
      </w:pPr>
    </w:p>
    <w:p w:rsidR="003717AC" w:rsidRPr="00903DD5" w:rsidRDefault="003717AC" w:rsidP="003717AC">
      <w:pPr>
        <w:spacing w:after="0" w:line="360" w:lineRule="auto"/>
        <w:jc w:val="both"/>
        <w:rPr>
          <w:rFonts w:ascii="Arial" w:hAnsi="Arial" w:cs="Arial"/>
          <w:sz w:val="24"/>
          <w:szCs w:val="24"/>
        </w:rPr>
      </w:pPr>
      <w:r w:rsidRPr="00903DD5">
        <w:rPr>
          <w:rFonts w:ascii="Arial" w:hAnsi="Arial" w:cs="Arial"/>
          <w:b/>
          <w:sz w:val="24"/>
          <w:szCs w:val="24"/>
        </w:rPr>
        <w:lastRenderedPageBreak/>
        <w:t>Commentaire </w:t>
      </w:r>
      <w:r w:rsidRPr="00903DD5">
        <w:rPr>
          <w:rFonts w:ascii="Arial" w:hAnsi="Arial" w:cs="Arial"/>
          <w:sz w:val="24"/>
          <w:szCs w:val="24"/>
        </w:rPr>
        <w:t>: le coût médian des soins pou</w:t>
      </w:r>
      <w:r>
        <w:rPr>
          <w:rFonts w:ascii="Arial" w:hAnsi="Arial" w:cs="Arial"/>
          <w:sz w:val="24"/>
          <w:szCs w:val="24"/>
        </w:rPr>
        <w:t>r un patient est compris entre 7000 et 10 0</w:t>
      </w:r>
      <w:r w:rsidRPr="00903DD5">
        <w:rPr>
          <w:rFonts w:ascii="Arial" w:hAnsi="Arial" w:cs="Arial"/>
          <w:sz w:val="24"/>
          <w:szCs w:val="24"/>
        </w:rPr>
        <w:t xml:space="preserve">00 FCFA au niveau </w:t>
      </w:r>
      <w:r>
        <w:rPr>
          <w:rFonts w:ascii="Arial" w:hAnsi="Arial" w:cs="Arial"/>
          <w:sz w:val="24"/>
          <w:szCs w:val="24"/>
        </w:rPr>
        <w:t>CMA</w:t>
      </w:r>
      <w:r w:rsidRPr="00903DD5">
        <w:rPr>
          <w:rFonts w:ascii="Arial" w:hAnsi="Arial" w:cs="Arial"/>
          <w:sz w:val="24"/>
          <w:szCs w:val="24"/>
        </w:rPr>
        <w:t>.</w:t>
      </w:r>
    </w:p>
    <w:p w:rsidR="003717AC" w:rsidRDefault="003717AC" w:rsidP="003717AC">
      <w:pPr>
        <w:spacing w:after="0" w:line="360" w:lineRule="auto"/>
        <w:jc w:val="both"/>
        <w:rPr>
          <w:rFonts w:ascii="Arial" w:hAnsi="Arial" w:cs="Arial"/>
          <w:sz w:val="24"/>
          <w:szCs w:val="24"/>
        </w:rPr>
      </w:pPr>
    </w:p>
    <w:p w:rsidR="003717AC" w:rsidRDefault="003717AC" w:rsidP="003717AC">
      <w:pPr>
        <w:spacing w:after="0" w:line="360" w:lineRule="auto"/>
        <w:jc w:val="both"/>
        <w:rPr>
          <w:rFonts w:ascii="Arial" w:hAnsi="Arial" w:cs="Arial"/>
          <w:sz w:val="24"/>
          <w:szCs w:val="24"/>
        </w:rPr>
      </w:pPr>
    </w:p>
    <w:p w:rsidR="004C34F0" w:rsidRDefault="004C34F0" w:rsidP="003717AC">
      <w:pPr>
        <w:spacing w:after="0" w:line="360" w:lineRule="auto"/>
        <w:jc w:val="both"/>
        <w:rPr>
          <w:rFonts w:ascii="Arial" w:hAnsi="Arial" w:cs="Arial"/>
          <w:sz w:val="24"/>
          <w:szCs w:val="24"/>
        </w:rPr>
      </w:pPr>
    </w:p>
    <w:p w:rsidR="003717AC" w:rsidRDefault="003717AC" w:rsidP="003717AC">
      <w:pPr>
        <w:spacing w:after="0" w:line="360" w:lineRule="auto"/>
        <w:jc w:val="both"/>
        <w:rPr>
          <w:rFonts w:ascii="Arial" w:hAnsi="Arial" w:cs="Arial"/>
          <w:sz w:val="24"/>
          <w:szCs w:val="24"/>
        </w:rPr>
      </w:pPr>
      <w:r>
        <w:rPr>
          <w:noProof/>
          <w:lang w:eastAsia="fr-FR"/>
        </w:rPr>
        <w:drawing>
          <wp:inline distT="0" distB="0" distL="0" distR="0" wp14:anchorId="543D7C83" wp14:editId="55DE8FBF">
            <wp:extent cx="5760661" cy="2535936"/>
            <wp:effectExtent l="0" t="0" r="0" b="0"/>
            <wp:docPr id="30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60720" cy="2535962"/>
                    </a:xfrm>
                    <a:prstGeom prst="rect">
                      <a:avLst/>
                    </a:prstGeom>
                    <a:noFill/>
                    <a:ln>
                      <a:noFill/>
                    </a:ln>
                    <a:effectLst/>
                    <a:extLst/>
                  </pic:spPr>
                </pic:pic>
              </a:graphicData>
            </a:graphic>
          </wp:inline>
        </w:drawing>
      </w:r>
    </w:p>
    <w:p w:rsidR="004C34F0" w:rsidRDefault="004C34F0" w:rsidP="003717AC">
      <w:pPr>
        <w:spacing w:after="0" w:line="360" w:lineRule="auto"/>
        <w:jc w:val="both"/>
        <w:rPr>
          <w:rFonts w:ascii="Arial" w:hAnsi="Arial" w:cs="Arial"/>
          <w:b/>
          <w:sz w:val="24"/>
          <w:szCs w:val="24"/>
        </w:rPr>
      </w:pPr>
    </w:p>
    <w:p w:rsidR="004C34F0" w:rsidRDefault="004C34F0" w:rsidP="004C34F0">
      <w:pPr>
        <w:pStyle w:val="Lgende"/>
        <w:rPr>
          <w:rFonts w:ascii="Arial" w:hAnsi="Arial" w:cs="Arial"/>
          <w:sz w:val="24"/>
          <w:szCs w:val="24"/>
        </w:rPr>
      </w:pPr>
      <w:bookmarkStart w:id="22" w:name="_Toc491848486"/>
      <w:r>
        <w:t xml:space="preserve">Figure </w:t>
      </w:r>
      <w:fldSimple w:instr=" SEQ Figure \* ARABIC ">
        <w:r>
          <w:rPr>
            <w:noProof/>
          </w:rPr>
          <w:t>8</w:t>
        </w:r>
      </w:fldSimple>
      <w:r>
        <w:rPr>
          <w:noProof/>
        </w:rPr>
        <w:t> : Distribution des coûts moyens des soins au CHR/CHU, DES</w:t>
      </w:r>
      <w:bookmarkEnd w:id="22"/>
    </w:p>
    <w:p w:rsidR="004C34F0" w:rsidRDefault="004C34F0" w:rsidP="003717AC">
      <w:pPr>
        <w:spacing w:after="0" w:line="360" w:lineRule="auto"/>
        <w:jc w:val="both"/>
        <w:rPr>
          <w:rFonts w:ascii="Arial" w:hAnsi="Arial" w:cs="Arial"/>
          <w:b/>
          <w:sz w:val="24"/>
          <w:szCs w:val="24"/>
        </w:rPr>
      </w:pPr>
    </w:p>
    <w:p w:rsidR="003717AC" w:rsidRPr="00903DD5" w:rsidRDefault="003717AC" w:rsidP="003717AC">
      <w:pPr>
        <w:spacing w:after="0" w:line="360" w:lineRule="auto"/>
        <w:jc w:val="both"/>
        <w:rPr>
          <w:rFonts w:ascii="Arial" w:hAnsi="Arial" w:cs="Arial"/>
          <w:sz w:val="24"/>
          <w:szCs w:val="24"/>
        </w:rPr>
      </w:pPr>
      <w:r w:rsidRPr="00903DD5">
        <w:rPr>
          <w:rFonts w:ascii="Arial" w:hAnsi="Arial" w:cs="Arial"/>
          <w:b/>
          <w:sz w:val="24"/>
          <w:szCs w:val="24"/>
        </w:rPr>
        <w:t>Commentaire </w:t>
      </w:r>
      <w:r w:rsidRPr="00903DD5">
        <w:rPr>
          <w:rFonts w:ascii="Arial" w:hAnsi="Arial" w:cs="Arial"/>
          <w:sz w:val="24"/>
          <w:szCs w:val="24"/>
        </w:rPr>
        <w:t>: le coût médian des soins pour</w:t>
      </w:r>
      <w:r>
        <w:rPr>
          <w:rFonts w:ascii="Arial" w:hAnsi="Arial" w:cs="Arial"/>
          <w:sz w:val="24"/>
          <w:szCs w:val="24"/>
        </w:rPr>
        <w:t xml:space="preserve"> un patient est compris entre 18 000 et </w:t>
      </w:r>
      <w:r w:rsidRPr="00903DD5">
        <w:rPr>
          <w:rFonts w:ascii="Arial" w:hAnsi="Arial" w:cs="Arial"/>
          <w:sz w:val="24"/>
          <w:szCs w:val="24"/>
        </w:rPr>
        <w:t>2</w:t>
      </w:r>
      <w:r>
        <w:rPr>
          <w:rFonts w:ascii="Arial" w:hAnsi="Arial" w:cs="Arial"/>
          <w:sz w:val="24"/>
          <w:szCs w:val="24"/>
        </w:rPr>
        <w:t>4 0</w:t>
      </w:r>
      <w:r w:rsidRPr="00903DD5">
        <w:rPr>
          <w:rFonts w:ascii="Arial" w:hAnsi="Arial" w:cs="Arial"/>
          <w:sz w:val="24"/>
          <w:szCs w:val="24"/>
        </w:rPr>
        <w:t xml:space="preserve">00 FCFA au niveau </w:t>
      </w:r>
      <w:r>
        <w:rPr>
          <w:rFonts w:ascii="Arial" w:hAnsi="Arial" w:cs="Arial"/>
          <w:sz w:val="24"/>
          <w:szCs w:val="24"/>
        </w:rPr>
        <w:t>CHR/CHU</w:t>
      </w:r>
      <w:r w:rsidRPr="00903DD5">
        <w:rPr>
          <w:rFonts w:ascii="Arial" w:hAnsi="Arial" w:cs="Arial"/>
          <w:sz w:val="24"/>
          <w:szCs w:val="24"/>
        </w:rPr>
        <w:t>.</w:t>
      </w:r>
    </w:p>
    <w:p w:rsidR="003717AC" w:rsidRDefault="003717AC" w:rsidP="003717AC">
      <w:pPr>
        <w:pStyle w:val="Lgende"/>
      </w:pPr>
    </w:p>
    <w:p w:rsidR="003717AC" w:rsidRPr="00903DD5" w:rsidRDefault="003717AC" w:rsidP="003717AC">
      <w:pPr>
        <w:spacing w:after="0" w:line="360" w:lineRule="auto"/>
        <w:jc w:val="both"/>
        <w:rPr>
          <w:rFonts w:ascii="Arial" w:hAnsi="Arial" w:cs="Arial"/>
          <w:sz w:val="24"/>
          <w:szCs w:val="24"/>
        </w:rPr>
      </w:pPr>
      <w:r>
        <w:rPr>
          <w:rFonts w:ascii="Arial" w:hAnsi="Arial" w:cs="Arial"/>
          <w:sz w:val="24"/>
          <w:szCs w:val="24"/>
        </w:rPr>
        <w:t>L’analyse des flux financiers depuis le début de la mise en œuvre est présentée dans les tableaux suivants.</w:t>
      </w:r>
    </w:p>
    <w:p w:rsidR="003717AC" w:rsidRDefault="003717AC" w:rsidP="003717AC">
      <w:pPr>
        <w:pStyle w:val="Lgende"/>
        <w:rPr>
          <w:rFonts w:ascii="Arial" w:hAnsi="Arial" w:cs="Arial"/>
          <w:sz w:val="24"/>
          <w:szCs w:val="24"/>
        </w:rPr>
      </w:pPr>
      <w:bookmarkStart w:id="23" w:name="_Toc491848495"/>
      <w:r>
        <w:t xml:space="preserve">Tableau </w:t>
      </w:r>
      <w:r w:rsidR="00F559F0">
        <w:fldChar w:fldCharType="begin"/>
      </w:r>
      <w:r w:rsidR="00F559F0">
        <w:instrText xml:space="preserve"> SEQ Tableau \* ARABIC </w:instrText>
      </w:r>
      <w:r w:rsidR="00F559F0">
        <w:fldChar w:fldCharType="separate"/>
      </w:r>
      <w:r>
        <w:rPr>
          <w:noProof/>
        </w:rPr>
        <w:t>3</w:t>
      </w:r>
      <w:r w:rsidR="00F559F0">
        <w:rPr>
          <w:noProof/>
        </w:rPr>
        <w:fldChar w:fldCharType="end"/>
      </w:r>
      <w:r>
        <w:t> : Flux financiers en 2016</w:t>
      </w:r>
      <w:r w:rsidR="005B119C">
        <w:t>, DES</w:t>
      </w:r>
      <w:bookmarkEnd w:id="23"/>
    </w:p>
    <w:tbl>
      <w:tblPr>
        <w:tblStyle w:val="Trameclaire-Accent5"/>
        <w:tblW w:w="9371" w:type="dxa"/>
        <w:tblLook w:val="0600" w:firstRow="0" w:lastRow="0" w:firstColumn="0" w:lastColumn="0" w:noHBand="1" w:noVBand="1"/>
      </w:tblPr>
      <w:tblGrid>
        <w:gridCol w:w="2488"/>
        <w:gridCol w:w="2205"/>
        <w:gridCol w:w="2268"/>
        <w:gridCol w:w="2410"/>
      </w:tblGrid>
      <w:tr w:rsidR="003717AC" w:rsidRPr="00AC69F6" w:rsidTr="003717AC">
        <w:trPr>
          <w:trHeight w:val="749"/>
        </w:trPr>
        <w:tc>
          <w:tcPr>
            <w:tcW w:w="0" w:type="auto"/>
            <w:hideMark/>
          </w:tcPr>
          <w:p w:rsidR="003717AC" w:rsidRPr="00AC69F6" w:rsidRDefault="003717AC" w:rsidP="003717AC">
            <w:pPr>
              <w:textAlignment w:val="center"/>
              <w:rPr>
                <w:rFonts w:ascii="Arial" w:eastAsia="Times New Roman" w:hAnsi="Arial" w:cs="Arial"/>
                <w:lang w:eastAsia="fr-FR"/>
              </w:rPr>
            </w:pPr>
            <w:r w:rsidRPr="00AC69F6">
              <w:rPr>
                <w:rFonts w:ascii="Calibri" w:eastAsia="Times New Roman" w:hAnsi="Calibri" w:cs="Arial"/>
                <w:b/>
                <w:bCs/>
                <w:color w:val="000000" w:themeColor="dark1"/>
                <w:kern w:val="24"/>
                <w:lang w:eastAsia="fr-FR"/>
              </w:rPr>
              <w:t xml:space="preserve">Structures </w:t>
            </w:r>
          </w:p>
        </w:tc>
        <w:tc>
          <w:tcPr>
            <w:tcW w:w="2205" w:type="dxa"/>
            <w:hideMark/>
          </w:tcPr>
          <w:p w:rsidR="003717AC" w:rsidRPr="00AC69F6" w:rsidRDefault="003717AC" w:rsidP="003717AC">
            <w:pPr>
              <w:jc w:val="center"/>
              <w:textAlignment w:val="center"/>
              <w:rPr>
                <w:rFonts w:ascii="Arial" w:eastAsia="Times New Roman" w:hAnsi="Arial" w:cs="Arial"/>
                <w:lang w:eastAsia="fr-FR"/>
              </w:rPr>
            </w:pPr>
            <w:r w:rsidRPr="00AC69F6">
              <w:rPr>
                <w:rFonts w:ascii="Calibri" w:eastAsia="Times New Roman" w:hAnsi="Calibri" w:cs="Arial"/>
                <w:b/>
                <w:bCs/>
                <w:color w:val="000000" w:themeColor="dark1"/>
                <w:kern w:val="24"/>
                <w:lang w:eastAsia="fr-FR"/>
              </w:rPr>
              <w:t xml:space="preserve"> Approvisionnement avril à décembre 2016 </w:t>
            </w:r>
          </w:p>
        </w:tc>
        <w:tc>
          <w:tcPr>
            <w:tcW w:w="2268" w:type="dxa"/>
            <w:hideMark/>
          </w:tcPr>
          <w:p w:rsidR="003717AC" w:rsidRPr="00AC69F6" w:rsidRDefault="003717AC" w:rsidP="003717AC">
            <w:pPr>
              <w:jc w:val="center"/>
              <w:textAlignment w:val="center"/>
              <w:rPr>
                <w:rFonts w:ascii="Arial" w:eastAsia="Times New Roman" w:hAnsi="Arial" w:cs="Arial"/>
                <w:lang w:eastAsia="fr-FR"/>
              </w:rPr>
            </w:pPr>
            <w:r w:rsidRPr="00AC69F6">
              <w:rPr>
                <w:rFonts w:ascii="Calibri" w:eastAsia="Times New Roman" w:hAnsi="Calibri" w:cs="Arial"/>
                <w:b/>
                <w:bCs/>
                <w:color w:val="000000" w:themeColor="dark1"/>
                <w:kern w:val="24"/>
                <w:lang w:eastAsia="fr-FR"/>
              </w:rPr>
              <w:t xml:space="preserve"> Consommation avril à décembre 2016 </w:t>
            </w:r>
          </w:p>
        </w:tc>
        <w:tc>
          <w:tcPr>
            <w:tcW w:w="2410" w:type="dxa"/>
            <w:hideMark/>
          </w:tcPr>
          <w:p w:rsidR="003717AC" w:rsidRPr="00AC69F6" w:rsidRDefault="003717AC" w:rsidP="003717AC">
            <w:pPr>
              <w:jc w:val="center"/>
              <w:textAlignment w:val="center"/>
              <w:rPr>
                <w:rFonts w:ascii="Arial" w:eastAsia="Times New Roman" w:hAnsi="Arial" w:cs="Arial"/>
                <w:lang w:eastAsia="fr-FR"/>
              </w:rPr>
            </w:pPr>
            <w:r w:rsidRPr="00AC69F6">
              <w:rPr>
                <w:rFonts w:ascii="Calibri" w:eastAsia="Times New Roman" w:hAnsi="Calibri" w:cs="Arial"/>
                <w:b/>
                <w:bCs/>
                <w:color w:val="000000" w:themeColor="dark1"/>
                <w:kern w:val="24"/>
                <w:lang w:eastAsia="fr-FR"/>
              </w:rPr>
              <w:t xml:space="preserve"> Solde </w:t>
            </w:r>
          </w:p>
        </w:tc>
      </w:tr>
      <w:tr w:rsidR="003717AC" w:rsidRPr="00AC69F6" w:rsidTr="003717AC">
        <w:trPr>
          <w:trHeight w:val="532"/>
        </w:trPr>
        <w:tc>
          <w:tcPr>
            <w:tcW w:w="0" w:type="auto"/>
            <w:hideMark/>
          </w:tcPr>
          <w:p w:rsidR="003717AC" w:rsidRPr="00AC69F6" w:rsidRDefault="003717AC" w:rsidP="003717AC">
            <w:pPr>
              <w:textAlignment w:val="center"/>
              <w:rPr>
                <w:rFonts w:ascii="Arial" w:eastAsia="Times New Roman" w:hAnsi="Arial" w:cs="Arial"/>
                <w:lang w:eastAsia="fr-FR"/>
              </w:rPr>
            </w:pPr>
            <w:r w:rsidRPr="00AC69F6">
              <w:rPr>
                <w:rFonts w:ascii="Calibri" w:eastAsia="Times New Roman" w:hAnsi="Calibri" w:cs="Arial"/>
                <w:color w:val="000000" w:themeColor="dark1"/>
                <w:kern w:val="24"/>
                <w:lang w:eastAsia="fr-FR"/>
              </w:rPr>
              <w:t>Districts sanitaires sur le budget Etat (n=67)</w:t>
            </w:r>
          </w:p>
        </w:tc>
        <w:tc>
          <w:tcPr>
            <w:tcW w:w="2205" w:type="dxa"/>
            <w:hideMark/>
          </w:tcPr>
          <w:p w:rsidR="003717AC" w:rsidRPr="00AC69F6" w:rsidRDefault="003717AC" w:rsidP="003717AC">
            <w:pPr>
              <w:jc w:val="center"/>
              <w:textAlignment w:val="bottom"/>
              <w:rPr>
                <w:rFonts w:ascii="Arial" w:eastAsia="Times New Roman" w:hAnsi="Arial" w:cs="Arial"/>
                <w:lang w:eastAsia="fr-FR"/>
              </w:rPr>
            </w:pPr>
            <w:r w:rsidRPr="00AC69F6">
              <w:rPr>
                <w:rFonts w:ascii="Calibri" w:eastAsia="Times New Roman" w:hAnsi="Calibri" w:cs="Arial"/>
                <w:color w:val="000000" w:themeColor="dark1"/>
                <w:kern w:val="24"/>
                <w:lang w:eastAsia="fr-FR"/>
              </w:rPr>
              <w:t>14 447 860 573</w:t>
            </w:r>
          </w:p>
        </w:tc>
        <w:tc>
          <w:tcPr>
            <w:tcW w:w="2268" w:type="dxa"/>
            <w:hideMark/>
          </w:tcPr>
          <w:p w:rsidR="003717AC" w:rsidRPr="00AC69F6" w:rsidRDefault="003717AC" w:rsidP="003717AC">
            <w:pPr>
              <w:jc w:val="center"/>
              <w:textAlignment w:val="bottom"/>
              <w:rPr>
                <w:rFonts w:ascii="Arial" w:eastAsia="Times New Roman" w:hAnsi="Arial" w:cs="Arial"/>
                <w:lang w:eastAsia="fr-FR"/>
              </w:rPr>
            </w:pPr>
            <w:r w:rsidRPr="00AC69F6">
              <w:rPr>
                <w:rFonts w:ascii="Calibri" w:eastAsia="Times New Roman" w:hAnsi="Calibri" w:cs="Arial"/>
                <w:color w:val="000000" w:themeColor="dark1"/>
                <w:kern w:val="24"/>
                <w:lang w:eastAsia="fr-FR"/>
              </w:rPr>
              <w:t>13 225 908 781</w:t>
            </w:r>
          </w:p>
        </w:tc>
        <w:tc>
          <w:tcPr>
            <w:tcW w:w="2410" w:type="dxa"/>
            <w:hideMark/>
          </w:tcPr>
          <w:p w:rsidR="003717AC" w:rsidRPr="00AC69F6" w:rsidRDefault="003717AC" w:rsidP="003717AC">
            <w:pPr>
              <w:jc w:val="center"/>
              <w:textAlignment w:val="bottom"/>
              <w:rPr>
                <w:rFonts w:ascii="Arial" w:eastAsia="Times New Roman" w:hAnsi="Arial" w:cs="Arial"/>
                <w:lang w:eastAsia="fr-FR"/>
              </w:rPr>
            </w:pPr>
            <w:r w:rsidRPr="00AC69F6">
              <w:rPr>
                <w:rFonts w:ascii="Calibri" w:eastAsia="Times New Roman" w:hAnsi="Calibri" w:cs="Arial"/>
                <w:color w:val="000000" w:themeColor="dark1"/>
                <w:kern w:val="24"/>
                <w:lang w:eastAsia="fr-FR"/>
              </w:rPr>
              <w:t>1 221 951 792</w:t>
            </w:r>
          </w:p>
        </w:tc>
      </w:tr>
      <w:tr w:rsidR="003717AC" w:rsidRPr="00AC69F6" w:rsidTr="003717AC">
        <w:trPr>
          <w:trHeight w:val="540"/>
        </w:trPr>
        <w:tc>
          <w:tcPr>
            <w:tcW w:w="0" w:type="auto"/>
            <w:hideMark/>
          </w:tcPr>
          <w:p w:rsidR="003717AC" w:rsidRPr="00AC69F6" w:rsidRDefault="003717AC" w:rsidP="003717AC">
            <w:pPr>
              <w:textAlignment w:val="center"/>
              <w:rPr>
                <w:rFonts w:ascii="Arial" w:eastAsia="Times New Roman" w:hAnsi="Arial" w:cs="Arial"/>
                <w:lang w:eastAsia="fr-FR"/>
              </w:rPr>
            </w:pPr>
            <w:r w:rsidRPr="00AC69F6">
              <w:rPr>
                <w:rFonts w:ascii="Calibri" w:eastAsia="Times New Roman" w:hAnsi="Calibri" w:cs="Arial"/>
                <w:color w:val="000000" w:themeColor="dark1"/>
                <w:kern w:val="24"/>
                <w:lang w:eastAsia="fr-FR"/>
              </w:rPr>
              <w:t>Hôpitaux  sur budget Etat (n=12)</w:t>
            </w:r>
          </w:p>
        </w:tc>
        <w:tc>
          <w:tcPr>
            <w:tcW w:w="2205" w:type="dxa"/>
            <w:hideMark/>
          </w:tcPr>
          <w:p w:rsidR="003717AC" w:rsidRPr="00AC69F6" w:rsidRDefault="003717AC" w:rsidP="003717AC">
            <w:pPr>
              <w:jc w:val="center"/>
              <w:textAlignment w:val="bottom"/>
              <w:rPr>
                <w:rFonts w:ascii="Arial" w:eastAsia="Times New Roman" w:hAnsi="Arial" w:cs="Arial"/>
                <w:lang w:eastAsia="fr-FR"/>
              </w:rPr>
            </w:pPr>
            <w:r w:rsidRPr="00AC69F6">
              <w:rPr>
                <w:rFonts w:ascii="Calibri" w:eastAsia="Times New Roman" w:hAnsi="Calibri" w:cs="Arial"/>
                <w:color w:val="000000" w:themeColor="dark1"/>
                <w:kern w:val="24"/>
                <w:lang w:eastAsia="fr-FR"/>
              </w:rPr>
              <w:t>2 583 429 173</w:t>
            </w:r>
          </w:p>
        </w:tc>
        <w:tc>
          <w:tcPr>
            <w:tcW w:w="2268" w:type="dxa"/>
            <w:hideMark/>
          </w:tcPr>
          <w:p w:rsidR="003717AC" w:rsidRPr="00AC69F6" w:rsidRDefault="003717AC" w:rsidP="003717AC">
            <w:pPr>
              <w:jc w:val="center"/>
              <w:textAlignment w:val="bottom"/>
              <w:rPr>
                <w:rFonts w:ascii="Arial" w:eastAsia="Times New Roman" w:hAnsi="Arial" w:cs="Arial"/>
                <w:lang w:eastAsia="fr-FR"/>
              </w:rPr>
            </w:pPr>
            <w:r w:rsidRPr="00AC69F6">
              <w:rPr>
                <w:rFonts w:ascii="Calibri" w:eastAsia="Times New Roman" w:hAnsi="Calibri" w:cs="Arial"/>
                <w:color w:val="000000" w:themeColor="dark1"/>
                <w:kern w:val="24"/>
                <w:lang w:eastAsia="fr-FR"/>
              </w:rPr>
              <w:t>2 811 646 314</w:t>
            </w:r>
          </w:p>
        </w:tc>
        <w:tc>
          <w:tcPr>
            <w:tcW w:w="2410" w:type="dxa"/>
            <w:hideMark/>
          </w:tcPr>
          <w:p w:rsidR="003717AC" w:rsidRPr="00AC69F6" w:rsidRDefault="003717AC" w:rsidP="003717AC">
            <w:pPr>
              <w:jc w:val="center"/>
              <w:textAlignment w:val="bottom"/>
              <w:rPr>
                <w:rFonts w:ascii="Arial" w:eastAsia="Times New Roman" w:hAnsi="Arial" w:cs="Arial"/>
                <w:lang w:eastAsia="fr-FR"/>
              </w:rPr>
            </w:pPr>
            <w:r w:rsidRPr="00AC69F6">
              <w:rPr>
                <w:rFonts w:ascii="Calibri" w:eastAsia="Times New Roman" w:hAnsi="Calibri" w:cs="Arial"/>
                <w:color w:val="000000" w:themeColor="dark1"/>
                <w:kern w:val="24"/>
                <w:lang w:eastAsia="fr-FR"/>
              </w:rPr>
              <w:t>-            228 217 141</w:t>
            </w:r>
          </w:p>
        </w:tc>
      </w:tr>
      <w:tr w:rsidR="003717AC" w:rsidRPr="00AC69F6" w:rsidTr="003717AC">
        <w:trPr>
          <w:trHeight w:val="519"/>
        </w:trPr>
        <w:tc>
          <w:tcPr>
            <w:tcW w:w="0" w:type="auto"/>
            <w:hideMark/>
          </w:tcPr>
          <w:p w:rsidR="003717AC" w:rsidRPr="00AC69F6" w:rsidRDefault="003717AC" w:rsidP="003717AC">
            <w:pPr>
              <w:textAlignment w:val="center"/>
              <w:rPr>
                <w:rFonts w:ascii="Arial" w:eastAsia="Times New Roman" w:hAnsi="Arial" w:cs="Arial"/>
                <w:lang w:eastAsia="fr-FR"/>
              </w:rPr>
            </w:pPr>
            <w:r w:rsidRPr="00AC69F6">
              <w:rPr>
                <w:rFonts w:ascii="Calibri" w:eastAsia="Times New Roman" w:hAnsi="Calibri" w:cs="Arial"/>
                <w:b/>
                <w:bCs/>
                <w:color w:val="000000" w:themeColor="dark1"/>
                <w:kern w:val="24"/>
                <w:lang w:eastAsia="fr-FR"/>
              </w:rPr>
              <w:t xml:space="preserve">Sous total budget Etat </w:t>
            </w:r>
          </w:p>
        </w:tc>
        <w:tc>
          <w:tcPr>
            <w:tcW w:w="2205" w:type="dxa"/>
            <w:hideMark/>
          </w:tcPr>
          <w:p w:rsidR="003717AC" w:rsidRPr="00AC69F6" w:rsidRDefault="003717AC" w:rsidP="003717AC">
            <w:pPr>
              <w:jc w:val="center"/>
              <w:textAlignment w:val="bottom"/>
              <w:rPr>
                <w:rFonts w:ascii="Arial" w:eastAsia="Times New Roman" w:hAnsi="Arial" w:cs="Arial"/>
                <w:lang w:eastAsia="fr-FR"/>
              </w:rPr>
            </w:pPr>
            <w:r w:rsidRPr="00AC69F6">
              <w:rPr>
                <w:rFonts w:ascii="Calibri" w:eastAsia="Times New Roman" w:hAnsi="Calibri" w:cs="Arial"/>
                <w:b/>
                <w:bCs/>
                <w:color w:val="000000" w:themeColor="dark1"/>
                <w:kern w:val="24"/>
                <w:lang w:eastAsia="fr-FR"/>
              </w:rPr>
              <w:t>17 031 289 747</w:t>
            </w:r>
          </w:p>
        </w:tc>
        <w:tc>
          <w:tcPr>
            <w:tcW w:w="2268" w:type="dxa"/>
            <w:hideMark/>
          </w:tcPr>
          <w:p w:rsidR="003717AC" w:rsidRPr="00AC69F6" w:rsidRDefault="003717AC" w:rsidP="003717AC">
            <w:pPr>
              <w:jc w:val="center"/>
              <w:textAlignment w:val="bottom"/>
              <w:rPr>
                <w:rFonts w:ascii="Arial" w:eastAsia="Times New Roman" w:hAnsi="Arial" w:cs="Arial"/>
                <w:lang w:eastAsia="fr-FR"/>
              </w:rPr>
            </w:pPr>
            <w:r w:rsidRPr="00AC69F6">
              <w:rPr>
                <w:rFonts w:ascii="Calibri" w:eastAsia="Times New Roman" w:hAnsi="Calibri" w:cs="Arial"/>
                <w:b/>
                <w:bCs/>
                <w:color w:val="000000" w:themeColor="dark1"/>
                <w:kern w:val="24"/>
                <w:lang w:eastAsia="fr-FR"/>
              </w:rPr>
              <w:t>16 037 555 095</w:t>
            </w:r>
          </w:p>
        </w:tc>
        <w:tc>
          <w:tcPr>
            <w:tcW w:w="2410" w:type="dxa"/>
            <w:hideMark/>
          </w:tcPr>
          <w:p w:rsidR="003717AC" w:rsidRPr="00AC69F6" w:rsidRDefault="003717AC" w:rsidP="003717AC">
            <w:pPr>
              <w:jc w:val="center"/>
              <w:textAlignment w:val="bottom"/>
              <w:rPr>
                <w:rFonts w:ascii="Arial" w:eastAsia="Times New Roman" w:hAnsi="Arial" w:cs="Arial"/>
                <w:lang w:eastAsia="fr-FR"/>
              </w:rPr>
            </w:pPr>
            <w:r w:rsidRPr="00AC69F6">
              <w:rPr>
                <w:rFonts w:ascii="Calibri" w:eastAsia="Times New Roman" w:hAnsi="Calibri" w:cs="Arial"/>
                <w:b/>
                <w:bCs/>
                <w:color w:val="000000" w:themeColor="dark1"/>
                <w:kern w:val="24"/>
                <w:lang w:eastAsia="fr-FR"/>
              </w:rPr>
              <w:t>993 734 651</w:t>
            </w:r>
          </w:p>
        </w:tc>
      </w:tr>
      <w:tr w:rsidR="003717AC" w:rsidRPr="00AC69F6" w:rsidTr="003717AC">
        <w:trPr>
          <w:trHeight w:val="401"/>
        </w:trPr>
        <w:tc>
          <w:tcPr>
            <w:tcW w:w="0" w:type="auto"/>
            <w:hideMark/>
          </w:tcPr>
          <w:p w:rsidR="003717AC" w:rsidRPr="00AC69F6" w:rsidRDefault="003717AC" w:rsidP="003717AC">
            <w:pPr>
              <w:textAlignment w:val="center"/>
              <w:rPr>
                <w:rFonts w:ascii="Arial" w:eastAsia="Times New Roman" w:hAnsi="Arial" w:cs="Arial"/>
                <w:lang w:eastAsia="fr-FR"/>
              </w:rPr>
            </w:pPr>
            <w:r w:rsidRPr="00AC69F6">
              <w:rPr>
                <w:rFonts w:ascii="Calibri" w:eastAsia="Times New Roman" w:hAnsi="Calibri" w:cs="Arial"/>
                <w:color w:val="000000" w:themeColor="dark1"/>
                <w:kern w:val="24"/>
                <w:lang w:eastAsia="fr-FR"/>
              </w:rPr>
              <w:t>Tougan</w:t>
            </w:r>
          </w:p>
        </w:tc>
        <w:tc>
          <w:tcPr>
            <w:tcW w:w="2205" w:type="dxa"/>
            <w:hideMark/>
          </w:tcPr>
          <w:p w:rsidR="003717AC" w:rsidRPr="00AC69F6" w:rsidRDefault="003717AC" w:rsidP="003717AC">
            <w:pPr>
              <w:jc w:val="center"/>
              <w:textAlignment w:val="bottom"/>
              <w:rPr>
                <w:rFonts w:ascii="Arial" w:eastAsia="Times New Roman" w:hAnsi="Arial" w:cs="Arial"/>
                <w:lang w:eastAsia="fr-FR"/>
              </w:rPr>
            </w:pPr>
            <w:r w:rsidRPr="00AC69F6">
              <w:rPr>
                <w:rFonts w:ascii="Calibri" w:eastAsia="Times New Roman" w:hAnsi="Calibri" w:cs="Arial"/>
                <w:color w:val="000000" w:themeColor="dark1"/>
                <w:kern w:val="24"/>
                <w:lang w:eastAsia="fr-FR"/>
              </w:rPr>
              <w:t>174 364 200</w:t>
            </w:r>
          </w:p>
        </w:tc>
        <w:tc>
          <w:tcPr>
            <w:tcW w:w="2268" w:type="dxa"/>
            <w:hideMark/>
          </w:tcPr>
          <w:p w:rsidR="003717AC" w:rsidRPr="00AC69F6" w:rsidRDefault="003717AC" w:rsidP="003717AC">
            <w:pPr>
              <w:jc w:val="center"/>
              <w:textAlignment w:val="bottom"/>
              <w:rPr>
                <w:rFonts w:ascii="Arial" w:eastAsia="Times New Roman" w:hAnsi="Arial" w:cs="Arial"/>
                <w:lang w:eastAsia="fr-FR"/>
              </w:rPr>
            </w:pPr>
            <w:r w:rsidRPr="00AC69F6">
              <w:rPr>
                <w:rFonts w:ascii="Calibri" w:eastAsia="Times New Roman" w:hAnsi="Calibri" w:cs="Arial"/>
                <w:color w:val="000000" w:themeColor="dark1"/>
                <w:kern w:val="24"/>
                <w:lang w:eastAsia="fr-FR"/>
              </w:rPr>
              <w:t>143 740 820</w:t>
            </w:r>
          </w:p>
        </w:tc>
        <w:tc>
          <w:tcPr>
            <w:tcW w:w="2410" w:type="dxa"/>
            <w:hideMark/>
          </w:tcPr>
          <w:p w:rsidR="003717AC" w:rsidRPr="00AC69F6" w:rsidRDefault="003717AC" w:rsidP="003717AC">
            <w:pPr>
              <w:jc w:val="center"/>
              <w:textAlignment w:val="bottom"/>
              <w:rPr>
                <w:rFonts w:ascii="Arial" w:eastAsia="Times New Roman" w:hAnsi="Arial" w:cs="Arial"/>
                <w:lang w:eastAsia="fr-FR"/>
              </w:rPr>
            </w:pPr>
            <w:r w:rsidRPr="00AC69F6">
              <w:rPr>
                <w:rFonts w:ascii="Calibri" w:eastAsia="Times New Roman" w:hAnsi="Calibri" w:cs="Arial"/>
                <w:color w:val="000000" w:themeColor="dark1"/>
                <w:kern w:val="24"/>
                <w:lang w:eastAsia="fr-FR"/>
              </w:rPr>
              <w:t>30 623 381</w:t>
            </w:r>
          </w:p>
        </w:tc>
      </w:tr>
      <w:tr w:rsidR="003717AC" w:rsidRPr="00AC69F6" w:rsidTr="003717AC">
        <w:trPr>
          <w:trHeight w:val="551"/>
        </w:trPr>
        <w:tc>
          <w:tcPr>
            <w:tcW w:w="0" w:type="auto"/>
            <w:hideMark/>
          </w:tcPr>
          <w:p w:rsidR="003717AC" w:rsidRPr="00AC69F6" w:rsidRDefault="003717AC" w:rsidP="003717AC">
            <w:pPr>
              <w:textAlignment w:val="center"/>
              <w:rPr>
                <w:rFonts w:ascii="Arial" w:eastAsia="Times New Roman" w:hAnsi="Arial" w:cs="Arial"/>
                <w:lang w:eastAsia="fr-FR"/>
              </w:rPr>
            </w:pPr>
            <w:r w:rsidRPr="00AC69F6">
              <w:rPr>
                <w:rFonts w:ascii="Calibri" w:eastAsia="Times New Roman" w:hAnsi="Calibri" w:cs="Arial"/>
                <w:color w:val="000000" w:themeColor="dark1"/>
                <w:kern w:val="24"/>
                <w:lang w:eastAsia="fr-FR"/>
              </w:rPr>
              <w:t>Seguenega</w:t>
            </w:r>
          </w:p>
        </w:tc>
        <w:tc>
          <w:tcPr>
            <w:tcW w:w="2205" w:type="dxa"/>
            <w:hideMark/>
          </w:tcPr>
          <w:p w:rsidR="003717AC" w:rsidRPr="00AC69F6" w:rsidRDefault="003717AC" w:rsidP="003717AC">
            <w:pPr>
              <w:jc w:val="center"/>
              <w:textAlignment w:val="bottom"/>
              <w:rPr>
                <w:rFonts w:ascii="Arial" w:eastAsia="Times New Roman" w:hAnsi="Arial" w:cs="Arial"/>
                <w:lang w:eastAsia="fr-FR"/>
              </w:rPr>
            </w:pPr>
            <w:r w:rsidRPr="00AC69F6">
              <w:rPr>
                <w:rFonts w:ascii="Calibri" w:eastAsia="Times New Roman" w:hAnsi="Calibri" w:cs="Arial"/>
                <w:color w:val="000000" w:themeColor="dark1"/>
                <w:kern w:val="24"/>
                <w:lang w:eastAsia="fr-FR"/>
              </w:rPr>
              <w:t>224 900 000</w:t>
            </w:r>
          </w:p>
        </w:tc>
        <w:tc>
          <w:tcPr>
            <w:tcW w:w="2268" w:type="dxa"/>
            <w:hideMark/>
          </w:tcPr>
          <w:p w:rsidR="003717AC" w:rsidRPr="00AC69F6" w:rsidRDefault="003717AC" w:rsidP="003717AC">
            <w:pPr>
              <w:jc w:val="center"/>
              <w:textAlignment w:val="bottom"/>
              <w:rPr>
                <w:rFonts w:ascii="Arial" w:eastAsia="Times New Roman" w:hAnsi="Arial" w:cs="Arial"/>
                <w:lang w:eastAsia="fr-FR"/>
              </w:rPr>
            </w:pPr>
            <w:r w:rsidRPr="00AC69F6">
              <w:rPr>
                <w:rFonts w:ascii="Calibri" w:eastAsia="Times New Roman" w:hAnsi="Calibri" w:cs="Arial"/>
                <w:color w:val="000000" w:themeColor="dark1"/>
                <w:kern w:val="24"/>
                <w:lang w:eastAsia="fr-FR"/>
              </w:rPr>
              <w:t>119 315 351</w:t>
            </w:r>
          </w:p>
        </w:tc>
        <w:tc>
          <w:tcPr>
            <w:tcW w:w="2410" w:type="dxa"/>
            <w:hideMark/>
          </w:tcPr>
          <w:p w:rsidR="003717AC" w:rsidRPr="00AC69F6" w:rsidRDefault="003717AC" w:rsidP="003717AC">
            <w:pPr>
              <w:jc w:val="center"/>
              <w:textAlignment w:val="bottom"/>
              <w:rPr>
                <w:rFonts w:ascii="Arial" w:eastAsia="Times New Roman" w:hAnsi="Arial" w:cs="Arial"/>
                <w:lang w:eastAsia="fr-FR"/>
              </w:rPr>
            </w:pPr>
            <w:r w:rsidRPr="00AC69F6">
              <w:rPr>
                <w:rFonts w:ascii="Calibri" w:eastAsia="Times New Roman" w:hAnsi="Calibri" w:cs="Arial"/>
                <w:color w:val="000000" w:themeColor="dark1"/>
                <w:kern w:val="24"/>
                <w:lang w:eastAsia="fr-FR"/>
              </w:rPr>
              <w:t>105 584 650</w:t>
            </w:r>
          </w:p>
        </w:tc>
      </w:tr>
      <w:tr w:rsidR="003717AC" w:rsidRPr="00AC69F6" w:rsidTr="003717AC">
        <w:trPr>
          <w:trHeight w:val="403"/>
        </w:trPr>
        <w:tc>
          <w:tcPr>
            <w:tcW w:w="0" w:type="auto"/>
            <w:hideMark/>
          </w:tcPr>
          <w:p w:rsidR="003717AC" w:rsidRPr="00AC69F6" w:rsidRDefault="003717AC" w:rsidP="003717AC">
            <w:pPr>
              <w:textAlignment w:val="center"/>
              <w:rPr>
                <w:rFonts w:ascii="Arial" w:eastAsia="Times New Roman" w:hAnsi="Arial" w:cs="Arial"/>
                <w:lang w:eastAsia="fr-FR"/>
              </w:rPr>
            </w:pPr>
            <w:r w:rsidRPr="00AC69F6">
              <w:rPr>
                <w:rFonts w:ascii="Calibri" w:eastAsia="Times New Roman" w:hAnsi="Calibri" w:cs="Arial"/>
                <w:color w:val="000000" w:themeColor="dark1"/>
                <w:kern w:val="24"/>
                <w:lang w:eastAsia="fr-FR"/>
              </w:rPr>
              <w:t xml:space="preserve">Sebba </w:t>
            </w:r>
          </w:p>
        </w:tc>
        <w:tc>
          <w:tcPr>
            <w:tcW w:w="2205" w:type="dxa"/>
            <w:hideMark/>
          </w:tcPr>
          <w:p w:rsidR="003717AC" w:rsidRPr="00AC69F6" w:rsidRDefault="003717AC" w:rsidP="003717AC">
            <w:pPr>
              <w:jc w:val="center"/>
              <w:textAlignment w:val="bottom"/>
              <w:rPr>
                <w:rFonts w:ascii="Arial" w:eastAsia="Times New Roman" w:hAnsi="Arial" w:cs="Arial"/>
                <w:lang w:eastAsia="fr-FR"/>
              </w:rPr>
            </w:pPr>
            <w:r w:rsidRPr="00AC69F6">
              <w:rPr>
                <w:rFonts w:ascii="Calibri" w:eastAsia="Times New Roman" w:hAnsi="Calibri" w:cs="Arial"/>
                <w:color w:val="000000" w:themeColor="dark1"/>
                <w:kern w:val="24"/>
                <w:lang w:eastAsia="fr-FR"/>
              </w:rPr>
              <w:t>232 818 488</w:t>
            </w:r>
          </w:p>
        </w:tc>
        <w:tc>
          <w:tcPr>
            <w:tcW w:w="2268" w:type="dxa"/>
            <w:hideMark/>
          </w:tcPr>
          <w:p w:rsidR="003717AC" w:rsidRPr="00AC69F6" w:rsidRDefault="003717AC" w:rsidP="003717AC">
            <w:pPr>
              <w:jc w:val="center"/>
              <w:textAlignment w:val="bottom"/>
              <w:rPr>
                <w:rFonts w:ascii="Arial" w:eastAsia="Times New Roman" w:hAnsi="Arial" w:cs="Arial"/>
                <w:lang w:eastAsia="fr-FR"/>
              </w:rPr>
            </w:pPr>
            <w:r w:rsidRPr="00AC69F6">
              <w:rPr>
                <w:rFonts w:ascii="Calibri" w:eastAsia="Times New Roman" w:hAnsi="Calibri" w:cs="Arial"/>
                <w:color w:val="000000" w:themeColor="dark1"/>
                <w:kern w:val="24"/>
                <w:lang w:eastAsia="fr-FR"/>
              </w:rPr>
              <w:t>198 627 992</w:t>
            </w:r>
          </w:p>
        </w:tc>
        <w:tc>
          <w:tcPr>
            <w:tcW w:w="2410" w:type="dxa"/>
            <w:hideMark/>
          </w:tcPr>
          <w:p w:rsidR="003717AC" w:rsidRPr="00AC69F6" w:rsidRDefault="003717AC" w:rsidP="003717AC">
            <w:pPr>
              <w:jc w:val="center"/>
              <w:textAlignment w:val="bottom"/>
              <w:rPr>
                <w:rFonts w:ascii="Arial" w:eastAsia="Times New Roman" w:hAnsi="Arial" w:cs="Arial"/>
                <w:lang w:eastAsia="fr-FR"/>
              </w:rPr>
            </w:pPr>
            <w:r w:rsidRPr="00AC69F6">
              <w:rPr>
                <w:rFonts w:ascii="Calibri" w:eastAsia="Times New Roman" w:hAnsi="Calibri" w:cs="Arial"/>
                <w:color w:val="000000" w:themeColor="dark1"/>
                <w:kern w:val="24"/>
                <w:lang w:eastAsia="fr-FR"/>
              </w:rPr>
              <w:t>34 190 496</w:t>
            </w:r>
          </w:p>
        </w:tc>
      </w:tr>
      <w:tr w:rsidR="003717AC" w:rsidRPr="00AC69F6" w:rsidTr="003717AC">
        <w:trPr>
          <w:trHeight w:val="269"/>
        </w:trPr>
        <w:tc>
          <w:tcPr>
            <w:tcW w:w="0" w:type="auto"/>
            <w:hideMark/>
          </w:tcPr>
          <w:p w:rsidR="003717AC" w:rsidRPr="00AC69F6" w:rsidRDefault="003717AC" w:rsidP="003717AC">
            <w:pPr>
              <w:textAlignment w:val="center"/>
              <w:rPr>
                <w:rFonts w:ascii="Arial" w:eastAsia="Times New Roman" w:hAnsi="Arial" w:cs="Arial"/>
                <w:lang w:eastAsia="fr-FR"/>
              </w:rPr>
            </w:pPr>
            <w:r w:rsidRPr="00AC69F6">
              <w:rPr>
                <w:rFonts w:ascii="Calibri" w:eastAsia="Times New Roman" w:hAnsi="Calibri" w:cs="Arial"/>
                <w:b/>
                <w:bCs/>
                <w:color w:val="000000" w:themeColor="dark1"/>
                <w:kern w:val="24"/>
                <w:lang w:eastAsia="fr-FR"/>
              </w:rPr>
              <w:lastRenderedPageBreak/>
              <w:t>Sous total st-amu/UE</w:t>
            </w:r>
          </w:p>
        </w:tc>
        <w:tc>
          <w:tcPr>
            <w:tcW w:w="2205" w:type="dxa"/>
            <w:hideMark/>
          </w:tcPr>
          <w:p w:rsidR="003717AC" w:rsidRPr="00AC69F6" w:rsidRDefault="003717AC" w:rsidP="003717AC">
            <w:pPr>
              <w:jc w:val="center"/>
              <w:textAlignment w:val="bottom"/>
              <w:rPr>
                <w:rFonts w:ascii="Arial" w:eastAsia="Times New Roman" w:hAnsi="Arial" w:cs="Arial"/>
                <w:lang w:eastAsia="fr-FR"/>
              </w:rPr>
            </w:pPr>
            <w:r w:rsidRPr="00AC69F6">
              <w:rPr>
                <w:rFonts w:ascii="Calibri" w:eastAsia="Times New Roman" w:hAnsi="Calibri" w:cs="Arial"/>
                <w:b/>
                <w:bCs/>
                <w:color w:val="000000" w:themeColor="dark1"/>
                <w:kern w:val="24"/>
                <w:lang w:eastAsia="fr-FR"/>
              </w:rPr>
              <w:t>632 082 688</w:t>
            </w:r>
          </w:p>
        </w:tc>
        <w:tc>
          <w:tcPr>
            <w:tcW w:w="2268" w:type="dxa"/>
            <w:hideMark/>
          </w:tcPr>
          <w:p w:rsidR="003717AC" w:rsidRPr="00AC69F6" w:rsidRDefault="003717AC" w:rsidP="003717AC">
            <w:pPr>
              <w:jc w:val="center"/>
              <w:textAlignment w:val="bottom"/>
              <w:rPr>
                <w:rFonts w:ascii="Arial" w:eastAsia="Times New Roman" w:hAnsi="Arial" w:cs="Arial"/>
                <w:lang w:eastAsia="fr-FR"/>
              </w:rPr>
            </w:pPr>
            <w:r w:rsidRPr="00AC69F6">
              <w:rPr>
                <w:rFonts w:ascii="Calibri" w:eastAsia="Times New Roman" w:hAnsi="Calibri" w:cs="Arial"/>
                <w:b/>
                <w:bCs/>
                <w:color w:val="000000" w:themeColor="dark1"/>
                <w:kern w:val="24"/>
                <w:lang w:eastAsia="fr-FR"/>
              </w:rPr>
              <w:t>461 684 162</w:t>
            </w:r>
          </w:p>
        </w:tc>
        <w:tc>
          <w:tcPr>
            <w:tcW w:w="2410" w:type="dxa"/>
            <w:hideMark/>
          </w:tcPr>
          <w:p w:rsidR="003717AC" w:rsidRPr="00AC69F6" w:rsidRDefault="003717AC" w:rsidP="003717AC">
            <w:pPr>
              <w:jc w:val="center"/>
              <w:textAlignment w:val="bottom"/>
              <w:rPr>
                <w:rFonts w:ascii="Arial" w:eastAsia="Times New Roman" w:hAnsi="Arial" w:cs="Arial"/>
                <w:lang w:eastAsia="fr-FR"/>
              </w:rPr>
            </w:pPr>
            <w:r w:rsidRPr="00AC69F6">
              <w:rPr>
                <w:rFonts w:ascii="Calibri" w:eastAsia="Times New Roman" w:hAnsi="Calibri" w:cs="Arial"/>
                <w:b/>
                <w:bCs/>
                <w:color w:val="000000" w:themeColor="dark1"/>
                <w:kern w:val="24"/>
                <w:lang w:eastAsia="fr-FR"/>
              </w:rPr>
              <w:t>170 398 526</w:t>
            </w:r>
          </w:p>
        </w:tc>
      </w:tr>
      <w:tr w:rsidR="003717AC" w:rsidRPr="00AC69F6" w:rsidTr="003717AC">
        <w:trPr>
          <w:trHeight w:val="519"/>
        </w:trPr>
        <w:tc>
          <w:tcPr>
            <w:tcW w:w="0" w:type="auto"/>
            <w:hideMark/>
          </w:tcPr>
          <w:p w:rsidR="003717AC" w:rsidRPr="00AC69F6" w:rsidRDefault="003717AC" w:rsidP="003717AC">
            <w:pPr>
              <w:textAlignment w:val="center"/>
              <w:rPr>
                <w:rFonts w:ascii="Arial" w:eastAsia="Times New Roman" w:hAnsi="Arial" w:cs="Arial"/>
                <w:lang w:eastAsia="fr-FR"/>
              </w:rPr>
            </w:pPr>
            <w:r w:rsidRPr="00AC69F6">
              <w:rPr>
                <w:rFonts w:ascii="Calibri" w:eastAsia="Times New Roman" w:hAnsi="Calibri" w:cs="Arial"/>
                <w:b/>
                <w:bCs/>
                <w:color w:val="000000" w:themeColor="dark1"/>
                <w:kern w:val="24"/>
                <w:lang w:eastAsia="fr-FR"/>
              </w:rPr>
              <w:t>national</w:t>
            </w:r>
          </w:p>
        </w:tc>
        <w:tc>
          <w:tcPr>
            <w:tcW w:w="2205" w:type="dxa"/>
            <w:hideMark/>
          </w:tcPr>
          <w:p w:rsidR="003717AC" w:rsidRPr="00AC69F6" w:rsidRDefault="003717AC" w:rsidP="003717AC">
            <w:pPr>
              <w:jc w:val="center"/>
              <w:textAlignment w:val="bottom"/>
              <w:rPr>
                <w:rFonts w:ascii="Arial" w:eastAsia="Times New Roman" w:hAnsi="Arial" w:cs="Arial"/>
                <w:lang w:eastAsia="fr-FR"/>
              </w:rPr>
            </w:pPr>
            <w:r w:rsidRPr="00AC69F6">
              <w:rPr>
                <w:rFonts w:ascii="Calibri" w:eastAsia="Times New Roman" w:hAnsi="Calibri" w:cs="Arial"/>
                <w:b/>
                <w:bCs/>
                <w:color w:val="000000" w:themeColor="dark1"/>
                <w:kern w:val="24"/>
                <w:lang w:eastAsia="fr-FR"/>
              </w:rPr>
              <w:t>17 663 372 435</w:t>
            </w:r>
          </w:p>
        </w:tc>
        <w:tc>
          <w:tcPr>
            <w:tcW w:w="2268" w:type="dxa"/>
            <w:hideMark/>
          </w:tcPr>
          <w:p w:rsidR="003717AC" w:rsidRPr="00AC69F6" w:rsidRDefault="003717AC" w:rsidP="003717AC">
            <w:pPr>
              <w:jc w:val="center"/>
              <w:textAlignment w:val="bottom"/>
              <w:rPr>
                <w:rFonts w:ascii="Arial" w:eastAsia="Times New Roman" w:hAnsi="Arial" w:cs="Arial"/>
                <w:lang w:eastAsia="fr-FR"/>
              </w:rPr>
            </w:pPr>
            <w:r w:rsidRPr="00AC69F6">
              <w:rPr>
                <w:rFonts w:ascii="Calibri" w:eastAsia="Times New Roman" w:hAnsi="Calibri" w:cs="Arial"/>
                <w:b/>
                <w:bCs/>
                <w:color w:val="000000" w:themeColor="dark1"/>
                <w:kern w:val="24"/>
                <w:lang w:eastAsia="fr-FR"/>
              </w:rPr>
              <w:t>16 499 239 257</w:t>
            </w:r>
          </w:p>
        </w:tc>
        <w:tc>
          <w:tcPr>
            <w:tcW w:w="2410" w:type="dxa"/>
            <w:hideMark/>
          </w:tcPr>
          <w:p w:rsidR="003717AC" w:rsidRPr="00903DD5" w:rsidRDefault="003717AC" w:rsidP="003717AC">
            <w:pPr>
              <w:pStyle w:val="Paragraphedeliste"/>
              <w:numPr>
                <w:ilvl w:val="0"/>
                <w:numId w:val="5"/>
              </w:numPr>
              <w:jc w:val="center"/>
              <w:textAlignment w:val="bottom"/>
              <w:rPr>
                <w:rFonts w:ascii="Arial" w:eastAsia="Times New Roman" w:hAnsi="Arial" w:cs="Arial"/>
                <w:lang w:eastAsia="fr-FR"/>
              </w:rPr>
            </w:pPr>
            <w:r w:rsidRPr="00903DD5">
              <w:rPr>
                <w:rFonts w:ascii="Calibri" w:eastAsia="Times New Roman" w:hAnsi="Calibri" w:cs="Arial"/>
                <w:b/>
                <w:bCs/>
                <w:color w:val="000000" w:themeColor="dark1"/>
                <w:kern w:val="24"/>
                <w:lang w:eastAsia="fr-FR"/>
              </w:rPr>
              <w:t>164 133 177</w:t>
            </w:r>
          </w:p>
        </w:tc>
      </w:tr>
    </w:tbl>
    <w:p w:rsidR="003717AC" w:rsidRPr="00903DD5" w:rsidRDefault="003717AC" w:rsidP="003717AC">
      <w:pPr>
        <w:spacing w:after="0" w:line="360" w:lineRule="auto"/>
        <w:jc w:val="both"/>
        <w:rPr>
          <w:rFonts w:ascii="Arial" w:hAnsi="Arial" w:cs="Arial"/>
          <w:sz w:val="24"/>
          <w:szCs w:val="24"/>
        </w:rPr>
      </w:pPr>
      <w:r w:rsidRPr="00903DD5">
        <w:rPr>
          <w:rFonts w:ascii="Arial" w:hAnsi="Arial" w:cs="Arial"/>
          <w:b/>
          <w:sz w:val="24"/>
          <w:szCs w:val="24"/>
        </w:rPr>
        <w:t>Commentaires</w:t>
      </w:r>
      <w:r>
        <w:rPr>
          <w:rFonts w:ascii="Arial" w:hAnsi="Arial" w:cs="Arial"/>
          <w:sz w:val="24"/>
          <w:szCs w:val="24"/>
        </w:rPr>
        <w:t> : en fin décembre</w:t>
      </w:r>
      <w:r w:rsidR="00137E45">
        <w:rPr>
          <w:rFonts w:ascii="Arial" w:hAnsi="Arial" w:cs="Arial"/>
          <w:sz w:val="24"/>
          <w:szCs w:val="24"/>
        </w:rPr>
        <w:t xml:space="preserve"> 2016</w:t>
      </w:r>
      <w:r>
        <w:rPr>
          <w:rFonts w:ascii="Arial" w:hAnsi="Arial" w:cs="Arial"/>
          <w:sz w:val="24"/>
          <w:szCs w:val="24"/>
        </w:rPr>
        <w:t xml:space="preserve">, on note </w:t>
      </w:r>
      <w:r w:rsidRPr="00903DD5">
        <w:rPr>
          <w:rFonts w:ascii="Arial" w:hAnsi="Arial" w:cs="Arial"/>
          <w:sz w:val="24"/>
          <w:szCs w:val="24"/>
        </w:rPr>
        <w:t>9 hôpitaux à solde négatif sur 12</w:t>
      </w:r>
    </w:p>
    <w:p w:rsidR="003717AC" w:rsidRDefault="003717AC" w:rsidP="003717AC">
      <w:pPr>
        <w:spacing w:after="0" w:line="360" w:lineRule="auto"/>
        <w:jc w:val="both"/>
        <w:rPr>
          <w:rFonts w:ascii="Arial" w:hAnsi="Arial" w:cs="Arial"/>
          <w:sz w:val="24"/>
          <w:szCs w:val="24"/>
        </w:rPr>
      </w:pPr>
      <w:r>
        <w:rPr>
          <w:rFonts w:ascii="Arial" w:hAnsi="Arial" w:cs="Arial"/>
          <w:sz w:val="24"/>
          <w:szCs w:val="24"/>
        </w:rPr>
        <w:t xml:space="preserve">et </w:t>
      </w:r>
      <w:r w:rsidRPr="00903DD5">
        <w:rPr>
          <w:rFonts w:ascii="Arial" w:hAnsi="Arial" w:cs="Arial"/>
          <w:sz w:val="24"/>
          <w:szCs w:val="24"/>
        </w:rPr>
        <w:t>10 DS à solde négatif sur 70</w:t>
      </w:r>
    </w:p>
    <w:p w:rsidR="003717AC" w:rsidRDefault="003717AC" w:rsidP="003717AC">
      <w:pPr>
        <w:pStyle w:val="Lgende"/>
      </w:pPr>
    </w:p>
    <w:p w:rsidR="003717AC" w:rsidRDefault="003717AC" w:rsidP="003717AC">
      <w:pPr>
        <w:pStyle w:val="Lgende"/>
        <w:rPr>
          <w:rFonts w:ascii="Arial" w:hAnsi="Arial" w:cs="Arial"/>
          <w:sz w:val="24"/>
          <w:szCs w:val="24"/>
        </w:rPr>
      </w:pPr>
      <w:bookmarkStart w:id="24" w:name="_Toc491848496"/>
      <w:r>
        <w:t xml:space="preserve">Tableau </w:t>
      </w:r>
      <w:r w:rsidR="00F559F0">
        <w:fldChar w:fldCharType="begin"/>
      </w:r>
      <w:r w:rsidR="00F559F0">
        <w:instrText xml:space="preserve"> SEQ Tableau \* ARABIC </w:instrText>
      </w:r>
      <w:r w:rsidR="00F559F0">
        <w:fldChar w:fldCharType="separate"/>
      </w:r>
      <w:r>
        <w:rPr>
          <w:noProof/>
        </w:rPr>
        <w:t>4</w:t>
      </w:r>
      <w:r w:rsidR="00F559F0">
        <w:rPr>
          <w:noProof/>
        </w:rPr>
        <w:fldChar w:fldCharType="end"/>
      </w:r>
      <w:r>
        <w:t> : Flux financiers en 2017</w:t>
      </w:r>
      <w:r w:rsidR="005B119C">
        <w:t>, DES</w:t>
      </w:r>
      <w:bookmarkEnd w:id="24"/>
    </w:p>
    <w:tbl>
      <w:tblPr>
        <w:tblStyle w:val="Trameclaire-Accent5"/>
        <w:tblW w:w="9323" w:type="dxa"/>
        <w:tblLook w:val="0600" w:firstRow="0" w:lastRow="0" w:firstColumn="0" w:lastColumn="0" w:noHBand="1" w:noVBand="1"/>
      </w:tblPr>
      <w:tblGrid>
        <w:gridCol w:w="1554"/>
        <w:gridCol w:w="3397"/>
        <w:gridCol w:w="2949"/>
        <w:gridCol w:w="1423"/>
      </w:tblGrid>
      <w:tr w:rsidR="003717AC" w:rsidRPr="00AC69F6" w:rsidTr="003717AC">
        <w:trPr>
          <w:trHeight w:val="929"/>
        </w:trPr>
        <w:tc>
          <w:tcPr>
            <w:tcW w:w="0" w:type="auto"/>
            <w:hideMark/>
          </w:tcPr>
          <w:p w:rsidR="003717AC" w:rsidRPr="00AC69F6" w:rsidRDefault="003717AC" w:rsidP="003717AC">
            <w:pPr>
              <w:jc w:val="center"/>
              <w:textAlignment w:val="center"/>
              <w:rPr>
                <w:rFonts w:ascii="Arial" w:eastAsia="Times New Roman" w:hAnsi="Arial" w:cs="Arial"/>
                <w:lang w:eastAsia="fr-FR"/>
              </w:rPr>
            </w:pPr>
            <w:r w:rsidRPr="00AC69F6">
              <w:rPr>
                <w:rFonts w:ascii="Calibri" w:eastAsia="Times New Roman" w:hAnsi="Calibri" w:cs="Arial"/>
                <w:b/>
                <w:bCs/>
                <w:color w:val="000000" w:themeColor="dark1"/>
                <w:kern w:val="24"/>
                <w:lang w:eastAsia="fr-FR"/>
              </w:rPr>
              <w:t>STRUCTURE</w:t>
            </w:r>
          </w:p>
        </w:tc>
        <w:tc>
          <w:tcPr>
            <w:tcW w:w="0" w:type="auto"/>
            <w:hideMark/>
          </w:tcPr>
          <w:p w:rsidR="003717AC" w:rsidRPr="00AC69F6" w:rsidRDefault="003717AC" w:rsidP="003717AC">
            <w:pPr>
              <w:jc w:val="center"/>
              <w:textAlignment w:val="center"/>
              <w:rPr>
                <w:rFonts w:ascii="Arial" w:eastAsia="Times New Roman" w:hAnsi="Arial" w:cs="Arial"/>
                <w:lang w:eastAsia="fr-FR"/>
              </w:rPr>
            </w:pPr>
            <w:r w:rsidRPr="00AC69F6">
              <w:rPr>
                <w:rFonts w:ascii="Calibri" w:eastAsia="Times New Roman" w:hAnsi="Calibri" w:cs="Arial"/>
                <w:b/>
                <w:bCs/>
                <w:color w:val="000000" w:themeColor="dark1"/>
                <w:kern w:val="24"/>
                <w:lang w:eastAsia="fr-FR"/>
              </w:rPr>
              <w:t>APPROVISIONNEMENT JANVIER A MAI 2017</w:t>
            </w:r>
          </w:p>
        </w:tc>
        <w:tc>
          <w:tcPr>
            <w:tcW w:w="0" w:type="auto"/>
            <w:hideMark/>
          </w:tcPr>
          <w:p w:rsidR="003717AC" w:rsidRPr="00AC69F6" w:rsidRDefault="003717AC" w:rsidP="003717AC">
            <w:pPr>
              <w:jc w:val="center"/>
              <w:textAlignment w:val="center"/>
              <w:rPr>
                <w:rFonts w:ascii="Arial" w:eastAsia="Times New Roman" w:hAnsi="Arial" w:cs="Arial"/>
                <w:lang w:eastAsia="fr-FR"/>
              </w:rPr>
            </w:pPr>
            <w:r w:rsidRPr="00AC69F6">
              <w:rPr>
                <w:rFonts w:ascii="Calibri" w:eastAsia="Times New Roman" w:hAnsi="Calibri" w:cs="Arial"/>
                <w:b/>
                <w:bCs/>
                <w:color w:val="000000" w:themeColor="dark1"/>
                <w:kern w:val="24"/>
                <w:lang w:eastAsia="fr-FR"/>
              </w:rPr>
              <w:t>CONSOMMATION JANVIER A MAI 2017</w:t>
            </w:r>
          </w:p>
        </w:tc>
        <w:tc>
          <w:tcPr>
            <w:tcW w:w="0" w:type="auto"/>
            <w:hideMark/>
          </w:tcPr>
          <w:p w:rsidR="003717AC" w:rsidRPr="00AC69F6" w:rsidRDefault="003717AC" w:rsidP="003717AC">
            <w:pPr>
              <w:jc w:val="center"/>
              <w:textAlignment w:val="center"/>
              <w:rPr>
                <w:rFonts w:ascii="Arial" w:eastAsia="Times New Roman" w:hAnsi="Arial" w:cs="Arial"/>
                <w:lang w:eastAsia="fr-FR"/>
              </w:rPr>
            </w:pPr>
            <w:r w:rsidRPr="00AC69F6">
              <w:rPr>
                <w:rFonts w:ascii="Calibri" w:eastAsia="Times New Roman" w:hAnsi="Calibri" w:cs="Arial"/>
                <w:b/>
                <w:bCs/>
                <w:color w:val="000000" w:themeColor="dark1"/>
                <w:kern w:val="24"/>
                <w:lang w:eastAsia="fr-FR"/>
              </w:rPr>
              <w:t>SOLDE EN FIN MAI</w:t>
            </w:r>
          </w:p>
        </w:tc>
      </w:tr>
      <w:tr w:rsidR="003717AC" w:rsidRPr="00AC69F6" w:rsidTr="003717AC">
        <w:trPr>
          <w:trHeight w:val="537"/>
        </w:trPr>
        <w:tc>
          <w:tcPr>
            <w:tcW w:w="0" w:type="auto"/>
            <w:hideMark/>
          </w:tcPr>
          <w:p w:rsidR="003717AC" w:rsidRPr="00AC69F6" w:rsidRDefault="003717AC" w:rsidP="003717AC">
            <w:pPr>
              <w:jc w:val="center"/>
              <w:textAlignment w:val="center"/>
              <w:rPr>
                <w:rFonts w:ascii="Arial" w:eastAsia="Times New Roman" w:hAnsi="Arial" w:cs="Arial"/>
                <w:lang w:eastAsia="fr-FR"/>
              </w:rPr>
            </w:pPr>
            <w:r w:rsidRPr="00AC69F6">
              <w:rPr>
                <w:rFonts w:ascii="Calibri" w:eastAsia="Times New Roman" w:hAnsi="Calibri" w:cs="Arial"/>
                <w:b/>
                <w:bCs/>
                <w:color w:val="000000"/>
                <w:kern w:val="24"/>
                <w:lang w:eastAsia="fr-FR"/>
              </w:rPr>
              <w:t>CHR/CHU (N=13)</w:t>
            </w:r>
          </w:p>
        </w:tc>
        <w:tc>
          <w:tcPr>
            <w:tcW w:w="0" w:type="auto"/>
            <w:hideMark/>
          </w:tcPr>
          <w:p w:rsidR="003717AC" w:rsidRPr="00AC69F6" w:rsidRDefault="003717AC" w:rsidP="003717AC">
            <w:pPr>
              <w:jc w:val="center"/>
              <w:textAlignment w:val="bottom"/>
              <w:rPr>
                <w:rFonts w:ascii="Arial" w:eastAsia="Times New Roman" w:hAnsi="Arial" w:cs="Arial"/>
                <w:lang w:eastAsia="fr-FR"/>
              </w:rPr>
            </w:pPr>
            <w:r w:rsidRPr="00AC69F6">
              <w:rPr>
                <w:rFonts w:ascii="Calibri" w:eastAsia="Times New Roman" w:hAnsi="Calibri" w:cs="Arial"/>
                <w:color w:val="000000" w:themeColor="dark1"/>
                <w:kern w:val="24"/>
                <w:lang w:eastAsia="fr-FR"/>
              </w:rPr>
              <w:t>1 943 673 089</w:t>
            </w:r>
          </w:p>
        </w:tc>
        <w:tc>
          <w:tcPr>
            <w:tcW w:w="0" w:type="auto"/>
            <w:hideMark/>
          </w:tcPr>
          <w:p w:rsidR="003717AC" w:rsidRPr="00AC69F6" w:rsidRDefault="003717AC" w:rsidP="003717AC">
            <w:pPr>
              <w:jc w:val="center"/>
              <w:textAlignment w:val="bottom"/>
              <w:rPr>
                <w:rFonts w:ascii="Arial" w:eastAsia="Times New Roman" w:hAnsi="Arial" w:cs="Arial"/>
                <w:lang w:eastAsia="fr-FR"/>
              </w:rPr>
            </w:pPr>
            <w:r w:rsidRPr="00AC69F6">
              <w:rPr>
                <w:rFonts w:ascii="Calibri" w:eastAsia="Times New Roman" w:hAnsi="Calibri" w:cs="Arial"/>
                <w:color w:val="000000" w:themeColor="dark1"/>
                <w:kern w:val="24"/>
                <w:lang w:eastAsia="fr-FR"/>
              </w:rPr>
              <w:t>2 056 381 366</w:t>
            </w:r>
          </w:p>
        </w:tc>
        <w:tc>
          <w:tcPr>
            <w:tcW w:w="0" w:type="auto"/>
            <w:hideMark/>
          </w:tcPr>
          <w:p w:rsidR="003717AC" w:rsidRPr="00AC69F6" w:rsidRDefault="003717AC" w:rsidP="003717AC">
            <w:pPr>
              <w:jc w:val="center"/>
              <w:textAlignment w:val="bottom"/>
              <w:rPr>
                <w:rFonts w:ascii="Arial" w:eastAsia="Times New Roman" w:hAnsi="Arial" w:cs="Arial"/>
                <w:lang w:eastAsia="fr-FR"/>
              </w:rPr>
            </w:pPr>
            <w:r>
              <w:rPr>
                <w:rFonts w:ascii="Calibri" w:eastAsia="Times New Roman" w:hAnsi="Calibri" w:cs="Arial"/>
                <w:color w:val="000000" w:themeColor="dark1"/>
                <w:kern w:val="24"/>
                <w:lang w:eastAsia="fr-FR"/>
              </w:rPr>
              <w:t xml:space="preserve">-   </w:t>
            </w:r>
            <w:r w:rsidRPr="00AC69F6">
              <w:rPr>
                <w:rFonts w:ascii="Calibri" w:eastAsia="Times New Roman" w:hAnsi="Calibri" w:cs="Arial"/>
                <w:color w:val="000000" w:themeColor="dark1"/>
                <w:kern w:val="24"/>
                <w:lang w:eastAsia="fr-FR"/>
              </w:rPr>
              <w:t>112 708 277</w:t>
            </w:r>
          </w:p>
        </w:tc>
      </w:tr>
      <w:tr w:rsidR="003717AC" w:rsidRPr="00AC69F6" w:rsidTr="003717AC">
        <w:trPr>
          <w:trHeight w:val="262"/>
        </w:trPr>
        <w:tc>
          <w:tcPr>
            <w:tcW w:w="0" w:type="auto"/>
            <w:hideMark/>
          </w:tcPr>
          <w:p w:rsidR="003717AC" w:rsidRPr="00AC69F6" w:rsidRDefault="003717AC" w:rsidP="003717AC">
            <w:pPr>
              <w:jc w:val="center"/>
              <w:textAlignment w:val="bottom"/>
              <w:rPr>
                <w:rFonts w:ascii="Arial" w:eastAsia="Times New Roman" w:hAnsi="Arial" w:cs="Arial"/>
                <w:lang w:eastAsia="fr-FR"/>
              </w:rPr>
            </w:pPr>
            <w:r w:rsidRPr="00AC69F6">
              <w:rPr>
                <w:rFonts w:ascii="Calibri" w:eastAsia="Times New Roman" w:hAnsi="Calibri" w:cs="Arial"/>
                <w:b/>
                <w:bCs/>
                <w:color w:val="000000"/>
                <w:kern w:val="24"/>
                <w:lang w:eastAsia="fr-FR"/>
              </w:rPr>
              <w:t>DS (N=70)</w:t>
            </w:r>
          </w:p>
        </w:tc>
        <w:tc>
          <w:tcPr>
            <w:tcW w:w="0" w:type="auto"/>
            <w:hideMark/>
          </w:tcPr>
          <w:p w:rsidR="003717AC" w:rsidRPr="00AC69F6" w:rsidRDefault="003717AC" w:rsidP="003717AC">
            <w:pPr>
              <w:jc w:val="center"/>
              <w:textAlignment w:val="bottom"/>
              <w:rPr>
                <w:rFonts w:ascii="Arial" w:eastAsia="Times New Roman" w:hAnsi="Arial" w:cs="Arial"/>
                <w:lang w:eastAsia="fr-FR"/>
              </w:rPr>
            </w:pPr>
            <w:r w:rsidRPr="00AC69F6">
              <w:rPr>
                <w:rFonts w:ascii="Calibri" w:eastAsia="Times New Roman" w:hAnsi="Calibri" w:cs="Arial"/>
                <w:color w:val="000000" w:themeColor="dark1"/>
                <w:kern w:val="24"/>
                <w:lang w:eastAsia="fr-FR"/>
              </w:rPr>
              <w:t>9 646 602 694</w:t>
            </w:r>
          </w:p>
        </w:tc>
        <w:tc>
          <w:tcPr>
            <w:tcW w:w="0" w:type="auto"/>
            <w:hideMark/>
          </w:tcPr>
          <w:p w:rsidR="003717AC" w:rsidRPr="00AC69F6" w:rsidRDefault="003717AC" w:rsidP="003717AC">
            <w:pPr>
              <w:jc w:val="center"/>
              <w:textAlignment w:val="bottom"/>
              <w:rPr>
                <w:rFonts w:ascii="Arial" w:eastAsia="Times New Roman" w:hAnsi="Arial" w:cs="Arial"/>
                <w:lang w:eastAsia="fr-FR"/>
              </w:rPr>
            </w:pPr>
            <w:r w:rsidRPr="00AC69F6">
              <w:rPr>
                <w:rFonts w:ascii="Calibri" w:eastAsia="Times New Roman" w:hAnsi="Calibri" w:cs="Arial"/>
                <w:color w:val="000000" w:themeColor="dark1"/>
                <w:kern w:val="24"/>
                <w:lang w:eastAsia="fr-FR"/>
              </w:rPr>
              <w:t>8 876 775 466</w:t>
            </w:r>
          </w:p>
        </w:tc>
        <w:tc>
          <w:tcPr>
            <w:tcW w:w="0" w:type="auto"/>
            <w:hideMark/>
          </w:tcPr>
          <w:p w:rsidR="003717AC" w:rsidRPr="00AC69F6" w:rsidRDefault="003717AC" w:rsidP="003717AC">
            <w:pPr>
              <w:jc w:val="center"/>
              <w:textAlignment w:val="bottom"/>
              <w:rPr>
                <w:rFonts w:ascii="Arial" w:eastAsia="Times New Roman" w:hAnsi="Arial" w:cs="Arial"/>
                <w:lang w:eastAsia="fr-FR"/>
              </w:rPr>
            </w:pPr>
            <w:r w:rsidRPr="00AC69F6">
              <w:rPr>
                <w:rFonts w:ascii="Calibri" w:eastAsia="Times New Roman" w:hAnsi="Calibri" w:cs="Arial"/>
                <w:color w:val="000000" w:themeColor="dark1"/>
                <w:kern w:val="24"/>
                <w:lang w:eastAsia="fr-FR"/>
              </w:rPr>
              <w:t>769 827 228</w:t>
            </w:r>
          </w:p>
        </w:tc>
      </w:tr>
      <w:tr w:rsidR="003717AC" w:rsidRPr="00AC69F6" w:rsidTr="003717AC">
        <w:trPr>
          <w:trHeight w:val="43"/>
        </w:trPr>
        <w:tc>
          <w:tcPr>
            <w:tcW w:w="0" w:type="auto"/>
            <w:hideMark/>
          </w:tcPr>
          <w:p w:rsidR="003717AC" w:rsidRPr="00AC69F6" w:rsidRDefault="003717AC" w:rsidP="003717AC">
            <w:pPr>
              <w:jc w:val="center"/>
              <w:textAlignment w:val="bottom"/>
              <w:rPr>
                <w:rFonts w:ascii="Arial" w:eastAsia="Times New Roman" w:hAnsi="Arial" w:cs="Arial"/>
                <w:lang w:eastAsia="fr-FR"/>
              </w:rPr>
            </w:pPr>
            <w:r w:rsidRPr="00AC69F6">
              <w:rPr>
                <w:rFonts w:ascii="Calibri" w:eastAsia="Times New Roman" w:hAnsi="Calibri" w:cs="Arial"/>
                <w:b/>
                <w:bCs/>
                <w:color w:val="000000" w:themeColor="dark1"/>
                <w:kern w:val="24"/>
                <w:lang w:eastAsia="fr-FR"/>
              </w:rPr>
              <w:t>NATIONAL</w:t>
            </w:r>
          </w:p>
        </w:tc>
        <w:tc>
          <w:tcPr>
            <w:tcW w:w="0" w:type="auto"/>
            <w:hideMark/>
          </w:tcPr>
          <w:p w:rsidR="003717AC" w:rsidRPr="00AC69F6" w:rsidRDefault="003717AC" w:rsidP="003717AC">
            <w:pPr>
              <w:jc w:val="center"/>
              <w:textAlignment w:val="bottom"/>
              <w:rPr>
                <w:rFonts w:ascii="Arial" w:eastAsia="Times New Roman" w:hAnsi="Arial" w:cs="Arial"/>
                <w:lang w:eastAsia="fr-FR"/>
              </w:rPr>
            </w:pPr>
            <w:r w:rsidRPr="00AC69F6">
              <w:rPr>
                <w:rFonts w:ascii="Calibri" w:eastAsia="Times New Roman" w:hAnsi="Calibri" w:cs="Arial"/>
                <w:b/>
                <w:bCs/>
                <w:color w:val="000000" w:themeColor="dark1"/>
                <w:kern w:val="24"/>
                <w:lang w:eastAsia="fr-FR"/>
              </w:rPr>
              <w:t>11 590 275 783</w:t>
            </w:r>
          </w:p>
        </w:tc>
        <w:tc>
          <w:tcPr>
            <w:tcW w:w="0" w:type="auto"/>
            <w:hideMark/>
          </w:tcPr>
          <w:p w:rsidR="003717AC" w:rsidRPr="00AC69F6" w:rsidRDefault="003717AC" w:rsidP="003717AC">
            <w:pPr>
              <w:jc w:val="center"/>
              <w:textAlignment w:val="bottom"/>
              <w:rPr>
                <w:rFonts w:ascii="Arial" w:eastAsia="Times New Roman" w:hAnsi="Arial" w:cs="Arial"/>
                <w:lang w:eastAsia="fr-FR"/>
              </w:rPr>
            </w:pPr>
            <w:r w:rsidRPr="00AC69F6">
              <w:rPr>
                <w:rFonts w:ascii="Calibri" w:eastAsia="Times New Roman" w:hAnsi="Calibri" w:cs="Arial"/>
                <w:b/>
                <w:bCs/>
                <w:color w:val="000000" w:themeColor="dark1"/>
                <w:kern w:val="24"/>
                <w:lang w:eastAsia="fr-FR"/>
              </w:rPr>
              <w:t>10 933 156 832</w:t>
            </w:r>
          </w:p>
        </w:tc>
        <w:tc>
          <w:tcPr>
            <w:tcW w:w="0" w:type="auto"/>
            <w:hideMark/>
          </w:tcPr>
          <w:p w:rsidR="003717AC" w:rsidRPr="00AC69F6" w:rsidRDefault="003717AC" w:rsidP="003717AC">
            <w:pPr>
              <w:jc w:val="center"/>
              <w:textAlignment w:val="bottom"/>
              <w:rPr>
                <w:rFonts w:ascii="Arial" w:eastAsia="Times New Roman" w:hAnsi="Arial" w:cs="Arial"/>
                <w:lang w:eastAsia="fr-FR"/>
              </w:rPr>
            </w:pPr>
            <w:r w:rsidRPr="00AC69F6">
              <w:rPr>
                <w:rFonts w:ascii="Calibri" w:eastAsia="Times New Roman" w:hAnsi="Calibri" w:cs="Arial"/>
                <w:b/>
                <w:bCs/>
                <w:color w:val="000000" w:themeColor="dark1"/>
                <w:kern w:val="24"/>
                <w:lang w:eastAsia="fr-FR"/>
              </w:rPr>
              <w:t>657 118 951</w:t>
            </w:r>
          </w:p>
        </w:tc>
      </w:tr>
    </w:tbl>
    <w:p w:rsidR="003717AC" w:rsidRPr="00903DD5" w:rsidRDefault="003717AC" w:rsidP="003717AC">
      <w:pPr>
        <w:spacing w:after="0" w:line="360" w:lineRule="auto"/>
        <w:jc w:val="both"/>
        <w:rPr>
          <w:rFonts w:ascii="Arial" w:hAnsi="Arial" w:cs="Arial"/>
          <w:b/>
          <w:sz w:val="24"/>
          <w:szCs w:val="24"/>
        </w:rPr>
      </w:pPr>
      <w:r w:rsidRPr="00903DD5">
        <w:rPr>
          <w:rFonts w:ascii="Arial" w:hAnsi="Arial" w:cs="Arial"/>
          <w:b/>
          <w:sz w:val="24"/>
          <w:szCs w:val="24"/>
        </w:rPr>
        <w:t>Commentaires :</w:t>
      </w:r>
    </w:p>
    <w:p w:rsidR="003717AC" w:rsidRPr="00903DD5" w:rsidRDefault="003717AC" w:rsidP="003717AC">
      <w:pPr>
        <w:pStyle w:val="Paragraphedeliste"/>
        <w:numPr>
          <w:ilvl w:val="0"/>
          <w:numId w:val="1"/>
        </w:numPr>
        <w:spacing w:after="0" w:line="360" w:lineRule="auto"/>
        <w:jc w:val="both"/>
        <w:rPr>
          <w:rFonts w:ascii="Arial" w:hAnsi="Arial" w:cs="Arial"/>
          <w:sz w:val="24"/>
          <w:szCs w:val="24"/>
        </w:rPr>
      </w:pPr>
      <w:r w:rsidRPr="00903DD5">
        <w:rPr>
          <w:rFonts w:ascii="Arial" w:hAnsi="Arial" w:cs="Arial"/>
          <w:sz w:val="24"/>
          <w:szCs w:val="24"/>
        </w:rPr>
        <w:t>Prise en compte des soldes positifs  de fin décembre 2016 dans les approvisionnements de janvier et février 2017</w:t>
      </w:r>
    </w:p>
    <w:p w:rsidR="003717AC" w:rsidRPr="00903DD5" w:rsidRDefault="003717AC" w:rsidP="003717AC">
      <w:pPr>
        <w:pStyle w:val="Paragraphedeliste"/>
        <w:numPr>
          <w:ilvl w:val="0"/>
          <w:numId w:val="1"/>
        </w:numPr>
        <w:spacing w:after="0" w:line="360" w:lineRule="auto"/>
        <w:jc w:val="both"/>
        <w:rPr>
          <w:rFonts w:ascii="Arial" w:hAnsi="Arial" w:cs="Arial"/>
          <w:sz w:val="24"/>
          <w:szCs w:val="24"/>
        </w:rPr>
      </w:pPr>
      <w:r w:rsidRPr="00903DD5">
        <w:rPr>
          <w:rFonts w:ascii="Arial" w:hAnsi="Arial" w:cs="Arial"/>
          <w:sz w:val="24"/>
          <w:szCs w:val="24"/>
        </w:rPr>
        <w:t>Un seul DS à solde négatif : DS Zabré</w:t>
      </w:r>
    </w:p>
    <w:p w:rsidR="003717AC" w:rsidRPr="00903DD5" w:rsidRDefault="003717AC" w:rsidP="003717AC">
      <w:pPr>
        <w:pStyle w:val="Paragraphedeliste"/>
        <w:numPr>
          <w:ilvl w:val="0"/>
          <w:numId w:val="1"/>
        </w:numPr>
        <w:spacing w:after="0" w:line="360" w:lineRule="auto"/>
        <w:jc w:val="both"/>
        <w:rPr>
          <w:rFonts w:ascii="Arial" w:hAnsi="Arial" w:cs="Arial"/>
          <w:sz w:val="24"/>
          <w:szCs w:val="24"/>
        </w:rPr>
      </w:pPr>
      <w:r w:rsidRPr="00903DD5">
        <w:rPr>
          <w:rFonts w:ascii="Arial" w:hAnsi="Arial" w:cs="Arial"/>
          <w:sz w:val="24"/>
          <w:szCs w:val="24"/>
        </w:rPr>
        <w:t>8 CHR/CHU sur 13 à solde négatif</w:t>
      </w:r>
    </w:p>
    <w:p w:rsidR="003717AC" w:rsidRPr="00903DD5" w:rsidRDefault="003717AC" w:rsidP="003717AC">
      <w:pPr>
        <w:pStyle w:val="Paragraphedeliste"/>
        <w:numPr>
          <w:ilvl w:val="0"/>
          <w:numId w:val="1"/>
        </w:numPr>
        <w:spacing w:after="0" w:line="360" w:lineRule="auto"/>
        <w:jc w:val="both"/>
        <w:rPr>
          <w:rFonts w:ascii="Arial" w:hAnsi="Arial" w:cs="Arial"/>
          <w:sz w:val="24"/>
          <w:szCs w:val="24"/>
        </w:rPr>
      </w:pPr>
      <w:r w:rsidRPr="00903DD5">
        <w:rPr>
          <w:rFonts w:ascii="Arial" w:hAnsi="Arial" w:cs="Arial"/>
          <w:sz w:val="24"/>
          <w:szCs w:val="24"/>
        </w:rPr>
        <w:t>Montant approvisionné ne tenant pas compte du DS de Tougan et Séguénéga</w:t>
      </w:r>
    </w:p>
    <w:p w:rsidR="003717AC" w:rsidRDefault="003717AC" w:rsidP="003717AC">
      <w:pPr>
        <w:spacing w:after="0" w:line="360" w:lineRule="auto"/>
        <w:jc w:val="both"/>
        <w:rPr>
          <w:rFonts w:ascii="Arial" w:hAnsi="Arial" w:cs="Arial"/>
          <w:sz w:val="24"/>
          <w:szCs w:val="24"/>
        </w:rPr>
      </w:pPr>
    </w:p>
    <w:p w:rsidR="003717AC" w:rsidRDefault="003717AC" w:rsidP="003717AC">
      <w:pPr>
        <w:spacing w:after="0" w:line="360" w:lineRule="auto"/>
        <w:jc w:val="both"/>
        <w:rPr>
          <w:rFonts w:ascii="Arial" w:hAnsi="Arial" w:cs="Arial"/>
          <w:sz w:val="24"/>
          <w:szCs w:val="24"/>
        </w:rPr>
      </w:pPr>
      <w:r>
        <w:rPr>
          <w:rFonts w:ascii="Arial" w:hAnsi="Arial" w:cs="Arial"/>
          <w:sz w:val="24"/>
          <w:szCs w:val="24"/>
        </w:rPr>
        <w:t xml:space="preserve">Le montant total consommé d’avril 2016 à mai 2017 est réparti comme suit en biens et services. </w:t>
      </w:r>
    </w:p>
    <w:p w:rsidR="005B119C" w:rsidRDefault="005B119C" w:rsidP="003717AC">
      <w:pPr>
        <w:pStyle w:val="Lgende"/>
      </w:pPr>
    </w:p>
    <w:p w:rsidR="005B119C" w:rsidRDefault="005B119C" w:rsidP="003717AC">
      <w:pPr>
        <w:pStyle w:val="Lgende"/>
      </w:pPr>
    </w:p>
    <w:p w:rsidR="005B119C" w:rsidRDefault="005B119C" w:rsidP="003717AC">
      <w:pPr>
        <w:pStyle w:val="Lgende"/>
      </w:pPr>
    </w:p>
    <w:p w:rsidR="005B119C" w:rsidRDefault="005B119C" w:rsidP="003717AC">
      <w:pPr>
        <w:pStyle w:val="Lgende"/>
      </w:pPr>
    </w:p>
    <w:p w:rsidR="005B119C" w:rsidRDefault="005B119C" w:rsidP="003717AC">
      <w:pPr>
        <w:pStyle w:val="Lgende"/>
      </w:pPr>
    </w:p>
    <w:p w:rsidR="005B119C" w:rsidRDefault="005B119C" w:rsidP="003717AC">
      <w:pPr>
        <w:pStyle w:val="Lgende"/>
      </w:pPr>
    </w:p>
    <w:p w:rsidR="005B119C" w:rsidRDefault="005B119C" w:rsidP="003717AC">
      <w:pPr>
        <w:pStyle w:val="Lgende"/>
      </w:pPr>
    </w:p>
    <w:p w:rsidR="003717AC" w:rsidRDefault="003717AC" w:rsidP="003717AC">
      <w:pPr>
        <w:spacing w:after="0" w:line="360" w:lineRule="auto"/>
        <w:jc w:val="both"/>
        <w:rPr>
          <w:rFonts w:ascii="Arial" w:hAnsi="Arial" w:cs="Arial"/>
          <w:sz w:val="24"/>
          <w:szCs w:val="24"/>
        </w:rPr>
      </w:pPr>
      <w:r>
        <w:rPr>
          <w:noProof/>
          <w:lang w:eastAsia="fr-FR"/>
        </w:rPr>
        <w:lastRenderedPageBreak/>
        <w:drawing>
          <wp:inline distT="0" distB="0" distL="0" distR="0" wp14:anchorId="563D6A47" wp14:editId="0D23021C">
            <wp:extent cx="4778733" cy="2663687"/>
            <wp:effectExtent l="0" t="0" r="3175" b="3810"/>
            <wp:docPr id="46"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782034" cy="2665527"/>
                    </a:xfrm>
                    <a:prstGeom prst="rect">
                      <a:avLst/>
                    </a:prstGeom>
                    <a:noFill/>
                    <a:ln>
                      <a:noFill/>
                    </a:ln>
                    <a:effectLst/>
                    <a:extLst/>
                  </pic:spPr>
                </pic:pic>
              </a:graphicData>
            </a:graphic>
          </wp:inline>
        </w:drawing>
      </w:r>
    </w:p>
    <w:p w:rsidR="003717AC" w:rsidRDefault="003717AC" w:rsidP="003717AC">
      <w:pPr>
        <w:pStyle w:val="Lgende"/>
      </w:pPr>
    </w:p>
    <w:p w:rsidR="00777318" w:rsidRDefault="00777318" w:rsidP="00777318">
      <w:pPr>
        <w:pStyle w:val="Lgende"/>
        <w:rPr>
          <w:rFonts w:ascii="Arial" w:hAnsi="Arial" w:cs="Arial"/>
          <w:sz w:val="24"/>
          <w:szCs w:val="24"/>
        </w:rPr>
      </w:pPr>
      <w:bookmarkStart w:id="25" w:name="_Toc491848487"/>
      <w:r>
        <w:t xml:space="preserve">Figure </w:t>
      </w:r>
      <w:fldSimple w:instr=" SEQ Figure \* ARABIC ">
        <w:r>
          <w:rPr>
            <w:noProof/>
          </w:rPr>
          <w:t>9</w:t>
        </w:r>
      </w:fldSimple>
      <w:r>
        <w:t> : Répartition de la consommation totale en biens et services, DES</w:t>
      </w:r>
      <w:bookmarkEnd w:id="25"/>
    </w:p>
    <w:p w:rsidR="003717AC" w:rsidRDefault="003717AC" w:rsidP="003717AC">
      <w:pPr>
        <w:spacing w:after="0" w:line="360" w:lineRule="auto"/>
        <w:jc w:val="both"/>
        <w:rPr>
          <w:rFonts w:ascii="Arial" w:hAnsi="Arial" w:cs="Arial"/>
          <w:sz w:val="24"/>
          <w:szCs w:val="24"/>
        </w:rPr>
      </w:pPr>
      <w:r>
        <w:rPr>
          <w:rFonts w:ascii="Arial" w:hAnsi="Arial" w:cs="Arial"/>
          <w:sz w:val="24"/>
          <w:szCs w:val="24"/>
        </w:rPr>
        <w:t>Le poids des médicaments et consommables</w:t>
      </w:r>
      <w:r w:rsidR="005761D4">
        <w:rPr>
          <w:rFonts w:ascii="Arial" w:hAnsi="Arial" w:cs="Arial"/>
          <w:sz w:val="24"/>
          <w:szCs w:val="24"/>
        </w:rPr>
        <w:t xml:space="preserve"> médicaux</w:t>
      </w:r>
      <w:r>
        <w:rPr>
          <w:rFonts w:ascii="Arial" w:hAnsi="Arial" w:cs="Arial"/>
          <w:sz w:val="24"/>
          <w:szCs w:val="24"/>
        </w:rPr>
        <w:t xml:space="preserve"> dans la consommation totale au niveau district, CHR/CHU et national se présente comme suit. On observe quasiment l</w:t>
      </w:r>
      <w:r w:rsidR="005761D4">
        <w:rPr>
          <w:rFonts w:ascii="Arial" w:hAnsi="Arial" w:cs="Arial"/>
          <w:sz w:val="24"/>
          <w:szCs w:val="24"/>
        </w:rPr>
        <w:t>e</w:t>
      </w:r>
      <w:r>
        <w:rPr>
          <w:rFonts w:ascii="Arial" w:hAnsi="Arial" w:cs="Arial"/>
          <w:sz w:val="24"/>
          <w:szCs w:val="24"/>
        </w:rPr>
        <w:t xml:space="preserve"> même poids consacré à chaque niveau.</w:t>
      </w:r>
    </w:p>
    <w:p w:rsidR="003717AC" w:rsidRDefault="003717AC" w:rsidP="003717AC">
      <w:pPr>
        <w:pStyle w:val="Lgende"/>
      </w:pPr>
    </w:p>
    <w:p w:rsidR="003717AC" w:rsidRDefault="003717AC" w:rsidP="003717AC">
      <w:pPr>
        <w:spacing w:after="0" w:line="360" w:lineRule="auto"/>
        <w:jc w:val="both"/>
        <w:rPr>
          <w:rFonts w:ascii="Arial" w:hAnsi="Arial" w:cs="Arial"/>
          <w:sz w:val="24"/>
          <w:szCs w:val="24"/>
        </w:rPr>
      </w:pPr>
      <w:r>
        <w:rPr>
          <w:noProof/>
          <w:lang w:eastAsia="fr-FR"/>
        </w:rPr>
        <w:drawing>
          <wp:inline distT="0" distB="0" distL="0" distR="0" wp14:anchorId="13149742" wp14:editId="17FB8377">
            <wp:extent cx="5760720" cy="2839938"/>
            <wp:effectExtent l="0" t="0" r="0" b="0"/>
            <wp:docPr id="11266"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1266" name="Picture 2"/>
                    <pic:cNvPicPr>
                      <a:picLocks noGrp="1"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60720" cy="2839938"/>
                    </a:xfrm>
                    <a:prstGeom prst="rect">
                      <a:avLst/>
                    </a:prstGeom>
                    <a:noFill/>
                    <a:ln>
                      <a:noFill/>
                    </a:ln>
                    <a:effectLst/>
                    <a:extLst/>
                  </pic:spPr>
                </pic:pic>
              </a:graphicData>
            </a:graphic>
          </wp:inline>
        </w:drawing>
      </w:r>
    </w:p>
    <w:p w:rsidR="00EE2B30" w:rsidRDefault="00EE2B30" w:rsidP="00EE2B30">
      <w:pPr>
        <w:pStyle w:val="Lgende"/>
        <w:rPr>
          <w:rFonts w:ascii="Arial" w:hAnsi="Arial" w:cs="Arial"/>
          <w:sz w:val="24"/>
          <w:szCs w:val="24"/>
        </w:rPr>
      </w:pPr>
      <w:bookmarkStart w:id="26" w:name="_Toc491848488"/>
      <w:r>
        <w:t xml:space="preserve">Figure </w:t>
      </w:r>
      <w:fldSimple w:instr=" SEQ Figure \* ARABIC ">
        <w:r>
          <w:rPr>
            <w:noProof/>
          </w:rPr>
          <w:t>10</w:t>
        </w:r>
      </w:fldSimple>
      <w:r>
        <w:t> : poids des médicaments dans la consommation totale, DES</w:t>
      </w:r>
      <w:bookmarkEnd w:id="26"/>
    </w:p>
    <w:p w:rsidR="003717AC" w:rsidRDefault="003717AC" w:rsidP="003717AC">
      <w:pPr>
        <w:spacing w:after="0" w:line="360" w:lineRule="auto"/>
        <w:jc w:val="both"/>
        <w:rPr>
          <w:rFonts w:ascii="Arial" w:hAnsi="Arial" w:cs="Arial"/>
          <w:sz w:val="24"/>
          <w:szCs w:val="24"/>
        </w:rPr>
      </w:pPr>
    </w:p>
    <w:p w:rsidR="003717AC" w:rsidRPr="00285F74" w:rsidRDefault="003717AC" w:rsidP="003717AC">
      <w:pPr>
        <w:spacing w:after="0" w:line="360" w:lineRule="auto"/>
        <w:jc w:val="both"/>
        <w:rPr>
          <w:rFonts w:ascii="Arial" w:hAnsi="Arial" w:cs="Arial"/>
          <w:sz w:val="24"/>
          <w:szCs w:val="24"/>
        </w:rPr>
      </w:pPr>
    </w:p>
    <w:p w:rsidR="003717AC" w:rsidRDefault="003717AC" w:rsidP="003717AC">
      <w:pPr>
        <w:pStyle w:val="Titre2"/>
        <w:numPr>
          <w:ilvl w:val="0"/>
          <w:numId w:val="4"/>
        </w:numPr>
      </w:pPr>
      <w:bookmarkStart w:id="27" w:name="_Toc491848457"/>
      <w:r>
        <w:t xml:space="preserve">Contrôle de l’effectivité par l’ONG </w:t>
      </w:r>
      <w:r w:rsidRPr="002A0FE4">
        <w:t>HELP</w:t>
      </w:r>
      <w:bookmarkEnd w:id="27"/>
    </w:p>
    <w:p w:rsidR="003717AC" w:rsidRPr="00313EBA" w:rsidRDefault="003717AC" w:rsidP="003717AC">
      <w:pPr>
        <w:spacing w:after="0" w:line="360" w:lineRule="auto"/>
        <w:jc w:val="both"/>
        <w:rPr>
          <w:rFonts w:ascii="Arial" w:hAnsi="Arial" w:cs="Arial"/>
          <w:sz w:val="24"/>
          <w:szCs w:val="24"/>
        </w:rPr>
      </w:pPr>
      <w:r w:rsidRPr="00313EBA">
        <w:rPr>
          <w:rFonts w:ascii="Arial" w:hAnsi="Arial" w:cs="Arial"/>
          <w:sz w:val="24"/>
          <w:szCs w:val="24"/>
        </w:rPr>
        <w:t xml:space="preserve">La première phase de contrôle de l’ONG a duré du 15 juillet 2016 au 28 février </w:t>
      </w:r>
      <w:r>
        <w:rPr>
          <w:rFonts w:ascii="Arial" w:hAnsi="Arial" w:cs="Arial"/>
          <w:sz w:val="24"/>
          <w:szCs w:val="24"/>
        </w:rPr>
        <w:t>2017.</w:t>
      </w:r>
    </w:p>
    <w:p w:rsidR="003717AC" w:rsidRDefault="003717AC" w:rsidP="003717AC">
      <w:pPr>
        <w:spacing w:after="0" w:line="360" w:lineRule="auto"/>
        <w:jc w:val="both"/>
        <w:rPr>
          <w:rFonts w:ascii="Arial" w:hAnsi="Arial" w:cs="Arial"/>
          <w:sz w:val="24"/>
          <w:szCs w:val="24"/>
        </w:rPr>
      </w:pPr>
      <w:r>
        <w:rPr>
          <w:rFonts w:ascii="Arial" w:hAnsi="Arial" w:cs="Arial"/>
          <w:sz w:val="24"/>
          <w:szCs w:val="24"/>
        </w:rPr>
        <w:lastRenderedPageBreak/>
        <w:t>Au t</w:t>
      </w:r>
      <w:r w:rsidRPr="00313EBA">
        <w:rPr>
          <w:rFonts w:ascii="Arial" w:hAnsi="Arial" w:cs="Arial"/>
          <w:sz w:val="24"/>
          <w:szCs w:val="24"/>
        </w:rPr>
        <w:t>otal 538</w:t>
      </w:r>
      <w:r>
        <w:rPr>
          <w:rFonts w:ascii="Arial" w:hAnsi="Arial" w:cs="Arial"/>
          <w:sz w:val="24"/>
          <w:szCs w:val="24"/>
        </w:rPr>
        <w:t xml:space="preserve"> formations sanitaires ont été contrôlées dans les régions du Centre, Centre-Ouest, </w:t>
      </w:r>
      <w:r w:rsidRPr="00313EBA">
        <w:rPr>
          <w:rFonts w:ascii="Arial" w:hAnsi="Arial" w:cs="Arial"/>
          <w:sz w:val="24"/>
          <w:szCs w:val="24"/>
        </w:rPr>
        <w:t>Centre-Sud, Sahel</w:t>
      </w:r>
      <w:r>
        <w:rPr>
          <w:rFonts w:ascii="Arial" w:hAnsi="Arial" w:cs="Arial"/>
          <w:sz w:val="24"/>
          <w:szCs w:val="24"/>
        </w:rPr>
        <w:t>. Globalement</w:t>
      </w:r>
      <w:r w:rsidR="00CB1DA2">
        <w:rPr>
          <w:rFonts w:ascii="Arial" w:hAnsi="Arial" w:cs="Arial"/>
          <w:sz w:val="24"/>
          <w:szCs w:val="24"/>
        </w:rPr>
        <w:t>,</w:t>
      </w:r>
      <w:r>
        <w:rPr>
          <w:rFonts w:ascii="Arial" w:hAnsi="Arial" w:cs="Arial"/>
          <w:sz w:val="24"/>
          <w:szCs w:val="24"/>
        </w:rPr>
        <w:t xml:space="preserve"> les techniques de contrôle utilisées ont permis de détecter des failles et d’apprécier convenablement l’effectivité des mesures de gratuité des soins par région.</w:t>
      </w:r>
    </w:p>
    <w:p w:rsidR="003717AC" w:rsidRDefault="003717AC" w:rsidP="003717AC">
      <w:pPr>
        <w:spacing w:after="0" w:line="360" w:lineRule="auto"/>
        <w:jc w:val="both"/>
        <w:rPr>
          <w:rFonts w:ascii="Arial" w:hAnsi="Arial" w:cs="Arial"/>
          <w:sz w:val="24"/>
          <w:szCs w:val="24"/>
        </w:rPr>
      </w:pPr>
    </w:p>
    <w:p w:rsidR="003717AC" w:rsidRDefault="003717AC" w:rsidP="003717AC">
      <w:pPr>
        <w:spacing w:after="0" w:line="360" w:lineRule="auto"/>
        <w:jc w:val="both"/>
        <w:rPr>
          <w:rFonts w:ascii="Arial" w:hAnsi="Arial" w:cs="Arial"/>
          <w:sz w:val="24"/>
          <w:szCs w:val="24"/>
        </w:rPr>
      </w:pPr>
      <w:r w:rsidRPr="004116BA">
        <w:rPr>
          <w:rFonts w:ascii="Arial" w:hAnsi="Arial" w:cs="Arial"/>
          <w:noProof/>
          <w:sz w:val="24"/>
          <w:szCs w:val="24"/>
          <w:lang w:eastAsia="fr-FR"/>
        </w:rPr>
        <w:drawing>
          <wp:inline distT="0" distB="0" distL="0" distR="0" wp14:anchorId="26EF2075" wp14:editId="3EBCF322">
            <wp:extent cx="4802588" cy="3164619"/>
            <wp:effectExtent l="0" t="0" r="0" b="0"/>
            <wp:docPr id="52" name="Graphique 52"/>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EE2B30" w:rsidRDefault="00EE2B30" w:rsidP="00EE2B30">
      <w:pPr>
        <w:spacing w:after="0" w:line="360" w:lineRule="auto"/>
        <w:jc w:val="both"/>
        <w:rPr>
          <w:rFonts w:ascii="Arial" w:hAnsi="Arial" w:cs="Arial"/>
          <w:sz w:val="24"/>
          <w:szCs w:val="24"/>
        </w:rPr>
      </w:pPr>
      <w:bookmarkStart w:id="28" w:name="_Toc491848489"/>
      <w:r>
        <w:t xml:space="preserve">Figure </w:t>
      </w:r>
      <w:fldSimple w:instr=" SEQ Figure \* ARABIC ">
        <w:r>
          <w:rPr>
            <w:noProof/>
          </w:rPr>
          <w:t>11</w:t>
        </w:r>
      </w:fldSimple>
      <w:r>
        <w:t> : Taux d’effectivité par région, ONG HELP</w:t>
      </w:r>
      <w:bookmarkEnd w:id="28"/>
    </w:p>
    <w:p w:rsidR="003717AC" w:rsidRDefault="003717AC" w:rsidP="003717AC">
      <w:pPr>
        <w:spacing w:after="0" w:line="360" w:lineRule="auto"/>
        <w:jc w:val="both"/>
        <w:rPr>
          <w:rFonts w:ascii="Arial" w:hAnsi="Arial" w:cs="Arial"/>
          <w:sz w:val="24"/>
          <w:szCs w:val="24"/>
        </w:rPr>
      </w:pPr>
    </w:p>
    <w:p w:rsidR="00EE2B30" w:rsidRDefault="00EE2B30" w:rsidP="003717AC">
      <w:pPr>
        <w:spacing w:after="0" w:line="360" w:lineRule="auto"/>
        <w:jc w:val="both"/>
        <w:rPr>
          <w:rFonts w:ascii="Arial" w:hAnsi="Arial" w:cs="Arial"/>
          <w:sz w:val="24"/>
          <w:szCs w:val="24"/>
        </w:rPr>
      </w:pPr>
    </w:p>
    <w:p w:rsidR="003717AC" w:rsidRDefault="003717AC" w:rsidP="003717AC">
      <w:pPr>
        <w:spacing w:after="0" w:line="360" w:lineRule="auto"/>
        <w:jc w:val="both"/>
        <w:rPr>
          <w:rFonts w:ascii="Arial" w:hAnsi="Arial" w:cs="Arial"/>
          <w:sz w:val="24"/>
          <w:szCs w:val="24"/>
        </w:rPr>
      </w:pPr>
      <w:r>
        <w:rPr>
          <w:rFonts w:ascii="Arial" w:hAnsi="Arial" w:cs="Arial"/>
          <w:sz w:val="24"/>
          <w:szCs w:val="24"/>
        </w:rPr>
        <w:t>Des irrégularités de mise en œuvre demeurent même avec le bon taux d’effectivité. Il en est ainsi des rackets sur lesquels l’ONG a fait un focus. Ceux-ci ont une tendance à l’augmentation en 2017.</w:t>
      </w:r>
    </w:p>
    <w:p w:rsidR="003717AC" w:rsidRDefault="003717AC" w:rsidP="003717AC">
      <w:pPr>
        <w:spacing w:after="0" w:line="360" w:lineRule="auto"/>
        <w:jc w:val="both"/>
        <w:rPr>
          <w:rFonts w:ascii="Arial" w:hAnsi="Arial" w:cs="Arial"/>
          <w:sz w:val="24"/>
          <w:szCs w:val="24"/>
        </w:rPr>
      </w:pPr>
      <w:r w:rsidRPr="00313EBA">
        <w:rPr>
          <w:rFonts w:ascii="Arial" w:hAnsi="Arial" w:cs="Arial"/>
          <w:noProof/>
          <w:sz w:val="24"/>
          <w:szCs w:val="24"/>
          <w:lang w:eastAsia="fr-FR"/>
        </w:rPr>
        <w:drawing>
          <wp:inline distT="0" distB="0" distL="0" distR="0" wp14:anchorId="71C835E4" wp14:editId="28C8642A">
            <wp:extent cx="5762445" cy="2122098"/>
            <wp:effectExtent l="0" t="0" r="0" b="0"/>
            <wp:docPr id="49" name="Graphique 49"/>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EE2B30" w:rsidRDefault="00EE2B30" w:rsidP="00EE2B30">
      <w:pPr>
        <w:spacing w:after="0" w:line="360" w:lineRule="auto"/>
        <w:jc w:val="both"/>
        <w:rPr>
          <w:rFonts w:ascii="Arial" w:hAnsi="Arial" w:cs="Arial"/>
          <w:sz w:val="24"/>
          <w:szCs w:val="24"/>
        </w:rPr>
      </w:pPr>
      <w:bookmarkStart w:id="29" w:name="_Toc491848490"/>
      <w:r>
        <w:t xml:space="preserve">Figure </w:t>
      </w:r>
      <w:fldSimple w:instr=" SEQ Figure \* ARABIC ">
        <w:r>
          <w:rPr>
            <w:noProof/>
          </w:rPr>
          <w:t>12</w:t>
        </w:r>
      </w:fldSimple>
      <w:r>
        <w:t> : Nombre de rackets de patients par région, ONG HELP</w:t>
      </w:r>
      <w:bookmarkEnd w:id="29"/>
    </w:p>
    <w:p w:rsidR="003717AC" w:rsidRDefault="003717AC" w:rsidP="003717AC">
      <w:pPr>
        <w:spacing w:after="0" w:line="360" w:lineRule="auto"/>
        <w:jc w:val="both"/>
        <w:rPr>
          <w:rFonts w:ascii="Arial" w:hAnsi="Arial" w:cs="Arial"/>
          <w:sz w:val="24"/>
          <w:szCs w:val="24"/>
        </w:rPr>
      </w:pPr>
    </w:p>
    <w:p w:rsidR="003717AC" w:rsidRDefault="003717AC" w:rsidP="003717AC">
      <w:pPr>
        <w:spacing w:after="0" w:line="360" w:lineRule="auto"/>
        <w:jc w:val="both"/>
        <w:rPr>
          <w:rFonts w:ascii="Arial" w:hAnsi="Arial" w:cs="Arial"/>
          <w:sz w:val="24"/>
          <w:szCs w:val="24"/>
        </w:rPr>
      </w:pPr>
      <w:r w:rsidRPr="00313EBA">
        <w:rPr>
          <w:rFonts w:ascii="Arial" w:hAnsi="Arial" w:cs="Arial"/>
          <w:noProof/>
          <w:sz w:val="24"/>
          <w:szCs w:val="24"/>
          <w:lang w:eastAsia="fr-FR"/>
        </w:rPr>
        <w:lastRenderedPageBreak/>
        <w:drawing>
          <wp:inline distT="0" distB="0" distL="0" distR="0" wp14:anchorId="2AB76E29" wp14:editId="5A09D8A2">
            <wp:extent cx="5756745" cy="1669774"/>
            <wp:effectExtent l="0" t="0" r="0" b="0"/>
            <wp:docPr id="50" name="Graphique 50"/>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EE2B30" w:rsidRDefault="00EE2B30" w:rsidP="00EE2B30">
      <w:pPr>
        <w:spacing w:after="0" w:line="360" w:lineRule="auto"/>
        <w:jc w:val="both"/>
        <w:rPr>
          <w:rFonts w:ascii="Arial" w:hAnsi="Arial" w:cs="Arial"/>
          <w:sz w:val="24"/>
          <w:szCs w:val="24"/>
        </w:rPr>
      </w:pPr>
      <w:bookmarkStart w:id="30" w:name="_Toc491848491"/>
      <w:r>
        <w:t xml:space="preserve">Figure </w:t>
      </w:r>
      <w:fldSimple w:instr=" SEQ Figure \* ARABIC ">
        <w:r>
          <w:rPr>
            <w:noProof/>
          </w:rPr>
          <w:t>13</w:t>
        </w:r>
      </w:fldSimple>
      <w:r>
        <w:t> : Evolution des cas de rackets par mois, ONG HELP</w:t>
      </w:r>
      <w:bookmarkEnd w:id="30"/>
    </w:p>
    <w:p w:rsidR="003717AC" w:rsidRDefault="003717AC" w:rsidP="003717AC">
      <w:pPr>
        <w:spacing w:after="0" w:line="360" w:lineRule="auto"/>
        <w:jc w:val="both"/>
        <w:rPr>
          <w:rFonts w:ascii="Arial" w:hAnsi="Arial" w:cs="Arial"/>
          <w:sz w:val="24"/>
          <w:szCs w:val="24"/>
        </w:rPr>
      </w:pPr>
    </w:p>
    <w:p w:rsidR="003717AC" w:rsidRDefault="003717AC" w:rsidP="003717AC">
      <w:pPr>
        <w:pStyle w:val="Titre2"/>
        <w:numPr>
          <w:ilvl w:val="0"/>
          <w:numId w:val="4"/>
        </w:numPr>
      </w:pPr>
      <w:bookmarkStart w:id="31" w:name="_Toc491848458"/>
      <w:r>
        <w:t>Contrôle de l’effectivité par l’ONG</w:t>
      </w:r>
      <w:r w:rsidRPr="002A0FE4">
        <w:t xml:space="preserve"> Terre des hommes</w:t>
      </w:r>
      <w:bookmarkEnd w:id="31"/>
    </w:p>
    <w:p w:rsidR="003717AC" w:rsidRDefault="003717AC" w:rsidP="003717AC">
      <w:pPr>
        <w:spacing w:after="0" w:line="360" w:lineRule="auto"/>
        <w:jc w:val="both"/>
        <w:rPr>
          <w:rFonts w:ascii="Arial" w:hAnsi="Arial" w:cs="Arial"/>
          <w:sz w:val="24"/>
          <w:szCs w:val="24"/>
        </w:rPr>
      </w:pPr>
      <w:r w:rsidRPr="00837894">
        <w:rPr>
          <w:rFonts w:ascii="Arial" w:hAnsi="Arial" w:cs="Arial"/>
          <w:sz w:val="24"/>
          <w:szCs w:val="24"/>
        </w:rPr>
        <w:t xml:space="preserve">De juillet 2016 à février 2017, 532 formations sanitaires dans les régions de la Boucle du Mouhoun, du Plateau central et du Nord ont bénéficié </w:t>
      </w:r>
      <w:r>
        <w:rPr>
          <w:rFonts w:ascii="Arial" w:hAnsi="Arial" w:cs="Arial"/>
          <w:sz w:val="24"/>
          <w:szCs w:val="24"/>
        </w:rPr>
        <w:t>au moins une fois des</w:t>
      </w:r>
      <w:r w:rsidRPr="00837894">
        <w:rPr>
          <w:rFonts w:ascii="Arial" w:hAnsi="Arial" w:cs="Arial"/>
          <w:sz w:val="24"/>
          <w:szCs w:val="24"/>
        </w:rPr>
        <w:t xml:space="preserve"> contrôles de l’ONG Tdh.</w:t>
      </w:r>
    </w:p>
    <w:p w:rsidR="003717AC" w:rsidRDefault="003717AC" w:rsidP="003717AC">
      <w:pPr>
        <w:spacing w:after="0" w:line="360" w:lineRule="auto"/>
        <w:jc w:val="both"/>
        <w:rPr>
          <w:rFonts w:ascii="Arial" w:hAnsi="Arial" w:cs="Arial"/>
          <w:sz w:val="24"/>
          <w:szCs w:val="24"/>
        </w:rPr>
      </w:pPr>
      <w:r>
        <w:rPr>
          <w:rFonts w:ascii="Arial" w:hAnsi="Arial" w:cs="Arial"/>
          <w:sz w:val="24"/>
          <w:szCs w:val="24"/>
        </w:rPr>
        <w:t>Les taux d’effectivité dans la zone de l’ONG sont satisfaisants comme le montre le graphique d’évolution.</w:t>
      </w:r>
    </w:p>
    <w:p w:rsidR="003717AC" w:rsidRDefault="003717AC" w:rsidP="003717AC">
      <w:r w:rsidRPr="008C67F4">
        <w:rPr>
          <w:noProof/>
          <w:lang w:eastAsia="fr-FR"/>
        </w:rPr>
        <w:drawing>
          <wp:inline distT="0" distB="0" distL="0" distR="0" wp14:anchorId="46C8B277" wp14:editId="1C73637D">
            <wp:extent cx="5762445" cy="2639683"/>
            <wp:effectExtent l="19050" t="19050" r="10160" b="27940"/>
            <wp:docPr id="53" name="Graphique 53"/>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EE2B30" w:rsidRDefault="00EE2B30" w:rsidP="00EE2B30">
      <w:pPr>
        <w:spacing w:after="0" w:line="360" w:lineRule="auto"/>
        <w:jc w:val="both"/>
      </w:pPr>
    </w:p>
    <w:p w:rsidR="00EE2B30" w:rsidRPr="00837894" w:rsidRDefault="00EE2B30" w:rsidP="00EE2B30">
      <w:pPr>
        <w:spacing w:after="0" w:line="360" w:lineRule="auto"/>
        <w:jc w:val="both"/>
        <w:rPr>
          <w:rFonts w:ascii="Arial" w:hAnsi="Arial" w:cs="Arial"/>
          <w:sz w:val="24"/>
          <w:szCs w:val="24"/>
        </w:rPr>
      </w:pPr>
      <w:bookmarkStart w:id="32" w:name="_Toc491848492"/>
      <w:r>
        <w:t xml:space="preserve">Figure </w:t>
      </w:r>
      <w:fldSimple w:instr=" SEQ Figure \* ARABIC ">
        <w:r>
          <w:rPr>
            <w:noProof/>
          </w:rPr>
          <w:t>14</w:t>
        </w:r>
      </w:fldSimple>
      <w:r>
        <w:t> : Evolution du taux d’effectivité par sortie de contrôle, ONG Terre des hommes</w:t>
      </w:r>
      <w:bookmarkEnd w:id="32"/>
    </w:p>
    <w:p w:rsidR="003717AC" w:rsidRDefault="003717AC" w:rsidP="003717AC"/>
    <w:p w:rsidR="003717AC" w:rsidRPr="007B66DD" w:rsidRDefault="003717AC" w:rsidP="003717AC">
      <w:pPr>
        <w:spacing w:after="0" w:line="360" w:lineRule="auto"/>
        <w:jc w:val="both"/>
        <w:rPr>
          <w:rFonts w:ascii="Arial" w:hAnsi="Arial" w:cs="Arial"/>
          <w:sz w:val="24"/>
          <w:szCs w:val="24"/>
        </w:rPr>
      </w:pPr>
      <w:r w:rsidRPr="007B66DD">
        <w:rPr>
          <w:rFonts w:ascii="Arial" w:hAnsi="Arial" w:cs="Arial"/>
          <w:sz w:val="24"/>
          <w:szCs w:val="24"/>
        </w:rPr>
        <w:t xml:space="preserve">Les sommes déboursées par les ménages entrent </w:t>
      </w:r>
      <w:r w:rsidR="00DA0B2C" w:rsidRPr="007B66DD">
        <w:rPr>
          <w:rFonts w:ascii="Arial" w:hAnsi="Arial" w:cs="Arial"/>
          <w:sz w:val="24"/>
          <w:szCs w:val="24"/>
        </w:rPr>
        <w:t xml:space="preserve">principalement </w:t>
      </w:r>
      <w:r w:rsidRPr="007B66DD">
        <w:rPr>
          <w:rFonts w:ascii="Arial" w:hAnsi="Arial" w:cs="Arial"/>
          <w:sz w:val="24"/>
          <w:szCs w:val="24"/>
        </w:rPr>
        <w:t>dans l’acquisition des médicaments et consommables</w:t>
      </w:r>
      <w:r w:rsidR="00DA0B2C">
        <w:rPr>
          <w:rFonts w:ascii="Arial" w:hAnsi="Arial" w:cs="Arial"/>
          <w:sz w:val="24"/>
          <w:szCs w:val="24"/>
        </w:rPr>
        <w:t xml:space="preserve"> médicaux</w:t>
      </w:r>
      <w:r w:rsidRPr="007B66DD">
        <w:rPr>
          <w:rFonts w:ascii="Arial" w:hAnsi="Arial" w:cs="Arial"/>
          <w:sz w:val="24"/>
          <w:szCs w:val="24"/>
        </w:rPr>
        <w:t>.</w:t>
      </w:r>
    </w:p>
    <w:p w:rsidR="003717AC" w:rsidRDefault="003717AC" w:rsidP="003717AC">
      <w:pPr>
        <w:pStyle w:val="Titre2"/>
        <w:numPr>
          <w:ilvl w:val="0"/>
          <w:numId w:val="4"/>
        </w:numPr>
      </w:pPr>
      <w:bookmarkStart w:id="33" w:name="_Toc491848459"/>
      <w:r>
        <w:lastRenderedPageBreak/>
        <w:t xml:space="preserve">Contrôle de l’effectivité par l’ONG </w:t>
      </w:r>
      <w:r w:rsidRPr="002A0FE4">
        <w:t>ACF</w:t>
      </w:r>
      <w:bookmarkEnd w:id="33"/>
    </w:p>
    <w:p w:rsidR="003717AC" w:rsidRPr="00F63B2C" w:rsidRDefault="003717AC" w:rsidP="003717AC">
      <w:pPr>
        <w:spacing w:after="0" w:line="360" w:lineRule="auto"/>
        <w:jc w:val="both"/>
        <w:rPr>
          <w:rFonts w:ascii="Arial" w:hAnsi="Arial" w:cs="Arial"/>
          <w:sz w:val="24"/>
          <w:szCs w:val="24"/>
        </w:rPr>
      </w:pPr>
      <w:r w:rsidRPr="00F63B2C">
        <w:rPr>
          <w:rFonts w:ascii="Arial" w:hAnsi="Arial" w:cs="Arial"/>
          <w:sz w:val="24"/>
          <w:szCs w:val="24"/>
        </w:rPr>
        <w:t xml:space="preserve">Les 292 formations sanitaires des régions de l’Est et </w:t>
      </w:r>
      <w:r w:rsidR="00DA0B2C">
        <w:rPr>
          <w:rFonts w:ascii="Arial" w:hAnsi="Arial" w:cs="Arial"/>
          <w:sz w:val="24"/>
          <w:szCs w:val="24"/>
        </w:rPr>
        <w:t xml:space="preserve">du </w:t>
      </w:r>
      <w:r w:rsidRPr="00F63B2C">
        <w:rPr>
          <w:rFonts w:ascii="Arial" w:hAnsi="Arial" w:cs="Arial"/>
          <w:sz w:val="24"/>
          <w:szCs w:val="24"/>
        </w:rPr>
        <w:t>Centre-Est ont été couvertes à plus de 100% de juillet 2016 à février 2017 par les équipes de l’ONG ACF. Le taux d’effectivité dans les 2 régions est supérieur à 98%, ce qui est très satisfaisant. Des irrégularités relevées se rapportent essentiellement aux cas élevés d’achats dans les dépôts privés, les ventes de novalgin/analgin, les discordances de données rapportées, les paiements à tort.</w:t>
      </w:r>
    </w:p>
    <w:p w:rsidR="003717AC" w:rsidRDefault="003717AC" w:rsidP="003717AC">
      <w:pPr>
        <w:pStyle w:val="Titre2"/>
        <w:numPr>
          <w:ilvl w:val="0"/>
          <w:numId w:val="4"/>
        </w:numPr>
      </w:pPr>
      <w:bookmarkStart w:id="34" w:name="_Toc491848460"/>
      <w:r>
        <w:t xml:space="preserve">Contrôle de l’effectivité par l’ONG </w:t>
      </w:r>
      <w:r w:rsidRPr="002A0FE4">
        <w:t>Save the children</w:t>
      </w:r>
      <w:bookmarkEnd w:id="34"/>
    </w:p>
    <w:p w:rsidR="003717AC" w:rsidRPr="00F63B2C" w:rsidRDefault="003717AC" w:rsidP="003717AC">
      <w:pPr>
        <w:spacing w:after="0" w:line="360" w:lineRule="auto"/>
        <w:jc w:val="both"/>
        <w:rPr>
          <w:rFonts w:ascii="Arial" w:hAnsi="Arial" w:cs="Arial"/>
          <w:sz w:val="24"/>
          <w:szCs w:val="24"/>
        </w:rPr>
      </w:pPr>
      <w:r>
        <w:rPr>
          <w:rFonts w:ascii="Arial" w:hAnsi="Arial" w:cs="Arial"/>
          <w:sz w:val="24"/>
          <w:szCs w:val="24"/>
        </w:rPr>
        <w:t>D</w:t>
      </w:r>
      <w:r w:rsidRPr="00F63B2C">
        <w:rPr>
          <w:rFonts w:ascii="Arial" w:hAnsi="Arial" w:cs="Arial"/>
          <w:sz w:val="24"/>
          <w:szCs w:val="24"/>
        </w:rPr>
        <w:t xml:space="preserve">ans les </w:t>
      </w:r>
      <w:r>
        <w:rPr>
          <w:rFonts w:ascii="Arial" w:hAnsi="Arial" w:cs="Arial"/>
          <w:sz w:val="24"/>
          <w:szCs w:val="24"/>
        </w:rPr>
        <w:t>régions des Hauts-Bassins, du Sud-Ouest, des Cascades et du Centre Nord, Save the Children a contrôlé 543 formations sanitaires. Le taux d’effectivité de la gratuité dans ces régions est supérieur à 96%. Les irrégularités constatées concernent les discordances de données, l’irrationalité des prescriptions, l’augmentation des tarifs des actes.</w:t>
      </w:r>
    </w:p>
    <w:p w:rsidR="003717AC" w:rsidRPr="002A0FE4" w:rsidRDefault="003717AC" w:rsidP="003717AC">
      <w:pPr>
        <w:pStyle w:val="Titre2"/>
        <w:numPr>
          <w:ilvl w:val="0"/>
          <w:numId w:val="4"/>
        </w:numPr>
      </w:pPr>
      <w:bookmarkStart w:id="35" w:name="_Toc491848461"/>
      <w:r w:rsidRPr="002A0FE4">
        <w:t>Synthèse de la gestion des irrégularités</w:t>
      </w:r>
      <w:bookmarkEnd w:id="35"/>
    </w:p>
    <w:p w:rsidR="003717AC" w:rsidRDefault="003717AC" w:rsidP="003717AC">
      <w:pPr>
        <w:spacing w:after="0" w:line="360" w:lineRule="auto"/>
        <w:jc w:val="both"/>
        <w:rPr>
          <w:rFonts w:ascii="Arial" w:hAnsi="Arial" w:cs="Arial"/>
          <w:sz w:val="24"/>
          <w:szCs w:val="24"/>
        </w:rPr>
      </w:pPr>
      <w:r w:rsidRPr="00185E09">
        <w:rPr>
          <w:rFonts w:ascii="Arial" w:hAnsi="Arial" w:cs="Arial"/>
          <w:sz w:val="24"/>
          <w:szCs w:val="24"/>
        </w:rPr>
        <w:t xml:space="preserve">Les </w:t>
      </w:r>
      <w:r>
        <w:rPr>
          <w:rFonts w:ascii="Arial" w:hAnsi="Arial" w:cs="Arial"/>
          <w:sz w:val="24"/>
          <w:szCs w:val="24"/>
        </w:rPr>
        <w:t xml:space="preserve">différentes irrégularités de mise en œuvre des mesures de gratuité des soins sont décelées par les différents contrôles ainsi effectués ou dénoncées par courrier officiel, </w:t>
      </w:r>
      <w:r w:rsidR="00DA0B2C">
        <w:rPr>
          <w:rFonts w:ascii="Arial" w:hAnsi="Arial" w:cs="Arial"/>
          <w:sz w:val="24"/>
          <w:szCs w:val="24"/>
        </w:rPr>
        <w:t xml:space="preserve">par </w:t>
      </w:r>
      <w:r>
        <w:rPr>
          <w:rFonts w:ascii="Arial" w:hAnsi="Arial" w:cs="Arial"/>
          <w:sz w:val="24"/>
          <w:szCs w:val="24"/>
        </w:rPr>
        <w:t>la presse</w:t>
      </w:r>
      <w:r w:rsidR="00DA0B2C">
        <w:rPr>
          <w:rFonts w:ascii="Arial" w:hAnsi="Arial" w:cs="Arial"/>
          <w:sz w:val="24"/>
          <w:szCs w:val="24"/>
        </w:rPr>
        <w:t xml:space="preserve"> écrite et en ligne</w:t>
      </w:r>
      <w:r>
        <w:rPr>
          <w:rFonts w:ascii="Arial" w:hAnsi="Arial" w:cs="Arial"/>
          <w:sz w:val="24"/>
          <w:szCs w:val="24"/>
        </w:rPr>
        <w:t xml:space="preserve"> </w:t>
      </w:r>
      <w:r w:rsidR="00DA0B2C">
        <w:rPr>
          <w:rFonts w:ascii="Arial" w:hAnsi="Arial" w:cs="Arial"/>
          <w:sz w:val="24"/>
          <w:szCs w:val="24"/>
        </w:rPr>
        <w:t>ainsi que</w:t>
      </w:r>
      <w:r>
        <w:rPr>
          <w:rFonts w:ascii="Arial" w:hAnsi="Arial" w:cs="Arial"/>
          <w:sz w:val="24"/>
          <w:szCs w:val="24"/>
        </w:rPr>
        <w:t xml:space="preserve"> les réseaux sociaux font l’objet d’examen approfondi par les responsables des structures (DRS, District, CHR, CHU). La procédure disciplinaire de gestion des cas d’indélicatesse a d’abord été présentée. 6 régions sanitaires ont donné suite aux dossiers ouverts dans leurs districts. Les résultats de ces dossiers montrent 4 principaux types d’irrégularités : les rackets, les ventes parallèles et/ou illicites de médicaments, les discordances de données, les limitations et suspensions des prestations. Au titre des sanctions et des mesures dissuasives, des lettres d’explications, des avertissements, des changements de postes et de responsabilités, des lettres de rappel et de mise en garde ont été globalement utilisés par la hiérarchie à l’encontre des agents incriminés.</w:t>
      </w:r>
    </w:p>
    <w:p w:rsidR="003717AC" w:rsidRPr="00185E09" w:rsidRDefault="003717AC" w:rsidP="003717AC">
      <w:pPr>
        <w:spacing w:after="0" w:line="360" w:lineRule="auto"/>
        <w:jc w:val="both"/>
        <w:rPr>
          <w:rFonts w:ascii="Arial" w:hAnsi="Arial" w:cs="Arial"/>
          <w:sz w:val="24"/>
          <w:szCs w:val="24"/>
        </w:rPr>
      </w:pPr>
      <w:r>
        <w:rPr>
          <w:rFonts w:ascii="Arial" w:hAnsi="Arial" w:cs="Arial"/>
          <w:sz w:val="24"/>
          <w:szCs w:val="24"/>
        </w:rPr>
        <w:t>Toutefois, on note des difficultés liées à la méconnaissance des textes, à la réticence des supérieurs hiérarchiques à appliquer les textes et non fonctionnalité des conseils de discipline.</w:t>
      </w:r>
    </w:p>
    <w:p w:rsidR="003717AC" w:rsidRPr="002A0FE4" w:rsidRDefault="003717AC" w:rsidP="003717AC">
      <w:pPr>
        <w:spacing w:after="0" w:line="360" w:lineRule="auto"/>
        <w:jc w:val="both"/>
        <w:rPr>
          <w:rFonts w:ascii="Arial" w:hAnsi="Arial" w:cs="Arial"/>
          <w:sz w:val="24"/>
          <w:szCs w:val="24"/>
        </w:rPr>
      </w:pPr>
      <w:r w:rsidRPr="00C4037B">
        <w:rPr>
          <w:rFonts w:ascii="Arial" w:hAnsi="Arial" w:cs="Arial"/>
          <w:sz w:val="24"/>
          <w:szCs w:val="24"/>
        </w:rPr>
        <w:t>Après cette</w:t>
      </w:r>
      <w:r>
        <w:rPr>
          <w:rFonts w:ascii="Arial" w:hAnsi="Arial" w:cs="Arial"/>
          <w:sz w:val="24"/>
          <w:szCs w:val="24"/>
        </w:rPr>
        <w:t xml:space="preserve"> série de présentation sur les contrôles et l’utilisation de leurs résultats, les échanges ont</w:t>
      </w:r>
      <w:r w:rsidR="00DA0B2C">
        <w:rPr>
          <w:rFonts w:ascii="Arial" w:hAnsi="Arial" w:cs="Arial"/>
          <w:sz w:val="24"/>
          <w:szCs w:val="24"/>
        </w:rPr>
        <w:t xml:space="preserve"> porté</w:t>
      </w:r>
      <w:r>
        <w:rPr>
          <w:rFonts w:ascii="Arial" w:hAnsi="Arial" w:cs="Arial"/>
          <w:sz w:val="24"/>
          <w:szCs w:val="24"/>
        </w:rPr>
        <w:t xml:space="preserve">  sur la méthodologie du contrôle. Les responsables des structures ont insisté sur la nécessité de leur présenter d’abord et à temps les </w:t>
      </w:r>
      <w:r>
        <w:rPr>
          <w:rFonts w:ascii="Arial" w:hAnsi="Arial" w:cs="Arial"/>
          <w:sz w:val="24"/>
          <w:szCs w:val="24"/>
        </w:rPr>
        <w:lastRenderedPageBreak/>
        <w:t>résultats afin qu’ils puissent agir au même moment. Il est ressorti également que la population devra être sensibilisée sur les méthodes de contrôle. Les problèmes d’archivage des outils (le local, le personnel) ont été posés. L’informatisation est aussi une nécessité et devra être prise en compte par les contrôleurs si l’on veut éviter les discordances de rapportage des données. Concernant la p</w:t>
      </w:r>
      <w:r w:rsidRPr="002A0FE4">
        <w:rPr>
          <w:rFonts w:ascii="Arial" w:hAnsi="Arial" w:cs="Arial"/>
          <w:sz w:val="24"/>
          <w:szCs w:val="24"/>
        </w:rPr>
        <w:t>rise en charge gratuite des cibles par les ASBC,</w:t>
      </w:r>
      <w:r>
        <w:rPr>
          <w:rFonts w:ascii="Arial" w:hAnsi="Arial" w:cs="Arial"/>
          <w:sz w:val="24"/>
          <w:szCs w:val="24"/>
        </w:rPr>
        <w:t xml:space="preserve"> la réflexion est en cours pour voir comment intégrer leurs</w:t>
      </w:r>
      <w:r w:rsidRPr="002A0FE4">
        <w:rPr>
          <w:rFonts w:ascii="Arial" w:hAnsi="Arial" w:cs="Arial"/>
          <w:sz w:val="24"/>
          <w:szCs w:val="24"/>
        </w:rPr>
        <w:t xml:space="preserve"> do</w:t>
      </w:r>
      <w:r>
        <w:rPr>
          <w:rFonts w:ascii="Arial" w:hAnsi="Arial" w:cs="Arial"/>
          <w:sz w:val="24"/>
          <w:szCs w:val="24"/>
        </w:rPr>
        <w:t>nnées dans le rapport gratuité avant de donner toute autorisation.</w:t>
      </w:r>
    </w:p>
    <w:p w:rsidR="003717AC" w:rsidRPr="002A0FE4" w:rsidRDefault="003717AC" w:rsidP="003717AC">
      <w:pPr>
        <w:pStyle w:val="Titre1"/>
        <w:numPr>
          <w:ilvl w:val="0"/>
          <w:numId w:val="3"/>
        </w:numPr>
      </w:pPr>
      <w:bookmarkStart w:id="36" w:name="_Toc491848462"/>
      <w:r>
        <w:t>Présentations</w:t>
      </w:r>
      <w:r w:rsidR="004D73D9">
        <w:t xml:space="preserve"> et échanges</w:t>
      </w:r>
      <w:r>
        <w:t xml:space="preserve"> de clôture</w:t>
      </w:r>
      <w:bookmarkEnd w:id="36"/>
      <w:r>
        <w:t xml:space="preserve"> </w:t>
      </w:r>
    </w:p>
    <w:p w:rsidR="003717AC" w:rsidRPr="002A0FE4" w:rsidRDefault="003717AC" w:rsidP="003717AC">
      <w:pPr>
        <w:spacing w:after="0" w:line="360" w:lineRule="auto"/>
        <w:jc w:val="both"/>
        <w:rPr>
          <w:rFonts w:ascii="Arial" w:hAnsi="Arial" w:cs="Arial"/>
          <w:sz w:val="24"/>
          <w:szCs w:val="24"/>
        </w:rPr>
      </w:pPr>
      <w:r>
        <w:rPr>
          <w:rFonts w:ascii="Arial" w:hAnsi="Arial" w:cs="Arial"/>
          <w:sz w:val="24"/>
          <w:szCs w:val="24"/>
        </w:rPr>
        <w:t>L’architecture du document draft de la stratégie de gratuité des soins a été présentée à l’assistance. Le fichier a été partagé aux participants afin qu’ils puissent l’amender par la suite. Les recommandations retenues lors des discussions ont ensuite été présentées et amendées.</w:t>
      </w:r>
      <w:r w:rsidR="002F52C0">
        <w:rPr>
          <w:rFonts w:ascii="Arial" w:hAnsi="Arial" w:cs="Arial"/>
          <w:sz w:val="24"/>
          <w:szCs w:val="24"/>
        </w:rPr>
        <w:t xml:space="preserve"> Elles se résument en 8 points comme mentionnées dans le tableau </w:t>
      </w:r>
      <w:r w:rsidR="00E126E8">
        <w:rPr>
          <w:rFonts w:ascii="Arial" w:hAnsi="Arial" w:cs="Arial"/>
          <w:sz w:val="24"/>
          <w:szCs w:val="24"/>
        </w:rPr>
        <w:t>V</w:t>
      </w:r>
      <w:r w:rsidR="002F52C0">
        <w:rPr>
          <w:rFonts w:ascii="Arial" w:hAnsi="Arial" w:cs="Arial"/>
          <w:sz w:val="24"/>
          <w:szCs w:val="24"/>
        </w:rPr>
        <w:t>.</w:t>
      </w:r>
      <w:r>
        <w:rPr>
          <w:rFonts w:ascii="Arial" w:hAnsi="Arial" w:cs="Arial"/>
          <w:sz w:val="24"/>
          <w:szCs w:val="24"/>
        </w:rPr>
        <w:t xml:space="preserve"> </w:t>
      </w:r>
    </w:p>
    <w:p w:rsidR="003717AC" w:rsidRDefault="0044320C" w:rsidP="003717AC">
      <w:pPr>
        <w:spacing w:after="0"/>
        <w:rPr>
          <w:rFonts w:ascii="Arial" w:hAnsi="Arial" w:cs="Arial"/>
          <w:sz w:val="24"/>
          <w:szCs w:val="24"/>
        </w:rPr>
      </w:pPr>
      <w:bookmarkStart w:id="37" w:name="_Toc491848497"/>
      <w:r>
        <w:t xml:space="preserve">Tableau </w:t>
      </w:r>
      <w:r w:rsidR="00F559F0">
        <w:fldChar w:fldCharType="begin"/>
      </w:r>
      <w:r w:rsidR="00F559F0">
        <w:instrText xml:space="preserve"> SEQ Tableau \* ARABIC </w:instrText>
      </w:r>
      <w:r w:rsidR="00F559F0">
        <w:fldChar w:fldCharType="separate"/>
      </w:r>
      <w:r w:rsidR="005B119C">
        <w:rPr>
          <w:noProof/>
        </w:rPr>
        <w:t>5</w:t>
      </w:r>
      <w:r w:rsidR="00F559F0">
        <w:rPr>
          <w:noProof/>
        </w:rPr>
        <w:fldChar w:fldCharType="end"/>
      </w:r>
      <w:r>
        <w:rPr>
          <w:noProof/>
        </w:rPr>
        <w:t> : Etat des recommandations</w:t>
      </w:r>
      <w:bookmarkEnd w:id="37"/>
    </w:p>
    <w:tbl>
      <w:tblPr>
        <w:tblStyle w:val="Ombrageclair"/>
        <w:tblW w:w="10632" w:type="dxa"/>
        <w:jc w:val="center"/>
        <w:tblLook w:val="04A0" w:firstRow="1" w:lastRow="0" w:firstColumn="1" w:lastColumn="0" w:noHBand="0" w:noVBand="1"/>
      </w:tblPr>
      <w:tblGrid>
        <w:gridCol w:w="1135"/>
        <w:gridCol w:w="3995"/>
        <w:gridCol w:w="1372"/>
        <w:gridCol w:w="1647"/>
        <w:gridCol w:w="2483"/>
      </w:tblGrid>
      <w:tr w:rsidR="002F52C0" w:rsidTr="004D73D9">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35" w:type="dxa"/>
          </w:tcPr>
          <w:p w:rsidR="002F52C0" w:rsidRPr="00D115EB" w:rsidRDefault="002F52C0" w:rsidP="004D73D9">
            <w:pPr>
              <w:jc w:val="center"/>
              <w:rPr>
                <w:b w:val="0"/>
              </w:rPr>
            </w:pPr>
            <w:r>
              <w:t>Numéro d’ordre</w:t>
            </w:r>
          </w:p>
        </w:tc>
        <w:tc>
          <w:tcPr>
            <w:tcW w:w="3995" w:type="dxa"/>
          </w:tcPr>
          <w:p w:rsidR="002F52C0" w:rsidRDefault="002F52C0" w:rsidP="004D73D9">
            <w:pPr>
              <w:jc w:val="center"/>
              <w:cnfStyle w:val="100000000000" w:firstRow="1" w:lastRow="0" w:firstColumn="0" w:lastColumn="0" w:oddVBand="0" w:evenVBand="0" w:oddHBand="0" w:evenHBand="0" w:firstRowFirstColumn="0" w:firstRowLastColumn="0" w:lastRowFirstColumn="0" w:lastRowLastColumn="0"/>
              <w:rPr>
                <w:b w:val="0"/>
              </w:rPr>
            </w:pPr>
            <w:r w:rsidRPr="00D115EB">
              <w:t>Recommandations</w:t>
            </w:r>
          </w:p>
          <w:p w:rsidR="002F52C0" w:rsidRDefault="002F52C0" w:rsidP="004D73D9">
            <w:pPr>
              <w:jc w:val="center"/>
              <w:cnfStyle w:val="100000000000" w:firstRow="1" w:lastRow="0" w:firstColumn="0" w:lastColumn="0" w:oddVBand="0" w:evenVBand="0" w:oddHBand="0" w:evenHBand="0" w:firstRowFirstColumn="0" w:firstRowLastColumn="0" w:lastRowFirstColumn="0" w:lastRowLastColumn="0"/>
              <w:rPr>
                <w:b w:val="0"/>
              </w:rPr>
            </w:pPr>
          </w:p>
        </w:tc>
        <w:tc>
          <w:tcPr>
            <w:tcW w:w="1372" w:type="dxa"/>
          </w:tcPr>
          <w:p w:rsidR="002F52C0" w:rsidRDefault="002F52C0" w:rsidP="004D73D9">
            <w:pPr>
              <w:jc w:val="center"/>
              <w:cnfStyle w:val="100000000000" w:firstRow="1" w:lastRow="0" w:firstColumn="0" w:lastColumn="0" w:oddVBand="0" w:evenVBand="0" w:oddHBand="0" w:evenHBand="0" w:firstRowFirstColumn="0" w:firstRowLastColumn="0" w:lastRowFirstColumn="0" w:lastRowLastColumn="0"/>
              <w:rPr>
                <w:b w:val="0"/>
              </w:rPr>
            </w:pPr>
            <w:r>
              <w:t>Responsable</w:t>
            </w:r>
          </w:p>
        </w:tc>
        <w:tc>
          <w:tcPr>
            <w:tcW w:w="1647" w:type="dxa"/>
          </w:tcPr>
          <w:p w:rsidR="002F52C0" w:rsidRDefault="002F52C0" w:rsidP="004D73D9">
            <w:pPr>
              <w:jc w:val="center"/>
              <w:cnfStyle w:val="100000000000" w:firstRow="1" w:lastRow="0" w:firstColumn="0" w:lastColumn="0" w:oddVBand="0" w:evenVBand="0" w:oddHBand="0" w:evenHBand="0" w:firstRowFirstColumn="0" w:firstRowLastColumn="0" w:lastRowFirstColumn="0" w:lastRowLastColumn="0"/>
              <w:rPr>
                <w:b w:val="0"/>
              </w:rPr>
            </w:pPr>
            <w:r>
              <w:t>Echéance</w:t>
            </w:r>
          </w:p>
        </w:tc>
        <w:tc>
          <w:tcPr>
            <w:tcW w:w="2483" w:type="dxa"/>
          </w:tcPr>
          <w:p w:rsidR="002F52C0" w:rsidRDefault="002F52C0" w:rsidP="004D73D9">
            <w:pPr>
              <w:jc w:val="center"/>
              <w:cnfStyle w:val="100000000000" w:firstRow="1" w:lastRow="0" w:firstColumn="0" w:lastColumn="0" w:oddVBand="0" w:evenVBand="0" w:oddHBand="0" w:evenHBand="0" w:firstRowFirstColumn="0" w:firstRowLastColumn="0" w:lastRowFirstColumn="0" w:lastRowLastColumn="0"/>
              <w:rPr>
                <w:b w:val="0"/>
              </w:rPr>
            </w:pPr>
            <w:r>
              <w:t>Observations</w:t>
            </w:r>
          </w:p>
        </w:tc>
      </w:tr>
      <w:tr w:rsidR="002F52C0" w:rsidTr="004D73D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149" w:type="dxa"/>
            <w:gridSpan w:val="4"/>
          </w:tcPr>
          <w:p w:rsidR="002F52C0" w:rsidRDefault="002F52C0" w:rsidP="004D73D9">
            <w:pPr>
              <w:jc w:val="center"/>
              <w:rPr>
                <w:b w:val="0"/>
              </w:rPr>
            </w:pPr>
            <w:r>
              <w:t>Gestion des outils et supports de collecte</w:t>
            </w:r>
          </w:p>
        </w:tc>
        <w:tc>
          <w:tcPr>
            <w:tcW w:w="2483" w:type="dxa"/>
          </w:tcPr>
          <w:p w:rsidR="002F52C0" w:rsidRDefault="002F52C0" w:rsidP="004D73D9">
            <w:pPr>
              <w:jc w:val="center"/>
              <w:cnfStyle w:val="000000100000" w:firstRow="0" w:lastRow="0" w:firstColumn="0" w:lastColumn="0" w:oddVBand="0" w:evenVBand="0" w:oddHBand="1" w:evenHBand="0" w:firstRowFirstColumn="0" w:firstRowLastColumn="0" w:lastRowFirstColumn="0" w:lastRowLastColumn="0"/>
              <w:rPr>
                <w:b/>
              </w:rPr>
            </w:pPr>
          </w:p>
        </w:tc>
      </w:tr>
      <w:tr w:rsidR="002F52C0" w:rsidTr="004D73D9">
        <w:trPr>
          <w:jc w:val="center"/>
        </w:trPr>
        <w:tc>
          <w:tcPr>
            <w:cnfStyle w:val="001000000000" w:firstRow="0" w:lastRow="0" w:firstColumn="1" w:lastColumn="0" w:oddVBand="0" w:evenVBand="0" w:oddHBand="0" w:evenHBand="0" w:firstRowFirstColumn="0" w:firstRowLastColumn="0" w:lastRowFirstColumn="0" w:lastRowLastColumn="0"/>
            <w:tcW w:w="1135" w:type="dxa"/>
          </w:tcPr>
          <w:p w:rsidR="002F52C0" w:rsidRDefault="002F52C0" w:rsidP="002F52C0">
            <w:pPr>
              <w:pStyle w:val="Paragraphedeliste"/>
              <w:numPr>
                <w:ilvl w:val="0"/>
                <w:numId w:val="6"/>
              </w:numPr>
            </w:pPr>
          </w:p>
        </w:tc>
        <w:tc>
          <w:tcPr>
            <w:tcW w:w="3995" w:type="dxa"/>
          </w:tcPr>
          <w:p w:rsidR="002F52C0" w:rsidRPr="00237648" w:rsidRDefault="002F52C0" w:rsidP="004D73D9">
            <w:pPr>
              <w:cnfStyle w:val="000000000000" w:firstRow="0" w:lastRow="0" w:firstColumn="0" w:lastColumn="0" w:oddVBand="0" w:evenVBand="0" w:oddHBand="0" w:evenHBand="0" w:firstRowFirstColumn="0" w:firstRowLastColumn="0" w:lastRowFirstColumn="0" w:lastRowLastColumn="0"/>
            </w:pPr>
            <w:r>
              <w:t>Déconcentrer l’acquisition des outils au niveau DS et CHR/CHU. Cette déconcentration se fera par une répartition de fonds par formation sanitaire au plus tard en T4 2017</w:t>
            </w:r>
          </w:p>
        </w:tc>
        <w:tc>
          <w:tcPr>
            <w:tcW w:w="1372" w:type="dxa"/>
          </w:tcPr>
          <w:p w:rsidR="002F52C0" w:rsidRPr="004D73D9" w:rsidRDefault="002F52C0" w:rsidP="004D73D9">
            <w:pPr>
              <w:cnfStyle w:val="000000000000" w:firstRow="0" w:lastRow="0" w:firstColumn="0" w:lastColumn="0" w:oddVBand="0" w:evenVBand="0" w:oddHBand="0" w:evenHBand="0" w:firstRowFirstColumn="0" w:firstRowLastColumn="0" w:lastRowFirstColumn="0" w:lastRowLastColumn="0"/>
            </w:pPr>
            <w:r w:rsidRPr="004D73D9">
              <w:t>DES</w:t>
            </w:r>
          </w:p>
        </w:tc>
        <w:tc>
          <w:tcPr>
            <w:tcW w:w="1647" w:type="dxa"/>
          </w:tcPr>
          <w:p w:rsidR="002F52C0" w:rsidRPr="004D73D9" w:rsidRDefault="002F52C0" w:rsidP="004D73D9">
            <w:pPr>
              <w:jc w:val="center"/>
              <w:cnfStyle w:val="000000000000" w:firstRow="0" w:lastRow="0" w:firstColumn="0" w:lastColumn="0" w:oddVBand="0" w:evenVBand="0" w:oddHBand="0" w:evenHBand="0" w:firstRowFirstColumn="0" w:firstRowLastColumn="0" w:lastRowFirstColumn="0" w:lastRowLastColumn="0"/>
            </w:pPr>
            <w:r w:rsidRPr="004D73D9">
              <w:t xml:space="preserve">Janvier </w:t>
            </w:r>
          </w:p>
          <w:p w:rsidR="002F52C0" w:rsidRPr="004D73D9" w:rsidRDefault="002F52C0" w:rsidP="004D73D9">
            <w:pPr>
              <w:jc w:val="center"/>
              <w:cnfStyle w:val="000000000000" w:firstRow="0" w:lastRow="0" w:firstColumn="0" w:lastColumn="0" w:oddVBand="0" w:evenVBand="0" w:oddHBand="0" w:evenHBand="0" w:firstRowFirstColumn="0" w:firstRowLastColumn="0" w:lastRowFirstColumn="0" w:lastRowLastColumn="0"/>
            </w:pPr>
            <w:r w:rsidRPr="004D73D9">
              <w:t>2018</w:t>
            </w:r>
          </w:p>
        </w:tc>
        <w:tc>
          <w:tcPr>
            <w:tcW w:w="2483" w:type="dxa"/>
          </w:tcPr>
          <w:p w:rsidR="002F52C0" w:rsidRPr="004D73D9" w:rsidRDefault="002F52C0" w:rsidP="004D73D9">
            <w:pPr>
              <w:jc w:val="center"/>
              <w:cnfStyle w:val="000000000000" w:firstRow="0" w:lastRow="0" w:firstColumn="0" w:lastColumn="0" w:oddVBand="0" w:evenVBand="0" w:oddHBand="0" w:evenHBand="0" w:firstRowFirstColumn="0" w:firstRowLastColumn="0" w:lastRowFirstColumn="0" w:lastRowLastColumn="0"/>
            </w:pPr>
            <w:r w:rsidRPr="004D73D9">
              <w:t>En collaboration avec la DAF. Faire un état de répartition des fonds dans les comptes d’attente</w:t>
            </w:r>
          </w:p>
        </w:tc>
      </w:tr>
      <w:tr w:rsidR="002F52C0" w:rsidTr="004D73D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35" w:type="dxa"/>
          </w:tcPr>
          <w:p w:rsidR="002F52C0" w:rsidRDefault="002F52C0" w:rsidP="002F52C0">
            <w:pPr>
              <w:pStyle w:val="Paragraphedeliste"/>
              <w:numPr>
                <w:ilvl w:val="0"/>
                <w:numId w:val="6"/>
              </w:numPr>
            </w:pPr>
          </w:p>
        </w:tc>
        <w:tc>
          <w:tcPr>
            <w:tcW w:w="3995" w:type="dxa"/>
          </w:tcPr>
          <w:p w:rsidR="002F52C0" w:rsidRDefault="002F52C0" w:rsidP="004D73D9">
            <w:pPr>
              <w:cnfStyle w:val="000000100000" w:firstRow="0" w:lastRow="0" w:firstColumn="0" w:lastColumn="0" w:oddVBand="0" w:evenVBand="0" w:oddHBand="1" w:evenHBand="0" w:firstRowFirstColumn="0" w:firstRowLastColumn="0" w:lastRowFirstColumn="0" w:lastRowLastColumn="0"/>
            </w:pPr>
            <w:r>
              <w:t>Elaborer une directive à la signature du SG pour instruire les ICP, MCD, DG CHR/CHU/HD à acquérir des cantines pour l’archivage des pièces justificatives de la politique de gratuité des soins (ordonnanciers, billets de sortie, bulletins d’examen)</w:t>
            </w:r>
          </w:p>
        </w:tc>
        <w:tc>
          <w:tcPr>
            <w:tcW w:w="1372" w:type="dxa"/>
          </w:tcPr>
          <w:p w:rsidR="002F52C0" w:rsidRPr="004D73D9" w:rsidRDefault="002F52C0" w:rsidP="004D73D9">
            <w:pPr>
              <w:cnfStyle w:val="000000100000" w:firstRow="0" w:lastRow="0" w:firstColumn="0" w:lastColumn="0" w:oddVBand="0" w:evenVBand="0" w:oddHBand="1" w:evenHBand="0" w:firstRowFirstColumn="0" w:firstRowLastColumn="0" w:lastRowFirstColumn="0" w:lastRowLastColumn="0"/>
            </w:pPr>
            <w:r w:rsidRPr="004D73D9">
              <w:t>DES</w:t>
            </w:r>
          </w:p>
        </w:tc>
        <w:tc>
          <w:tcPr>
            <w:tcW w:w="1647" w:type="dxa"/>
          </w:tcPr>
          <w:p w:rsidR="002F52C0" w:rsidRPr="004D73D9" w:rsidRDefault="002F52C0" w:rsidP="004D73D9">
            <w:pPr>
              <w:jc w:val="center"/>
              <w:cnfStyle w:val="000000100000" w:firstRow="0" w:lastRow="0" w:firstColumn="0" w:lastColumn="0" w:oddVBand="0" w:evenVBand="0" w:oddHBand="1" w:evenHBand="0" w:firstRowFirstColumn="0" w:firstRowLastColumn="0" w:lastRowFirstColumn="0" w:lastRowLastColumn="0"/>
            </w:pPr>
            <w:r w:rsidRPr="004D73D9">
              <w:t>Décembre 2018</w:t>
            </w:r>
          </w:p>
        </w:tc>
        <w:tc>
          <w:tcPr>
            <w:tcW w:w="2483" w:type="dxa"/>
          </w:tcPr>
          <w:p w:rsidR="002F52C0" w:rsidRPr="004D73D9" w:rsidRDefault="002F52C0" w:rsidP="004D73D9">
            <w:pPr>
              <w:jc w:val="center"/>
              <w:cnfStyle w:val="000000100000" w:firstRow="0" w:lastRow="0" w:firstColumn="0" w:lastColumn="0" w:oddVBand="0" w:evenVBand="0" w:oddHBand="1" w:evenHBand="0" w:firstRowFirstColumn="0" w:firstRowLastColumn="0" w:lastRowFirstColumn="0" w:lastRowLastColumn="0"/>
            </w:pPr>
            <w:r w:rsidRPr="004D73D9">
              <w:t>En collaboration avec les CoGes et les conseils d’</w:t>
            </w:r>
            <w:r w:rsidR="00171A2B" w:rsidRPr="004D73D9">
              <w:t>administration</w:t>
            </w:r>
          </w:p>
        </w:tc>
      </w:tr>
      <w:tr w:rsidR="002F52C0" w:rsidTr="004D73D9">
        <w:trPr>
          <w:jc w:val="center"/>
        </w:trPr>
        <w:tc>
          <w:tcPr>
            <w:cnfStyle w:val="001000000000" w:firstRow="0" w:lastRow="0" w:firstColumn="1" w:lastColumn="0" w:oddVBand="0" w:evenVBand="0" w:oddHBand="0" w:evenHBand="0" w:firstRowFirstColumn="0" w:firstRowLastColumn="0" w:lastRowFirstColumn="0" w:lastRowLastColumn="0"/>
            <w:tcW w:w="8149" w:type="dxa"/>
            <w:gridSpan w:val="4"/>
          </w:tcPr>
          <w:p w:rsidR="002F52C0" w:rsidRDefault="002F52C0" w:rsidP="004D73D9">
            <w:pPr>
              <w:jc w:val="center"/>
              <w:rPr>
                <w:b w:val="0"/>
              </w:rPr>
            </w:pPr>
            <w:r w:rsidRPr="00237648">
              <w:t>Gestion des fonds</w:t>
            </w:r>
          </w:p>
        </w:tc>
        <w:tc>
          <w:tcPr>
            <w:tcW w:w="2483" w:type="dxa"/>
          </w:tcPr>
          <w:p w:rsidR="002F52C0" w:rsidRPr="00237648" w:rsidRDefault="002F52C0" w:rsidP="004D73D9">
            <w:pPr>
              <w:jc w:val="center"/>
              <w:cnfStyle w:val="000000000000" w:firstRow="0" w:lastRow="0" w:firstColumn="0" w:lastColumn="0" w:oddVBand="0" w:evenVBand="0" w:oddHBand="0" w:evenHBand="0" w:firstRowFirstColumn="0" w:firstRowLastColumn="0" w:lastRowFirstColumn="0" w:lastRowLastColumn="0"/>
              <w:rPr>
                <w:b/>
              </w:rPr>
            </w:pPr>
          </w:p>
        </w:tc>
      </w:tr>
      <w:tr w:rsidR="002F52C0" w:rsidTr="004D73D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35" w:type="dxa"/>
          </w:tcPr>
          <w:p w:rsidR="002F52C0" w:rsidRDefault="002F52C0" w:rsidP="002F52C0">
            <w:pPr>
              <w:pStyle w:val="Paragraphedeliste"/>
              <w:numPr>
                <w:ilvl w:val="0"/>
                <w:numId w:val="6"/>
              </w:numPr>
            </w:pPr>
          </w:p>
        </w:tc>
        <w:tc>
          <w:tcPr>
            <w:tcW w:w="3995" w:type="dxa"/>
          </w:tcPr>
          <w:p w:rsidR="002F52C0" w:rsidRDefault="002F52C0" w:rsidP="004D73D9">
            <w:pPr>
              <w:cnfStyle w:val="000000100000" w:firstRow="0" w:lastRow="0" w:firstColumn="0" w:lastColumn="0" w:oddVBand="0" w:evenVBand="0" w:oddHBand="1" w:evenHBand="0" w:firstRowFirstColumn="0" w:firstRowLastColumn="0" w:lastRowFirstColumn="0" w:lastRowLastColumn="0"/>
            </w:pPr>
            <w:r>
              <w:t>Elaborer une directive à la signature du SG pour instruire les MCD à reverser les 15% du montant de la tarification des actes médicaux dans le compte trésor public conformément aux textes en vigueur</w:t>
            </w:r>
          </w:p>
        </w:tc>
        <w:tc>
          <w:tcPr>
            <w:tcW w:w="1372" w:type="dxa"/>
          </w:tcPr>
          <w:p w:rsidR="002F52C0" w:rsidRPr="004D73D9" w:rsidRDefault="002F52C0" w:rsidP="004D73D9">
            <w:pPr>
              <w:cnfStyle w:val="000000100000" w:firstRow="0" w:lastRow="0" w:firstColumn="0" w:lastColumn="0" w:oddVBand="0" w:evenVBand="0" w:oddHBand="1" w:evenHBand="0" w:firstRowFirstColumn="0" w:firstRowLastColumn="0" w:lastRowFirstColumn="0" w:lastRowLastColumn="0"/>
            </w:pPr>
            <w:r w:rsidRPr="004D73D9">
              <w:t xml:space="preserve">DES </w:t>
            </w:r>
          </w:p>
        </w:tc>
        <w:tc>
          <w:tcPr>
            <w:tcW w:w="1647" w:type="dxa"/>
          </w:tcPr>
          <w:p w:rsidR="002F52C0" w:rsidRPr="004D73D9" w:rsidRDefault="002F52C0" w:rsidP="004D73D9">
            <w:pPr>
              <w:jc w:val="center"/>
              <w:cnfStyle w:val="000000100000" w:firstRow="0" w:lastRow="0" w:firstColumn="0" w:lastColumn="0" w:oddVBand="0" w:evenVBand="0" w:oddHBand="1" w:evenHBand="0" w:firstRowFirstColumn="0" w:firstRowLastColumn="0" w:lastRowFirstColumn="0" w:lastRowLastColumn="0"/>
            </w:pPr>
            <w:r w:rsidRPr="004D73D9">
              <w:t>Continue</w:t>
            </w:r>
          </w:p>
        </w:tc>
        <w:tc>
          <w:tcPr>
            <w:tcW w:w="2483" w:type="dxa"/>
          </w:tcPr>
          <w:p w:rsidR="002F52C0" w:rsidRPr="004D73D9" w:rsidRDefault="002F52C0" w:rsidP="004D73D9">
            <w:pPr>
              <w:jc w:val="center"/>
              <w:cnfStyle w:val="000000100000" w:firstRow="0" w:lastRow="0" w:firstColumn="0" w:lastColumn="0" w:oddVBand="0" w:evenVBand="0" w:oddHBand="1" w:evenHBand="0" w:firstRowFirstColumn="0" w:firstRowLastColumn="0" w:lastRowFirstColumn="0" w:lastRowLastColumn="0"/>
            </w:pPr>
            <w:r w:rsidRPr="004D73D9">
              <w:t>En collaboration avec la perception</w:t>
            </w:r>
          </w:p>
        </w:tc>
      </w:tr>
      <w:tr w:rsidR="002F52C0" w:rsidTr="004D73D9">
        <w:trPr>
          <w:jc w:val="center"/>
        </w:trPr>
        <w:tc>
          <w:tcPr>
            <w:cnfStyle w:val="001000000000" w:firstRow="0" w:lastRow="0" w:firstColumn="1" w:lastColumn="0" w:oddVBand="0" w:evenVBand="0" w:oddHBand="0" w:evenHBand="0" w:firstRowFirstColumn="0" w:firstRowLastColumn="0" w:lastRowFirstColumn="0" w:lastRowLastColumn="0"/>
            <w:tcW w:w="1135" w:type="dxa"/>
          </w:tcPr>
          <w:p w:rsidR="002F52C0" w:rsidRDefault="002F52C0" w:rsidP="002F52C0">
            <w:pPr>
              <w:pStyle w:val="Paragraphedeliste"/>
              <w:numPr>
                <w:ilvl w:val="0"/>
                <w:numId w:val="6"/>
              </w:numPr>
            </w:pPr>
          </w:p>
        </w:tc>
        <w:tc>
          <w:tcPr>
            <w:tcW w:w="3995" w:type="dxa"/>
          </w:tcPr>
          <w:p w:rsidR="002F52C0" w:rsidRPr="00237648" w:rsidRDefault="002F52C0" w:rsidP="004D73D9">
            <w:pPr>
              <w:cnfStyle w:val="000000000000" w:firstRow="0" w:lastRow="0" w:firstColumn="0" w:lastColumn="0" w:oddVBand="0" w:evenVBand="0" w:oddHBand="0" w:evenHBand="0" w:firstRowFirstColumn="0" w:firstRowLastColumn="0" w:lastRowFirstColumn="0" w:lastRowLastColumn="0"/>
            </w:pPr>
            <w:r>
              <w:t>Elaborer une directive à la signature du SG pour alléger et décrire le circuit financier des fonds de gratuité entre le compte dépôt DRD et les CSPS/CM</w:t>
            </w:r>
          </w:p>
        </w:tc>
        <w:tc>
          <w:tcPr>
            <w:tcW w:w="1372" w:type="dxa"/>
          </w:tcPr>
          <w:p w:rsidR="002F52C0" w:rsidRPr="004D73D9" w:rsidRDefault="002F52C0" w:rsidP="004D73D9">
            <w:pPr>
              <w:cnfStyle w:val="000000000000" w:firstRow="0" w:lastRow="0" w:firstColumn="0" w:lastColumn="0" w:oddVBand="0" w:evenVBand="0" w:oddHBand="0" w:evenHBand="0" w:firstRowFirstColumn="0" w:firstRowLastColumn="0" w:lastRowFirstColumn="0" w:lastRowLastColumn="0"/>
            </w:pPr>
            <w:r w:rsidRPr="004D73D9">
              <w:t>DES</w:t>
            </w:r>
          </w:p>
        </w:tc>
        <w:tc>
          <w:tcPr>
            <w:tcW w:w="1647" w:type="dxa"/>
          </w:tcPr>
          <w:p w:rsidR="002F52C0" w:rsidRPr="004D73D9" w:rsidRDefault="002F52C0" w:rsidP="004D73D9">
            <w:pPr>
              <w:jc w:val="center"/>
              <w:cnfStyle w:val="000000000000" w:firstRow="0" w:lastRow="0" w:firstColumn="0" w:lastColumn="0" w:oddVBand="0" w:evenVBand="0" w:oddHBand="0" w:evenHBand="0" w:firstRowFirstColumn="0" w:firstRowLastColumn="0" w:lastRowFirstColumn="0" w:lastRowLastColumn="0"/>
            </w:pPr>
            <w:r w:rsidRPr="004D73D9">
              <w:t xml:space="preserve">Janvier </w:t>
            </w:r>
          </w:p>
          <w:p w:rsidR="002F52C0" w:rsidRPr="004D73D9" w:rsidRDefault="002F52C0" w:rsidP="004D73D9">
            <w:pPr>
              <w:jc w:val="center"/>
              <w:cnfStyle w:val="000000000000" w:firstRow="0" w:lastRow="0" w:firstColumn="0" w:lastColumn="0" w:oddVBand="0" w:evenVBand="0" w:oddHBand="0" w:evenHBand="0" w:firstRowFirstColumn="0" w:firstRowLastColumn="0" w:lastRowFirstColumn="0" w:lastRowLastColumn="0"/>
            </w:pPr>
            <w:r w:rsidRPr="004D73D9">
              <w:t>2018</w:t>
            </w:r>
          </w:p>
        </w:tc>
        <w:tc>
          <w:tcPr>
            <w:tcW w:w="2483" w:type="dxa"/>
          </w:tcPr>
          <w:p w:rsidR="002F52C0" w:rsidRPr="004D73D9" w:rsidRDefault="002F52C0" w:rsidP="004D73D9">
            <w:pPr>
              <w:jc w:val="center"/>
              <w:cnfStyle w:val="000000000000" w:firstRow="0" w:lastRow="0" w:firstColumn="0" w:lastColumn="0" w:oddVBand="0" w:evenVBand="0" w:oddHBand="0" w:evenHBand="0" w:firstRowFirstColumn="0" w:firstRowLastColumn="0" w:lastRowFirstColumn="0" w:lastRowLastColumn="0"/>
            </w:pPr>
            <w:r w:rsidRPr="004D73D9">
              <w:t>En collaboration avec la DAF et la DGPML</w:t>
            </w:r>
          </w:p>
        </w:tc>
      </w:tr>
      <w:tr w:rsidR="002F52C0" w:rsidTr="004D73D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149" w:type="dxa"/>
            <w:gridSpan w:val="4"/>
          </w:tcPr>
          <w:p w:rsidR="002F52C0" w:rsidRPr="00237648" w:rsidRDefault="002F52C0" w:rsidP="004D73D9">
            <w:pPr>
              <w:jc w:val="center"/>
              <w:rPr>
                <w:b w:val="0"/>
              </w:rPr>
            </w:pPr>
            <w:r w:rsidRPr="00237648">
              <w:t>Gestion du panier de soins</w:t>
            </w:r>
          </w:p>
        </w:tc>
        <w:tc>
          <w:tcPr>
            <w:tcW w:w="2483" w:type="dxa"/>
          </w:tcPr>
          <w:p w:rsidR="002F52C0" w:rsidRPr="00237648" w:rsidRDefault="002F52C0" w:rsidP="004D73D9">
            <w:pPr>
              <w:jc w:val="center"/>
              <w:cnfStyle w:val="000000100000" w:firstRow="0" w:lastRow="0" w:firstColumn="0" w:lastColumn="0" w:oddVBand="0" w:evenVBand="0" w:oddHBand="1" w:evenHBand="0" w:firstRowFirstColumn="0" w:firstRowLastColumn="0" w:lastRowFirstColumn="0" w:lastRowLastColumn="0"/>
              <w:rPr>
                <w:b/>
              </w:rPr>
            </w:pPr>
          </w:p>
        </w:tc>
      </w:tr>
      <w:tr w:rsidR="002F52C0" w:rsidTr="004D73D9">
        <w:trPr>
          <w:jc w:val="center"/>
        </w:trPr>
        <w:tc>
          <w:tcPr>
            <w:cnfStyle w:val="001000000000" w:firstRow="0" w:lastRow="0" w:firstColumn="1" w:lastColumn="0" w:oddVBand="0" w:evenVBand="0" w:oddHBand="0" w:evenHBand="0" w:firstRowFirstColumn="0" w:firstRowLastColumn="0" w:lastRowFirstColumn="0" w:lastRowLastColumn="0"/>
            <w:tcW w:w="1135" w:type="dxa"/>
          </w:tcPr>
          <w:p w:rsidR="002F52C0" w:rsidRDefault="002F52C0" w:rsidP="002F52C0">
            <w:pPr>
              <w:pStyle w:val="Paragraphedeliste"/>
              <w:numPr>
                <w:ilvl w:val="0"/>
                <w:numId w:val="6"/>
              </w:numPr>
            </w:pPr>
          </w:p>
        </w:tc>
        <w:tc>
          <w:tcPr>
            <w:tcW w:w="3995" w:type="dxa"/>
          </w:tcPr>
          <w:p w:rsidR="002F52C0" w:rsidRDefault="002F52C0" w:rsidP="004D73D9">
            <w:pPr>
              <w:cnfStyle w:val="000000000000" w:firstRow="0" w:lastRow="0" w:firstColumn="0" w:lastColumn="0" w:oddVBand="0" w:evenVBand="0" w:oddHBand="0" w:evenHBand="0" w:firstRowFirstColumn="0" w:firstRowLastColumn="0" w:lastRowFirstColumn="0" w:lastRowLastColumn="0"/>
            </w:pPr>
            <w:r>
              <w:t xml:space="preserve">Elaborer une directive pour prendre en compte les 4 examens biologiques </w:t>
            </w:r>
            <w:r>
              <w:lastRenderedPageBreak/>
              <w:t>systématiques gratuits lors du suivi de la grossesse (GS/RH, VDRL/ TPHA, Taux de l’hémoglobine, Albumine sucre). Cette directive permettra aux femmes enceintes de réaliser gratuitement ces examens dans les CM et CMA</w:t>
            </w:r>
          </w:p>
        </w:tc>
        <w:tc>
          <w:tcPr>
            <w:tcW w:w="1372" w:type="dxa"/>
          </w:tcPr>
          <w:p w:rsidR="002F52C0" w:rsidRPr="004D73D9" w:rsidRDefault="002F52C0" w:rsidP="004D73D9">
            <w:pPr>
              <w:cnfStyle w:val="000000000000" w:firstRow="0" w:lastRow="0" w:firstColumn="0" w:lastColumn="0" w:oddVBand="0" w:evenVBand="0" w:oddHBand="0" w:evenHBand="0" w:firstRowFirstColumn="0" w:firstRowLastColumn="0" w:lastRowFirstColumn="0" w:lastRowLastColumn="0"/>
            </w:pPr>
            <w:r w:rsidRPr="004D73D9">
              <w:lastRenderedPageBreak/>
              <w:t>DES</w:t>
            </w:r>
          </w:p>
        </w:tc>
        <w:tc>
          <w:tcPr>
            <w:tcW w:w="1647" w:type="dxa"/>
          </w:tcPr>
          <w:p w:rsidR="002F52C0" w:rsidRPr="004D73D9" w:rsidRDefault="002F52C0" w:rsidP="004D73D9">
            <w:pPr>
              <w:cnfStyle w:val="000000000000" w:firstRow="0" w:lastRow="0" w:firstColumn="0" w:lastColumn="0" w:oddVBand="0" w:evenVBand="0" w:oddHBand="0" w:evenHBand="0" w:firstRowFirstColumn="0" w:firstRowLastColumn="0" w:lastRowFirstColumn="0" w:lastRowLastColumn="0"/>
            </w:pPr>
            <w:r w:rsidRPr="004D73D9">
              <w:t>Septembre 2017</w:t>
            </w:r>
          </w:p>
        </w:tc>
        <w:tc>
          <w:tcPr>
            <w:tcW w:w="2483" w:type="dxa"/>
          </w:tcPr>
          <w:p w:rsidR="002F52C0" w:rsidRPr="004D73D9" w:rsidRDefault="002F52C0" w:rsidP="004D73D9">
            <w:pPr>
              <w:cnfStyle w:val="000000000000" w:firstRow="0" w:lastRow="0" w:firstColumn="0" w:lastColumn="0" w:oddVBand="0" w:evenVBand="0" w:oddHBand="0" w:evenHBand="0" w:firstRowFirstColumn="0" w:firstRowLastColumn="0" w:lastRowFirstColumn="0" w:lastRowLastColumn="0"/>
            </w:pPr>
            <w:r w:rsidRPr="004D73D9">
              <w:t xml:space="preserve">Il s’agit uniquement des soins préventifs pendant </w:t>
            </w:r>
            <w:r w:rsidRPr="004D73D9">
              <w:lastRenderedPageBreak/>
              <w:t>la grossesse, prendre en compte les femmes enceintes détentrices de bulletins d’examens émis par les formations sanitaires privées</w:t>
            </w:r>
          </w:p>
        </w:tc>
      </w:tr>
      <w:tr w:rsidR="002F52C0" w:rsidTr="004D73D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35" w:type="dxa"/>
          </w:tcPr>
          <w:p w:rsidR="002F52C0" w:rsidRDefault="002F52C0" w:rsidP="002F52C0">
            <w:pPr>
              <w:pStyle w:val="Paragraphedeliste"/>
              <w:numPr>
                <w:ilvl w:val="0"/>
                <w:numId w:val="6"/>
              </w:numPr>
            </w:pPr>
          </w:p>
        </w:tc>
        <w:tc>
          <w:tcPr>
            <w:tcW w:w="3995" w:type="dxa"/>
          </w:tcPr>
          <w:p w:rsidR="002F52C0" w:rsidRDefault="002F52C0">
            <w:pPr>
              <w:cnfStyle w:val="000000100000" w:firstRow="0" w:lastRow="0" w:firstColumn="0" w:lastColumn="0" w:oddVBand="0" w:evenVBand="0" w:oddHBand="1" w:evenHBand="0" w:firstRowFirstColumn="0" w:firstRowLastColumn="0" w:lastRowFirstColumn="0" w:lastRowLastColumn="0"/>
            </w:pPr>
            <w:r>
              <w:t xml:space="preserve">Prendre les dispositions nécessaires (conventions) pour inclure certaines formations sanitaires dans la mise en œuvre des mesures de gratuité : CHU Blaise COMPAORE, CMA Paul </w:t>
            </w:r>
            <w:r w:rsidR="00171A2B">
              <w:t>VI</w:t>
            </w:r>
            <w:r>
              <w:t>, Hôpital Saint Camille, SHIPHRA</w:t>
            </w:r>
          </w:p>
        </w:tc>
        <w:tc>
          <w:tcPr>
            <w:tcW w:w="1372" w:type="dxa"/>
          </w:tcPr>
          <w:p w:rsidR="002F52C0" w:rsidRPr="004D73D9" w:rsidRDefault="002F52C0" w:rsidP="004D73D9">
            <w:pPr>
              <w:cnfStyle w:val="000000100000" w:firstRow="0" w:lastRow="0" w:firstColumn="0" w:lastColumn="0" w:oddVBand="0" w:evenVBand="0" w:oddHBand="1" w:evenHBand="0" w:firstRowFirstColumn="0" w:firstRowLastColumn="0" w:lastRowFirstColumn="0" w:lastRowLastColumn="0"/>
            </w:pPr>
            <w:r w:rsidRPr="004D73D9">
              <w:t>DES</w:t>
            </w:r>
          </w:p>
        </w:tc>
        <w:tc>
          <w:tcPr>
            <w:tcW w:w="1647" w:type="dxa"/>
          </w:tcPr>
          <w:p w:rsidR="002F52C0" w:rsidRPr="004D73D9" w:rsidRDefault="002F52C0" w:rsidP="004D73D9">
            <w:pPr>
              <w:cnfStyle w:val="000000100000" w:firstRow="0" w:lastRow="0" w:firstColumn="0" w:lastColumn="0" w:oddVBand="0" w:evenVBand="0" w:oddHBand="1" w:evenHBand="0" w:firstRowFirstColumn="0" w:firstRowLastColumn="0" w:lastRowFirstColumn="0" w:lastRowLastColumn="0"/>
            </w:pPr>
            <w:r w:rsidRPr="004D73D9">
              <w:t>Octobre 2017</w:t>
            </w:r>
          </w:p>
          <w:p w:rsidR="002F52C0" w:rsidRPr="004D73D9" w:rsidRDefault="002F52C0" w:rsidP="004D73D9">
            <w:pPr>
              <w:cnfStyle w:val="000000100000" w:firstRow="0" w:lastRow="0" w:firstColumn="0" w:lastColumn="0" w:oddVBand="0" w:evenVBand="0" w:oddHBand="1" w:evenHBand="0" w:firstRowFirstColumn="0" w:firstRowLastColumn="0" w:lastRowFirstColumn="0" w:lastRowLastColumn="0"/>
            </w:pPr>
          </w:p>
        </w:tc>
        <w:tc>
          <w:tcPr>
            <w:tcW w:w="2483" w:type="dxa"/>
          </w:tcPr>
          <w:p w:rsidR="002F52C0" w:rsidRPr="004D73D9" w:rsidRDefault="002F52C0" w:rsidP="002F52C0">
            <w:pPr>
              <w:cnfStyle w:val="000000100000" w:firstRow="0" w:lastRow="0" w:firstColumn="0" w:lastColumn="0" w:oddVBand="0" w:evenVBand="0" w:oddHBand="1" w:evenHBand="0" w:firstRowFirstColumn="0" w:firstRowLastColumn="0" w:lastRowFirstColumn="0" w:lastRowLastColumn="0"/>
            </w:pPr>
            <w:r w:rsidRPr="004D73D9">
              <w:t xml:space="preserve">En collaboration avec la DAF </w:t>
            </w:r>
          </w:p>
        </w:tc>
      </w:tr>
      <w:tr w:rsidR="002F52C0" w:rsidTr="004D73D9">
        <w:trPr>
          <w:jc w:val="center"/>
        </w:trPr>
        <w:tc>
          <w:tcPr>
            <w:cnfStyle w:val="001000000000" w:firstRow="0" w:lastRow="0" w:firstColumn="1" w:lastColumn="0" w:oddVBand="0" w:evenVBand="0" w:oddHBand="0" w:evenHBand="0" w:firstRowFirstColumn="0" w:firstRowLastColumn="0" w:lastRowFirstColumn="0" w:lastRowLastColumn="0"/>
            <w:tcW w:w="8149" w:type="dxa"/>
            <w:gridSpan w:val="4"/>
          </w:tcPr>
          <w:p w:rsidR="002F52C0" w:rsidRDefault="002F52C0" w:rsidP="004D73D9">
            <w:pPr>
              <w:jc w:val="center"/>
              <w:rPr>
                <w:b w:val="0"/>
              </w:rPr>
            </w:pPr>
            <w:r>
              <w:t>Système d’information</w:t>
            </w:r>
          </w:p>
        </w:tc>
        <w:tc>
          <w:tcPr>
            <w:tcW w:w="2483" w:type="dxa"/>
          </w:tcPr>
          <w:p w:rsidR="002F52C0" w:rsidRDefault="002F52C0" w:rsidP="004D73D9">
            <w:pPr>
              <w:jc w:val="center"/>
              <w:cnfStyle w:val="000000000000" w:firstRow="0" w:lastRow="0" w:firstColumn="0" w:lastColumn="0" w:oddVBand="0" w:evenVBand="0" w:oddHBand="0" w:evenHBand="0" w:firstRowFirstColumn="0" w:firstRowLastColumn="0" w:lastRowFirstColumn="0" w:lastRowLastColumn="0"/>
              <w:rPr>
                <w:b/>
              </w:rPr>
            </w:pPr>
          </w:p>
        </w:tc>
      </w:tr>
      <w:tr w:rsidR="002F52C0" w:rsidTr="004D73D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35" w:type="dxa"/>
          </w:tcPr>
          <w:p w:rsidR="002F52C0" w:rsidRDefault="002F52C0" w:rsidP="002F52C0">
            <w:pPr>
              <w:pStyle w:val="Paragraphedeliste"/>
              <w:numPr>
                <w:ilvl w:val="0"/>
                <w:numId w:val="6"/>
              </w:numPr>
            </w:pPr>
          </w:p>
        </w:tc>
        <w:tc>
          <w:tcPr>
            <w:tcW w:w="3995" w:type="dxa"/>
          </w:tcPr>
          <w:p w:rsidR="002F52C0" w:rsidRDefault="002F52C0" w:rsidP="004D73D9">
            <w:pPr>
              <w:cnfStyle w:val="000000100000" w:firstRow="0" w:lastRow="0" w:firstColumn="0" w:lastColumn="0" w:oddVBand="0" w:evenVBand="0" w:oddHBand="1" w:evenHBand="0" w:firstRowFirstColumn="0" w:firstRowLastColumn="0" w:lastRowFirstColumn="0" w:lastRowLastColumn="0"/>
            </w:pPr>
            <w:r>
              <w:t xml:space="preserve">Former les responsables à savoir les DRS, MCD, DG CHR/CHU et certains directeurs centraux sur l’utilisation de la plateforme e-Gratuite des soins </w:t>
            </w:r>
          </w:p>
        </w:tc>
        <w:tc>
          <w:tcPr>
            <w:tcW w:w="1372" w:type="dxa"/>
          </w:tcPr>
          <w:p w:rsidR="002F52C0" w:rsidRDefault="002F52C0" w:rsidP="004D73D9">
            <w:pPr>
              <w:cnfStyle w:val="000000100000" w:firstRow="0" w:lastRow="0" w:firstColumn="0" w:lastColumn="0" w:oddVBand="0" w:evenVBand="0" w:oddHBand="1" w:evenHBand="0" w:firstRowFirstColumn="0" w:firstRowLastColumn="0" w:lastRowFirstColumn="0" w:lastRowLastColumn="0"/>
              <w:rPr>
                <w:b/>
              </w:rPr>
            </w:pPr>
            <w:r>
              <w:rPr>
                <w:b/>
              </w:rPr>
              <w:t>DES</w:t>
            </w:r>
          </w:p>
        </w:tc>
        <w:tc>
          <w:tcPr>
            <w:tcW w:w="1647" w:type="dxa"/>
          </w:tcPr>
          <w:p w:rsidR="002F52C0" w:rsidRPr="004D73D9" w:rsidRDefault="002F52C0" w:rsidP="004D73D9">
            <w:pPr>
              <w:cnfStyle w:val="000000100000" w:firstRow="0" w:lastRow="0" w:firstColumn="0" w:lastColumn="0" w:oddVBand="0" w:evenVBand="0" w:oddHBand="1" w:evenHBand="0" w:firstRowFirstColumn="0" w:firstRowLastColumn="0" w:lastRowFirstColumn="0" w:lastRowLastColumn="0"/>
            </w:pPr>
            <w:r w:rsidRPr="004D73D9">
              <w:t>Mars 2018</w:t>
            </w:r>
          </w:p>
        </w:tc>
        <w:tc>
          <w:tcPr>
            <w:tcW w:w="2483" w:type="dxa"/>
          </w:tcPr>
          <w:p w:rsidR="002F52C0" w:rsidRPr="004D73D9" w:rsidRDefault="002F52C0" w:rsidP="004D73D9">
            <w:pPr>
              <w:cnfStyle w:val="000000100000" w:firstRow="0" w:lastRow="0" w:firstColumn="0" w:lastColumn="0" w:oddVBand="0" w:evenVBand="0" w:oddHBand="1" w:evenHBand="0" w:firstRowFirstColumn="0" w:firstRowLastColumn="0" w:lastRowFirstColumn="0" w:lastRowLastColumn="0"/>
            </w:pPr>
            <w:r w:rsidRPr="004D73D9">
              <w:t>En collaboration avec la DSITS</w:t>
            </w:r>
          </w:p>
        </w:tc>
      </w:tr>
      <w:tr w:rsidR="002F52C0" w:rsidTr="004D73D9">
        <w:trPr>
          <w:jc w:val="center"/>
        </w:trPr>
        <w:tc>
          <w:tcPr>
            <w:cnfStyle w:val="001000000000" w:firstRow="0" w:lastRow="0" w:firstColumn="1" w:lastColumn="0" w:oddVBand="0" w:evenVBand="0" w:oddHBand="0" w:evenHBand="0" w:firstRowFirstColumn="0" w:firstRowLastColumn="0" w:lastRowFirstColumn="0" w:lastRowLastColumn="0"/>
            <w:tcW w:w="1135" w:type="dxa"/>
          </w:tcPr>
          <w:p w:rsidR="002F52C0" w:rsidRDefault="002F52C0" w:rsidP="002F52C0">
            <w:pPr>
              <w:pStyle w:val="Paragraphedeliste"/>
              <w:numPr>
                <w:ilvl w:val="0"/>
                <w:numId w:val="6"/>
              </w:numPr>
            </w:pPr>
          </w:p>
        </w:tc>
        <w:tc>
          <w:tcPr>
            <w:tcW w:w="3995" w:type="dxa"/>
          </w:tcPr>
          <w:p w:rsidR="002F52C0" w:rsidRDefault="002F52C0" w:rsidP="004D73D9">
            <w:pPr>
              <w:cnfStyle w:val="000000000000" w:firstRow="0" w:lastRow="0" w:firstColumn="0" w:lastColumn="0" w:oddVBand="0" w:evenVBand="0" w:oddHBand="0" w:evenHBand="0" w:firstRowFirstColumn="0" w:firstRowLastColumn="0" w:lastRowFirstColumn="0" w:lastRowLastColumn="0"/>
            </w:pPr>
            <w:r>
              <w:t>Informatiser la gestion des DMEG des CMA, CHR/CHU</w:t>
            </w:r>
          </w:p>
        </w:tc>
        <w:tc>
          <w:tcPr>
            <w:tcW w:w="1372" w:type="dxa"/>
          </w:tcPr>
          <w:p w:rsidR="002F52C0" w:rsidRDefault="002F52C0" w:rsidP="004D73D9">
            <w:pPr>
              <w:cnfStyle w:val="000000000000" w:firstRow="0" w:lastRow="0" w:firstColumn="0" w:lastColumn="0" w:oddVBand="0" w:evenVBand="0" w:oddHBand="0" w:evenHBand="0" w:firstRowFirstColumn="0" w:firstRowLastColumn="0" w:lastRowFirstColumn="0" w:lastRowLastColumn="0"/>
              <w:rPr>
                <w:b/>
              </w:rPr>
            </w:pPr>
            <w:r>
              <w:rPr>
                <w:b/>
              </w:rPr>
              <w:t>MCD, DG CHR/CHU</w:t>
            </w:r>
          </w:p>
        </w:tc>
        <w:tc>
          <w:tcPr>
            <w:tcW w:w="1647" w:type="dxa"/>
          </w:tcPr>
          <w:p w:rsidR="002F52C0" w:rsidRPr="004D73D9" w:rsidRDefault="002F52C0" w:rsidP="004D73D9">
            <w:pPr>
              <w:cnfStyle w:val="000000000000" w:firstRow="0" w:lastRow="0" w:firstColumn="0" w:lastColumn="0" w:oddVBand="0" w:evenVBand="0" w:oddHBand="0" w:evenHBand="0" w:firstRowFirstColumn="0" w:firstRowLastColumn="0" w:lastRowFirstColumn="0" w:lastRowLastColumn="0"/>
            </w:pPr>
            <w:r w:rsidRPr="004D73D9">
              <w:t xml:space="preserve">   Décembre 2017</w:t>
            </w:r>
          </w:p>
        </w:tc>
        <w:tc>
          <w:tcPr>
            <w:tcW w:w="2483" w:type="dxa"/>
          </w:tcPr>
          <w:p w:rsidR="002F52C0" w:rsidRPr="004D73D9" w:rsidRDefault="002F52C0" w:rsidP="004D73D9">
            <w:pPr>
              <w:cnfStyle w:val="000000000000" w:firstRow="0" w:lastRow="0" w:firstColumn="0" w:lastColumn="0" w:oddVBand="0" w:evenVBand="0" w:oddHBand="0" w:evenHBand="0" w:firstRowFirstColumn="0" w:firstRowLastColumn="0" w:lastRowFirstColumn="0" w:lastRowLastColumn="0"/>
            </w:pPr>
            <w:r w:rsidRPr="004D73D9">
              <w:t>En collaboration  avec la DAF, la DES, la DITS et la DGPML</w:t>
            </w:r>
          </w:p>
        </w:tc>
      </w:tr>
    </w:tbl>
    <w:p w:rsidR="003717AC" w:rsidRDefault="003717AC" w:rsidP="00F10553">
      <w:pPr>
        <w:spacing w:after="0" w:line="360" w:lineRule="auto"/>
        <w:jc w:val="both"/>
        <w:rPr>
          <w:rFonts w:ascii="Arial" w:hAnsi="Arial" w:cs="Arial"/>
          <w:sz w:val="24"/>
          <w:szCs w:val="24"/>
        </w:rPr>
      </w:pPr>
    </w:p>
    <w:p w:rsidR="008C725A" w:rsidRDefault="004D73D9" w:rsidP="008C725A">
      <w:pPr>
        <w:spacing w:after="0" w:line="360" w:lineRule="auto"/>
        <w:jc w:val="both"/>
        <w:rPr>
          <w:rFonts w:ascii="Arial" w:hAnsi="Arial" w:cs="Arial"/>
          <w:sz w:val="24"/>
          <w:szCs w:val="24"/>
        </w:rPr>
      </w:pPr>
      <w:r w:rsidRPr="00F10553">
        <w:rPr>
          <w:rFonts w:ascii="Arial" w:hAnsi="Arial" w:cs="Arial"/>
          <w:sz w:val="24"/>
          <w:szCs w:val="24"/>
        </w:rPr>
        <w:t>En points de divers, le</w:t>
      </w:r>
      <w:r w:rsidR="00A5333B">
        <w:rPr>
          <w:rFonts w:ascii="Arial" w:hAnsi="Arial" w:cs="Arial"/>
          <w:sz w:val="24"/>
          <w:szCs w:val="24"/>
        </w:rPr>
        <w:t xml:space="preserve"> S</w:t>
      </w:r>
      <w:r w:rsidR="00F10553" w:rsidRPr="00F10553">
        <w:rPr>
          <w:rFonts w:ascii="Arial" w:hAnsi="Arial" w:cs="Arial"/>
          <w:sz w:val="24"/>
          <w:szCs w:val="24"/>
        </w:rPr>
        <w:t>ecrétaire général</w:t>
      </w:r>
      <w:r w:rsidRPr="00F10553">
        <w:rPr>
          <w:rFonts w:ascii="Arial" w:hAnsi="Arial" w:cs="Arial"/>
          <w:sz w:val="24"/>
          <w:szCs w:val="24"/>
        </w:rPr>
        <w:t xml:space="preserve"> a passé la parole aux participants pour les</w:t>
      </w:r>
      <w:r w:rsidR="00F10553" w:rsidRPr="00F10553">
        <w:rPr>
          <w:rFonts w:ascii="Arial" w:hAnsi="Arial" w:cs="Arial"/>
          <w:sz w:val="24"/>
          <w:szCs w:val="24"/>
        </w:rPr>
        <w:t xml:space="preserve"> évoquer. Des éclaircissements ont été donnés ainsi au</w:t>
      </w:r>
      <w:r w:rsidRPr="00F10553">
        <w:rPr>
          <w:rFonts w:ascii="Arial" w:hAnsi="Arial" w:cs="Arial"/>
          <w:sz w:val="24"/>
          <w:szCs w:val="24"/>
        </w:rPr>
        <w:t xml:space="preserve"> </w:t>
      </w:r>
      <w:r w:rsidR="00F10553" w:rsidRPr="00F10553">
        <w:rPr>
          <w:rFonts w:ascii="Arial" w:hAnsi="Arial" w:cs="Arial"/>
          <w:sz w:val="24"/>
          <w:szCs w:val="24"/>
        </w:rPr>
        <w:t>p</w:t>
      </w:r>
      <w:r w:rsidR="003717AC" w:rsidRPr="00F10553">
        <w:rPr>
          <w:rFonts w:ascii="Arial" w:hAnsi="Arial" w:cs="Arial"/>
          <w:sz w:val="24"/>
          <w:szCs w:val="24"/>
        </w:rPr>
        <w:t>aiement des dettes SONU</w:t>
      </w:r>
      <w:r w:rsidR="00F10553" w:rsidRPr="00F10553">
        <w:rPr>
          <w:rFonts w:ascii="Arial" w:hAnsi="Arial" w:cs="Arial"/>
          <w:sz w:val="24"/>
          <w:szCs w:val="24"/>
        </w:rPr>
        <w:t xml:space="preserve"> dont la situation fera l’objet de plaidoyer auprès du gouvernement pour le remboursement. La Directrice de la promotion de la santé interpellée a donné des éclaircissements sur le </w:t>
      </w:r>
      <w:r w:rsidR="00F10553">
        <w:rPr>
          <w:rFonts w:ascii="Arial" w:hAnsi="Arial" w:cs="Arial"/>
          <w:sz w:val="24"/>
          <w:szCs w:val="24"/>
        </w:rPr>
        <w:t>retard dans le paiement de certains</w:t>
      </w:r>
      <w:r w:rsidR="00F10553" w:rsidRPr="00F10553">
        <w:rPr>
          <w:rFonts w:ascii="Arial" w:hAnsi="Arial" w:cs="Arial"/>
          <w:sz w:val="24"/>
          <w:szCs w:val="24"/>
        </w:rPr>
        <w:t xml:space="preserve"> ASBC</w:t>
      </w:r>
      <w:r w:rsidR="00F10553">
        <w:rPr>
          <w:rFonts w:ascii="Arial" w:hAnsi="Arial" w:cs="Arial"/>
          <w:sz w:val="24"/>
          <w:szCs w:val="24"/>
        </w:rPr>
        <w:t>. Elle a  par ailleurs ajouté que les é</w:t>
      </w:r>
      <w:r w:rsidR="00F10553" w:rsidRPr="00F10553">
        <w:rPr>
          <w:rFonts w:ascii="Arial" w:hAnsi="Arial" w:cs="Arial"/>
          <w:sz w:val="24"/>
          <w:szCs w:val="24"/>
        </w:rPr>
        <w:t xml:space="preserve">quipements des ASBC </w:t>
      </w:r>
      <w:r w:rsidR="00F10553">
        <w:rPr>
          <w:rFonts w:ascii="Arial" w:hAnsi="Arial" w:cs="Arial"/>
          <w:sz w:val="24"/>
          <w:szCs w:val="24"/>
        </w:rPr>
        <w:t xml:space="preserve">ont été </w:t>
      </w:r>
      <w:r w:rsidR="00F10553" w:rsidRPr="00F10553">
        <w:rPr>
          <w:rFonts w:ascii="Arial" w:hAnsi="Arial" w:cs="Arial"/>
          <w:sz w:val="24"/>
          <w:szCs w:val="24"/>
        </w:rPr>
        <w:t>ré</w:t>
      </w:r>
      <w:r w:rsidR="00F10553">
        <w:rPr>
          <w:rFonts w:ascii="Arial" w:hAnsi="Arial" w:cs="Arial"/>
          <w:sz w:val="24"/>
          <w:szCs w:val="24"/>
        </w:rPr>
        <w:t xml:space="preserve">ceptionnés avec l’appui des partenaires et que les districts les recevront très prochainement avec les états de répartition. </w:t>
      </w:r>
      <w:r w:rsidR="008C725A">
        <w:rPr>
          <w:rFonts w:ascii="Arial" w:hAnsi="Arial" w:cs="Arial"/>
          <w:sz w:val="24"/>
          <w:szCs w:val="24"/>
        </w:rPr>
        <w:t>Enfin, elle a donné des précisions sur les modalités de paiement des prises en charge lors des campagnes</w:t>
      </w:r>
      <w:r w:rsidR="00F10553" w:rsidRPr="00F10553">
        <w:rPr>
          <w:rFonts w:ascii="Arial" w:hAnsi="Arial" w:cs="Arial"/>
          <w:sz w:val="24"/>
          <w:szCs w:val="24"/>
        </w:rPr>
        <w:t xml:space="preserve"> CPS</w:t>
      </w:r>
      <w:r w:rsidR="008C725A">
        <w:rPr>
          <w:rFonts w:ascii="Arial" w:hAnsi="Arial" w:cs="Arial"/>
          <w:sz w:val="24"/>
          <w:szCs w:val="24"/>
        </w:rPr>
        <w:t xml:space="preserve"> dont la prochaine devait débuter justement le lendemain 27 juillet 2017 à Dédougou. </w:t>
      </w:r>
    </w:p>
    <w:p w:rsidR="003717AC" w:rsidRPr="00F10553" w:rsidRDefault="008C725A" w:rsidP="008C725A">
      <w:pPr>
        <w:spacing w:after="0" w:line="360" w:lineRule="auto"/>
        <w:jc w:val="both"/>
        <w:rPr>
          <w:rFonts w:ascii="Arial" w:hAnsi="Arial" w:cs="Arial"/>
          <w:sz w:val="24"/>
          <w:szCs w:val="24"/>
        </w:rPr>
      </w:pPr>
      <w:r>
        <w:rPr>
          <w:rFonts w:ascii="Arial" w:hAnsi="Arial" w:cs="Arial"/>
          <w:sz w:val="24"/>
          <w:szCs w:val="24"/>
        </w:rPr>
        <w:t xml:space="preserve">Certains districts éprouvent des difficultés avec le personnel pour des raisons de </w:t>
      </w:r>
      <w:r w:rsidRPr="00F10553">
        <w:rPr>
          <w:rFonts w:ascii="Arial" w:hAnsi="Arial" w:cs="Arial"/>
          <w:sz w:val="24"/>
          <w:szCs w:val="24"/>
        </w:rPr>
        <w:t>retenues à la source des indemnités de logement après le passage de l’ASCE</w:t>
      </w:r>
      <w:r>
        <w:rPr>
          <w:rFonts w:ascii="Arial" w:hAnsi="Arial" w:cs="Arial"/>
          <w:sz w:val="24"/>
          <w:szCs w:val="24"/>
        </w:rPr>
        <w:t xml:space="preserve">. Le </w:t>
      </w:r>
      <w:r w:rsidR="00A5333B">
        <w:rPr>
          <w:rFonts w:ascii="Arial" w:hAnsi="Arial" w:cs="Arial"/>
          <w:sz w:val="24"/>
          <w:szCs w:val="24"/>
        </w:rPr>
        <w:t>S</w:t>
      </w:r>
      <w:r w:rsidRPr="00F10553">
        <w:rPr>
          <w:rFonts w:ascii="Arial" w:hAnsi="Arial" w:cs="Arial"/>
          <w:sz w:val="24"/>
          <w:szCs w:val="24"/>
        </w:rPr>
        <w:t xml:space="preserve">ecrétaire général </w:t>
      </w:r>
      <w:r>
        <w:rPr>
          <w:rFonts w:ascii="Arial" w:hAnsi="Arial" w:cs="Arial"/>
          <w:sz w:val="24"/>
          <w:szCs w:val="24"/>
        </w:rPr>
        <w:t>a noté que des solutions seront trouvées.</w:t>
      </w:r>
    </w:p>
    <w:p w:rsidR="003717AC" w:rsidRDefault="003717AC" w:rsidP="003717AC">
      <w:pPr>
        <w:pStyle w:val="Titre1"/>
      </w:pPr>
      <w:bookmarkStart w:id="38" w:name="_Toc491848463"/>
      <w:r>
        <w:t>Conclusion</w:t>
      </w:r>
      <w:bookmarkEnd w:id="38"/>
      <w:r>
        <w:t xml:space="preserve">  </w:t>
      </w:r>
    </w:p>
    <w:p w:rsidR="003717AC" w:rsidRDefault="00A5333B" w:rsidP="003717AC">
      <w:pPr>
        <w:spacing w:after="0" w:line="360" w:lineRule="auto"/>
        <w:jc w:val="both"/>
        <w:rPr>
          <w:rFonts w:ascii="Arial" w:hAnsi="Arial" w:cs="Arial"/>
          <w:sz w:val="24"/>
          <w:szCs w:val="24"/>
        </w:rPr>
      </w:pPr>
      <w:r>
        <w:rPr>
          <w:rFonts w:ascii="Arial" w:hAnsi="Arial" w:cs="Arial"/>
          <w:sz w:val="24"/>
          <w:szCs w:val="24"/>
        </w:rPr>
        <w:t xml:space="preserve">Dans son mot de clôture aux environs de 16H, le Secrétaire général </w:t>
      </w:r>
      <w:r w:rsidR="0060109C">
        <w:rPr>
          <w:rFonts w:ascii="Arial" w:hAnsi="Arial" w:cs="Arial"/>
          <w:sz w:val="24"/>
          <w:szCs w:val="24"/>
        </w:rPr>
        <w:t>a vivement remercié tous les participants pour la qualité des échanges qui ont eu lieu durant les deux jours de travaux. La</w:t>
      </w:r>
      <w:r w:rsidR="003717AC">
        <w:rPr>
          <w:rFonts w:ascii="Arial" w:hAnsi="Arial" w:cs="Arial"/>
          <w:sz w:val="24"/>
          <w:szCs w:val="24"/>
        </w:rPr>
        <w:t xml:space="preserve"> forte mobilisation de tous les acteurs invités a permis de tenir avec succès </w:t>
      </w:r>
      <w:r w:rsidR="0060109C">
        <w:rPr>
          <w:rFonts w:ascii="Arial" w:hAnsi="Arial" w:cs="Arial"/>
          <w:sz w:val="24"/>
          <w:szCs w:val="24"/>
        </w:rPr>
        <w:t>la troisième rencontre bilan</w:t>
      </w:r>
      <w:r w:rsidR="003717AC">
        <w:rPr>
          <w:rFonts w:ascii="Arial" w:hAnsi="Arial" w:cs="Arial"/>
          <w:sz w:val="24"/>
          <w:szCs w:val="24"/>
        </w:rPr>
        <w:t xml:space="preserve">. La participation renouvelée de la présidence du Faso, de la primature, de l’assemblée nationale, des partenaires </w:t>
      </w:r>
      <w:r w:rsidR="003717AC">
        <w:rPr>
          <w:rFonts w:ascii="Arial" w:hAnsi="Arial" w:cs="Arial"/>
          <w:sz w:val="24"/>
          <w:szCs w:val="24"/>
        </w:rPr>
        <w:lastRenderedPageBreak/>
        <w:t>techniques et financiers témoigne de l’importance accordée au sommet de l’Etat à la mise en œuvre de la politique de gratuité des soins au profit de la femme et de l’enfant.</w:t>
      </w:r>
      <w:r w:rsidR="0044320C">
        <w:rPr>
          <w:rFonts w:ascii="Arial" w:hAnsi="Arial" w:cs="Arial"/>
          <w:sz w:val="24"/>
          <w:szCs w:val="24"/>
        </w:rPr>
        <w:t xml:space="preserve"> Après avoir félicité le Directeur des établissements de santé et toute son équipe pour l’organisation réussie, il a déclaré close la troisième rencontre bilan national de mise en œuvre des mesures de gratuité des soins au Burkina Faso.</w:t>
      </w:r>
    </w:p>
    <w:p w:rsidR="000E509D" w:rsidRDefault="000E509D" w:rsidP="003717AC">
      <w:pPr>
        <w:spacing w:after="0" w:line="360" w:lineRule="auto"/>
        <w:jc w:val="both"/>
        <w:rPr>
          <w:rFonts w:ascii="Arial" w:hAnsi="Arial" w:cs="Arial"/>
          <w:sz w:val="24"/>
          <w:szCs w:val="24"/>
        </w:rPr>
      </w:pPr>
    </w:p>
    <w:p w:rsidR="00660DD7" w:rsidRDefault="00660DD7">
      <w:pPr>
        <w:rPr>
          <w:rFonts w:ascii="Arial" w:hAnsi="Arial" w:cs="Arial"/>
          <w:sz w:val="24"/>
          <w:szCs w:val="24"/>
        </w:rPr>
      </w:pPr>
      <w:r>
        <w:rPr>
          <w:rFonts w:ascii="Arial" w:hAnsi="Arial" w:cs="Arial"/>
          <w:sz w:val="24"/>
          <w:szCs w:val="24"/>
        </w:rPr>
        <w:br w:type="page"/>
      </w:r>
    </w:p>
    <w:p w:rsidR="000E509D" w:rsidRDefault="00660DD7" w:rsidP="00660DD7">
      <w:pPr>
        <w:pStyle w:val="Titre1"/>
      </w:pPr>
      <w:bookmarkStart w:id="39" w:name="_Toc491848464"/>
      <w:r>
        <w:lastRenderedPageBreak/>
        <w:t>Annexes</w:t>
      </w:r>
      <w:bookmarkEnd w:id="39"/>
      <w:r>
        <w:t> </w:t>
      </w:r>
    </w:p>
    <w:p w:rsidR="00660DD7" w:rsidRDefault="00660DD7" w:rsidP="000E509D">
      <w:pPr>
        <w:spacing w:after="0" w:line="360" w:lineRule="auto"/>
        <w:jc w:val="both"/>
        <w:rPr>
          <w:rFonts w:ascii="Arial" w:hAnsi="Arial" w:cs="Arial"/>
          <w:sz w:val="24"/>
          <w:szCs w:val="24"/>
        </w:rPr>
      </w:pPr>
    </w:p>
    <w:p w:rsidR="000E509D" w:rsidRPr="000E509D" w:rsidRDefault="00660DD7" w:rsidP="00660DD7">
      <w:pPr>
        <w:spacing w:after="0" w:line="360" w:lineRule="auto"/>
        <w:rPr>
          <w:rFonts w:ascii="Arial" w:hAnsi="Arial" w:cs="Arial"/>
          <w:sz w:val="24"/>
          <w:szCs w:val="24"/>
        </w:rPr>
      </w:pPr>
      <w:r w:rsidRPr="00660DD7">
        <w:rPr>
          <w:rFonts w:ascii="Arial" w:hAnsi="Arial" w:cs="Arial"/>
          <w:b/>
          <w:sz w:val="24"/>
          <w:szCs w:val="24"/>
        </w:rPr>
        <w:t>Annexe 1</w:t>
      </w:r>
      <w:r>
        <w:rPr>
          <w:rFonts w:ascii="Arial" w:hAnsi="Arial" w:cs="Arial"/>
          <w:sz w:val="24"/>
          <w:szCs w:val="24"/>
        </w:rPr>
        <w:t> : Présentation sur l’é</w:t>
      </w:r>
      <w:r w:rsidR="000E509D" w:rsidRPr="000E509D">
        <w:rPr>
          <w:rFonts w:ascii="Arial" w:hAnsi="Arial" w:cs="Arial"/>
          <w:sz w:val="24"/>
          <w:szCs w:val="24"/>
        </w:rPr>
        <w:t>tat de mise en œuvre des recommandations issues de l’atelier bilan des 10 et 11 novembre 2016</w:t>
      </w:r>
      <w:r w:rsidR="000E509D" w:rsidRPr="000E509D">
        <w:rPr>
          <w:rFonts w:ascii="Arial" w:hAnsi="Arial" w:cs="Arial"/>
          <w:webHidden/>
          <w:sz w:val="24"/>
          <w:szCs w:val="24"/>
        </w:rPr>
        <w:tab/>
      </w:r>
    </w:p>
    <w:p w:rsidR="000E509D" w:rsidRPr="000E509D" w:rsidRDefault="00660DD7" w:rsidP="00660DD7">
      <w:pPr>
        <w:spacing w:after="0" w:line="360" w:lineRule="auto"/>
        <w:rPr>
          <w:rFonts w:ascii="Arial" w:hAnsi="Arial" w:cs="Arial"/>
          <w:webHidden/>
          <w:sz w:val="24"/>
          <w:szCs w:val="24"/>
        </w:rPr>
      </w:pPr>
      <w:r w:rsidRPr="00660DD7">
        <w:rPr>
          <w:rFonts w:ascii="Arial" w:hAnsi="Arial" w:cs="Arial"/>
          <w:b/>
          <w:sz w:val="24"/>
          <w:szCs w:val="24"/>
        </w:rPr>
        <w:t>Annexe 2</w:t>
      </w:r>
      <w:r>
        <w:rPr>
          <w:rFonts w:ascii="Arial" w:hAnsi="Arial" w:cs="Arial"/>
          <w:sz w:val="24"/>
          <w:szCs w:val="24"/>
        </w:rPr>
        <w:t> : Présentation sur le r</w:t>
      </w:r>
      <w:r w:rsidR="000E509D" w:rsidRPr="000E509D">
        <w:rPr>
          <w:rFonts w:ascii="Arial" w:hAnsi="Arial" w:cs="Arial"/>
          <w:sz w:val="24"/>
          <w:szCs w:val="24"/>
        </w:rPr>
        <w:t>appel sur la stratégie</w:t>
      </w:r>
    </w:p>
    <w:p w:rsidR="000E509D" w:rsidRDefault="00660DD7" w:rsidP="00660DD7">
      <w:pPr>
        <w:spacing w:after="0" w:line="360" w:lineRule="auto"/>
        <w:rPr>
          <w:rFonts w:ascii="Arial" w:hAnsi="Arial" w:cs="Arial"/>
          <w:sz w:val="24"/>
          <w:szCs w:val="24"/>
        </w:rPr>
      </w:pPr>
      <w:r w:rsidRPr="00660DD7">
        <w:rPr>
          <w:rFonts w:ascii="Arial" w:hAnsi="Arial" w:cs="Arial"/>
          <w:b/>
          <w:sz w:val="24"/>
          <w:szCs w:val="24"/>
        </w:rPr>
        <w:t>Annexe 3</w:t>
      </w:r>
      <w:r>
        <w:rPr>
          <w:rFonts w:ascii="Arial" w:hAnsi="Arial" w:cs="Arial"/>
          <w:sz w:val="24"/>
          <w:szCs w:val="24"/>
        </w:rPr>
        <w:t> : Présentation sur l’é</w:t>
      </w:r>
      <w:r w:rsidR="000E509D" w:rsidRPr="000E509D">
        <w:rPr>
          <w:rFonts w:ascii="Arial" w:hAnsi="Arial" w:cs="Arial"/>
          <w:sz w:val="24"/>
          <w:szCs w:val="24"/>
        </w:rPr>
        <w:t>valuation de l’effectivité de la gratuité des accouchements et des soins obstétricaux et néonatals d’urgence : IRSS</w:t>
      </w:r>
    </w:p>
    <w:p w:rsidR="000E509D" w:rsidRDefault="00660DD7" w:rsidP="00660DD7">
      <w:pPr>
        <w:spacing w:after="0" w:line="360" w:lineRule="auto"/>
        <w:rPr>
          <w:rFonts w:ascii="Arial" w:hAnsi="Arial" w:cs="Arial"/>
          <w:sz w:val="24"/>
          <w:szCs w:val="24"/>
        </w:rPr>
      </w:pPr>
      <w:r w:rsidRPr="00660DD7">
        <w:rPr>
          <w:rFonts w:ascii="Arial" w:hAnsi="Arial" w:cs="Arial"/>
          <w:b/>
          <w:sz w:val="24"/>
          <w:szCs w:val="24"/>
        </w:rPr>
        <w:t>Annexe 4</w:t>
      </w:r>
      <w:r>
        <w:rPr>
          <w:rFonts w:ascii="Arial" w:hAnsi="Arial" w:cs="Arial"/>
          <w:sz w:val="24"/>
          <w:szCs w:val="24"/>
        </w:rPr>
        <w:t xml:space="preserve"> : Présentation sur la </w:t>
      </w:r>
      <w:r w:rsidR="000E509D" w:rsidRPr="000E509D">
        <w:rPr>
          <w:rFonts w:ascii="Arial" w:hAnsi="Arial" w:cs="Arial"/>
          <w:sz w:val="24"/>
          <w:szCs w:val="24"/>
        </w:rPr>
        <w:t>Disponibilité des médicaments traceurs CAMEG</w:t>
      </w:r>
    </w:p>
    <w:p w:rsidR="000E509D" w:rsidRDefault="00660DD7" w:rsidP="00660DD7">
      <w:pPr>
        <w:spacing w:after="0" w:line="360" w:lineRule="auto"/>
        <w:rPr>
          <w:rFonts w:ascii="Arial" w:hAnsi="Arial" w:cs="Arial"/>
          <w:sz w:val="24"/>
          <w:szCs w:val="24"/>
        </w:rPr>
      </w:pPr>
      <w:r w:rsidRPr="00660DD7">
        <w:rPr>
          <w:rFonts w:ascii="Arial" w:hAnsi="Arial" w:cs="Arial"/>
          <w:b/>
          <w:sz w:val="24"/>
          <w:szCs w:val="24"/>
        </w:rPr>
        <w:t>Annexe 5</w:t>
      </w:r>
      <w:r>
        <w:rPr>
          <w:rFonts w:ascii="Arial" w:hAnsi="Arial" w:cs="Arial"/>
          <w:sz w:val="24"/>
          <w:szCs w:val="24"/>
        </w:rPr>
        <w:t xml:space="preserve"> : Présentation sur le </w:t>
      </w:r>
      <w:r w:rsidR="000E509D" w:rsidRPr="000E509D">
        <w:rPr>
          <w:rFonts w:ascii="Arial" w:hAnsi="Arial" w:cs="Arial"/>
          <w:sz w:val="24"/>
          <w:szCs w:val="24"/>
        </w:rPr>
        <w:t>Projet pilote pharmacie hospitalière au CHR GAOUA</w:t>
      </w:r>
    </w:p>
    <w:p w:rsidR="000E509D" w:rsidRDefault="00660DD7" w:rsidP="00660DD7">
      <w:pPr>
        <w:spacing w:after="0" w:line="360" w:lineRule="auto"/>
        <w:rPr>
          <w:rFonts w:ascii="Arial" w:hAnsi="Arial" w:cs="Arial"/>
          <w:sz w:val="24"/>
          <w:szCs w:val="24"/>
        </w:rPr>
      </w:pPr>
      <w:r w:rsidRPr="00660DD7">
        <w:rPr>
          <w:rFonts w:ascii="Arial" w:hAnsi="Arial" w:cs="Arial"/>
          <w:b/>
          <w:sz w:val="24"/>
          <w:szCs w:val="24"/>
        </w:rPr>
        <w:t>Annexe 6</w:t>
      </w:r>
      <w:r>
        <w:rPr>
          <w:rFonts w:ascii="Arial" w:hAnsi="Arial" w:cs="Arial"/>
          <w:sz w:val="24"/>
          <w:szCs w:val="24"/>
        </w:rPr>
        <w:t xml:space="preserve"> : Présentation sur la </w:t>
      </w:r>
      <w:r w:rsidR="000E509D" w:rsidRPr="000E509D">
        <w:rPr>
          <w:rFonts w:ascii="Arial" w:hAnsi="Arial" w:cs="Arial"/>
          <w:sz w:val="24"/>
          <w:szCs w:val="24"/>
        </w:rPr>
        <w:t>Plateforme e-gratuite</w:t>
      </w:r>
    </w:p>
    <w:p w:rsidR="000E509D" w:rsidRDefault="00660DD7" w:rsidP="00660DD7">
      <w:pPr>
        <w:spacing w:after="0" w:line="360" w:lineRule="auto"/>
        <w:rPr>
          <w:rFonts w:ascii="Arial" w:hAnsi="Arial" w:cs="Arial"/>
          <w:sz w:val="24"/>
          <w:szCs w:val="24"/>
        </w:rPr>
      </w:pPr>
      <w:r w:rsidRPr="00660DD7">
        <w:rPr>
          <w:rFonts w:ascii="Arial" w:hAnsi="Arial" w:cs="Arial"/>
          <w:b/>
          <w:sz w:val="24"/>
          <w:szCs w:val="24"/>
        </w:rPr>
        <w:t>Annexe 7</w:t>
      </w:r>
      <w:r>
        <w:rPr>
          <w:rFonts w:ascii="Arial" w:hAnsi="Arial" w:cs="Arial"/>
          <w:sz w:val="24"/>
          <w:szCs w:val="24"/>
        </w:rPr>
        <w:t> : Présentation sur l’</w:t>
      </w:r>
      <w:r w:rsidR="000E509D" w:rsidRPr="000E509D">
        <w:rPr>
          <w:rFonts w:ascii="Arial" w:hAnsi="Arial" w:cs="Arial"/>
          <w:sz w:val="24"/>
          <w:szCs w:val="24"/>
        </w:rPr>
        <w:t>Analyse des données</w:t>
      </w:r>
      <w:r w:rsidR="000E509D" w:rsidRPr="000E509D">
        <w:rPr>
          <w:rFonts w:ascii="Arial" w:hAnsi="Arial" w:cs="Arial"/>
          <w:webHidden/>
          <w:sz w:val="24"/>
          <w:szCs w:val="24"/>
        </w:rPr>
        <w:tab/>
      </w:r>
    </w:p>
    <w:p w:rsidR="000E509D" w:rsidRDefault="00660DD7" w:rsidP="00660DD7">
      <w:pPr>
        <w:spacing w:after="0" w:line="360" w:lineRule="auto"/>
        <w:rPr>
          <w:rFonts w:ascii="Arial" w:hAnsi="Arial" w:cs="Arial"/>
          <w:sz w:val="24"/>
          <w:szCs w:val="24"/>
        </w:rPr>
      </w:pPr>
      <w:r w:rsidRPr="00660DD7">
        <w:rPr>
          <w:rFonts w:ascii="Arial" w:hAnsi="Arial" w:cs="Arial"/>
          <w:b/>
          <w:sz w:val="24"/>
          <w:szCs w:val="24"/>
        </w:rPr>
        <w:t>Annexe 8</w:t>
      </w:r>
      <w:r>
        <w:rPr>
          <w:rFonts w:ascii="Arial" w:hAnsi="Arial" w:cs="Arial"/>
          <w:sz w:val="24"/>
          <w:szCs w:val="24"/>
        </w:rPr>
        <w:t xml:space="preserve"> : Présentation sur le </w:t>
      </w:r>
      <w:r w:rsidR="000E509D" w:rsidRPr="000E509D">
        <w:rPr>
          <w:rFonts w:ascii="Arial" w:hAnsi="Arial" w:cs="Arial"/>
          <w:sz w:val="24"/>
          <w:szCs w:val="24"/>
        </w:rPr>
        <w:t>Contrôle de l’effectivité par l’ONG HELP</w:t>
      </w:r>
    </w:p>
    <w:p w:rsidR="000E509D" w:rsidRPr="000E509D" w:rsidRDefault="00660DD7" w:rsidP="00660DD7">
      <w:pPr>
        <w:spacing w:after="0" w:line="360" w:lineRule="auto"/>
        <w:rPr>
          <w:rFonts w:ascii="Arial" w:hAnsi="Arial" w:cs="Arial"/>
          <w:sz w:val="24"/>
          <w:szCs w:val="24"/>
        </w:rPr>
      </w:pPr>
      <w:r w:rsidRPr="00660DD7">
        <w:rPr>
          <w:rFonts w:ascii="Arial" w:hAnsi="Arial" w:cs="Arial"/>
          <w:b/>
          <w:sz w:val="24"/>
          <w:szCs w:val="24"/>
        </w:rPr>
        <w:t>Annexe 9</w:t>
      </w:r>
      <w:r>
        <w:rPr>
          <w:rFonts w:ascii="Arial" w:hAnsi="Arial" w:cs="Arial"/>
          <w:sz w:val="24"/>
          <w:szCs w:val="24"/>
        </w:rPr>
        <w:t xml:space="preserve"> : Présentation sur le </w:t>
      </w:r>
      <w:r w:rsidR="000E509D" w:rsidRPr="000E509D">
        <w:rPr>
          <w:rFonts w:ascii="Arial" w:hAnsi="Arial" w:cs="Arial"/>
          <w:sz w:val="24"/>
          <w:szCs w:val="24"/>
        </w:rPr>
        <w:t>Contrôle de l’effectivité par l’ONG Terre des hommes</w:t>
      </w:r>
    </w:p>
    <w:p w:rsidR="000E509D" w:rsidRDefault="00660DD7" w:rsidP="00660DD7">
      <w:pPr>
        <w:spacing w:after="0" w:line="360" w:lineRule="auto"/>
        <w:rPr>
          <w:rFonts w:ascii="Arial" w:hAnsi="Arial" w:cs="Arial"/>
          <w:sz w:val="24"/>
          <w:szCs w:val="24"/>
        </w:rPr>
      </w:pPr>
      <w:r w:rsidRPr="00660DD7">
        <w:rPr>
          <w:rFonts w:ascii="Arial" w:hAnsi="Arial" w:cs="Arial"/>
          <w:b/>
          <w:sz w:val="24"/>
          <w:szCs w:val="24"/>
        </w:rPr>
        <w:t>Annexe 10</w:t>
      </w:r>
      <w:r>
        <w:rPr>
          <w:rFonts w:ascii="Arial" w:hAnsi="Arial" w:cs="Arial"/>
          <w:sz w:val="24"/>
          <w:szCs w:val="24"/>
        </w:rPr>
        <w:t xml:space="preserve"> : Présentation sur le </w:t>
      </w:r>
      <w:r w:rsidR="000E509D" w:rsidRPr="000E509D">
        <w:rPr>
          <w:rFonts w:ascii="Arial" w:hAnsi="Arial" w:cs="Arial"/>
          <w:sz w:val="24"/>
          <w:szCs w:val="24"/>
        </w:rPr>
        <w:t>Contrôle de l’effectivité par l’ONG ACF</w:t>
      </w:r>
      <w:r w:rsidR="000E509D">
        <w:rPr>
          <w:rFonts w:ascii="Arial" w:hAnsi="Arial" w:cs="Arial"/>
          <w:sz w:val="24"/>
          <w:szCs w:val="24"/>
        </w:rPr>
        <w:t xml:space="preserve">      </w:t>
      </w:r>
    </w:p>
    <w:p w:rsidR="00660DD7" w:rsidRDefault="00660DD7" w:rsidP="00660DD7">
      <w:pPr>
        <w:spacing w:after="0" w:line="360" w:lineRule="auto"/>
        <w:rPr>
          <w:rFonts w:ascii="Arial" w:hAnsi="Arial" w:cs="Arial"/>
          <w:sz w:val="24"/>
          <w:szCs w:val="24"/>
        </w:rPr>
      </w:pPr>
      <w:r w:rsidRPr="00660DD7">
        <w:rPr>
          <w:rFonts w:ascii="Arial" w:hAnsi="Arial" w:cs="Arial"/>
          <w:b/>
          <w:sz w:val="24"/>
          <w:szCs w:val="24"/>
        </w:rPr>
        <w:t>Annexe 11</w:t>
      </w:r>
      <w:r>
        <w:rPr>
          <w:rFonts w:ascii="Arial" w:hAnsi="Arial" w:cs="Arial"/>
          <w:sz w:val="24"/>
          <w:szCs w:val="24"/>
        </w:rPr>
        <w:t xml:space="preserve"> : Présentation sur le </w:t>
      </w:r>
      <w:r w:rsidR="000E509D" w:rsidRPr="000E509D">
        <w:rPr>
          <w:rFonts w:ascii="Arial" w:hAnsi="Arial" w:cs="Arial"/>
          <w:sz w:val="24"/>
          <w:szCs w:val="24"/>
        </w:rPr>
        <w:t>Contrôle de l’effectivité par l’ONG Save the children</w:t>
      </w:r>
    </w:p>
    <w:p w:rsidR="00660DD7" w:rsidRDefault="00660DD7" w:rsidP="00660DD7">
      <w:pPr>
        <w:spacing w:after="0" w:line="360" w:lineRule="auto"/>
        <w:rPr>
          <w:rFonts w:ascii="Arial" w:hAnsi="Arial" w:cs="Arial"/>
          <w:webHidden/>
          <w:sz w:val="24"/>
          <w:szCs w:val="24"/>
        </w:rPr>
      </w:pPr>
      <w:r w:rsidRPr="00660DD7">
        <w:rPr>
          <w:rFonts w:ascii="Arial" w:hAnsi="Arial" w:cs="Arial"/>
          <w:b/>
          <w:sz w:val="24"/>
          <w:szCs w:val="24"/>
        </w:rPr>
        <w:t>Annexe 12</w:t>
      </w:r>
      <w:r>
        <w:rPr>
          <w:rFonts w:ascii="Arial" w:hAnsi="Arial" w:cs="Arial"/>
          <w:sz w:val="24"/>
          <w:szCs w:val="24"/>
        </w:rPr>
        <w:t> : Présentation sur le contrôle de la gestion financière par la DES</w:t>
      </w:r>
    </w:p>
    <w:p w:rsidR="000E509D" w:rsidRPr="000E509D" w:rsidRDefault="00660DD7" w:rsidP="00660DD7">
      <w:pPr>
        <w:spacing w:after="0" w:line="360" w:lineRule="auto"/>
        <w:rPr>
          <w:rFonts w:ascii="Arial" w:hAnsi="Arial" w:cs="Arial"/>
          <w:sz w:val="24"/>
          <w:szCs w:val="24"/>
        </w:rPr>
      </w:pPr>
      <w:r w:rsidRPr="00660DD7">
        <w:rPr>
          <w:rFonts w:ascii="Arial" w:hAnsi="Arial" w:cs="Arial"/>
          <w:b/>
          <w:sz w:val="24"/>
          <w:szCs w:val="24"/>
        </w:rPr>
        <w:t>Annexe 1</w:t>
      </w:r>
      <w:r>
        <w:rPr>
          <w:rFonts w:ascii="Arial" w:hAnsi="Arial" w:cs="Arial"/>
          <w:b/>
          <w:sz w:val="24"/>
          <w:szCs w:val="24"/>
        </w:rPr>
        <w:t>3</w:t>
      </w:r>
      <w:r>
        <w:rPr>
          <w:rFonts w:ascii="Arial" w:hAnsi="Arial" w:cs="Arial"/>
          <w:sz w:val="24"/>
          <w:szCs w:val="24"/>
        </w:rPr>
        <w:t xml:space="preserve"> : Présentation sur la </w:t>
      </w:r>
      <w:r w:rsidR="000E509D" w:rsidRPr="000E509D">
        <w:rPr>
          <w:rFonts w:ascii="Arial" w:hAnsi="Arial" w:cs="Arial"/>
          <w:sz w:val="24"/>
          <w:szCs w:val="24"/>
        </w:rPr>
        <w:t>Synthèse de la gestion des irrégularités</w:t>
      </w:r>
      <w:r w:rsidR="000E509D" w:rsidRPr="000E509D">
        <w:rPr>
          <w:rFonts w:ascii="Arial" w:hAnsi="Arial" w:cs="Arial"/>
          <w:webHidden/>
          <w:sz w:val="24"/>
          <w:szCs w:val="24"/>
        </w:rPr>
        <w:tab/>
      </w:r>
    </w:p>
    <w:p w:rsidR="00660DD7" w:rsidRDefault="00660DD7" w:rsidP="00660DD7">
      <w:pPr>
        <w:spacing w:after="0" w:line="360" w:lineRule="auto"/>
        <w:rPr>
          <w:rFonts w:ascii="Arial" w:hAnsi="Arial" w:cs="Arial"/>
          <w:sz w:val="24"/>
          <w:szCs w:val="24"/>
        </w:rPr>
      </w:pPr>
      <w:r w:rsidRPr="00660DD7">
        <w:rPr>
          <w:rFonts w:ascii="Arial" w:hAnsi="Arial" w:cs="Arial"/>
          <w:b/>
          <w:sz w:val="24"/>
          <w:szCs w:val="24"/>
        </w:rPr>
        <w:t>Annexe 1</w:t>
      </w:r>
      <w:r>
        <w:rPr>
          <w:rFonts w:ascii="Arial" w:hAnsi="Arial" w:cs="Arial"/>
          <w:b/>
          <w:sz w:val="24"/>
          <w:szCs w:val="24"/>
        </w:rPr>
        <w:t>4</w:t>
      </w:r>
      <w:r>
        <w:rPr>
          <w:rFonts w:ascii="Arial" w:hAnsi="Arial" w:cs="Arial"/>
          <w:sz w:val="24"/>
          <w:szCs w:val="24"/>
        </w:rPr>
        <w:t> : Document de Stratégie de mise en œuvre des mesures de gratuité des soins</w:t>
      </w:r>
    </w:p>
    <w:p w:rsidR="00660DD7" w:rsidRDefault="00660DD7" w:rsidP="00660DD7">
      <w:pPr>
        <w:spacing w:after="0" w:line="360" w:lineRule="auto"/>
        <w:rPr>
          <w:rFonts w:ascii="Arial" w:hAnsi="Arial" w:cs="Arial"/>
          <w:sz w:val="24"/>
          <w:szCs w:val="24"/>
        </w:rPr>
      </w:pPr>
      <w:r w:rsidRPr="00660DD7">
        <w:rPr>
          <w:rFonts w:ascii="Arial" w:hAnsi="Arial" w:cs="Arial"/>
          <w:b/>
          <w:sz w:val="24"/>
          <w:szCs w:val="24"/>
        </w:rPr>
        <w:t>Annexe 1</w:t>
      </w:r>
      <w:r>
        <w:rPr>
          <w:rFonts w:ascii="Arial" w:hAnsi="Arial" w:cs="Arial"/>
          <w:b/>
          <w:sz w:val="24"/>
          <w:szCs w:val="24"/>
        </w:rPr>
        <w:t>5</w:t>
      </w:r>
      <w:r>
        <w:rPr>
          <w:rFonts w:ascii="Arial" w:hAnsi="Arial" w:cs="Arial"/>
          <w:sz w:val="24"/>
          <w:szCs w:val="24"/>
        </w:rPr>
        <w:t> : Liste des participants</w:t>
      </w:r>
    </w:p>
    <w:p w:rsidR="006C2A90" w:rsidRDefault="006C2A90" w:rsidP="000E509D">
      <w:pPr>
        <w:spacing w:after="0" w:line="360" w:lineRule="auto"/>
        <w:jc w:val="both"/>
      </w:pPr>
    </w:p>
    <w:sectPr w:rsidR="006C2A90" w:rsidSect="003717AC">
      <w:footerReference w:type="default" r:id="rId23"/>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59F0" w:rsidRDefault="00F559F0" w:rsidP="00666B4E">
      <w:pPr>
        <w:spacing w:after="0" w:line="240" w:lineRule="auto"/>
      </w:pPr>
      <w:r>
        <w:separator/>
      </w:r>
    </w:p>
  </w:endnote>
  <w:endnote w:type="continuationSeparator" w:id="0">
    <w:p w:rsidR="00F559F0" w:rsidRDefault="00F559F0" w:rsidP="00666B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07646164"/>
      <w:docPartObj>
        <w:docPartGallery w:val="Page Numbers (Bottom of Page)"/>
        <w:docPartUnique/>
      </w:docPartObj>
    </w:sdtPr>
    <w:sdtEndPr/>
    <w:sdtContent>
      <w:p w:rsidR="006747C2" w:rsidRDefault="006747C2">
        <w:pPr>
          <w:pStyle w:val="Pieddepage"/>
        </w:pPr>
        <w:r>
          <w:rPr>
            <w:noProof/>
            <w:lang w:eastAsia="fr-FR"/>
          </w:rPr>
          <mc:AlternateContent>
            <mc:Choice Requires="wps">
              <w:drawing>
                <wp:anchor distT="0" distB="0" distL="114300" distR="114300" simplePos="0" relativeHeight="251659264" behindDoc="0" locked="0" layoutInCell="0" allowOverlap="1" wp14:anchorId="056FBEA6" wp14:editId="2AF1888C">
                  <wp:simplePos x="0" y="0"/>
                  <wp:positionH relativeFrom="rightMargin">
                    <wp:align>left</wp:align>
                  </wp:positionH>
                  <mc:AlternateContent>
                    <mc:Choice Requires="wp14">
                      <wp:positionV relativeFrom="bottomMargin">
                        <wp14:pctPosVOffset>7000</wp14:pctPosVOffset>
                      </wp:positionV>
                    </mc:Choice>
                    <mc:Fallback>
                      <wp:positionV relativeFrom="page">
                        <wp:posOffset>9855200</wp:posOffset>
                      </wp:positionV>
                    </mc:Fallback>
                  </mc:AlternateContent>
                  <wp:extent cx="368300" cy="274320"/>
                  <wp:effectExtent l="9525" t="9525" r="12700" b="11430"/>
                  <wp:wrapNone/>
                  <wp:docPr id="571" name="Forme automatiqu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274320"/>
                          </a:xfrm>
                          <a:prstGeom prst="foldedCorner">
                            <a:avLst>
                              <a:gd name="adj" fmla="val 34560"/>
                            </a:avLst>
                          </a:prstGeom>
                          <a:solidFill>
                            <a:srgbClr val="FFFFFF"/>
                          </a:solidFill>
                          <a:ln w="3175">
                            <a:solidFill>
                              <a:srgbClr val="808080"/>
                            </a:solidFill>
                            <a:round/>
                            <a:headEnd/>
                            <a:tailEnd/>
                          </a:ln>
                        </wps:spPr>
                        <wps:txbx>
                          <w:txbxContent>
                            <w:p w:rsidR="006747C2" w:rsidRDefault="006747C2">
                              <w:pPr>
                                <w:jc w:val="center"/>
                              </w:pPr>
                              <w:r>
                                <w:fldChar w:fldCharType="begin"/>
                              </w:r>
                              <w:r>
                                <w:instrText>PAGE    \* MERGEFORMAT</w:instrText>
                              </w:r>
                              <w:r>
                                <w:fldChar w:fldCharType="separate"/>
                              </w:r>
                              <w:r w:rsidR="004929C9" w:rsidRPr="004929C9">
                                <w:rPr>
                                  <w:noProof/>
                                  <w:sz w:val="16"/>
                                  <w:szCs w:val="16"/>
                                </w:rPr>
                                <w:t>1</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Forme automatique 1" o:spid="_x0000_s1026" type="#_x0000_t65" style="position:absolute;margin-left:0;margin-top:0;width:29pt;height:21.6pt;z-index:251659264;visibility:visible;mso-wrap-style:square;mso-width-percent:0;mso-height-percent:0;mso-top-percent:70;mso-wrap-distance-left:9pt;mso-wrap-distance-top:0;mso-wrap-distance-right:9pt;mso-wrap-distance-bottom:0;mso-position-horizontal:left;mso-position-horizontal-relative:righ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" o:allowincell="f" adj="14135" strokecolor="gray" strokeweight=".25pt">
                  <v:textbox>
                    <w:txbxContent>
                      <w:p w:rsidR="006747C2" w:rsidRDefault="006747C2">
                        <w:pPr>
                          <w:jc w:val="center"/>
                        </w:pPr>
                        <w:r>
                          <w:fldChar w:fldCharType="begin"/>
                        </w:r>
                        <w:r>
                          <w:instrText>PAGE    \* MERGEFORMAT</w:instrText>
                        </w:r>
                        <w:r>
                          <w:fldChar w:fldCharType="separate"/>
                        </w:r>
                        <w:r w:rsidR="004929C9" w:rsidRPr="004929C9">
                          <w:rPr>
                            <w:noProof/>
                            <w:sz w:val="16"/>
                            <w:szCs w:val="16"/>
                          </w:rPr>
                          <w:t>1</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59F0" w:rsidRDefault="00F559F0" w:rsidP="00666B4E">
      <w:pPr>
        <w:spacing w:after="0" w:line="240" w:lineRule="auto"/>
      </w:pPr>
      <w:r>
        <w:separator/>
      </w:r>
    </w:p>
  </w:footnote>
  <w:footnote w:type="continuationSeparator" w:id="0">
    <w:p w:rsidR="00F559F0" w:rsidRDefault="00F559F0" w:rsidP="00666B4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B840C8"/>
    <w:multiLevelType w:val="hybridMultilevel"/>
    <w:tmpl w:val="1D9EBD9A"/>
    <w:lvl w:ilvl="0" w:tplc="209EBC98">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493067F1"/>
    <w:multiLevelType w:val="hybridMultilevel"/>
    <w:tmpl w:val="85BCEDB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5A861C94"/>
    <w:multiLevelType w:val="hybridMultilevel"/>
    <w:tmpl w:val="E7A8D40E"/>
    <w:lvl w:ilvl="0" w:tplc="5BF41ADC">
      <w:start w:val="1"/>
      <w:numFmt w:val="decimal"/>
      <w:lvlText w:val="%1"/>
      <w:lvlJc w:val="left"/>
      <w:pPr>
        <w:ind w:left="720" w:hanging="360"/>
      </w:pPr>
      <w:rPr>
        <w:rFonts w:ascii="Calibri" w:hAnsi="Calibri" w:hint="default"/>
        <w:b/>
        <w:color w:val="000000" w:themeColor="dark1"/>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69FC24E8"/>
    <w:multiLevelType w:val="hybridMultilevel"/>
    <w:tmpl w:val="70BEA5D8"/>
    <w:lvl w:ilvl="0" w:tplc="065065C4">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72DA6072"/>
    <w:multiLevelType w:val="hybridMultilevel"/>
    <w:tmpl w:val="1DCCA69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77AA063F"/>
    <w:multiLevelType w:val="hybridMultilevel"/>
    <w:tmpl w:val="A56A454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4"/>
  </w:num>
  <w:num w:numId="5">
    <w:abstractNumId w:val="2"/>
  </w:num>
  <w:num w:numId="6">
    <w:abstractNumId w:val="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7AC"/>
    <w:rsid w:val="00012DC4"/>
    <w:rsid w:val="000539A6"/>
    <w:rsid w:val="000D1572"/>
    <w:rsid w:val="000E509D"/>
    <w:rsid w:val="000F14C5"/>
    <w:rsid w:val="001031ED"/>
    <w:rsid w:val="00104D41"/>
    <w:rsid w:val="00137E45"/>
    <w:rsid w:val="00157140"/>
    <w:rsid w:val="00171A2B"/>
    <w:rsid w:val="001754E3"/>
    <w:rsid w:val="0017725E"/>
    <w:rsid w:val="001800B6"/>
    <w:rsid w:val="001A7B42"/>
    <w:rsid w:val="001C65A3"/>
    <w:rsid w:val="00246E2B"/>
    <w:rsid w:val="002F52C0"/>
    <w:rsid w:val="003717AC"/>
    <w:rsid w:val="00372E3C"/>
    <w:rsid w:val="003E4408"/>
    <w:rsid w:val="003F6A14"/>
    <w:rsid w:val="004108B1"/>
    <w:rsid w:val="0044320C"/>
    <w:rsid w:val="004929C9"/>
    <w:rsid w:val="00494FAF"/>
    <w:rsid w:val="004B2751"/>
    <w:rsid w:val="004C34F0"/>
    <w:rsid w:val="004D73D9"/>
    <w:rsid w:val="005068D5"/>
    <w:rsid w:val="00523108"/>
    <w:rsid w:val="00530990"/>
    <w:rsid w:val="005761D4"/>
    <w:rsid w:val="005922A1"/>
    <w:rsid w:val="005B119C"/>
    <w:rsid w:val="0060109C"/>
    <w:rsid w:val="00604BBE"/>
    <w:rsid w:val="00660DD7"/>
    <w:rsid w:val="00666B4E"/>
    <w:rsid w:val="006747C2"/>
    <w:rsid w:val="006B1115"/>
    <w:rsid w:val="006B1ACA"/>
    <w:rsid w:val="006C2A90"/>
    <w:rsid w:val="006D12AF"/>
    <w:rsid w:val="006E344F"/>
    <w:rsid w:val="00777318"/>
    <w:rsid w:val="007B214A"/>
    <w:rsid w:val="007B66DD"/>
    <w:rsid w:val="00806DC8"/>
    <w:rsid w:val="00836702"/>
    <w:rsid w:val="00843C08"/>
    <w:rsid w:val="00862444"/>
    <w:rsid w:val="008869AA"/>
    <w:rsid w:val="008C725A"/>
    <w:rsid w:val="008D2D58"/>
    <w:rsid w:val="0095692F"/>
    <w:rsid w:val="009A0A8B"/>
    <w:rsid w:val="00A5333B"/>
    <w:rsid w:val="00A73D5F"/>
    <w:rsid w:val="00A8348B"/>
    <w:rsid w:val="00AF48FC"/>
    <w:rsid w:val="00B2196B"/>
    <w:rsid w:val="00B56924"/>
    <w:rsid w:val="00B57442"/>
    <w:rsid w:val="00B61361"/>
    <w:rsid w:val="00BC1575"/>
    <w:rsid w:val="00BD3F38"/>
    <w:rsid w:val="00C23131"/>
    <w:rsid w:val="00C46BFF"/>
    <w:rsid w:val="00C542DB"/>
    <w:rsid w:val="00C7674C"/>
    <w:rsid w:val="00CB1DA2"/>
    <w:rsid w:val="00CB7282"/>
    <w:rsid w:val="00D327AE"/>
    <w:rsid w:val="00D578B3"/>
    <w:rsid w:val="00D60FB3"/>
    <w:rsid w:val="00DA0B2C"/>
    <w:rsid w:val="00DC1DC7"/>
    <w:rsid w:val="00E030A3"/>
    <w:rsid w:val="00E074FD"/>
    <w:rsid w:val="00E126E8"/>
    <w:rsid w:val="00E23A64"/>
    <w:rsid w:val="00E679DE"/>
    <w:rsid w:val="00E86CB3"/>
    <w:rsid w:val="00EE2B30"/>
    <w:rsid w:val="00EF57C8"/>
    <w:rsid w:val="00F10553"/>
    <w:rsid w:val="00F13AFF"/>
    <w:rsid w:val="00F24542"/>
    <w:rsid w:val="00F559F0"/>
    <w:rsid w:val="00F64F49"/>
    <w:rsid w:val="00F748BC"/>
    <w:rsid w:val="00F85691"/>
    <w:rsid w:val="00F86E5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17AC"/>
  </w:style>
  <w:style w:type="paragraph" w:styleId="Titre1">
    <w:name w:val="heading 1"/>
    <w:basedOn w:val="Normal"/>
    <w:next w:val="Normal"/>
    <w:link w:val="Titre1Car"/>
    <w:uiPriority w:val="9"/>
    <w:qFormat/>
    <w:rsid w:val="003717A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3717A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3717AC"/>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3717AC"/>
    <w:rPr>
      <w:rFonts w:asciiTheme="majorHAnsi" w:eastAsiaTheme="majorEastAsia" w:hAnsiTheme="majorHAnsi" w:cstheme="majorBidi"/>
      <w:b/>
      <w:bCs/>
      <w:color w:val="4F81BD" w:themeColor="accent1"/>
      <w:sz w:val="26"/>
      <w:szCs w:val="26"/>
    </w:rPr>
  </w:style>
  <w:style w:type="paragraph" w:styleId="Paragraphedeliste">
    <w:name w:val="List Paragraph"/>
    <w:basedOn w:val="Normal"/>
    <w:uiPriority w:val="34"/>
    <w:qFormat/>
    <w:rsid w:val="003717AC"/>
    <w:pPr>
      <w:ind w:left="720"/>
      <w:contextualSpacing/>
    </w:pPr>
  </w:style>
  <w:style w:type="paragraph" w:styleId="Sansinterligne">
    <w:name w:val="No Spacing"/>
    <w:link w:val="SansinterligneCar"/>
    <w:uiPriority w:val="1"/>
    <w:qFormat/>
    <w:rsid w:val="003717AC"/>
    <w:pPr>
      <w:spacing w:after="0" w:line="240" w:lineRule="auto"/>
    </w:pPr>
    <w:rPr>
      <w:rFonts w:eastAsiaTheme="minorEastAsia"/>
      <w:lang w:eastAsia="fr-FR"/>
    </w:rPr>
  </w:style>
  <w:style w:type="character" w:customStyle="1" w:styleId="SansinterligneCar">
    <w:name w:val="Sans interligne Car"/>
    <w:basedOn w:val="Policepardfaut"/>
    <w:link w:val="Sansinterligne"/>
    <w:uiPriority w:val="1"/>
    <w:rsid w:val="003717AC"/>
    <w:rPr>
      <w:rFonts w:eastAsiaTheme="minorEastAsia"/>
      <w:lang w:eastAsia="fr-FR"/>
    </w:rPr>
  </w:style>
  <w:style w:type="paragraph" w:styleId="Lgende">
    <w:name w:val="caption"/>
    <w:basedOn w:val="Normal"/>
    <w:next w:val="Normal"/>
    <w:uiPriority w:val="35"/>
    <w:unhideWhenUsed/>
    <w:qFormat/>
    <w:rsid w:val="003717AC"/>
    <w:pPr>
      <w:spacing w:line="240" w:lineRule="auto"/>
    </w:pPr>
    <w:rPr>
      <w:b/>
      <w:bCs/>
      <w:color w:val="4F81BD" w:themeColor="accent1"/>
      <w:sz w:val="18"/>
      <w:szCs w:val="18"/>
    </w:rPr>
  </w:style>
  <w:style w:type="table" w:styleId="Trameclaire-Accent5">
    <w:name w:val="Light Shading Accent 5"/>
    <w:basedOn w:val="TableauNormal"/>
    <w:uiPriority w:val="60"/>
    <w:rsid w:val="003717AC"/>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paragraph" w:styleId="Textedebulles">
    <w:name w:val="Balloon Text"/>
    <w:basedOn w:val="Normal"/>
    <w:link w:val="TextedebullesCar"/>
    <w:uiPriority w:val="99"/>
    <w:semiHidden/>
    <w:unhideWhenUsed/>
    <w:rsid w:val="003717A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717AC"/>
    <w:rPr>
      <w:rFonts w:ascii="Tahoma" w:hAnsi="Tahoma" w:cs="Tahoma"/>
      <w:sz w:val="16"/>
      <w:szCs w:val="16"/>
    </w:rPr>
  </w:style>
  <w:style w:type="table" w:styleId="Grilledutableau">
    <w:name w:val="Table Grid"/>
    <w:basedOn w:val="TableauNormal"/>
    <w:uiPriority w:val="59"/>
    <w:rsid w:val="002F52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Ombrageclair">
    <w:name w:val="Light Shading"/>
    <w:basedOn w:val="TableauNormal"/>
    <w:uiPriority w:val="60"/>
    <w:rsid w:val="004D73D9"/>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En-ttedetabledesmatires">
    <w:name w:val="TOC Heading"/>
    <w:basedOn w:val="Titre1"/>
    <w:next w:val="Normal"/>
    <w:uiPriority w:val="39"/>
    <w:semiHidden/>
    <w:unhideWhenUsed/>
    <w:qFormat/>
    <w:rsid w:val="0044320C"/>
    <w:pPr>
      <w:outlineLvl w:val="9"/>
    </w:pPr>
    <w:rPr>
      <w:lang w:eastAsia="fr-FR"/>
    </w:rPr>
  </w:style>
  <w:style w:type="paragraph" w:styleId="TM1">
    <w:name w:val="toc 1"/>
    <w:basedOn w:val="Normal"/>
    <w:next w:val="Normal"/>
    <w:autoRedefine/>
    <w:uiPriority w:val="39"/>
    <w:unhideWhenUsed/>
    <w:rsid w:val="0044320C"/>
    <w:pPr>
      <w:spacing w:after="100"/>
    </w:pPr>
  </w:style>
  <w:style w:type="paragraph" w:styleId="TM2">
    <w:name w:val="toc 2"/>
    <w:basedOn w:val="Normal"/>
    <w:next w:val="Normal"/>
    <w:autoRedefine/>
    <w:uiPriority w:val="39"/>
    <w:unhideWhenUsed/>
    <w:rsid w:val="0044320C"/>
    <w:pPr>
      <w:spacing w:after="100"/>
      <w:ind w:left="220"/>
    </w:pPr>
  </w:style>
  <w:style w:type="character" w:styleId="Lienhypertexte">
    <w:name w:val="Hyperlink"/>
    <w:basedOn w:val="Policepardfaut"/>
    <w:uiPriority w:val="99"/>
    <w:unhideWhenUsed/>
    <w:rsid w:val="0044320C"/>
    <w:rPr>
      <w:color w:val="0000FF" w:themeColor="hyperlink"/>
      <w:u w:val="single"/>
    </w:rPr>
  </w:style>
  <w:style w:type="paragraph" w:styleId="Tabledesillustrations">
    <w:name w:val="table of figures"/>
    <w:basedOn w:val="Normal"/>
    <w:next w:val="Normal"/>
    <w:uiPriority w:val="99"/>
    <w:unhideWhenUsed/>
    <w:rsid w:val="0044320C"/>
    <w:pPr>
      <w:spacing w:after="0"/>
    </w:pPr>
  </w:style>
  <w:style w:type="paragraph" w:styleId="En-tte">
    <w:name w:val="header"/>
    <w:basedOn w:val="Normal"/>
    <w:link w:val="En-tteCar"/>
    <w:uiPriority w:val="99"/>
    <w:unhideWhenUsed/>
    <w:rsid w:val="00666B4E"/>
    <w:pPr>
      <w:tabs>
        <w:tab w:val="center" w:pos="4536"/>
        <w:tab w:val="right" w:pos="9072"/>
      </w:tabs>
      <w:spacing w:after="0" w:line="240" w:lineRule="auto"/>
    </w:pPr>
  </w:style>
  <w:style w:type="character" w:customStyle="1" w:styleId="En-tteCar">
    <w:name w:val="En-tête Car"/>
    <w:basedOn w:val="Policepardfaut"/>
    <w:link w:val="En-tte"/>
    <w:uiPriority w:val="99"/>
    <w:rsid w:val="00666B4E"/>
  </w:style>
  <w:style w:type="paragraph" w:styleId="Pieddepage">
    <w:name w:val="footer"/>
    <w:basedOn w:val="Normal"/>
    <w:link w:val="PieddepageCar"/>
    <w:uiPriority w:val="99"/>
    <w:unhideWhenUsed/>
    <w:rsid w:val="00666B4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66B4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17AC"/>
  </w:style>
  <w:style w:type="paragraph" w:styleId="Titre1">
    <w:name w:val="heading 1"/>
    <w:basedOn w:val="Normal"/>
    <w:next w:val="Normal"/>
    <w:link w:val="Titre1Car"/>
    <w:uiPriority w:val="9"/>
    <w:qFormat/>
    <w:rsid w:val="003717A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3717A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3717AC"/>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3717AC"/>
    <w:rPr>
      <w:rFonts w:asciiTheme="majorHAnsi" w:eastAsiaTheme="majorEastAsia" w:hAnsiTheme="majorHAnsi" w:cstheme="majorBidi"/>
      <w:b/>
      <w:bCs/>
      <w:color w:val="4F81BD" w:themeColor="accent1"/>
      <w:sz w:val="26"/>
      <w:szCs w:val="26"/>
    </w:rPr>
  </w:style>
  <w:style w:type="paragraph" w:styleId="Paragraphedeliste">
    <w:name w:val="List Paragraph"/>
    <w:basedOn w:val="Normal"/>
    <w:uiPriority w:val="34"/>
    <w:qFormat/>
    <w:rsid w:val="003717AC"/>
    <w:pPr>
      <w:ind w:left="720"/>
      <w:contextualSpacing/>
    </w:pPr>
  </w:style>
  <w:style w:type="paragraph" w:styleId="Sansinterligne">
    <w:name w:val="No Spacing"/>
    <w:link w:val="SansinterligneCar"/>
    <w:uiPriority w:val="1"/>
    <w:qFormat/>
    <w:rsid w:val="003717AC"/>
    <w:pPr>
      <w:spacing w:after="0" w:line="240" w:lineRule="auto"/>
    </w:pPr>
    <w:rPr>
      <w:rFonts w:eastAsiaTheme="minorEastAsia"/>
      <w:lang w:eastAsia="fr-FR"/>
    </w:rPr>
  </w:style>
  <w:style w:type="character" w:customStyle="1" w:styleId="SansinterligneCar">
    <w:name w:val="Sans interligne Car"/>
    <w:basedOn w:val="Policepardfaut"/>
    <w:link w:val="Sansinterligne"/>
    <w:uiPriority w:val="1"/>
    <w:rsid w:val="003717AC"/>
    <w:rPr>
      <w:rFonts w:eastAsiaTheme="minorEastAsia"/>
      <w:lang w:eastAsia="fr-FR"/>
    </w:rPr>
  </w:style>
  <w:style w:type="paragraph" w:styleId="Lgende">
    <w:name w:val="caption"/>
    <w:basedOn w:val="Normal"/>
    <w:next w:val="Normal"/>
    <w:uiPriority w:val="35"/>
    <w:unhideWhenUsed/>
    <w:qFormat/>
    <w:rsid w:val="003717AC"/>
    <w:pPr>
      <w:spacing w:line="240" w:lineRule="auto"/>
    </w:pPr>
    <w:rPr>
      <w:b/>
      <w:bCs/>
      <w:color w:val="4F81BD" w:themeColor="accent1"/>
      <w:sz w:val="18"/>
      <w:szCs w:val="18"/>
    </w:rPr>
  </w:style>
  <w:style w:type="table" w:styleId="Trameclaire-Accent5">
    <w:name w:val="Light Shading Accent 5"/>
    <w:basedOn w:val="TableauNormal"/>
    <w:uiPriority w:val="60"/>
    <w:rsid w:val="003717AC"/>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paragraph" w:styleId="Textedebulles">
    <w:name w:val="Balloon Text"/>
    <w:basedOn w:val="Normal"/>
    <w:link w:val="TextedebullesCar"/>
    <w:uiPriority w:val="99"/>
    <w:semiHidden/>
    <w:unhideWhenUsed/>
    <w:rsid w:val="003717A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717AC"/>
    <w:rPr>
      <w:rFonts w:ascii="Tahoma" w:hAnsi="Tahoma" w:cs="Tahoma"/>
      <w:sz w:val="16"/>
      <w:szCs w:val="16"/>
    </w:rPr>
  </w:style>
  <w:style w:type="table" w:styleId="Grilledutableau">
    <w:name w:val="Table Grid"/>
    <w:basedOn w:val="TableauNormal"/>
    <w:uiPriority w:val="59"/>
    <w:rsid w:val="002F52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Ombrageclair">
    <w:name w:val="Light Shading"/>
    <w:basedOn w:val="TableauNormal"/>
    <w:uiPriority w:val="60"/>
    <w:rsid w:val="004D73D9"/>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En-ttedetabledesmatires">
    <w:name w:val="TOC Heading"/>
    <w:basedOn w:val="Titre1"/>
    <w:next w:val="Normal"/>
    <w:uiPriority w:val="39"/>
    <w:semiHidden/>
    <w:unhideWhenUsed/>
    <w:qFormat/>
    <w:rsid w:val="0044320C"/>
    <w:pPr>
      <w:outlineLvl w:val="9"/>
    </w:pPr>
    <w:rPr>
      <w:lang w:eastAsia="fr-FR"/>
    </w:rPr>
  </w:style>
  <w:style w:type="paragraph" w:styleId="TM1">
    <w:name w:val="toc 1"/>
    <w:basedOn w:val="Normal"/>
    <w:next w:val="Normal"/>
    <w:autoRedefine/>
    <w:uiPriority w:val="39"/>
    <w:unhideWhenUsed/>
    <w:rsid w:val="0044320C"/>
    <w:pPr>
      <w:spacing w:after="100"/>
    </w:pPr>
  </w:style>
  <w:style w:type="paragraph" w:styleId="TM2">
    <w:name w:val="toc 2"/>
    <w:basedOn w:val="Normal"/>
    <w:next w:val="Normal"/>
    <w:autoRedefine/>
    <w:uiPriority w:val="39"/>
    <w:unhideWhenUsed/>
    <w:rsid w:val="0044320C"/>
    <w:pPr>
      <w:spacing w:after="100"/>
      <w:ind w:left="220"/>
    </w:pPr>
  </w:style>
  <w:style w:type="character" w:styleId="Lienhypertexte">
    <w:name w:val="Hyperlink"/>
    <w:basedOn w:val="Policepardfaut"/>
    <w:uiPriority w:val="99"/>
    <w:unhideWhenUsed/>
    <w:rsid w:val="0044320C"/>
    <w:rPr>
      <w:color w:val="0000FF" w:themeColor="hyperlink"/>
      <w:u w:val="single"/>
    </w:rPr>
  </w:style>
  <w:style w:type="paragraph" w:styleId="Tabledesillustrations">
    <w:name w:val="table of figures"/>
    <w:basedOn w:val="Normal"/>
    <w:next w:val="Normal"/>
    <w:uiPriority w:val="99"/>
    <w:unhideWhenUsed/>
    <w:rsid w:val="0044320C"/>
    <w:pPr>
      <w:spacing w:after="0"/>
    </w:pPr>
  </w:style>
  <w:style w:type="paragraph" w:styleId="En-tte">
    <w:name w:val="header"/>
    <w:basedOn w:val="Normal"/>
    <w:link w:val="En-tteCar"/>
    <w:uiPriority w:val="99"/>
    <w:unhideWhenUsed/>
    <w:rsid w:val="00666B4E"/>
    <w:pPr>
      <w:tabs>
        <w:tab w:val="center" w:pos="4536"/>
        <w:tab w:val="right" w:pos="9072"/>
      </w:tabs>
      <w:spacing w:after="0" w:line="240" w:lineRule="auto"/>
    </w:pPr>
  </w:style>
  <w:style w:type="character" w:customStyle="1" w:styleId="En-tteCar">
    <w:name w:val="En-tête Car"/>
    <w:basedOn w:val="Policepardfaut"/>
    <w:link w:val="En-tte"/>
    <w:uiPriority w:val="99"/>
    <w:rsid w:val="00666B4E"/>
  </w:style>
  <w:style w:type="paragraph" w:styleId="Pieddepage">
    <w:name w:val="footer"/>
    <w:basedOn w:val="Normal"/>
    <w:link w:val="PieddepageCar"/>
    <w:uiPriority w:val="99"/>
    <w:unhideWhenUsed/>
    <w:rsid w:val="00666B4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66B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image" Target="media/image8.png"/><Relationship Id="rId26" Type="http://schemas.microsoft.com/office/2011/relationships/people" Target="people.xml"/><Relationship Id="rId3" Type="http://schemas.openxmlformats.org/officeDocument/2006/relationships/styles" Target="styles.xml"/><Relationship Id="rId21" Type="http://schemas.openxmlformats.org/officeDocument/2006/relationships/chart" Target="charts/chart5.xml"/><Relationship Id="rId7" Type="http://schemas.openxmlformats.org/officeDocument/2006/relationships/footnotes" Target="footnotes.xml"/><Relationship Id="rId12" Type="http://schemas.openxmlformats.org/officeDocument/2006/relationships/image" Target="media/image2.emf"/><Relationship Id="rId17" Type="http://schemas.openxmlformats.org/officeDocument/2006/relationships/image" Target="media/image7.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chart" Target="charts/chart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2.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footer" Target="footer1.xml"/><Relationship Id="rId10" Type="http://schemas.openxmlformats.org/officeDocument/2006/relationships/chart" Target="charts/chart1.xml"/><Relationship Id="rId19" Type="http://schemas.openxmlformats.org/officeDocument/2006/relationships/chart" Target="charts/chart3.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4.png"/><Relationship Id="rId22" Type="http://schemas.openxmlformats.org/officeDocument/2006/relationships/chart" Target="charts/chart6.xml"/></Relationships>
</file>

<file path=word/charts/_rels/chart1.xml.rels><?xml version="1.0" encoding="UTF-8" standalone="yes"?>
<Relationships xmlns="http://schemas.openxmlformats.org/package/2006/relationships"><Relationship Id="rId1" Type="http://schemas.openxmlformats.org/officeDocument/2006/relationships/oleObject" Target="../embeddings/oleObject1.bin"/></Relationships>
</file>

<file path=word/charts/_rels/chart2.xml.rels><?xml version="1.0" encoding="UTF-8" standalone="yes"?>
<Relationships xmlns="http://schemas.openxmlformats.org/package/2006/relationships"><Relationship Id="rId1" Type="http://schemas.openxmlformats.org/officeDocument/2006/relationships/oleObject" Target="../embeddings/oleObject2.bin"/></Relationships>
</file>

<file path=word/charts/_rels/chart3.xml.rels><?xml version="1.0" encoding="UTF-8" standalone="yes"?>
<Relationships xmlns="http://schemas.openxmlformats.org/package/2006/relationships"><Relationship Id="rId1" Type="http://schemas.openxmlformats.org/officeDocument/2006/relationships/oleObject" Target="../embeddings/oleObject3.bin"/></Relationships>
</file>

<file path=word/charts/_rels/chart4.xml.rels><?xml version="1.0" encoding="UTF-8" standalone="yes"?>
<Relationships xmlns="http://schemas.openxmlformats.org/package/2006/relationships"><Relationship Id="rId1" Type="http://schemas.openxmlformats.org/officeDocument/2006/relationships/oleObject" Target="../embeddings/oleObject4.bin"/></Relationships>
</file>

<file path=word/charts/_rels/chart5.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embeddings/oleObject5.bin"/></Relationships>
</file>

<file path=word/charts/_rels/chart6.xml.rels><?xml version="1.0" encoding="UTF-8" standalone="yes"?>
<Relationships xmlns="http://schemas.openxmlformats.org/package/2006/relationships"><Relationship Id="rId2" Type="http://schemas.openxmlformats.org/officeDocument/2006/relationships/oleObject" Target="../embeddings/oleObject6.bin"/><Relationship Id="rId1" Type="http://schemas.openxmlformats.org/officeDocument/2006/relationships/image" Target="../media/image9.jpeg"/></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5.7112569533773846E-2"/>
          <c:y val="3.8550415573053366E-2"/>
          <c:w val="0.91864594010564571"/>
          <c:h val="0.57984376625555967"/>
        </c:manualLayout>
      </c:layout>
      <c:lineChart>
        <c:grouping val="standard"/>
        <c:varyColors val="0"/>
        <c:ser>
          <c:idx val="1"/>
          <c:order val="0"/>
          <c:tx>
            <c:strRef>
              <c:f>Accouchements!$A$36</c:f>
              <c:strCache>
                <c:ptCount val="1"/>
                <c:pt idx="0">
                  <c:v>Proportion des accouchements compliqués</c:v>
                </c:pt>
              </c:strCache>
            </c:strRef>
          </c:tx>
          <c:spPr>
            <a:ln w="50800"/>
          </c:spPr>
          <c:dLbls>
            <c:spPr>
              <a:noFill/>
              <a:ln>
                <a:noFill/>
              </a:ln>
              <a:effectLst/>
            </c:spPr>
            <c:txPr>
              <a:bodyPr wrap="square" lIns="38100" tIns="19050" rIns="38100" bIns="19050" anchor="ctr">
                <a:spAutoFit/>
              </a:bodyPr>
              <a:lstStyle/>
              <a:p>
                <a:pPr>
                  <a:defRPr sz="1000" b="1"/>
                </a:pPr>
                <a:endParaRPr lang="fr-FR"/>
              </a:p>
            </c:tx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Accouchements!$B$34:$E$34</c:f>
              <c:strCache>
                <c:ptCount val="4"/>
                <c:pt idx="0">
                  <c:v>Juin à Août</c:v>
                </c:pt>
                <c:pt idx="1">
                  <c:v>Septmbre à Novembre</c:v>
                </c:pt>
                <c:pt idx="2">
                  <c:v>Décembre à Février</c:v>
                </c:pt>
                <c:pt idx="3">
                  <c:v>Mars à Mai</c:v>
                </c:pt>
              </c:strCache>
            </c:strRef>
          </c:cat>
          <c:val>
            <c:numRef>
              <c:f>Accouchements!$B$36:$E$36</c:f>
              <c:numCache>
                <c:formatCode>0.00</c:formatCode>
                <c:ptCount val="4"/>
                <c:pt idx="0">
                  <c:v>19.866371420891625</c:v>
                </c:pt>
                <c:pt idx="1">
                  <c:v>20.802276800260671</c:v>
                </c:pt>
                <c:pt idx="2">
                  <c:v>20.661208988820562</c:v>
                </c:pt>
                <c:pt idx="3">
                  <c:v>21.443588299199291</c:v>
                </c:pt>
              </c:numCache>
            </c:numRef>
          </c:val>
          <c:smooth val="0"/>
          <c:extLst xmlns:c16r2="http://schemas.microsoft.com/office/drawing/2015/06/chart">
            <c:ext xmlns:c16="http://schemas.microsoft.com/office/drawing/2014/chart" uri="{C3380CC4-5D6E-409C-BE32-E72D297353CC}">
              <c16:uniqueId val="{00000001-55E5-43A9-9186-B1213FDD663D}"/>
            </c:ext>
          </c:extLst>
        </c:ser>
        <c:ser>
          <c:idx val="2"/>
          <c:order val="1"/>
          <c:tx>
            <c:strRef>
              <c:f>Accouchements!$A$37</c:f>
              <c:strCache>
                <c:ptCount val="1"/>
                <c:pt idx="0">
                  <c:v>Proportion des Césariennes (parmis les accouchements compliqués</c:v>
                </c:pt>
              </c:strCache>
            </c:strRef>
          </c:tx>
          <c:spPr>
            <a:ln w="50800"/>
          </c:spPr>
          <c:dLbls>
            <c:spPr>
              <a:noFill/>
              <a:ln>
                <a:noFill/>
              </a:ln>
              <a:effectLst/>
            </c:spPr>
            <c:txPr>
              <a:bodyPr wrap="square" lIns="38100" tIns="19050" rIns="38100" bIns="19050" anchor="ctr">
                <a:spAutoFit/>
              </a:bodyPr>
              <a:lstStyle/>
              <a:p>
                <a:pPr>
                  <a:defRPr sz="1000" b="1"/>
                </a:pPr>
                <a:endParaRPr lang="fr-FR"/>
              </a:p>
            </c:txPr>
            <c:dLblPos val="b"/>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Accouchements!$B$34:$E$34</c:f>
              <c:strCache>
                <c:ptCount val="4"/>
                <c:pt idx="0">
                  <c:v>Juin à Août</c:v>
                </c:pt>
                <c:pt idx="1">
                  <c:v>Septmbre à Novembre</c:v>
                </c:pt>
                <c:pt idx="2">
                  <c:v>Décembre à Février</c:v>
                </c:pt>
                <c:pt idx="3">
                  <c:v>Mars à Mai</c:v>
                </c:pt>
              </c:strCache>
            </c:strRef>
          </c:cat>
          <c:val>
            <c:numRef>
              <c:f>Accouchements!$B$37:$E$37</c:f>
              <c:numCache>
                <c:formatCode>0.00</c:formatCode>
                <c:ptCount val="4"/>
                <c:pt idx="0">
                  <c:v>15.984794794149861</c:v>
                </c:pt>
                <c:pt idx="1">
                  <c:v>15.203504735798724</c:v>
                </c:pt>
                <c:pt idx="2">
                  <c:v>13.721850273889228</c:v>
                </c:pt>
                <c:pt idx="3">
                  <c:v>13.120675501348659</c:v>
                </c:pt>
              </c:numCache>
            </c:numRef>
          </c:val>
          <c:smooth val="0"/>
          <c:extLst xmlns:c16r2="http://schemas.microsoft.com/office/drawing/2015/06/chart">
            <c:ext xmlns:c16="http://schemas.microsoft.com/office/drawing/2014/chart" uri="{C3380CC4-5D6E-409C-BE32-E72D297353CC}">
              <c16:uniqueId val="{00000002-55E5-43A9-9186-B1213FDD663D}"/>
            </c:ext>
          </c:extLst>
        </c:ser>
        <c:dLbls>
          <c:showLegendKey val="0"/>
          <c:showVal val="0"/>
          <c:showCatName val="0"/>
          <c:showSerName val="0"/>
          <c:showPercent val="0"/>
          <c:showBubbleSize val="0"/>
        </c:dLbls>
        <c:marker val="1"/>
        <c:smooth val="0"/>
        <c:axId val="178965504"/>
        <c:axId val="45658048"/>
      </c:lineChart>
      <c:catAx>
        <c:axId val="178965504"/>
        <c:scaling>
          <c:orientation val="minMax"/>
        </c:scaling>
        <c:delete val="0"/>
        <c:axPos val="b"/>
        <c:numFmt formatCode="General" sourceLinked="0"/>
        <c:majorTickMark val="out"/>
        <c:minorTickMark val="none"/>
        <c:tickLblPos val="nextTo"/>
        <c:txPr>
          <a:bodyPr/>
          <a:lstStyle/>
          <a:p>
            <a:pPr>
              <a:defRPr sz="1100" b="1"/>
            </a:pPr>
            <a:endParaRPr lang="fr-FR"/>
          </a:p>
        </c:txPr>
        <c:crossAx val="45658048"/>
        <c:crosses val="autoZero"/>
        <c:auto val="1"/>
        <c:lblAlgn val="ctr"/>
        <c:lblOffset val="100"/>
        <c:noMultiLvlLbl val="0"/>
      </c:catAx>
      <c:valAx>
        <c:axId val="45658048"/>
        <c:scaling>
          <c:orientation val="minMax"/>
        </c:scaling>
        <c:delete val="0"/>
        <c:axPos val="l"/>
        <c:numFmt formatCode="#,##0" sourceLinked="0"/>
        <c:majorTickMark val="out"/>
        <c:minorTickMark val="none"/>
        <c:tickLblPos val="nextTo"/>
        <c:crossAx val="178965504"/>
        <c:crosses val="autoZero"/>
        <c:crossBetween val="between"/>
        <c:majorUnit val="5"/>
      </c:valAx>
    </c:plotArea>
    <c:legend>
      <c:legendPos val="b"/>
      <c:layout>
        <c:manualLayout>
          <c:xMode val="edge"/>
          <c:yMode val="edge"/>
          <c:x val="9.1314761610016712E-2"/>
          <c:y val="0.7350078836790932"/>
          <c:w val="0.86246983765936325"/>
          <c:h val="0.19714968272368374"/>
        </c:manualLayout>
      </c:layout>
      <c:overlay val="0"/>
      <c:txPr>
        <a:bodyPr/>
        <a:lstStyle/>
        <a:p>
          <a:pPr>
            <a:defRPr sz="1050" b="1"/>
          </a:pPr>
          <a:endParaRPr lang="fr-FR"/>
        </a:p>
      </c:txPr>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Feuil2!$A$79</c:f>
              <c:strCache>
                <c:ptCount val="1"/>
                <c:pt idx="0">
                  <c:v>Evolution Index satisfaction commandes</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Feuil2!$B$4:$G$4</c:f>
              <c:strCache>
                <c:ptCount val="6"/>
                <c:pt idx="0">
                  <c:v>Janvier</c:v>
                </c:pt>
                <c:pt idx="1">
                  <c:v>Février</c:v>
                </c:pt>
                <c:pt idx="2">
                  <c:v>Mars</c:v>
                </c:pt>
                <c:pt idx="3">
                  <c:v>Avril</c:v>
                </c:pt>
                <c:pt idx="4">
                  <c:v>Mai</c:v>
                </c:pt>
                <c:pt idx="5">
                  <c:v>Juin</c:v>
                </c:pt>
              </c:strCache>
            </c:strRef>
          </c:cat>
          <c:val>
            <c:numRef>
              <c:f>Feuil2!$B$79:$G$79</c:f>
              <c:numCache>
                <c:formatCode>0.0%</c:formatCode>
                <c:ptCount val="6"/>
                <c:pt idx="0">
                  <c:v>0.61134602316102227</c:v>
                </c:pt>
                <c:pt idx="1">
                  <c:v>0.64377841161412641</c:v>
                </c:pt>
                <c:pt idx="2">
                  <c:v>0.62740136699833382</c:v>
                </c:pt>
                <c:pt idx="3">
                  <c:v>0.57461684505584409</c:v>
                </c:pt>
                <c:pt idx="4">
                  <c:v>0.59124768171763498</c:v>
                </c:pt>
                <c:pt idx="5">
                  <c:v>0.63857522379515785</c:v>
                </c:pt>
              </c:numCache>
            </c:numRef>
          </c:val>
          <c:extLst xmlns:c16r2="http://schemas.microsoft.com/office/drawing/2015/06/chart">
            <c:ext xmlns:c16="http://schemas.microsoft.com/office/drawing/2014/chart" uri="{C3380CC4-5D6E-409C-BE32-E72D297353CC}">
              <c16:uniqueId val="{00000000-85EC-4D3A-BE64-71BDBAEBAD58}"/>
            </c:ext>
          </c:extLst>
        </c:ser>
        <c:dLbls>
          <c:showLegendKey val="0"/>
          <c:showVal val="0"/>
          <c:showCatName val="0"/>
          <c:showSerName val="0"/>
          <c:showPercent val="0"/>
          <c:showBubbleSize val="0"/>
        </c:dLbls>
        <c:gapWidth val="219"/>
        <c:overlap val="-27"/>
        <c:axId val="178964480"/>
        <c:axId val="45659776"/>
      </c:barChart>
      <c:catAx>
        <c:axId val="1789644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fr-FR"/>
          </a:p>
        </c:txPr>
        <c:crossAx val="45659776"/>
        <c:crosses val="autoZero"/>
        <c:auto val="1"/>
        <c:lblAlgn val="ctr"/>
        <c:lblOffset val="100"/>
        <c:noMultiLvlLbl val="0"/>
      </c:catAx>
      <c:valAx>
        <c:axId val="45659776"/>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fr-FR"/>
          </a:p>
        </c:txPr>
        <c:crossAx val="178964480"/>
        <c:crosses val="autoZero"/>
        <c:crossBetween val="between"/>
      </c:valAx>
      <c:spPr>
        <a:noFill/>
        <a:ln>
          <a:noFill/>
        </a:ln>
        <a:effectLst/>
      </c:spPr>
    </c:plotArea>
    <c:plotVisOnly val="1"/>
    <c:dispBlanksAs val="gap"/>
    <c:showDLblsOverMax val="0"/>
  </c:chart>
  <c:spPr>
    <a:noFill/>
    <a:ln>
      <a:noFill/>
    </a:ln>
    <a:effectLst/>
  </c:spPr>
  <c:txPr>
    <a:bodyPr/>
    <a:lstStyle/>
    <a:p>
      <a:pPr>
        <a:defRPr/>
      </a:pPr>
      <a:endParaRPr lang="fr-F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4.1923782304581506E-2"/>
          <c:y val="7.8638308265571916E-2"/>
          <c:w val="0.94191163283134793"/>
          <c:h val="0.83044300192394838"/>
        </c:manualLayout>
      </c:layout>
      <c:barChart>
        <c:barDir val="col"/>
        <c:grouping val="clustered"/>
        <c:varyColors val="0"/>
        <c:ser>
          <c:idx val="0"/>
          <c:order val="0"/>
          <c:tx>
            <c:strRef>
              <c:f>Feuil1!$A$5</c:f>
              <c:strCache>
                <c:ptCount val="1"/>
                <c:pt idx="0">
                  <c:v>Taux d'effectivité</c:v>
                </c:pt>
              </c:strCache>
            </c:strRef>
          </c:tx>
          <c:spPr>
            <a:solidFill>
              <a:srgbClr val="00B05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Feuil1!$B$4:$E$4</c:f>
              <c:strCache>
                <c:ptCount val="4"/>
                <c:pt idx="0">
                  <c:v>Sahel</c:v>
                </c:pt>
                <c:pt idx="1">
                  <c:v>Centre Ouest</c:v>
                </c:pt>
                <c:pt idx="2">
                  <c:v>centre sud</c:v>
                </c:pt>
                <c:pt idx="3">
                  <c:v>centre</c:v>
                </c:pt>
              </c:strCache>
            </c:strRef>
          </c:cat>
          <c:val>
            <c:numRef>
              <c:f>Feuil1!$B$5:$E$5</c:f>
              <c:numCache>
                <c:formatCode>General</c:formatCode>
                <c:ptCount val="4"/>
                <c:pt idx="0">
                  <c:v>97.28</c:v>
                </c:pt>
                <c:pt idx="1">
                  <c:v>95</c:v>
                </c:pt>
                <c:pt idx="2">
                  <c:v>90.2</c:v>
                </c:pt>
                <c:pt idx="3">
                  <c:v>86.15</c:v>
                </c:pt>
              </c:numCache>
            </c:numRef>
          </c:val>
        </c:ser>
        <c:dLbls>
          <c:dLblPos val="outEnd"/>
          <c:showLegendKey val="0"/>
          <c:showVal val="1"/>
          <c:showCatName val="0"/>
          <c:showSerName val="0"/>
          <c:showPercent val="0"/>
          <c:showBubbleSize val="0"/>
        </c:dLbls>
        <c:gapWidth val="219"/>
        <c:overlap val="-27"/>
        <c:axId val="179204096"/>
        <c:axId val="123363328"/>
      </c:barChart>
      <c:catAx>
        <c:axId val="1792040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fr-FR"/>
          </a:p>
        </c:txPr>
        <c:crossAx val="123363328"/>
        <c:crosses val="autoZero"/>
        <c:auto val="1"/>
        <c:lblAlgn val="ctr"/>
        <c:lblOffset val="100"/>
        <c:noMultiLvlLbl val="0"/>
      </c:catAx>
      <c:valAx>
        <c:axId val="12336332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crossAx val="179204096"/>
        <c:crosses val="autoZero"/>
        <c:crossBetween val="between"/>
      </c:valAx>
      <c:spPr>
        <a:noFill/>
        <a:ln>
          <a:noFill/>
        </a:ln>
        <a:effectLst/>
      </c:spPr>
    </c:plotArea>
    <c:plotVisOnly val="1"/>
    <c:dispBlanksAs val="gap"/>
    <c:showDLblsOverMax val="0"/>
  </c:chart>
  <c:spPr>
    <a:noFill/>
    <a:ln>
      <a:noFill/>
    </a:ln>
    <a:effectLst/>
  </c:spPr>
  <c:txPr>
    <a:bodyPr/>
    <a:lstStyle/>
    <a:p>
      <a:pPr>
        <a:defRPr/>
      </a:pPr>
      <a:endParaRPr lang="fr-F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'Rackets par region'!$A$3</c:f>
              <c:strCache>
                <c:ptCount val="1"/>
                <c:pt idx="0">
                  <c:v>Cas de paiement (rakets)</c:v>
                </c:pt>
              </c:strCache>
            </c:strRef>
          </c:tx>
          <c:spPr>
            <a:solidFill>
              <a:schemeClr val="accent2">
                <a:lumMod val="75000"/>
              </a:schemeClr>
            </a:solidFill>
            <a:ln>
              <a:solidFill>
                <a:schemeClr val="tx1"/>
              </a:solidFill>
            </a:ln>
            <a:effectLst/>
          </c:spPr>
          <c:invertIfNegative val="0"/>
          <c:dLbls>
            <c:dLbl>
              <c:idx val="1"/>
              <c:layout>
                <c:manualLayout>
                  <c:x val="-1.4945327755157009E-3"/>
                  <c:y val="8.5433019839744693E-3"/>
                </c:manualLayout>
              </c:layout>
              <c:dLblPos val="outEnd"/>
              <c:showLegendKey val="0"/>
              <c:showVal val="1"/>
              <c:showCatName val="0"/>
              <c:showSerName val="0"/>
              <c:showPercent val="0"/>
              <c:showBubbleSize val="0"/>
              <c:extLst>
                <c:ext xmlns:c15="http://schemas.microsoft.com/office/drawing/2012/chart" uri="{CE6537A1-D6FC-4f65-9D91-7224C49458BB}"/>
              </c:extLst>
            </c:dLbl>
            <c:spPr>
              <a:solidFill>
                <a:schemeClr val="accent3">
                  <a:lumMod val="20000"/>
                  <a:lumOff val="80000"/>
                </a:schemeClr>
              </a:solidFill>
              <a:ln>
                <a:solidFill>
                  <a:schemeClr val="accent3">
                    <a:lumMod val="75000"/>
                  </a:schemeClr>
                </a:solidFill>
              </a:ln>
              <a:effectLst/>
            </c:spPr>
            <c:txPr>
              <a:bodyPr rot="0" spcFirstLastPara="1" vertOverflow="ellipsis" vert="horz" wrap="square" lIns="38100" tIns="19050" rIns="38100" bIns="19050" anchor="ctr" anchorCtr="1">
                <a:spAutoFit/>
              </a:bodyPr>
              <a:lstStyle/>
              <a:p>
                <a:pPr>
                  <a:defRPr sz="11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'Rackets par region'!$B$2:$E$2</c:f>
              <c:strCache>
                <c:ptCount val="4"/>
                <c:pt idx="0">
                  <c:v>CENTRE</c:v>
                </c:pt>
                <c:pt idx="1">
                  <c:v>CENTRE OUEST</c:v>
                </c:pt>
                <c:pt idx="2">
                  <c:v>CENTRE SUD</c:v>
                </c:pt>
                <c:pt idx="3">
                  <c:v>SAHEL</c:v>
                </c:pt>
              </c:strCache>
            </c:strRef>
          </c:cat>
          <c:val>
            <c:numRef>
              <c:f>'Rackets par region'!$B$3:$E$3</c:f>
              <c:numCache>
                <c:formatCode>General</c:formatCode>
                <c:ptCount val="4"/>
                <c:pt idx="0">
                  <c:v>111</c:v>
                </c:pt>
                <c:pt idx="1">
                  <c:v>27</c:v>
                </c:pt>
                <c:pt idx="2">
                  <c:v>9</c:v>
                </c:pt>
                <c:pt idx="3">
                  <c:v>6</c:v>
                </c:pt>
              </c:numCache>
            </c:numRef>
          </c:val>
        </c:ser>
        <c:dLbls>
          <c:dLblPos val="outEnd"/>
          <c:showLegendKey val="0"/>
          <c:showVal val="1"/>
          <c:showCatName val="0"/>
          <c:showSerName val="0"/>
          <c:showPercent val="0"/>
          <c:showBubbleSize val="0"/>
        </c:dLbls>
        <c:gapWidth val="219"/>
        <c:overlap val="-27"/>
        <c:axId val="179205632"/>
        <c:axId val="123365056"/>
      </c:barChart>
      <c:catAx>
        <c:axId val="1792056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fr-FR"/>
          </a:p>
        </c:txPr>
        <c:crossAx val="123365056"/>
        <c:crosses val="autoZero"/>
        <c:auto val="1"/>
        <c:lblAlgn val="ctr"/>
        <c:lblOffset val="100"/>
        <c:noMultiLvlLbl val="0"/>
      </c:catAx>
      <c:valAx>
        <c:axId val="12336505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fr-FR"/>
          </a:p>
        </c:txPr>
        <c:crossAx val="179205632"/>
        <c:crosses val="autoZero"/>
        <c:crossBetween val="between"/>
      </c:valAx>
      <c:spPr>
        <a:noFill/>
        <a:ln>
          <a:noFill/>
        </a:ln>
        <a:effectLst/>
      </c:spPr>
    </c:plotArea>
    <c:plotVisOnly val="1"/>
    <c:dispBlanksAs val="gap"/>
    <c:showDLblsOverMax val="0"/>
  </c:chart>
  <c:spPr>
    <a:noFill/>
    <a:ln>
      <a:noFill/>
    </a:ln>
    <a:effectLst/>
  </c:spPr>
  <c:txPr>
    <a:bodyPr/>
    <a:lstStyle/>
    <a:p>
      <a:pPr>
        <a:defRPr/>
      </a:pPr>
      <a:endParaRPr lang="fr-F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'Rackets par mois'!$A$4</c:f>
              <c:strCache>
                <c:ptCount val="1"/>
                <c:pt idx="0">
                  <c:v>Cas de paiement (rakets)</c:v>
                </c:pt>
              </c:strCache>
            </c:strRef>
          </c:tx>
          <c:spPr>
            <a:ln w="28575" cap="rnd">
              <a:solidFill>
                <a:schemeClr val="tx1"/>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fr-FR"/>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'Rackets par mois'!$B$3:$G$3</c:f>
              <c:strCache>
                <c:ptCount val="6"/>
                <c:pt idx="0">
                  <c:v>SEPT</c:v>
                </c:pt>
                <c:pt idx="1">
                  <c:v>OCT</c:v>
                </c:pt>
                <c:pt idx="2">
                  <c:v>NOV</c:v>
                </c:pt>
                <c:pt idx="3">
                  <c:v>DEC</c:v>
                </c:pt>
                <c:pt idx="4">
                  <c:v>JANV</c:v>
                </c:pt>
                <c:pt idx="5">
                  <c:v>FEVR</c:v>
                </c:pt>
              </c:strCache>
            </c:strRef>
          </c:cat>
          <c:val>
            <c:numRef>
              <c:f>'Rackets par mois'!$B$4:$G$4</c:f>
              <c:numCache>
                <c:formatCode>General</c:formatCode>
                <c:ptCount val="6"/>
                <c:pt idx="0">
                  <c:v>45</c:v>
                </c:pt>
                <c:pt idx="1">
                  <c:v>39</c:v>
                </c:pt>
                <c:pt idx="2">
                  <c:v>26</c:v>
                </c:pt>
                <c:pt idx="3">
                  <c:v>12</c:v>
                </c:pt>
                <c:pt idx="4">
                  <c:v>13</c:v>
                </c:pt>
                <c:pt idx="5">
                  <c:v>18</c:v>
                </c:pt>
              </c:numCache>
            </c:numRef>
          </c:val>
          <c:smooth val="0"/>
        </c:ser>
        <c:dLbls>
          <c:showLegendKey val="0"/>
          <c:showVal val="0"/>
          <c:showCatName val="0"/>
          <c:showSerName val="0"/>
          <c:showPercent val="0"/>
          <c:showBubbleSize val="0"/>
        </c:dLbls>
        <c:marker val="1"/>
        <c:smooth val="0"/>
        <c:axId val="179204608"/>
        <c:axId val="123366784"/>
      </c:lineChart>
      <c:catAx>
        <c:axId val="17920460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fr-FR"/>
          </a:p>
        </c:txPr>
        <c:crossAx val="123366784"/>
        <c:crosses val="autoZero"/>
        <c:auto val="1"/>
        <c:lblAlgn val="ctr"/>
        <c:lblOffset val="100"/>
        <c:noMultiLvlLbl val="0"/>
      </c:catAx>
      <c:valAx>
        <c:axId val="12336678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fr-FR"/>
          </a:p>
        </c:txPr>
        <c:crossAx val="179204608"/>
        <c:crosses val="autoZero"/>
        <c:crossBetween val="between"/>
      </c:valAx>
      <c:spPr>
        <a:noFill/>
        <a:ln>
          <a:noFill/>
        </a:ln>
        <a:effectLst/>
      </c:spPr>
    </c:plotArea>
    <c:plotVisOnly val="1"/>
    <c:dispBlanksAs val="gap"/>
    <c:showDLblsOverMax val="0"/>
  </c:chart>
  <c:spPr>
    <a:noFill/>
    <a:ln>
      <a:noFill/>
    </a:ln>
    <a:effectLst/>
  </c:spPr>
  <c:txPr>
    <a:bodyPr/>
    <a:lstStyle/>
    <a:p>
      <a:pPr>
        <a:defRPr/>
      </a:pPr>
      <a:endParaRPr lang="fr-FR"/>
    </a:p>
  </c:txPr>
  <c:externalData r:id="rId1">
    <c:autoUpdate val="0"/>
  </c:externalData>
  <c:userShapes r:id="rId2"/>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fr-FR"/>
  <c:roundedCorners val="1"/>
  <mc:AlternateContent xmlns:mc="http://schemas.openxmlformats.org/markup-compatibility/2006">
    <mc:Choice xmlns:c14="http://schemas.microsoft.com/office/drawing/2007/8/2/chart" Requires="c14">
      <c14:style val="135"/>
    </mc:Choice>
    <mc:Fallback>
      <c:style val="35"/>
    </mc:Fallback>
  </mc:AlternateContent>
  <c:chart>
    <c:autoTitleDeleted val="1"/>
    <c:plotArea>
      <c:layout/>
      <c:lineChart>
        <c:grouping val="standard"/>
        <c:varyColors val="0"/>
        <c:ser>
          <c:idx val="0"/>
          <c:order val="0"/>
          <c:tx>
            <c:strRef>
              <c:f>Feuil1!$B$140</c:f>
              <c:strCache>
                <c:ptCount val="1"/>
                <c:pt idx="0">
                  <c:v>Tx d'effectivité</c:v>
                </c:pt>
              </c:strCache>
            </c:strRef>
          </c:tx>
          <c:spPr>
            <a:ln>
              <a:solidFill>
                <a:schemeClr val="accent3">
                  <a:lumMod val="50000"/>
                </a:schemeClr>
              </a:solidFill>
            </a:ln>
          </c:spPr>
          <c:marker>
            <c:symbol val="none"/>
          </c:marker>
          <c:dPt>
            <c:idx val="6"/>
            <c:bubble3D val="0"/>
          </c:dPt>
          <c:dLbls>
            <c:spPr>
              <a:noFill/>
              <a:ln>
                <a:noFill/>
              </a:ln>
              <a:effectLst/>
            </c:spPr>
            <c:txPr>
              <a:bodyPr rot="0" vert="horz"/>
              <a:lstStyle/>
              <a:p>
                <a:pPr>
                  <a:defRPr sz="1100"/>
                </a:pPr>
                <a:endParaRPr lang="fr-FR"/>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trendline>
            <c:trendlineType val="linear"/>
            <c:dispRSqr val="0"/>
            <c:dispEq val="0"/>
          </c:trendline>
          <c:cat>
            <c:strRef>
              <c:f>Feuil1!$A$141:$A$147</c:f>
              <c:strCache>
                <c:ptCount val="7"/>
                <c:pt idx="0">
                  <c:v>CTR 1</c:v>
                </c:pt>
                <c:pt idx="1">
                  <c:v>CTR 2</c:v>
                </c:pt>
                <c:pt idx="2">
                  <c:v>CTR 3</c:v>
                </c:pt>
                <c:pt idx="3">
                  <c:v>CTR 4</c:v>
                </c:pt>
                <c:pt idx="4">
                  <c:v>CTR 5</c:v>
                </c:pt>
                <c:pt idx="5">
                  <c:v>CTR 6</c:v>
                </c:pt>
                <c:pt idx="6">
                  <c:v>TOTAL CTR</c:v>
                </c:pt>
              </c:strCache>
            </c:strRef>
          </c:cat>
          <c:val>
            <c:numRef>
              <c:f>Feuil1!$B$141:$B$147</c:f>
              <c:numCache>
                <c:formatCode>0.00%</c:formatCode>
                <c:ptCount val="7"/>
                <c:pt idx="0">
                  <c:v>0.96107211231652845</c:v>
                </c:pt>
                <c:pt idx="1">
                  <c:v>0.96745788667687593</c:v>
                </c:pt>
                <c:pt idx="2">
                  <c:v>0.92228644829800899</c:v>
                </c:pt>
                <c:pt idx="3">
                  <c:v>0.97580645161290325</c:v>
                </c:pt>
                <c:pt idx="4">
                  <c:v>0.96855345911949686</c:v>
                </c:pt>
                <c:pt idx="5">
                  <c:v>0.92125550660792954</c:v>
                </c:pt>
                <c:pt idx="6">
                  <c:v>0.9511171719290884</c:v>
                </c:pt>
              </c:numCache>
            </c:numRef>
          </c:val>
          <c:smooth val="0"/>
        </c:ser>
        <c:ser>
          <c:idx val="1"/>
          <c:order val="1"/>
          <c:tx>
            <c:strRef>
              <c:f>Feuil1!$C$140</c:f>
              <c:strCache>
                <c:ptCount val="1"/>
                <c:pt idx="0">
                  <c:v>Tx de Malversation</c:v>
                </c:pt>
              </c:strCache>
            </c:strRef>
          </c:tx>
          <c:spPr>
            <a:ln>
              <a:solidFill>
                <a:schemeClr val="accent1"/>
              </a:solidFill>
            </a:ln>
          </c:spPr>
          <c:marker>
            <c:symbol val="none"/>
          </c:marker>
          <c:dLbls>
            <c:spPr>
              <a:noFill/>
              <a:ln>
                <a:noFill/>
              </a:ln>
              <a:effectLst/>
            </c:spPr>
            <c:txPr>
              <a:bodyPr rot="0" vert="horz"/>
              <a:lstStyle/>
              <a:p>
                <a:pPr>
                  <a:defRPr/>
                </a:pPr>
                <a:endParaRPr lang="fr-FR"/>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strRef>
              <c:f>Feuil1!$A$141:$A$147</c:f>
              <c:strCache>
                <c:ptCount val="7"/>
                <c:pt idx="0">
                  <c:v>CTR 1</c:v>
                </c:pt>
                <c:pt idx="1">
                  <c:v>CTR 2</c:v>
                </c:pt>
                <c:pt idx="2">
                  <c:v>CTR 3</c:v>
                </c:pt>
                <c:pt idx="3">
                  <c:v>CTR 4</c:v>
                </c:pt>
                <c:pt idx="4">
                  <c:v>CTR 5</c:v>
                </c:pt>
                <c:pt idx="5">
                  <c:v>CTR 6</c:v>
                </c:pt>
                <c:pt idx="6">
                  <c:v>TOTAL CTR</c:v>
                </c:pt>
              </c:strCache>
            </c:strRef>
          </c:cat>
          <c:val>
            <c:numRef>
              <c:f>Feuil1!$C$141:$C$147</c:f>
              <c:numCache>
                <c:formatCode>0.00%</c:formatCode>
                <c:ptCount val="7"/>
                <c:pt idx="0">
                  <c:v>4.467134652201659E-2</c:v>
                </c:pt>
                <c:pt idx="1">
                  <c:v>4.2113323124042881E-2</c:v>
                </c:pt>
                <c:pt idx="2">
                  <c:v>8.0924855491329481E-2</c:v>
                </c:pt>
                <c:pt idx="3">
                  <c:v>3.1105990783410139E-2</c:v>
                </c:pt>
                <c:pt idx="4">
                  <c:v>3.7735849056603772E-2</c:v>
                </c:pt>
                <c:pt idx="5">
                  <c:v>8.4801762114537452E-2</c:v>
                </c:pt>
                <c:pt idx="6">
                  <c:v>5.5491450750026226E-2</c:v>
                </c:pt>
              </c:numCache>
            </c:numRef>
          </c:val>
          <c:smooth val="0"/>
        </c:ser>
        <c:dLbls>
          <c:dLblPos val="ctr"/>
          <c:showLegendKey val="0"/>
          <c:showVal val="1"/>
          <c:showCatName val="0"/>
          <c:showSerName val="0"/>
          <c:showPercent val="0"/>
          <c:showBubbleSize val="0"/>
        </c:dLbls>
        <c:marker val="1"/>
        <c:smooth val="0"/>
        <c:axId val="135671808"/>
        <c:axId val="123368512"/>
      </c:lineChart>
      <c:catAx>
        <c:axId val="135671808"/>
        <c:scaling>
          <c:orientation val="minMax"/>
        </c:scaling>
        <c:delete val="0"/>
        <c:axPos val="b"/>
        <c:numFmt formatCode="General" sourceLinked="1"/>
        <c:majorTickMark val="none"/>
        <c:minorTickMark val="none"/>
        <c:tickLblPos val="nextTo"/>
        <c:txPr>
          <a:bodyPr rot="-60000000" vert="horz"/>
          <a:lstStyle/>
          <a:p>
            <a:pPr>
              <a:defRPr/>
            </a:pPr>
            <a:endParaRPr lang="fr-FR"/>
          </a:p>
        </c:txPr>
        <c:crossAx val="123368512"/>
        <c:crosses val="autoZero"/>
        <c:auto val="1"/>
        <c:lblAlgn val="ctr"/>
        <c:lblOffset val="100"/>
        <c:noMultiLvlLbl val="0"/>
      </c:catAx>
      <c:valAx>
        <c:axId val="123368512"/>
        <c:scaling>
          <c:orientation val="minMax"/>
        </c:scaling>
        <c:delete val="0"/>
        <c:axPos val="l"/>
        <c:majorGridlines/>
        <c:numFmt formatCode="0.00%" sourceLinked="1"/>
        <c:majorTickMark val="none"/>
        <c:minorTickMark val="none"/>
        <c:tickLblPos val="nextTo"/>
        <c:txPr>
          <a:bodyPr rot="-60000000" vert="horz"/>
          <a:lstStyle/>
          <a:p>
            <a:pPr>
              <a:defRPr/>
            </a:pPr>
            <a:endParaRPr lang="fr-FR"/>
          </a:p>
        </c:txPr>
        <c:crossAx val="135671808"/>
        <c:crosses val="autoZero"/>
        <c:crossBetween val="between"/>
      </c:valAx>
      <c:spPr>
        <a:solidFill>
          <a:schemeClr val="bg1"/>
        </a:solidFill>
      </c:spPr>
    </c:plotArea>
    <c:legend>
      <c:legendPos val="b"/>
      <c:legendEntry>
        <c:idx val="2"/>
        <c:delete val="1"/>
      </c:legendEntry>
      <c:overlay val="0"/>
      <c:txPr>
        <a:bodyPr rot="0" vert="horz"/>
        <a:lstStyle/>
        <a:p>
          <a:pPr>
            <a:defRPr/>
          </a:pPr>
          <a:endParaRPr lang="fr-FR"/>
        </a:p>
      </c:txPr>
    </c:legend>
    <c:plotVisOnly val="1"/>
    <c:dispBlanksAs val="gap"/>
    <c:showDLblsOverMax val="0"/>
  </c:chart>
  <c:spPr>
    <a:blipFill dpi="0" rotWithShape="1">
      <a:blip xmlns:r="http://schemas.openxmlformats.org/officeDocument/2006/relationships" r:embed="rId1">
        <a:alphaModFix amt="50000"/>
      </a:blip>
      <a:srcRect/>
      <a:tile tx="0" ty="0" sx="100000" sy="100000" flip="none" algn="tl"/>
    </a:blipFill>
    <a:ln w="38100"/>
  </c:spPr>
  <c:externalData r:id="rId2">
    <c:autoUpdate val="0"/>
  </c:externalData>
</c:chartSpace>
</file>

<file path=word/drawings/drawing1.xml><?xml version="1.0" encoding="utf-8"?>
<c:userShapes xmlns:c="http://schemas.openxmlformats.org/drawingml/2006/chart">
  <cdr:relSizeAnchor xmlns:cdr="http://schemas.openxmlformats.org/drawingml/2006/chartDrawing">
    <cdr:from>
      <cdr:x>0.54999</cdr:x>
      <cdr:y>0.16194</cdr:y>
    </cdr:from>
    <cdr:to>
      <cdr:x>0.90336</cdr:x>
      <cdr:y>0.43269</cdr:y>
    </cdr:to>
    <cdr:sp macro="" textlink="">
      <cdr:nvSpPr>
        <cdr:cNvPr id="2" name="Ellipse 1"/>
        <cdr:cNvSpPr/>
      </cdr:nvSpPr>
      <cdr:spPr>
        <a:xfrm xmlns:a="http://schemas.openxmlformats.org/drawingml/2006/main">
          <a:off x="4753223" y="698872"/>
          <a:ext cx="3053965" cy="1168474"/>
        </a:xfrm>
        <a:prstGeom xmlns:a="http://schemas.openxmlformats.org/drawingml/2006/main" prst="ellipse">
          <a:avLst/>
        </a:prstGeom>
        <a:pattFill xmlns:a="http://schemas.openxmlformats.org/drawingml/2006/main" prst="pct5">
          <a:fgClr>
            <a:schemeClr val="accent1"/>
          </a:fgClr>
          <a:bgClr>
            <a:schemeClr val="bg1"/>
          </a:bgClr>
        </a:pattFill>
      </cdr:spPr>
      <cdr:style>
        <a:lnRef xmlns:a="http://schemas.openxmlformats.org/drawingml/2006/main" idx="1">
          <a:schemeClr val="accent1"/>
        </a:lnRef>
        <a:fillRef xmlns:a="http://schemas.openxmlformats.org/drawingml/2006/main" idx="3">
          <a:schemeClr val="accent1"/>
        </a:fillRef>
        <a:effectRef xmlns:a="http://schemas.openxmlformats.org/drawingml/2006/main" idx="2">
          <a:schemeClr val="accent1"/>
        </a:effectRef>
        <a:fontRef xmlns:a="http://schemas.openxmlformats.org/drawingml/2006/main" idx="minor">
          <a:schemeClr val="lt1"/>
        </a:fontRef>
      </cdr:style>
      <cdr:txBody>
        <a:bodyPr xmlns:a="http://schemas.openxmlformats.org/drawingml/2006/main" rtlCol="0" anchor="ctr"/>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pPr algn="ctr"/>
          <a:r>
            <a:rPr lang="fr-CH" sz="1400" dirty="0" smtClean="0">
              <a:solidFill>
                <a:schemeClr val="tx1"/>
              </a:solidFill>
            </a:rPr>
            <a:t>Total </a:t>
          </a:r>
          <a:r>
            <a:rPr lang="fr-CH" sz="1400" dirty="0">
              <a:solidFill>
                <a:schemeClr val="tx1"/>
              </a:solidFill>
            </a:rPr>
            <a:t>=</a:t>
          </a:r>
          <a:r>
            <a:rPr lang="fr-CH" sz="1400" dirty="0" smtClean="0">
              <a:solidFill>
                <a:schemeClr val="tx1"/>
              </a:solidFill>
            </a:rPr>
            <a:t> 153</a:t>
          </a:r>
          <a:endParaRPr lang="fr-CH" sz="1400" dirty="0"/>
        </a:p>
      </cdr:txBody>
    </cdr:sp>
  </cdr:relSizeAnchor>
</c:userShape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46F2CA-8802-4877-93CE-66E98CA908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5015</Words>
  <Characters>27584</Characters>
  <Application>Microsoft Office Word</Application>
  <DocSecurity>0</DocSecurity>
  <Lines>229</Lines>
  <Paragraphs>65</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32534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Bigeard, Mr Alexis - bf</cp:lastModifiedBy>
  <cp:revision>2</cp:revision>
  <dcterms:created xsi:type="dcterms:W3CDTF">2017-09-21T12:33:00Z</dcterms:created>
  <dcterms:modified xsi:type="dcterms:W3CDTF">2017-09-21T12:33:00Z</dcterms:modified>
</cp:coreProperties>
</file>