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F97EECA" w14:textId="77777777" w:rsidR="006A524A" w:rsidRPr="000E1BB1" w:rsidRDefault="000E1BB1" w:rsidP="000E1BB1">
      <w:pPr>
        <w:pStyle w:val="Titre1"/>
        <w:pBdr>
          <w:top w:val="single" w:sz="4" w:space="1" w:color="auto" w:shadow="1"/>
          <w:left w:val="single" w:sz="4" w:space="4" w:color="auto" w:shadow="1"/>
          <w:bottom w:val="single" w:sz="4" w:space="1" w:color="auto" w:shadow="1"/>
          <w:right w:val="single" w:sz="4" w:space="4" w:color="auto" w:shadow="1"/>
        </w:pBdr>
        <w:spacing w:before="120"/>
        <w:jc w:val="center"/>
        <w:rPr>
          <w:sz w:val="22"/>
        </w:rPr>
      </w:pPr>
      <w:r w:rsidRPr="000E1BB1">
        <w:rPr>
          <w:sz w:val="22"/>
        </w:rPr>
        <w:t>RENCONTRE MINISTRE DE LA SANTE – PARTENAIRES TECHNIQUES ET FINANCIER DU DOMAINE DE LA SANTE</w:t>
      </w:r>
    </w:p>
    <w:p w14:paraId="12B092D4" w14:textId="77777777" w:rsidR="000E1BB1" w:rsidRPr="000E1BB1" w:rsidRDefault="000E1BB1" w:rsidP="000E1BB1">
      <w:pPr>
        <w:jc w:val="center"/>
        <w:rPr>
          <w:b/>
          <w:i/>
          <w:color w:val="FF0000"/>
        </w:rPr>
      </w:pPr>
      <w:r w:rsidRPr="000E1BB1">
        <w:rPr>
          <w:rFonts w:ascii="Tahoma" w:hAnsi="Tahoma" w:cs="Tahoma"/>
          <w:b/>
          <w:i/>
          <w:color w:val="FF0000"/>
        </w:rPr>
        <w:t>Thématique : Disponibilité permanente des médicaments et autres produits de santé (et gratuité des soins)</w:t>
      </w:r>
    </w:p>
    <w:p w14:paraId="1AFD8185" w14:textId="6A5D7424" w:rsidR="0067044F" w:rsidRPr="006A1541" w:rsidRDefault="0067044F" w:rsidP="00E515AB">
      <w:pPr>
        <w:jc w:val="both"/>
        <w:rPr>
          <w:rFonts w:ascii="Arial" w:hAnsi="Arial" w:cs="Arial"/>
          <w:sz w:val="24"/>
          <w:szCs w:val="24"/>
        </w:rPr>
      </w:pPr>
      <w:r w:rsidRPr="006A1541">
        <w:rPr>
          <w:rFonts w:ascii="Arial" w:hAnsi="Arial" w:cs="Arial"/>
          <w:sz w:val="24"/>
          <w:szCs w:val="24"/>
        </w:rPr>
        <w:t xml:space="preserve">Le gouvernement, dans le cadre de ses engagements, a </w:t>
      </w:r>
      <w:r w:rsidR="00E515AB" w:rsidRPr="006A1541">
        <w:rPr>
          <w:rFonts w:ascii="Arial" w:hAnsi="Arial" w:cs="Arial"/>
          <w:sz w:val="24"/>
          <w:szCs w:val="24"/>
        </w:rPr>
        <w:t>lancé le 02</w:t>
      </w:r>
      <w:r w:rsidRPr="006A1541">
        <w:rPr>
          <w:rFonts w:ascii="Arial" w:hAnsi="Arial" w:cs="Arial"/>
          <w:sz w:val="24"/>
          <w:szCs w:val="24"/>
        </w:rPr>
        <w:t xml:space="preserve"> avril 2016 des mesures de gratuité des soins pour les femmes enceintes</w:t>
      </w:r>
      <w:r w:rsidR="00E515AB" w:rsidRPr="006A1541">
        <w:rPr>
          <w:rFonts w:ascii="Arial" w:hAnsi="Arial" w:cs="Arial"/>
          <w:sz w:val="24"/>
          <w:szCs w:val="24"/>
        </w:rPr>
        <w:t>, les femmes en post-partum jusqu’à 42 jours, les femmes ayant des fistules</w:t>
      </w:r>
      <w:r w:rsidRPr="006A1541">
        <w:rPr>
          <w:rFonts w:ascii="Arial" w:hAnsi="Arial" w:cs="Arial"/>
          <w:sz w:val="24"/>
          <w:szCs w:val="24"/>
        </w:rPr>
        <w:t xml:space="preserve"> et les enfants de moins de 5 ans. </w:t>
      </w:r>
      <w:r w:rsidR="00E515AB" w:rsidRPr="006A1541">
        <w:rPr>
          <w:rFonts w:ascii="Arial" w:hAnsi="Arial" w:cs="Arial"/>
          <w:sz w:val="24"/>
          <w:szCs w:val="24"/>
        </w:rPr>
        <w:t>Un panier de soins, reparti entre les prestations, les biens et services, a été défini. Cette initiative, louable, a pour but d’accélérer la réduction de la mortalité maternelle et infantile. De ce f</w:t>
      </w:r>
      <w:r w:rsidR="00300A85">
        <w:rPr>
          <w:rFonts w:ascii="Arial" w:hAnsi="Arial" w:cs="Arial"/>
          <w:sz w:val="24"/>
          <w:szCs w:val="24"/>
        </w:rPr>
        <w:t xml:space="preserve">ait, de nombreux efforts, tant </w:t>
      </w:r>
      <w:bookmarkStart w:id="0" w:name="_GoBack"/>
      <w:bookmarkEnd w:id="0"/>
      <w:r w:rsidR="00300A85">
        <w:rPr>
          <w:rFonts w:ascii="Arial" w:hAnsi="Arial" w:cs="Arial"/>
          <w:sz w:val="24"/>
          <w:szCs w:val="24"/>
        </w:rPr>
        <w:t>a</w:t>
      </w:r>
      <w:r w:rsidR="00E515AB" w:rsidRPr="006A1541">
        <w:rPr>
          <w:rFonts w:ascii="Arial" w:hAnsi="Arial" w:cs="Arial"/>
          <w:sz w:val="24"/>
          <w:szCs w:val="24"/>
        </w:rPr>
        <w:t xml:space="preserve">u niveau organisationnel, institutionnel et technique, ont été déployés. Le financement a été assuré à plus de 90% par le budget de l’Etat. </w:t>
      </w:r>
    </w:p>
    <w:p w14:paraId="0A5E8F21" w14:textId="77777777" w:rsidR="00F6760D" w:rsidRPr="006A1541" w:rsidRDefault="00E515AB" w:rsidP="00F6760D">
      <w:pPr>
        <w:jc w:val="both"/>
        <w:rPr>
          <w:rFonts w:ascii="Arial" w:hAnsi="Arial" w:cs="Arial"/>
          <w:sz w:val="24"/>
          <w:szCs w:val="24"/>
        </w:rPr>
      </w:pPr>
      <w:r w:rsidRPr="006A1541">
        <w:rPr>
          <w:rFonts w:ascii="Arial" w:hAnsi="Arial" w:cs="Arial"/>
          <w:sz w:val="24"/>
          <w:szCs w:val="24"/>
        </w:rPr>
        <w:t>Au cours de</w:t>
      </w:r>
      <w:r w:rsidR="00C63524" w:rsidRPr="006A1541">
        <w:rPr>
          <w:rFonts w:ascii="Arial" w:hAnsi="Arial" w:cs="Arial"/>
          <w:sz w:val="24"/>
          <w:szCs w:val="24"/>
        </w:rPr>
        <w:t>s</w:t>
      </w:r>
      <w:r w:rsidRPr="006A1541">
        <w:rPr>
          <w:rFonts w:ascii="Arial" w:hAnsi="Arial" w:cs="Arial"/>
          <w:sz w:val="24"/>
          <w:szCs w:val="24"/>
        </w:rPr>
        <w:t xml:space="preserve"> différents bilans réalisés, </w:t>
      </w:r>
      <w:r w:rsidR="0067044F" w:rsidRPr="006A1541">
        <w:rPr>
          <w:rFonts w:ascii="Arial" w:hAnsi="Arial" w:cs="Arial"/>
          <w:sz w:val="24"/>
          <w:szCs w:val="24"/>
        </w:rPr>
        <w:t xml:space="preserve">il ressort </w:t>
      </w:r>
      <w:r w:rsidRPr="006A1541">
        <w:rPr>
          <w:rFonts w:ascii="Arial" w:hAnsi="Arial" w:cs="Arial"/>
          <w:sz w:val="24"/>
          <w:szCs w:val="24"/>
        </w:rPr>
        <w:t xml:space="preserve">(i) </w:t>
      </w:r>
      <w:r w:rsidR="0067044F" w:rsidRPr="006A1541">
        <w:rPr>
          <w:rFonts w:ascii="Arial" w:hAnsi="Arial" w:cs="Arial"/>
          <w:sz w:val="24"/>
          <w:szCs w:val="24"/>
        </w:rPr>
        <w:t>que le nombre de nouveaux contacts chez les enfants de moins de 5 ans a quasiment doublé dès la mise en œuvre des mesures de gratuité des soins</w:t>
      </w:r>
      <w:r w:rsidR="00F6760D" w:rsidRPr="006A1541">
        <w:rPr>
          <w:rFonts w:ascii="Arial" w:hAnsi="Arial" w:cs="Arial"/>
          <w:sz w:val="24"/>
          <w:szCs w:val="24"/>
        </w:rPr>
        <w:t xml:space="preserve">, (ii) et que l’offre de soins aux femmes est en constante augmentation. </w:t>
      </w:r>
      <w:r w:rsidR="00F05832" w:rsidRPr="006A1541">
        <w:rPr>
          <w:rFonts w:ascii="Arial" w:hAnsi="Arial" w:cs="Arial"/>
          <w:sz w:val="24"/>
          <w:szCs w:val="24"/>
        </w:rPr>
        <w:t xml:space="preserve">L’évaluation commanditée par le ministère de la santé auprès d’instituts de recherche montre que la gratuité a eu un impact direct sur l’augmentation de la fréquentation des services de santé, sur la réduction des inégalités en matière d’accès aux services de santé et sur la réduction de la prévalence de la malnutrition chronique. Aussi, l’impact sur la morbidité et la mortalité </w:t>
      </w:r>
      <w:r w:rsidR="00A33C70" w:rsidRPr="006A1541">
        <w:rPr>
          <w:rFonts w:ascii="Arial" w:hAnsi="Arial" w:cs="Arial"/>
          <w:sz w:val="24"/>
          <w:szCs w:val="24"/>
        </w:rPr>
        <w:t xml:space="preserve">sera significatif lorsque les populations seront longtemps exposées à ses mesures. </w:t>
      </w:r>
    </w:p>
    <w:p w14:paraId="68A5A739" w14:textId="77777777" w:rsidR="000461BE" w:rsidRPr="006A1541" w:rsidRDefault="000461BE" w:rsidP="00F6760D">
      <w:pPr>
        <w:jc w:val="both"/>
        <w:rPr>
          <w:rFonts w:ascii="Arial" w:hAnsi="Arial" w:cs="Arial"/>
          <w:sz w:val="24"/>
          <w:szCs w:val="24"/>
        </w:rPr>
      </w:pPr>
      <w:r w:rsidRPr="006A1541">
        <w:rPr>
          <w:rFonts w:ascii="Arial" w:hAnsi="Arial" w:cs="Arial"/>
          <w:sz w:val="24"/>
          <w:szCs w:val="24"/>
        </w:rPr>
        <w:t xml:space="preserve">Or l’une des conditionnalités de la pérennisation de ces mesures est la qualité du service avec une bonne disponibilité des médicaments et des consommables médicaux. Le dernier bilan présenté par le ministère en juillet 2017 montre que les dépenses liées aux médicaments et consommables médicaux représentent 64,4% des dépenses totales au niveau des centres de santé. </w:t>
      </w:r>
      <w:r w:rsidR="00F91721" w:rsidRPr="006A1541">
        <w:rPr>
          <w:rFonts w:ascii="Arial" w:hAnsi="Arial" w:cs="Arial"/>
          <w:sz w:val="24"/>
          <w:szCs w:val="24"/>
        </w:rPr>
        <w:t xml:space="preserve">Ce bilan précise aussi qu’au premier semestre de 2017, le taux de rupture a oscillé entre 23% et 45% et </w:t>
      </w:r>
      <w:r w:rsidR="00961A04" w:rsidRPr="006A1541">
        <w:rPr>
          <w:rFonts w:ascii="Arial" w:hAnsi="Arial" w:cs="Arial"/>
          <w:sz w:val="24"/>
          <w:szCs w:val="24"/>
        </w:rPr>
        <w:t>celui</w:t>
      </w:r>
      <w:r w:rsidR="00F91721" w:rsidRPr="006A1541">
        <w:rPr>
          <w:rFonts w:ascii="Arial" w:hAnsi="Arial" w:cs="Arial"/>
          <w:sz w:val="24"/>
          <w:szCs w:val="24"/>
        </w:rPr>
        <w:t xml:space="preserve"> de </w:t>
      </w:r>
      <w:r w:rsidR="00961A04" w:rsidRPr="006A1541">
        <w:rPr>
          <w:rFonts w:ascii="Arial" w:hAnsi="Arial" w:cs="Arial"/>
          <w:sz w:val="24"/>
          <w:szCs w:val="24"/>
        </w:rPr>
        <w:t xml:space="preserve">la </w:t>
      </w:r>
      <w:r w:rsidR="00F91721" w:rsidRPr="006A1541">
        <w:rPr>
          <w:rFonts w:ascii="Arial" w:hAnsi="Arial" w:cs="Arial"/>
          <w:sz w:val="24"/>
          <w:szCs w:val="24"/>
        </w:rPr>
        <w:t xml:space="preserve">satisfaction </w:t>
      </w:r>
      <w:r w:rsidR="00961A04" w:rsidRPr="006A1541">
        <w:rPr>
          <w:rFonts w:ascii="Arial" w:hAnsi="Arial" w:cs="Arial"/>
          <w:sz w:val="24"/>
          <w:szCs w:val="24"/>
        </w:rPr>
        <w:t xml:space="preserve">des centres de santé en MEG était de 86% à 55%. </w:t>
      </w:r>
    </w:p>
    <w:p w14:paraId="360D256D" w14:textId="77777777" w:rsidR="00376FF3" w:rsidRPr="006A1541" w:rsidRDefault="00961A04" w:rsidP="00E515AB">
      <w:pPr>
        <w:jc w:val="both"/>
        <w:rPr>
          <w:rFonts w:ascii="Arial" w:hAnsi="Arial" w:cs="Arial"/>
          <w:sz w:val="24"/>
          <w:szCs w:val="24"/>
        </w:rPr>
      </w:pPr>
      <w:r w:rsidRPr="006A1541">
        <w:rPr>
          <w:rFonts w:ascii="Arial" w:hAnsi="Arial" w:cs="Arial"/>
          <w:sz w:val="24"/>
          <w:szCs w:val="24"/>
        </w:rPr>
        <w:t xml:space="preserve">Au-delà de ces constats rapportés par les évaluations, les prestataires et les patients se sont plaints régulièrement </w:t>
      </w:r>
      <w:proofErr w:type="gramStart"/>
      <w:r w:rsidRPr="006A1541">
        <w:rPr>
          <w:rFonts w:ascii="Arial" w:hAnsi="Arial" w:cs="Arial"/>
          <w:sz w:val="24"/>
          <w:szCs w:val="24"/>
        </w:rPr>
        <w:t>de la</w:t>
      </w:r>
      <w:proofErr w:type="gramEnd"/>
      <w:r w:rsidRPr="006A1541">
        <w:rPr>
          <w:rFonts w:ascii="Arial" w:hAnsi="Arial" w:cs="Arial"/>
          <w:sz w:val="24"/>
          <w:szCs w:val="24"/>
        </w:rPr>
        <w:t xml:space="preserve"> </w:t>
      </w:r>
      <w:r w:rsidR="00E07F17" w:rsidRPr="006A1541">
        <w:rPr>
          <w:rFonts w:ascii="Arial" w:hAnsi="Arial" w:cs="Arial"/>
          <w:sz w:val="24"/>
          <w:szCs w:val="24"/>
        </w:rPr>
        <w:t xml:space="preserve">non disponibilité des MEG au niveau des centres de santé. </w:t>
      </w:r>
      <w:r w:rsidR="00423D8E" w:rsidRPr="006A1541">
        <w:rPr>
          <w:rFonts w:ascii="Arial" w:hAnsi="Arial" w:cs="Arial"/>
          <w:sz w:val="24"/>
          <w:szCs w:val="24"/>
        </w:rPr>
        <w:t xml:space="preserve">L’évaluation conduite par l’IRSS montre </w:t>
      </w:r>
      <w:r w:rsidR="00376FF3" w:rsidRPr="006A1541">
        <w:rPr>
          <w:rFonts w:ascii="Arial" w:hAnsi="Arial" w:cs="Arial"/>
          <w:sz w:val="24"/>
          <w:szCs w:val="24"/>
        </w:rPr>
        <w:t xml:space="preserve">une subsistance des paiements directs par les ménages à hauteur de </w:t>
      </w:r>
      <w:r w:rsidR="00423D8E" w:rsidRPr="006A1541">
        <w:rPr>
          <w:rFonts w:ascii="Arial" w:hAnsi="Arial" w:cs="Arial"/>
          <w:sz w:val="24"/>
          <w:szCs w:val="24"/>
        </w:rPr>
        <w:t>9%</w:t>
      </w:r>
      <w:r w:rsidR="00376FF3" w:rsidRPr="006A1541">
        <w:rPr>
          <w:rFonts w:ascii="Arial" w:hAnsi="Arial" w:cs="Arial"/>
          <w:sz w:val="24"/>
          <w:szCs w:val="24"/>
        </w:rPr>
        <w:t>. Ces paiements directes concernent les produits d’entretien (42,4%), les médicaments et consommables médicaux (46,5%).</w:t>
      </w:r>
      <w:r w:rsidR="00423D8E" w:rsidRPr="006A1541">
        <w:rPr>
          <w:rFonts w:ascii="Arial" w:hAnsi="Arial" w:cs="Arial"/>
          <w:sz w:val="24"/>
          <w:szCs w:val="24"/>
        </w:rPr>
        <w:t xml:space="preserve"> </w:t>
      </w:r>
    </w:p>
    <w:p w14:paraId="316199C5" w14:textId="77777777" w:rsidR="00376FF3" w:rsidRDefault="00376FF3" w:rsidP="00E515AB">
      <w:pPr>
        <w:jc w:val="both"/>
        <w:rPr>
          <w:rFonts w:ascii="Arial" w:hAnsi="Arial" w:cs="Arial"/>
          <w:sz w:val="24"/>
          <w:szCs w:val="24"/>
        </w:rPr>
      </w:pPr>
      <w:r w:rsidRPr="006A1541">
        <w:rPr>
          <w:rFonts w:ascii="Arial" w:hAnsi="Arial" w:cs="Arial"/>
          <w:sz w:val="24"/>
          <w:szCs w:val="24"/>
        </w:rPr>
        <w:t>On note enfin que ce contexte a été fortement marqué par la crise administrative et politique de la CAMEG durant toute l’année 2016. La sortie de crise est intervenue en mars 2017. La nouvelle équipe de la CAMEG</w:t>
      </w:r>
      <w:r w:rsidR="006A1541" w:rsidRPr="006A1541">
        <w:rPr>
          <w:rFonts w:ascii="Arial" w:hAnsi="Arial" w:cs="Arial"/>
          <w:sz w:val="24"/>
          <w:szCs w:val="24"/>
        </w:rPr>
        <w:t xml:space="preserve"> et</w:t>
      </w:r>
      <w:r w:rsidRPr="006A1541">
        <w:rPr>
          <w:rFonts w:ascii="Arial" w:hAnsi="Arial" w:cs="Arial"/>
          <w:sz w:val="24"/>
          <w:szCs w:val="24"/>
        </w:rPr>
        <w:t xml:space="preserve"> les autorités du ministère de la santé </w:t>
      </w:r>
      <w:r w:rsidR="006A1541" w:rsidRPr="006A1541">
        <w:rPr>
          <w:rFonts w:ascii="Arial" w:hAnsi="Arial" w:cs="Arial"/>
          <w:sz w:val="24"/>
          <w:szCs w:val="24"/>
        </w:rPr>
        <w:t>ont engagé des actions pour ramener la situation à un niveau acceptable pour la disponibilité des intrants. A cet effet, un plan d’urgence de sécurisation des produits de santé a été mis en place en mi-avril 2017.</w:t>
      </w:r>
    </w:p>
    <w:p w14:paraId="0854E5E0" w14:textId="77777777" w:rsidR="00E9167B" w:rsidRDefault="006A1541" w:rsidP="00E515AB">
      <w:pPr>
        <w:jc w:val="both"/>
        <w:rPr>
          <w:rFonts w:ascii="Arial" w:hAnsi="Arial" w:cs="Arial"/>
          <w:sz w:val="24"/>
          <w:szCs w:val="24"/>
        </w:rPr>
      </w:pPr>
      <w:r>
        <w:rPr>
          <w:rFonts w:ascii="Arial" w:hAnsi="Arial" w:cs="Arial"/>
          <w:sz w:val="24"/>
          <w:szCs w:val="24"/>
        </w:rPr>
        <w:lastRenderedPageBreak/>
        <w:t>Cependant, jusqu’à la fin de l’année 2017, la polémique sur la question de la disponibilité des médicaments et autres produits de santé</w:t>
      </w:r>
      <w:r w:rsidR="00ED6D7D">
        <w:rPr>
          <w:rFonts w:ascii="Arial" w:hAnsi="Arial" w:cs="Arial"/>
          <w:sz w:val="24"/>
          <w:szCs w:val="24"/>
        </w:rPr>
        <w:t xml:space="preserve"> a persisté. L’amélioration de la satisfaction des besoins est restée oscillante. La sortie conjointe CAMEG</w:t>
      </w:r>
      <w:r w:rsidR="00E9167B">
        <w:rPr>
          <w:rFonts w:ascii="Arial" w:hAnsi="Arial" w:cs="Arial"/>
          <w:sz w:val="24"/>
          <w:szCs w:val="24"/>
        </w:rPr>
        <w:t>- ministère de la santé et partenaires techniques et financiers a permis de faire les constats</w:t>
      </w:r>
      <w:r w:rsidR="00DD2842">
        <w:rPr>
          <w:rFonts w:ascii="Arial" w:hAnsi="Arial" w:cs="Arial"/>
          <w:sz w:val="24"/>
          <w:szCs w:val="24"/>
        </w:rPr>
        <w:t xml:space="preserve">. Ces constats ont une influence sur la disponibilité des intrants. Il s’agit </w:t>
      </w:r>
      <w:r w:rsidR="00E9167B">
        <w:rPr>
          <w:rFonts w:ascii="Arial" w:hAnsi="Arial" w:cs="Arial"/>
          <w:sz w:val="24"/>
          <w:szCs w:val="24"/>
        </w:rPr>
        <w:t>:</w:t>
      </w:r>
    </w:p>
    <w:p w14:paraId="3C03648B" w14:textId="524CB5DA" w:rsidR="00E9167B" w:rsidRPr="00E9167B" w:rsidRDefault="00E9167B" w:rsidP="00E9167B">
      <w:pPr>
        <w:pStyle w:val="Paragraphedeliste"/>
        <w:numPr>
          <w:ilvl w:val="0"/>
          <w:numId w:val="2"/>
        </w:numPr>
        <w:jc w:val="both"/>
        <w:rPr>
          <w:rFonts w:ascii="Arial" w:hAnsi="Arial" w:cs="Arial"/>
          <w:b/>
        </w:rPr>
      </w:pPr>
      <w:r w:rsidRPr="00E9167B">
        <w:rPr>
          <w:rFonts w:ascii="Arial" w:hAnsi="Arial" w:cs="Arial"/>
        </w:rPr>
        <w:t>Une faible gouvernance et transparence du système national d’approvisionnement (un guide national des approvisionnements pharmaceutiques existe depuis 2009 mais il n’est pas actuellement utilisé par les acteurs</w:t>
      </w:r>
      <w:r>
        <w:rPr>
          <w:rFonts w:ascii="Arial" w:hAnsi="Arial" w:cs="Arial"/>
        </w:rPr>
        <w:t>)</w:t>
      </w:r>
      <w:r w:rsidRPr="00E9167B">
        <w:rPr>
          <w:rFonts w:ascii="Arial" w:hAnsi="Arial" w:cs="Arial"/>
        </w:rPr>
        <w:t>. Ainsi les rôles et attributions des différents acteurs ne sont pas clairement définis. Le processus de la commande, au niveau du circuit des recettes et des dépenses, les responsabilités ne sont pas clairement situés, le contrôle de gestion n’est plus régulier et il se fait uniquement au niveau des districts FBR, le compte d’exploitation mis à disposition n’est pas utilisé, il n’existe pas un cadre régulier de partage d’information sur la gestion du patrimoine en lien avec la vente des MEG, l’éligibilité d’une dépense est sous l’unique responsabilité du MCD ou de l’infirmier chef de poste, il n’existe pas de rapprochement du bilan financier avant les ventes effectives des MEG, il n’existe pas de commission de réception des commandes à tous les niveaux, il n’existe pas de contrôle à posteriori de l’utilisation du montant effectif d’un chèque ou d’un débl</w:t>
      </w:r>
      <w:r w:rsidR="00F30FD5">
        <w:rPr>
          <w:rFonts w:ascii="Arial" w:hAnsi="Arial" w:cs="Arial"/>
        </w:rPr>
        <w:t>ocage destiné à l’achat des MEG. Le processus pour une effectivité du SIGL intégré est en cours.</w:t>
      </w:r>
    </w:p>
    <w:p w14:paraId="6934FBBD" w14:textId="77777777" w:rsidR="00E9167B" w:rsidRPr="00E9167B" w:rsidRDefault="00E9167B" w:rsidP="00E9167B">
      <w:pPr>
        <w:pStyle w:val="Paragraphedeliste"/>
        <w:numPr>
          <w:ilvl w:val="0"/>
          <w:numId w:val="2"/>
        </w:numPr>
        <w:jc w:val="both"/>
        <w:rPr>
          <w:rFonts w:ascii="Arial" w:hAnsi="Arial" w:cs="Arial"/>
          <w:b/>
        </w:rPr>
      </w:pPr>
      <w:r w:rsidRPr="00E9167B">
        <w:rPr>
          <w:rFonts w:ascii="Arial" w:hAnsi="Arial" w:cs="Arial"/>
        </w:rPr>
        <w:t xml:space="preserve">Une Faible traçabilité du circuit de la dépense : les dépenses MEG et autres produits de santé utilisés pour le fonctionnement des services médicaux et paramédicaux au niveau du CMU ne sont pas pris en compte dans les dépenses effectives </w:t>
      </w:r>
    </w:p>
    <w:p w14:paraId="30AA7A4C" w14:textId="05A9AA89" w:rsidR="00E9167B" w:rsidRPr="00E9167B" w:rsidRDefault="00E9167B" w:rsidP="00E9167B">
      <w:pPr>
        <w:pStyle w:val="Paragraphedeliste"/>
        <w:numPr>
          <w:ilvl w:val="0"/>
          <w:numId w:val="2"/>
        </w:numPr>
        <w:jc w:val="both"/>
        <w:rPr>
          <w:rFonts w:ascii="Arial" w:hAnsi="Arial" w:cs="Arial"/>
          <w:b/>
        </w:rPr>
      </w:pPr>
      <w:r w:rsidRPr="00E9167B">
        <w:rPr>
          <w:rFonts w:ascii="Arial" w:hAnsi="Arial" w:cs="Arial"/>
        </w:rPr>
        <w:t xml:space="preserve">Une </w:t>
      </w:r>
      <w:r w:rsidR="00F30FD5">
        <w:rPr>
          <w:rFonts w:ascii="Arial" w:hAnsi="Arial" w:cs="Arial"/>
        </w:rPr>
        <w:t>insuffisance de</w:t>
      </w:r>
      <w:r w:rsidRPr="00E9167B">
        <w:rPr>
          <w:rFonts w:ascii="Arial" w:hAnsi="Arial" w:cs="Arial"/>
        </w:rPr>
        <w:t xml:space="preserve"> monitoring de la qualité des données de suivi de la disponibilité des MEG</w:t>
      </w:r>
    </w:p>
    <w:p w14:paraId="17227A06" w14:textId="77777777" w:rsidR="00E9167B" w:rsidRPr="00E9167B" w:rsidRDefault="00E9167B" w:rsidP="00E9167B">
      <w:pPr>
        <w:pStyle w:val="Paragraphedeliste"/>
        <w:numPr>
          <w:ilvl w:val="0"/>
          <w:numId w:val="2"/>
        </w:numPr>
        <w:jc w:val="both"/>
        <w:rPr>
          <w:rFonts w:ascii="Arial" w:hAnsi="Arial" w:cs="Arial"/>
          <w:b/>
        </w:rPr>
      </w:pPr>
      <w:r w:rsidRPr="00E9167B">
        <w:rPr>
          <w:rFonts w:ascii="Arial" w:hAnsi="Arial" w:cs="Arial"/>
        </w:rPr>
        <w:t>Une Absence de plan d’approvisionnement à tous les niveaux du système national d’approvisionnement</w:t>
      </w:r>
    </w:p>
    <w:p w14:paraId="20AFE570" w14:textId="6D530632" w:rsidR="00E9167B" w:rsidRPr="00E9167B" w:rsidRDefault="00E9167B" w:rsidP="00E9167B">
      <w:pPr>
        <w:pStyle w:val="Paragraphedeliste"/>
        <w:numPr>
          <w:ilvl w:val="0"/>
          <w:numId w:val="2"/>
        </w:numPr>
        <w:jc w:val="both"/>
        <w:rPr>
          <w:rFonts w:ascii="Arial" w:hAnsi="Arial" w:cs="Arial"/>
          <w:b/>
        </w:rPr>
      </w:pPr>
      <w:r w:rsidRPr="00E9167B">
        <w:rPr>
          <w:rFonts w:ascii="Arial" w:hAnsi="Arial" w:cs="Arial"/>
        </w:rPr>
        <w:t xml:space="preserve">Une </w:t>
      </w:r>
      <w:r w:rsidR="00F30FD5">
        <w:rPr>
          <w:rFonts w:ascii="Arial" w:hAnsi="Arial" w:cs="Arial"/>
        </w:rPr>
        <w:t>insuffisance dans la</w:t>
      </w:r>
      <w:r w:rsidRPr="00E9167B">
        <w:rPr>
          <w:rFonts w:ascii="Arial" w:hAnsi="Arial" w:cs="Arial"/>
        </w:rPr>
        <w:t xml:space="preserve"> quantification des besoins – elle se fait suivant « l’impression du gérant, de l’ICP ou du médecin chef ».</w:t>
      </w:r>
    </w:p>
    <w:p w14:paraId="1701C871" w14:textId="2521B0DD" w:rsidR="00E9167B" w:rsidRPr="00E9167B" w:rsidRDefault="00E9167B" w:rsidP="00E9167B">
      <w:pPr>
        <w:pStyle w:val="Paragraphedeliste"/>
        <w:numPr>
          <w:ilvl w:val="0"/>
          <w:numId w:val="2"/>
        </w:numPr>
        <w:jc w:val="both"/>
        <w:rPr>
          <w:rFonts w:ascii="Arial" w:hAnsi="Arial" w:cs="Arial"/>
          <w:b/>
        </w:rPr>
      </w:pPr>
      <w:proofErr w:type="gramStart"/>
      <w:r w:rsidRPr="00E9167B">
        <w:rPr>
          <w:rFonts w:ascii="Arial" w:hAnsi="Arial" w:cs="Arial"/>
        </w:rPr>
        <w:t>Une</w:t>
      </w:r>
      <w:proofErr w:type="gramEnd"/>
      <w:r w:rsidRPr="00E9167B">
        <w:rPr>
          <w:rFonts w:ascii="Arial" w:hAnsi="Arial" w:cs="Arial"/>
        </w:rPr>
        <w:t xml:space="preserve"> non harmonisation des méthodes de calcul de la satisfaction, du taux de la disponibilité ou des ruptures</w:t>
      </w:r>
      <w:r w:rsidR="00F30FD5">
        <w:rPr>
          <w:rFonts w:ascii="Arial" w:hAnsi="Arial" w:cs="Arial"/>
        </w:rPr>
        <w:t xml:space="preserve"> entre la CAMEG et la DGPML</w:t>
      </w:r>
      <w:r w:rsidRPr="00E9167B">
        <w:rPr>
          <w:rFonts w:ascii="Arial" w:hAnsi="Arial" w:cs="Arial"/>
        </w:rPr>
        <w:t xml:space="preserve"> </w:t>
      </w:r>
    </w:p>
    <w:p w14:paraId="3A7346DB" w14:textId="77777777" w:rsidR="00E9167B" w:rsidRPr="00E9167B" w:rsidRDefault="00E9167B" w:rsidP="00E9167B">
      <w:pPr>
        <w:pStyle w:val="Paragraphedeliste"/>
        <w:numPr>
          <w:ilvl w:val="0"/>
          <w:numId w:val="2"/>
        </w:numPr>
        <w:jc w:val="both"/>
        <w:rPr>
          <w:rFonts w:ascii="Arial" w:hAnsi="Arial" w:cs="Arial"/>
          <w:b/>
        </w:rPr>
      </w:pPr>
      <w:r w:rsidRPr="00E9167B">
        <w:rPr>
          <w:rFonts w:ascii="Arial" w:hAnsi="Arial" w:cs="Arial"/>
        </w:rPr>
        <w:t>Une absence de logiciel de gestion validé. Il n’existe pas de logiciel de gestion dans les CSPS et CM urbain qui ont po</w:t>
      </w:r>
      <w:r w:rsidR="00D059EE">
        <w:rPr>
          <w:rFonts w:ascii="Arial" w:hAnsi="Arial" w:cs="Arial"/>
        </w:rPr>
        <w:t>u</w:t>
      </w:r>
      <w:r w:rsidRPr="00E9167B">
        <w:rPr>
          <w:rFonts w:ascii="Arial" w:hAnsi="Arial" w:cs="Arial"/>
        </w:rPr>
        <w:t>rtant de grands stocks à gérer. Au niveau du DRD, le logiciel utilisé est le VGS 2000 mais il n’est pas validé par le ministère de la santé et les paramètres ne permettent pas d’avoir des historiques et des paramètres de ventes nécessaires pour l’estimation des besoins.</w:t>
      </w:r>
    </w:p>
    <w:p w14:paraId="7372150D" w14:textId="77777777" w:rsidR="00E9167B" w:rsidRPr="00E9167B" w:rsidRDefault="00E9167B" w:rsidP="00E9167B">
      <w:pPr>
        <w:pStyle w:val="Paragraphedeliste"/>
        <w:numPr>
          <w:ilvl w:val="0"/>
          <w:numId w:val="2"/>
        </w:numPr>
        <w:jc w:val="both"/>
        <w:rPr>
          <w:rFonts w:ascii="Arial" w:hAnsi="Arial" w:cs="Arial"/>
          <w:b/>
        </w:rPr>
      </w:pPr>
      <w:r w:rsidRPr="00E9167B">
        <w:rPr>
          <w:rFonts w:ascii="Arial" w:hAnsi="Arial" w:cs="Arial"/>
        </w:rPr>
        <w:t xml:space="preserve">Une cohabitation de DMEG double au niveau des CSPS et CM urbain avec le principe de gestion séparée sans une prise en compte mutuelle des données pour une meilleure expression des besoins </w:t>
      </w:r>
    </w:p>
    <w:p w14:paraId="7A9E7739" w14:textId="77777777" w:rsidR="006A1541" w:rsidRPr="00C3463E" w:rsidRDefault="00E9167B" w:rsidP="00E9167B">
      <w:pPr>
        <w:pStyle w:val="Paragraphedeliste"/>
        <w:numPr>
          <w:ilvl w:val="0"/>
          <w:numId w:val="2"/>
        </w:numPr>
        <w:jc w:val="both"/>
        <w:rPr>
          <w:rFonts w:ascii="Arial" w:hAnsi="Arial" w:cs="Arial"/>
          <w:b/>
        </w:rPr>
      </w:pPr>
      <w:r w:rsidRPr="00E9167B">
        <w:rPr>
          <w:rFonts w:ascii="Arial" w:hAnsi="Arial" w:cs="Arial"/>
        </w:rPr>
        <w:t>Une absence de contrat de travail pour le gérant des DMEG</w:t>
      </w:r>
    </w:p>
    <w:p w14:paraId="2C50CE4E" w14:textId="77777777" w:rsidR="00C3463E" w:rsidRPr="00C3463E" w:rsidRDefault="00C3463E" w:rsidP="00E9167B">
      <w:pPr>
        <w:pStyle w:val="Paragraphedeliste"/>
        <w:numPr>
          <w:ilvl w:val="0"/>
          <w:numId w:val="2"/>
        </w:numPr>
        <w:jc w:val="both"/>
        <w:rPr>
          <w:rFonts w:ascii="Arial" w:hAnsi="Arial" w:cs="Arial"/>
          <w:b/>
        </w:rPr>
      </w:pPr>
      <w:r>
        <w:rPr>
          <w:rFonts w:ascii="Arial" w:hAnsi="Arial" w:cs="Arial"/>
        </w:rPr>
        <w:t>Une insuffisance de la communication entre la CAMEG et les structures de santé</w:t>
      </w:r>
    </w:p>
    <w:p w14:paraId="33073EE8" w14:textId="77777777" w:rsidR="00C3463E" w:rsidRPr="00E9167B" w:rsidRDefault="00C3463E" w:rsidP="00E9167B">
      <w:pPr>
        <w:pStyle w:val="Paragraphedeliste"/>
        <w:numPr>
          <w:ilvl w:val="0"/>
          <w:numId w:val="2"/>
        </w:numPr>
        <w:jc w:val="both"/>
        <w:rPr>
          <w:rFonts w:ascii="Arial" w:hAnsi="Arial" w:cs="Arial"/>
          <w:b/>
        </w:rPr>
      </w:pPr>
      <w:r>
        <w:rPr>
          <w:rFonts w:ascii="Arial" w:hAnsi="Arial" w:cs="Arial"/>
        </w:rPr>
        <w:t>Un non-respect des bons de commande par la CAMEG pour ce qui concerne les commandes DRD ou par les DRD pour ce qui concerne les commandes DMEG</w:t>
      </w:r>
      <w:r w:rsidR="00150DEC">
        <w:rPr>
          <w:rFonts w:ascii="Arial" w:hAnsi="Arial" w:cs="Arial"/>
        </w:rPr>
        <w:t>.</w:t>
      </w:r>
    </w:p>
    <w:p w14:paraId="38052971" w14:textId="77777777" w:rsidR="0067044F" w:rsidRDefault="0067044F" w:rsidP="00E515AB">
      <w:pPr>
        <w:jc w:val="both"/>
      </w:pPr>
    </w:p>
    <w:sectPr w:rsidR="0067044F">
      <w:footerReference w:type="default" r:id="rId8"/>
      <w:pgSz w:w="11906" w:h="16838"/>
      <w:pgMar w:top="1417" w:right="1417" w:bottom="1417" w:left="1417" w:header="708" w:footer="708" w:gutter="0"/>
      <w:cols w:space="708"/>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605AAA7D" w16cid:durableId="1E1439D4"/>
  <w16cid:commentId w16cid:paraId="114B6B2F" w16cid:durableId="1E143BBD"/>
  <w16cid:commentId w16cid:paraId="155BA186" w16cid:durableId="1E143C06"/>
  <w16cid:commentId w16cid:paraId="7750550A" w16cid:durableId="1E144080"/>
  <w16cid:commentId w16cid:paraId="5FDB45C9" w16cid:durableId="1E1441AE"/>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B314BCB" w14:textId="77777777" w:rsidR="005F1EA9" w:rsidRDefault="005F1EA9" w:rsidP="00DD2842">
      <w:pPr>
        <w:spacing w:after="0" w:line="240" w:lineRule="auto"/>
      </w:pPr>
      <w:r>
        <w:separator/>
      </w:r>
    </w:p>
  </w:endnote>
  <w:endnote w:type="continuationSeparator" w:id="0">
    <w:p w14:paraId="7CD83605" w14:textId="77777777" w:rsidR="005F1EA9" w:rsidRDefault="005F1EA9" w:rsidP="00DD284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Segoe UI">
    <w:panose1 w:val="020B0502040204020203"/>
    <w:charset w:val="00"/>
    <w:family w:val="swiss"/>
    <w:pitch w:val="variable"/>
    <w:sig w:usb0="E10022FF" w:usb1="C000E47F" w:usb2="00000029" w:usb3="00000000" w:csb0="000001D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Arial" w:hAnsi="Arial" w:cs="Arial"/>
        <w:sz w:val="20"/>
        <w:szCs w:val="20"/>
      </w:rPr>
      <w:id w:val="-93719068"/>
      <w:docPartObj>
        <w:docPartGallery w:val="Page Numbers (Bottom of Page)"/>
        <w:docPartUnique/>
      </w:docPartObj>
    </w:sdtPr>
    <w:sdtEndPr/>
    <w:sdtContent>
      <w:sdt>
        <w:sdtPr>
          <w:rPr>
            <w:rFonts w:ascii="Arial" w:hAnsi="Arial" w:cs="Arial"/>
            <w:sz w:val="20"/>
            <w:szCs w:val="20"/>
          </w:rPr>
          <w:id w:val="860082579"/>
          <w:docPartObj>
            <w:docPartGallery w:val="Page Numbers (Top of Page)"/>
            <w:docPartUnique/>
          </w:docPartObj>
        </w:sdtPr>
        <w:sdtEndPr/>
        <w:sdtContent>
          <w:p w14:paraId="751C5457" w14:textId="7F815BFD" w:rsidR="00DD2842" w:rsidRPr="00DD2842" w:rsidRDefault="00DD2842">
            <w:pPr>
              <w:pStyle w:val="Pieddepage"/>
              <w:jc w:val="right"/>
              <w:rPr>
                <w:rFonts w:ascii="Arial" w:hAnsi="Arial" w:cs="Arial"/>
                <w:sz w:val="20"/>
                <w:szCs w:val="20"/>
              </w:rPr>
            </w:pPr>
            <w:r w:rsidRPr="00DD2842">
              <w:rPr>
                <w:rFonts w:ascii="Arial" w:hAnsi="Arial" w:cs="Arial"/>
                <w:sz w:val="20"/>
                <w:szCs w:val="20"/>
              </w:rPr>
              <w:t xml:space="preserve">Page </w:t>
            </w:r>
            <w:r w:rsidRPr="00DD2842">
              <w:rPr>
                <w:rFonts w:ascii="Arial" w:hAnsi="Arial" w:cs="Arial"/>
                <w:b/>
                <w:bCs/>
                <w:sz w:val="20"/>
                <w:szCs w:val="20"/>
              </w:rPr>
              <w:fldChar w:fldCharType="begin"/>
            </w:r>
            <w:r w:rsidRPr="00DD2842">
              <w:rPr>
                <w:rFonts w:ascii="Arial" w:hAnsi="Arial" w:cs="Arial"/>
                <w:b/>
                <w:bCs/>
                <w:sz w:val="20"/>
                <w:szCs w:val="20"/>
              </w:rPr>
              <w:instrText>PAGE</w:instrText>
            </w:r>
            <w:r w:rsidRPr="00DD2842">
              <w:rPr>
                <w:rFonts w:ascii="Arial" w:hAnsi="Arial" w:cs="Arial"/>
                <w:b/>
                <w:bCs/>
                <w:sz w:val="20"/>
                <w:szCs w:val="20"/>
              </w:rPr>
              <w:fldChar w:fldCharType="separate"/>
            </w:r>
            <w:r w:rsidR="00686ACA">
              <w:rPr>
                <w:rFonts w:ascii="Arial" w:hAnsi="Arial" w:cs="Arial"/>
                <w:b/>
                <w:bCs/>
                <w:noProof/>
                <w:sz w:val="20"/>
                <w:szCs w:val="20"/>
              </w:rPr>
              <w:t>1</w:t>
            </w:r>
            <w:r w:rsidRPr="00DD2842">
              <w:rPr>
                <w:rFonts w:ascii="Arial" w:hAnsi="Arial" w:cs="Arial"/>
                <w:b/>
                <w:bCs/>
                <w:sz w:val="20"/>
                <w:szCs w:val="20"/>
              </w:rPr>
              <w:fldChar w:fldCharType="end"/>
            </w:r>
            <w:r w:rsidRPr="00DD2842">
              <w:rPr>
                <w:rFonts w:ascii="Arial" w:hAnsi="Arial" w:cs="Arial"/>
                <w:sz w:val="20"/>
                <w:szCs w:val="20"/>
              </w:rPr>
              <w:t xml:space="preserve"> sur </w:t>
            </w:r>
            <w:r w:rsidRPr="00DD2842">
              <w:rPr>
                <w:rFonts w:ascii="Arial" w:hAnsi="Arial" w:cs="Arial"/>
                <w:b/>
                <w:bCs/>
                <w:sz w:val="20"/>
                <w:szCs w:val="20"/>
              </w:rPr>
              <w:fldChar w:fldCharType="begin"/>
            </w:r>
            <w:r w:rsidRPr="00DD2842">
              <w:rPr>
                <w:rFonts w:ascii="Arial" w:hAnsi="Arial" w:cs="Arial"/>
                <w:b/>
                <w:bCs/>
                <w:sz w:val="20"/>
                <w:szCs w:val="20"/>
              </w:rPr>
              <w:instrText>NUMPAGES</w:instrText>
            </w:r>
            <w:r w:rsidRPr="00DD2842">
              <w:rPr>
                <w:rFonts w:ascii="Arial" w:hAnsi="Arial" w:cs="Arial"/>
                <w:b/>
                <w:bCs/>
                <w:sz w:val="20"/>
                <w:szCs w:val="20"/>
              </w:rPr>
              <w:fldChar w:fldCharType="separate"/>
            </w:r>
            <w:r w:rsidR="00686ACA">
              <w:rPr>
                <w:rFonts w:ascii="Arial" w:hAnsi="Arial" w:cs="Arial"/>
                <w:b/>
                <w:bCs/>
                <w:noProof/>
                <w:sz w:val="20"/>
                <w:szCs w:val="20"/>
              </w:rPr>
              <w:t>2</w:t>
            </w:r>
            <w:r w:rsidRPr="00DD2842">
              <w:rPr>
                <w:rFonts w:ascii="Arial" w:hAnsi="Arial" w:cs="Arial"/>
                <w:b/>
                <w:bCs/>
                <w:sz w:val="20"/>
                <w:szCs w:val="20"/>
              </w:rPr>
              <w:fldChar w:fldCharType="end"/>
            </w:r>
          </w:p>
        </w:sdtContent>
      </w:sdt>
    </w:sdtContent>
  </w:sdt>
  <w:p w14:paraId="5ADC9347" w14:textId="77777777" w:rsidR="00DD2842" w:rsidRDefault="00DD2842">
    <w:pPr>
      <w:pStyle w:val="Pieddepag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0AC5AC8" w14:textId="77777777" w:rsidR="005F1EA9" w:rsidRDefault="005F1EA9" w:rsidP="00DD2842">
      <w:pPr>
        <w:spacing w:after="0" w:line="240" w:lineRule="auto"/>
      </w:pPr>
      <w:r>
        <w:separator/>
      </w:r>
    </w:p>
  </w:footnote>
  <w:footnote w:type="continuationSeparator" w:id="0">
    <w:p w14:paraId="252539B1" w14:textId="77777777" w:rsidR="005F1EA9" w:rsidRDefault="005F1EA9" w:rsidP="00DD2842">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6774EC9"/>
    <w:multiLevelType w:val="hybridMultilevel"/>
    <w:tmpl w:val="253836EE"/>
    <w:lvl w:ilvl="0" w:tplc="7194C11E">
      <w:numFmt w:val="bullet"/>
      <w:lvlText w:val="-"/>
      <w:lvlJc w:val="left"/>
      <w:pPr>
        <w:ind w:left="720" w:hanging="360"/>
      </w:pPr>
      <w:rPr>
        <w:rFonts w:ascii="Calibri" w:eastAsiaTheme="minorHAnsi"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nsid w:val="69FC24E8"/>
    <w:multiLevelType w:val="hybridMultilevel"/>
    <w:tmpl w:val="70BEA5D8"/>
    <w:lvl w:ilvl="0" w:tplc="065065C4">
      <w:numFmt w:val="bullet"/>
      <w:lvlText w:val="-"/>
      <w:lvlJc w:val="left"/>
      <w:pPr>
        <w:ind w:left="720" w:hanging="360"/>
      </w:pPr>
      <w:rPr>
        <w:rFonts w:ascii="Calibri" w:eastAsiaTheme="minorHAnsi"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7044F"/>
    <w:rsid w:val="000461BE"/>
    <w:rsid w:val="000E1BB1"/>
    <w:rsid w:val="001071AA"/>
    <w:rsid w:val="00150DEC"/>
    <w:rsid w:val="00195AA3"/>
    <w:rsid w:val="001B75AC"/>
    <w:rsid w:val="001C7E26"/>
    <w:rsid w:val="0026386E"/>
    <w:rsid w:val="00300A85"/>
    <w:rsid w:val="00376FF3"/>
    <w:rsid w:val="003F2566"/>
    <w:rsid w:val="00423D8E"/>
    <w:rsid w:val="005F1EA9"/>
    <w:rsid w:val="0067044F"/>
    <w:rsid w:val="00686ACA"/>
    <w:rsid w:val="006A1541"/>
    <w:rsid w:val="006A524A"/>
    <w:rsid w:val="007D7C73"/>
    <w:rsid w:val="00834817"/>
    <w:rsid w:val="008610DF"/>
    <w:rsid w:val="00961A04"/>
    <w:rsid w:val="00A33C70"/>
    <w:rsid w:val="00C3463E"/>
    <w:rsid w:val="00C63524"/>
    <w:rsid w:val="00D059EE"/>
    <w:rsid w:val="00DD2842"/>
    <w:rsid w:val="00E07F17"/>
    <w:rsid w:val="00E515AB"/>
    <w:rsid w:val="00E9167B"/>
    <w:rsid w:val="00ED6D7D"/>
    <w:rsid w:val="00EE24DD"/>
    <w:rsid w:val="00F05832"/>
    <w:rsid w:val="00F30FD5"/>
    <w:rsid w:val="00F6760D"/>
    <w:rsid w:val="00F91721"/>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AFC7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itre1">
    <w:name w:val="heading 1"/>
    <w:basedOn w:val="Normal"/>
    <w:next w:val="Normal"/>
    <w:link w:val="Titre1Car"/>
    <w:uiPriority w:val="9"/>
    <w:qFormat/>
    <w:rsid w:val="000E1BB1"/>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67044F"/>
    <w:pPr>
      <w:ind w:left="720"/>
      <w:contextualSpacing/>
    </w:pPr>
  </w:style>
  <w:style w:type="character" w:customStyle="1" w:styleId="Titre1Car">
    <w:name w:val="Titre 1 Car"/>
    <w:basedOn w:val="Policepardfaut"/>
    <w:link w:val="Titre1"/>
    <w:uiPriority w:val="9"/>
    <w:rsid w:val="000E1BB1"/>
    <w:rPr>
      <w:rFonts w:asciiTheme="majorHAnsi" w:eastAsiaTheme="majorEastAsia" w:hAnsiTheme="majorHAnsi" w:cstheme="majorBidi"/>
      <w:b/>
      <w:bCs/>
      <w:color w:val="365F91" w:themeColor="accent1" w:themeShade="BF"/>
      <w:sz w:val="28"/>
      <w:szCs w:val="28"/>
    </w:rPr>
  </w:style>
  <w:style w:type="paragraph" w:styleId="En-tte">
    <w:name w:val="header"/>
    <w:basedOn w:val="Normal"/>
    <w:link w:val="En-tteCar"/>
    <w:uiPriority w:val="99"/>
    <w:unhideWhenUsed/>
    <w:rsid w:val="00DD2842"/>
    <w:pPr>
      <w:tabs>
        <w:tab w:val="center" w:pos="4536"/>
        <w:tab w:val="right" w:pos="9072"/>
      </w:tabs>
      <w:spacing w:after="0" w:line="240" w:lineRule="auto"/>
    </w:pPr>
  </w:style>
  <w:style w:type="character" w:customStyle="1" w:styleId="En-tteCar">
    <w:name w:val="En-tête Car"/>
    <w:basedOn w:val="Policepardfaut"/>
    <w:link w:val="En-tte"/>
    <w:uiPriority w:val="99"/>
    <w:rsid w:val="00DD2842"/>
  </w:style>
  <w:style w:type="paragraph" w:styleId="Pieddepage">
    <w:name w:val="footer"/>
    <w:basedOn w:val="Normal"/>
    <w:link w:val="PieddepageCar"/>
    <w:uiPriority w:val="99"/>
    <w:unhideWhenUsed/>
    <w:rsid w:val="00DD2842"/>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DD2842"/>
  </w:style>
  <w:style w:type="character" w:styleId="Marquedecommentaire">
    <w:name w:val="annotation reference"/>
    <w:basedOn w:val="Policepardfaut"/>
    <w:uiPriority w:val="99"/>
    <w:semiHidden/>
    <w:unhideWhenUsed/>
    <w:rsid w:val="001071AA"/>
    <w:rPr>
      <w:sz w:val="16"/>
      <w:szCs w:val="16"/>
    </w:rPr>
  </w:style>
  <w:style w:type="paragraph" w:styleId="Commentaire">
    <w:name w:val="annotation text"/>
    <w:basedOn w:val="Normal"/>
    <w:link w:val="CommentaireCar"/>
    <w:uiPriority w:val="99"/>
    <w:semiHidden/>
    <w:unhideWhenUsed/>
    <w:rsid w:val="001071AA"/>
    <w:pPr>
      <w:spacing w:line="240" w:lineRule="auto"/>
    </w:pPr>
    <w:rPr>
      <w:sz w:val="20"/>
      <w:szCs w:val="20"/>
    </w:rPr>
  </w:style>
  <w:style w:type="character" w:customStyle="1" w:styleId="CommentaireCar">
    <w:name w:val="Commentaire Car"/>
    <w:basedOn w:val="Policepardfaut"/>
    <w:link w:val="Commentaire"/>
    <w:uiPriority w:val="99"/>
    <w:semiHidden/>
    <w:rsid w:val="001071AA"/>
    <w:rPr>
      <w:sz w:val="20"/>
      <w:szCs w:val="20"/>
    </w:rPr>
  </w:style>
  <w:style w:type="paragraph" w:styleId="Objetducommentaire">
    <w:name w:val="annotation subject"/>
    <w:basedOn w:val="Commentaire"/>
    <w:next w:val="Commentaire"/>
    <w:link w:val="ObjetducommentaireCar"/>
    <w:uiPriority w:val="99"/>
    <w:semiHidden/>
    <w:unhideWhenUsed/>
    <w:rsid w:val="001071AA"/>
    <w:rPr>
      <w:b/>
      <w:bCs/>
    </w:rPr>
  </w:style>
  <w:style w:type="character" w:customStyle="1" w:styleId="ObjetducommentaireCar">
    <w:name w:val="Objet du commentaire Car"/>
    <w:basedOn w:val="CommentaireCar"/>
    <w:link w:val="Objetducommentaire"/>
    <w:uiPriority w:val="99"/>
    <w:semiHidden/>
    <w:rsid w:val="001071AA"/>
    <w:rPr>
      <w:b/>
      <w:bCs/>
      <w:sz w:val="20"/>
      <w:szCs w:val="20"/>
    </w:rPr>
  </w:style>
  <w:style w:type="paragraph" w:styleId="Rvision">
    <w:name w:val="Revision"/>
    <w:hidden/>
    <w:uiPriority w:val="99"/>
    <w:semiHidden/>
    <w:rsid w:val="001071AA"/>
    <w:pPr>
      <w:spacing w:after="0" w:line="240" w:lineRule="auto"/>
    </w:pPr>
  </w:style>
  <w:style w:type="paragraph" w:styleId="Textedebulles">
    <w:name w:val="Balloon Text"/>
    <w:basedOn w:val="Normal"/>
    <w:link w:val="TextedebullesCar"/>
    <w:uiPriority w:val="99"/>
    <w:semiHidden/>
    <w:unhideWhenUsed/>
    <w:rsid w:val="001071AA"/>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1071AA"/>
    <w:rPr>
      <w:rFonts w:ascii="Segoe UI" w:hAnsi="Segoe UI" w:cs="Segoe U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itre1">
    <w:name w:val="heading 1"/>
    <w:basedOn w:val="Normal"/>
    <w:next w:val="Normal"/>
    <w:link w:val="Titre1Car"/>
    <w:uiPriority w:val="9"/>
    <w:qFormat/>
    <w:rsid w:val="000E1BB1"/>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67044F"/>
    <w:pPr>
      <w:ind w:left="720"/>
      <w:contextualSpacing/>
    </w:pPr>
  </w:style>
  <w:style w:type="character" w:customStyle="1" w:styleId="Titre1Car">
    <w:name w:val="Titre 1 Car"/>
    <w:basedOn w:val="Policepardfaut"/>
    <w:link w:val="Titre1"/>
    <w:uiPriority w:val="9"/>
    <w:rsid w:val="000E1BB1"/>
    <w:rPr>
      <w:rFonts w:asciiTheme="majorHAnsi" w:eastAsiaTheme="majorEastAsia" w:hAnsiTheme="majorHAnsi" w:cstheme="majorBidi"/>
      <w:b/>
      <w:bCs/>
      <w:color w:val="365F91" w:themeColor="accent1" w:themeShade="BF"/>
      <w:sz w:val="28"/>
      <w:szCs w:val="28"/>
    </w:rPr>
  </w:style>
  <w:style w:type="paragraph" w:styleId="En-tte">
    <w:name w:val="header"/>
    <w:basedOn w:val="Normal"/>
    <w:link w:val="En-tteCar"/>
    <w:uiPriority w:val="99"/>
    <w:unhideWhenUsed/>
    <w:rsid w:val="00DD2842"/>
    <w:pPr>
      <w:tabs>
        <w:tab w:val="center" w:pos="4536"/>
        <w:tab w:val="right" w:pos="9072"/>
      </w:tabs>
      <w:spacing w:after="0" w:line="240" w:lineRule="auto"/>
    </w:pPr>
  </w:style>
  <w:style w:type="character" w:customStyle="1" w:styleId="En-tteCar">
    <w:name w:val="En-tête Car"/>
    <w:basedOn w:val="Policepardfaut"/>
    <w:link w:val="En-tte"/>
    <w:uiPriority w:val="99"/>
    <w:rsid w:val="00DD2842"/>
  </w:style>
  <w:style w:type="paragraph" w:styleId="Pieddepage">
    <w:name w:val="footer"/>
    <w:basedOn w:val="Normal"/>
    <w:link w:val="PieddepageCar"/>
    <w:uiPriority w:val="99"/>
    <w:unhideWhenUsed/>
    <w:rsid w:val="00DD2842"/>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DD2842"/>
  </w:style>
  <w:style w:type="character" w:styleId="Marquedecommentaire">
    <w:name w:val="annotation reference"/>
    <w:basedOn w:val="Policepardfaut"/>
    <w:uiPriority w:val="99"/>
    <w:semiHidden/>
    <w:unhideWhenUsed/>
    <w:rsid w:val="001071AA"/>
    <w:rPr>
      <w:sz w:val="16"/>
      <w:szCs w:val="16"/>
    </w:rPr>
  </w:style>
  <w:style w:type="paragraph" w:styleId="Commentaire">
    <w:name w:val="annotation text"/>
    <w:basedOn w:val="Normal"/>
    <w:link w:val="CommentaireCar"/>
    <w:uiPriority w:val="99"/>
    <w:semiHidden/>
    <w:unhideWhenUsed/>
    <w:rsid w:val="001071AA"/>
    <w:pPr>
      <w:spacing w:line="240" w:lineRule="auto"/>
    </w:pPr>
    <w:rPr>
      <w:sz w:val="20"/>
      <w:szCs w:val="20"/>
    </w:rPr>
  </w:style>
  <w:style w:type="character" w:customStyle="1" w:styleId="CommentaireCar">
    <w:name w:val="Commentaire Car"/>
    <w:basedOn w:val="Policepardfaut"/>
    <w:link w:val="Commentaire"/>
    <w:uiPriority w:val="99"/>
    <w:semiHidden/>
    <w:rsid w:val="001071AA"/>
    <w:rPr>
      <w:sz w:val="20"/>
      <w:szCs w:val="20"/>
    </w:rPr>
  </w:style>
  <w:style w:type="paragraph" w:styleId="Objetducommentaire">
    <w:name w:val="annotation subject"/>
    <w:basedOn w:val="Commentaire"/>
    <w:next w:val="Commentaire"/>
    <w:link w:val="ObjetducommentaireCar"/>
    <w:uiPriority w:val="99"/>
    <w:semiHidden/>
    <w:unhideWhenUsed/>
    <w:rsid w:val="001071AA"/>
    <w:rPr>
      <w:b/>
      <w:bCs/>
    </w:rPr>
  </w:style>
  <w:style w:type="character" w:customStyle="1" w:styleId="ObjetducommentaireCar">
    <w:name w:val="Objet du commentaire Car"/>
    <w:basedOn w:val="CommentaireCar"/>
    <w:link w:val="Objetducommentaire"/>
    <w:uiPriority w:val="99"/>
    <w:semiHidden/>
    <w:rsid w:val="001071AA"/>
    <w:rPr>
      <w:b/>
      <w:bCs/>
      <w:sz w:val="20"/>
      <w:szCs w:val="20"/>
    </w:rPr>
  </w:style>
  <w:style w:type="paragraph" w:styleId="Rvision">
    <w:name w:val="Revision"/>
    <w:hidden/>
    <w:uiPriority w:val="99"/>
    <w:semiHidden/>
    <w:rsid w:val="001071AA"/>
    <w:pPr>
      <w:spacing w:after="0" w:line="240" w:lineRule="auto"/>
    </w:pPr>
  </w:style>
  <w:style w:type="paragraph" w:styleId="Textedebulles">
    <w:name w:val="Balloon Text"/>
    <w:basedOn w:val="Normal"/>
    <w:link w:val="TextedebullesCar"/>
    <w:uiPriority w:val="99"/>
    <w:semiHidden/>
    <w:unhideWhenUsed/>
    <w:rsid w:val="001071AA"/>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1071AA"/>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microsoft.com/office/2016/09/relationships/commentsIds" Target="commentsIds.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943</Words>
  <Characters>5190</Characters>
  <Application>Microsoft Office Word</Application>
  <DocSecurity>0</DocSecurity>
  <Lines>43</Lines>
  <Paragraphs>12</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OMS BFA</Company>
  <LinksUpToDate>false</LinksUpToDate>
  <CharactersWithSpaces>6121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Ouedraogo, Dr Arsène - bf</dc:creator>
  <cp:lastModifiedBy>Bigeard, Mr Alexis - bf</cp:lastModifiedBy>
  <cp:revision>2</cp:revision>
  <dcterms:created xsi:type="dcterms:W3CDTF">2018-01-26T11:24:00Z</dcterms:created>
  <dcterms:modified xsi:type="dcterms:W3CDTF">2018-01-26T11:24:00Z</dcterms:modified>
</cp:coreProperties>
</file>