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4DC9" w:rsidRPr="00425A7F" w:rsidRDefault="000B4DC9" w:rsidP="000B4DC9">
      <w:pPr>
        <w:keepNext/>
        <w:keepLines/>
        <w:tabs>
          <w:tab w:val="left" w:pos="851"/>
        </w:tabs>
        <w:suppressAutoHyphens/>
        <w:contextualSpacing/>
        <w:jc w:val="center"/>
        <w:rPr>
          <w:rFonts w:asciiTheme="minorHAnsi" w:hAnsiTheme="minorHAnsi"/>
          <w:b/>
          <w:sz w:val="24"/>
          <w:szCs w:val="24"/>
        </w:rPr>
      </w:pPr>
      <w:r w:rsidRPr="00425A7F">
        <w:rPr>
          <w:rFonts w:asciiTheme="minorHAnsi" w:hAnsiTheme="minorHAnsi"/>
          <w:b/>
          <w:sz w:val="24"/>
          <w:szCs w:val="24"/>
        </w:rPr>
        <w:t>REPUBLIQUE DU MALI</w:t>
      </w:r>
    </w:p>
    <w:p w:rsidR="000B4DC9" w:rsidRPr="00425A7F" w:rsidRDefault="000B4DC9" w:rsidP="000B4DC9">
      <w:pPr>
        <w:keepNext/>
        <w:keepLines/>
        <w:tabs>
          <w:tab w:val="left" w:pos="851"/>
        </w:tabs>
        <w:suppressAutoHyphens/>
        <w:contextualSpacing/>
        <w:jc w:val="center"/>
        <w:rPr>
          <w:rFonts w:asciiTheme="minorHAnsi" w:hAnsiTheme="minorHAnsi"/>
          <w:b/>
          <w:i/>
          <w:sz w:val="24"/>
          <w:szCs w:val="24"/>
        </w:rPr>
      </w:pPr>
      <w:r w:rsidRPr="00425A7F">
        <w:rPr>
          <w:rFonts w:asciiTheme="minorHAnsi" w:hAnsiTheme="minorHAnsi"/>
          <w:b/>
          <w:i/>
          <w:sz w:val="24"/>
          <w:szCs w:val="24"/>
        </w:rPr>
        <w:t>Un Peuple - Un But - Une Foi</w:t>
      </w:r>
    </w:p>
    <w:p w:rsidR="000B4DC9" w:rsidRPr="00425A7F" w:rsidRDefault="000B4DC9" w:rsidP="000B4DC9">
      <w:pPr>
        <w:keepNext/>
        <w:keepLines/>
        <w:tabs>
          <w:tab w:val="left" w:pos="851"/>
        </w:tabs>
        <w:suppressAutoHyphens/>
        <w:contextualSpacing/>
        <w:rPr>
          <w:rFonts w:asciiTheme="minorHAnsi" w:hAnsiTheme="minorHAnsi"/>
          <w:sz w:val="24"/>
          <w:szCs w:val="24"/>
        </w:rPr>
      </w:pPr>
    </w:p>
    <w:tbl>
      <w:tblPr>
        <w:tblW w:w="0" w:type="auto"/>
        <w:tblLook w:val="04A0" w:firstRow="1" w:lastRow="0" w:firstColumn="1" w:lastColumn="0" w:noHBand="0" w:noVBand="1"/>
      </w:tblPr>
      <w:tblGrid>
        <w:gridCol w:w="3014"/>
        <w:gridCol w:w="3034"/>
        <w:gridCol w:w="3022"/>
      </w:tblGrid>
      <w:tr w:rsidR="000B4DC9" w:rsidRPr="00425A7F" w:rsidTr="000B4DC9">
        <w:tc>
          <w:tcPr>
            <w:tcW w:w="3152" w:type="dxa"/>
          </w:tcPr>
          <w:p w:rsidR="000B4DC9" w:rsidRPr="00425A7F" w:rsidRDefault="000B4DC9" w:rsidP="00B56989">
            <w:pPr>
              <w:keepNext/>
              <w:keepLines/>
              <w:tabs>
                <w:tab w:val="left" w:pos="851"/>
              </w:tabs>
              <w:suppressAutoHyphens/>
              <w:contextualSpacing/>
              <w:jc w:val="center"/>
              <w:rPr>
                <w:rFonts w:asciiTheme="minorHAnsi" w:hAnsiTheme="minorHAnsi"/>
                <w:b/>
                <w:sz w:val="24"/>
                <w:szCs w:val="24"/>
              </w:rPr>
            </w:pPr>
            <w:r w:rsidRPr="00425A7F">
              <w:rPr>
                <w:rFonts w:asciiTheme="minorHAnsi" w:hAnsiTheme="minorHAnsi"/>
                <w:b/>
                <w:sz w:val="24"/>
                <w:szCs w:val="24"/>
              </w:rPr>
              <w:t>Ministère de la Santé</w:t>
            </w:r>
            <w:r w:rsidR="00B56989" w:rsidRPr="00425A7F">
              <w:rPr>
                <w:rFonts w:asciiTheme="minorHAnsi" w:hAnsiTheme="minorHAnsi"/>
                <w:b/>
                <w:sz w:val="24"/>
                <w:szCs w:val="24"/>
              </w:rPr>
              <w:t xml:space="preserve"> et de l’Hygiène Publique</w:t>
            </w:r>
          </w:p>
        </w:tc>
        <w:tc>
          <w:tcPr>
            <w:tcW w:w="3152" w:type="dxa"/>
          </w:tcPr>
          <w:p w:rsidR="000B4DC9" w:rsidRPr="00425A7F" w:rsidRDefault="000B4DC9" w:rsidP="00761EBA">
            <w:pPr>
              <w:keepNext/>
              <w:keepLines/>
              <w:tabs>
                <w:tab w:val="left" w:pos="851"/>
              </w:tabs>
              <w:suppressAutoHyphens/>
              <w:contextualSpacing/>
              <w:jc w:val="center"/>
              <w:rPr>
                <w:rFonts w:asciiTheme="minorHAnsi" w:hAnsiTheme="minorHAnsi"/>
                <w:b/>
                <w:sz w:val="24"/>
                <w:szCs w:val="24"/>
              </w:rPr>
            </w:pPr>
            <w:r w:rsidRPr="00425A7F">
              <w:rPr>
                <w:rFonts w:asciiTheme="minorHAnsi" w:hAnsiTheme="minorHAnsi"/>
                <w:b/>
                <w:sz w:val="24"/>
                <w:szCs w:val="24"/>
              </w:rPr>
              <w:t xml:space="preserve">Ministère </w:t>
            </w:r>
            <w:r w:rsidR="00761EBA" w:rsidRPr="00425A7F">
              <w:rPr>
                <w:rFonts w:asciiTheme="minorHAnsi" w:hAnsiTheme="minorHAnsi"/>
                <w:b/>
                <w:sz w:val="24"/>
                <w:szCs w:val="24"/>
              </w:rPr>
              <w:t>de la S</w:t>
            </w:r>
            <w:r w:rsidR="00CF5F50" w:rsidRPr="00425A7F">
              <w:rPr>
                <w:rFonts w:asciiTheme="minorHAnsi" w:hAnsiTheme="minorHAnsi"/>
                <w:b/>
                <w:sz w:val="24"/>
                <w:szCs w:val="24"/>
              </w:rPr>
              <w:t>olidarité et de</w:t>
            </w:r>
            <w:r w:rsidR="00761EBA" w:rsidRPr="00425A7F">
              <w:rPr>
                <w:rFonts w:asciiTheme="minorHAnsi" w:hAnsiTheme="minorHAnsi"/>
                <w:b/>
                <w:sz w:val="24"/>
                <w:szCs w:val="24"/>
              </w:rPr>
              <w:t xml:space="preserve"> l’Action Humanitaire</w:t>
            </w:r>
            <w:r w:rsidR="007509BA" w:rsidRPr="00425A7F">
              <w:rPr>
                <w:rFonts w:asciiTheme="minorHAnsi" w:hAnsiTheme="minorHAnsi"/>
                <w:b/>
                <w:sz w:val="24"/>
                <w:szCs w:val="24"/>
              </w:rPr>
              <w:t xml:space="preserve"> </w:t>
            </w:r>
          </w:p>
        </w:tc>
        <w:tc>
          <w:tcPr>
            <w:tcW w:w="3153" w:type="dxa"/>
          </w:tcPr>
          <w:p w:rsidR="000B4DC9" w:rsidRPr="00425A7F" w:rsidRDefault="000B4DC9" w:rsidP="004A1BF9">
            <w:pPr>
              <w:keepNext/>
              <w:keepLines/>
              <w:tabs>
                <w:tab w:val="left" w:pos="851"/>
              </w:tabs>
              <w:suppressAutoHyphens/>
              <w:contextualSpacing/>
              <w:jc w:val="center"/>
              <w:rPr>
                <w:rFonts w:asciiTheme="minorHAnsi" w:hAnsiTheme="minorHAnsi"/>
                <w:b/>
                <w:sz w:val="24"/>
                <w:szCs w:val="24"/>
              </w:rPr>
            </w:pPr>
            <w:r w:rsidRPr="00425A7F">
              <w:rPr>
                <w:rFonts w:asciiTheme="minorHAnsi" w:hAnsiTheme="minorHAnsi"/>
                <w:b/>
                <w:sz w:val="24"/>
                <w:szCs w:val="24"/>
              </w:rPr>
              <w:t xml:space="preserve">Ministère de la </w:t>
            </w:r>
            <w:r w:rsidR="004A1BF9" w:rsidRPr="00425A7F">
              <w:rPr>
                <w:rFonts w:asciiTheme="minorHAnsi" w:hAnsiTheme="minorHAnsi"/>
                <w:b/>
                <w:sz w:val="24"/>
                <w:szCs w:val="24"/>
              </w:rPr>
              <w:t xml:space="preserve">Promotion de </w:t>
            </w:r>
            <w:smartTag w:uri="urn:schemas-microsoft-com:office:smarttags" w:element="PersonName">
              <w:smartTagPr>
                <w:attr w:name="ProductID" w:val="la Femme"/>
              </w:smartTagPr>
              <w:r w:rsidR="004A1BF9" w:rsidRPr="00425A7F">
                <w:rPr>
                  <w:rFonts w:asciiTheme="minorHAnsi" w:hAnsiTheme="minorHAnsi"/>
                  <w:b/>
                  <w:sz w:val="24"/>
                  <w:szCs w:val="24"/>
                </w:rPr>
                <w:t>la Femme</w:t>
              </w:r>
            </w:smartTag>
            <w:r w:rsidRPr="00425A7F">
              <w:rPr>
                <w:rFonts w:asciiTheme="minorHAnsi" w:hAnsiTheme="minorHAnsi"/>
                <w:b/>
                <w:sz w:val="24"/>
                <w:szCs w:val="24"/>
              </w:rPr>
              <w:t xml:space="preserve">, de la </w:t>
            </w:r>
            <w:r w:rsidR="004A1BF9" w:rsidRPr="00425A7F">
              <w:rPr>
                <w:rFonts w:asciiTheme="minorHAnsi" w:hAnsiTheme="minorHAnsi"/>
                <w:b/>
                <w:sz w:val="24"/>
                <w:szCs w:val="24"/>
              </w:rPr>
              <w:t xml:space="preserve">Famille </w:t>
            </w:r>
            <w:r w:rsidRPr="00425A7F">
              <w:rPr>
                <w:rFonts w:asciiTheme="minorHAnsi" w:hAnsiTheme="minorHAnsi"/>
                <w:b/>
                <w:sz w:val="24"/>
                <w:szCs w:val="24"/>
              </w:rPr>
              <w:t>et de l’Enfant</w:t>
            </w:r>
          </w:p>
        </w:tc>
      </w:tr>
      <w:tr w:rsidR="000B4DC9" w:rsidRPr="00425A7F" w:rsidTr="000B4DC9">
        <w:tc>
          <w:tcPr>
            <w:tcW w:w="9457" w:type="dxa"/>
            <w:gridSpan w:val="3"/>
          </w:tcPr>
          <w:p w:rsidR="000B4DC9" w:rsidRPr="00425A7F" w:rsidRDefault="000B4DC9" w:rsidP="000B4DC9">
            <w:pPr>
              <w:keepNext/>
              <w:keepLines/>
              <w:tabs>
                <w:tab w:val="left" w:pos="851"/>
              </w:tabs>
              <w:suppressAutoHyphens/>
              <w:contextualSpacing/>
              <w:jc w:val="center"/>
              <w:rPr>
                <w:rFonts w:asciiTheme="minorHAnsi" w:hAnsiTheme="minorHAnsi"/>
                <w:b/>
                <w:sz w:val="24"/>
                <w:szCs w:val="24"/>
              </w:rPr>
            </w:pPr>
            <w:r w:rsidRPr="00425A7F">
              <w:rPr>
                <w:rFonts w:asciiTheme="minorHAnsi" w:hAnsiTheme="minorHAnsi"/>
                <w:b/>
                <w:sz w:val="24"/>
                <w:szCs w:val="24"/>
              </w:rPr>
              <w:t>……………………………</w:t>
            </w:r>
          </w:p>
          <w:p w:rsidR="000B4DC9" w:rsidRPr="00425A7F" w:rsidRDefault="000B4DC9" w:rsidP="000B4DC9">
            <w:pPr>
              <w:keepNext/>
              <w:keepLines/>
              <w:tabs>
                <w:tab w:val="left" w:pos="851"/>
              </w:tabs>
              <w:suppressAutoHyphens/>
              <w:contextualSpacing/>
              <w:jc w:val="center"/>
              <w:rPr>
                <w:rFonts w:asciiTheme="minorHAnsi" w:hAnsiTheme="minorHAnsi"/>
                <w:b/>
                <w:sz w:val="24"/>
                <w:szCs w:val="24"/>
              </w:rPr>
            </w:pPr>
            <w:r w:rsidRPr="00425A7F">
              <w:rPr>
                <w:rFonts w:asciiTheme="minorHAnsi" w:hAnsiTheme="minorHAnsi"/>
                <w:b/>
                <w:sz w:val="24"/>
                <w:szCs w:val="24"/>
              </w:rPr>
              <w:t>Secrétariats Généraux</w:t>
            </w:r>
          </w:p>
        </w:tc>
      </w:tr>
    </w:tbl>
    <w:p w:rsidR="00A86D28" w:rsidRPr="00425A7F" w:rsidRDefault="00A86D28" w:rsidP="000B4DC9">
      <w:pPr>
        <w:widowControl w:val="0"/>
        <w:suppressAutoHyphens/>
        <w:jc w:val="center"/>
        <w:rPr>
          <w:rFonts w:asciiTheme="minorHAnsi" w:hAnsiTheme="minorHAnsi"/>
          <w:b/>
          <w:sz w:val="36"/>
          <w:szCs w:val="36"/>
          <w:lang w:val="fr-CH"/>
        </w:rPr>
      </w:pPr>
    </w:p>
    <w:p w:rsidR="000B4DC9" w:rsidRPr="00425A7F" w:rsidRDefault="000B4DC9" w:rsidP="000B4DC9">
      <w:pPr>
        <w:widowControl w:val="0"/>
        <w:suppressAutoHyphens/>
        <w:jc w:val="center"/>
        <w:rPr>
          <w:rFonts w:asciiTheme="minorHAnsi" w:hAnsiTheme="minorHAnsi"/>
          <w:b/>
          <w:sz w:val="36"/>
          <w:szCs w:val="36"/>
          <w:lang w:val="fr-CH"/>
        </w:rPr>
      </w:pPr>
      <w:r w:rsidRPr="00425A7F">
        <w:rPr>
          <w:rFonts w:asciiTheme="minorHAnsi" w:hAnsiTheme="minorHAnsi"/>
          <w:b/>
          <w:noProof/>
          <w:sz w:val="36"/>
          <w:szCs w:val="36"/>
          <w:lang w:eastAsia="fr-FR"/>
        </w:rPr>
        <w:drawing>
          <wp:inline distT="0" distB="0" distL="0" distR="0">
            <wp:extent cx="2143125" cy="2143125"/>
            <wp:effectExtent l="19050" t="0" r="9525" b="0"/>
            <wp:docPr id="9" name="Image 8" descr="Sceau Ma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eau Mali.jpg"/>
                    <pic:cNvPicPr/>
                  </pic:nvPicPr>
                  <pic:blipFill>
                    <a:blip r:embed="rId8" cstate="print"/>
                    <a:stretch>
                      <a:fillRect/>
                    </a:stretch>
                  </pic:blipFill>
                  <pic:spPr>
                    <a:xfrm>
                      <a:off x="0" y="0"/>
                      <a:ext cx="2143125" cy="2143125"/>
                    </a:xfrm>
                    <a:prstGeom prst="rect">
                      <a:avLst/>
                    </a:prstGeom>
                  </pic:spPr>
                </pic:pic>
              </a:graphicData>
            </a:graphic>
          </wp:inline>
        </w:drawing>
      </w:r>
    </w:p>
    <w:p w:rsidR="00A86D28" w:rsidRPr="00425A7F" w:rsidRDefault="00A86D28" w:rsidP="00F24E98">
      <w:pPr>
        <w:widowControl w:val="0"/>
        <w:suppressAutoHyphens/>
        <w:jc w:val="both"/>
        <w:rPr>
          <w:lang w:val="fr-CH"/>
        </w:rPr>
      </w:pPr>
    </w:p>
    <w:p w:rsidR="000B4DC9" w:rsidRPr="00425A7F" w:rsidRDefault="000B4DC9" w:rsidP="00F24E98">
      <w:pPr>
        <w:widowControl w:val="0"/>
        <w:suppressAutoHyphens/>
        <w:jc w:val="both"/>
        <w:rPr>
          <w:lang w:val="fr-CH"/>
        </w:rPr>
      </w:pPr>
    </w:p>
    <w:p w:rsidR="000B4DC9" w:rsidRPr="00425A7F" w:rsidRDefault="000B4DC9" w:rsidP="00F24E98">
      <w:pPr>
        <w:widowControl w:val="0"/>
        <w:suppressAutoHyphens/>
        <w:jc w:val="both"/>
        <w:rPr>
          <w:lang w:val="fr-CH"/>
        </w:rPr>
      </w:pPr>
    </w:p>
    <w:p w:rsidR="000B4DC9" w:rsidRPr="00425A7F" w:rsidRDefault="000B4DC9" w:rsidP="00F24E98">
      <w:pPr>
        <w:widowControl w:val="0"/>
        <w:suppressAutoHyphens/>
        <w:jc w:val="both"/>
        <w:rPr>
          <w:lang w:val="fr-CH"/>
        </w:rPr>
      </w:pPr>
    </w:p>
    <w:p w:rsidR="006B5FAE" w:rsidRPr="00425A7F" w:rsidRDefault="00BF7533" w:rsidP="00F24E98">
      <w:pPr>
        <w:widowControl w:val="0"/>
        <w:suppressAutoHyphens/>
        <w:jc w:val="center"/>
        <w:rPr>
          <w:b/>
          <w:sz w:val="52"/>
          <w:szCs w:val="52"/>
          <w:lang w:val="fr-CH"/>
        </w:rPr>
      </w:pPr>
      <w:r w:rsidRPr="00425A7F">
        <w:rPr>
          <w:b/>
          <w:sz w:val="52"/>
          <w:szCs w:val="52"/>
          <w:lang w:val="fr-CH"/>
        </w:rPr>
        <w:t xml:space="preserve">Stratégie </w:t>
      </w:r>
      <w:r w:rsidR="003E560E" w:rsidRPr="00425A7F">
        <w:rPr>
          <w:b/>
          <w:sz w:val="52"/>
          <w:szCs w:val="52"/>
          <w:lang w:val="fr-CH"/>
        </w:rPr>
        <w:t>Nationale de Financement de la S</w:t>
      </w:r>
      <w:r w:rsidR="00A86D28" w:rsidRPr="00425A7F">
        <w:rPr>
          <w:b/>
          <w:sz w:val="52"/>
          <w:szCs w:val="52"/>
          <w:lang w:val="fr-CH"/>
        </w:rPr>
        <w:t xml:space="preserve">anté </w:t>
      </w:r>
      <w:r w:rsidR="006B5FAE" w:rsidRPr="00425A7F">
        <w:rPr>
          <w:b/>
          <w:sz w:val="52"/>
          <w:szCs w:val="52"/>
          <w:lang w:val="fr-CH"/>
        </w:rPr>
        <w:t xml:space="preserve">pour la </w:t>
      </w:r>
      <w:r w:rsidR="003E560E" w:rsidRPr="00425A7F">
        <w:rPr>
          <w:b/>
          <w:sz w:val="52"/>
          <w:szCs w:val="52"/>
          <w:lang w:val="fr-CH"/>
        </w:rPr>
        <w:t>Couverture Sanitaire U</w:t>
      </w:r>
      <w:r w:rsidR="002C37D7" w:rsidRPr="00425A7F">
        <w:rPr>
          <w:b/>
          <w:sz w:val="52"/>
          <w:szCs w:val="52"/>
          <w:lang w:val="fr-CH"/>
        </w:rPr>
        <w:t>niverselle</w:t>
      </w:r>
    </w:p>
    <w:p w:rsidR="00A86D28" w:rsidRPr="00425A7F" w:rsidRDefault="00A86D28" w:rsidP="00F24E98">
      <w:pPr>
        <w:widowControl w:val="0"/>
        <w:suppressAutoHyphens/>
        <w:jc w:val="center"/>
        <w:rPr>
          <w:b/>
          <w:sz w:val="52"/>
          <w:szCs w:val="52"/>
          <w:lang w:val="fr-CH"/>
        </w:rPr>
      </w:pPr>
    </w:p>
    <w:p w:rsidR="00A86D28" w:rsidRPr="00425A7F" w:rsidRDefault="00A86D28" w:rsidP="00F24E98">
      <w:pPr>
        <w:widowControl w:val="0"/>
        <w:suppressAutoHyphens/>
        <w:jc w:val="center"/>
        <w:rPr>
          <w:lang w:val="fr-CH"/>
        </w:rPr>
      </w:pPr>
    </w:p>
    <w:p w:rsidR="00A86D28" w:rsidRPr="00425A7F" w:rsidRDefault="00A86D28" w:rsidP="00F24E98">
      <w:pPr>
        <w:widowControl w:val="0"/>
        <w:suppressAutoHyphens/>
        <w:jc w:val="both"/>
        <w:rPr>
          <w:lang w:val="fr-CH"/>
        </w:rPr>
      </w:pPr>
    </w:p>
    <w:p w:rsidR="00A86D28" w:rsidRPr="00425A7F" w:rsidRDefault="00A86D28" w:rsidP="00F24E98">
      <w:pPr>
        <w:widowControl w:val="0"/>
        <w:suppressAutoHyphens/>
        <w:jc w:val="both"/>
        <w:rPr>
          <w:lang w:val="fr-CH"/>
        </w:rPr>
      </w:pPr>
      <w:r w:rsidRPr="00425A7F">
        <w:rPr>
          <w:lang w:val="fr-CH"/>
        </w:rPr>
        <w:br w:type="page"/>
      </w:r>
    </w:p>
    <w:sdt>
      <w:sdtPr>
        <w:rPr>
          <w:b/>
          <w:bCs/>
        </w:rPr>
        <w:id w:val="-47996138"/>
        <w:docPartObj>
          <w:docPartGallery w:val="Table of Contents"/>
          <w:docPartUnique/>
        </w:docPartObj>
      </w:sdtPr>
      <w:sdtEndPr>
        <w:rPr>
          <w:b w:val="0"/>
          <w:bCs w:val="0"/>
        </w:rPr>
      </w:sdtEndPr>
      <w:sdtContent>
        <w:p w:rsidR="00A86D28" w:rsidRPr="00425A7F" w:rsidRDefault="00A86D28" w:rsidP="000B4DC9"/>
        <w:p w:rsidR="00E775BF" w:rsidRDefault="006121E7">
          <w:pPr>
            <w:pStyle w:val="TM1"/>
            <w:rPr>
              <w:rFonts w:asciiTheme="minorHAnsi" w:eastAsiaTheme="minorEastAsia" w:hAnsiTheme="minorHAnsi" w:cstheme="minorBidi"/>
              <w:noProof/>
              <w:lang w:eastAsia="fr-FR"/>
            </w:rPr>
          </w:pPr>
          <w:r w:rsidRPr="00425A7F">
            <w:fldChar w:fldCharType="begin"/>
          </w:r>
          <w:r w:rsidR="0073716A" w:rsidRPr="00425A7F">
            <w:instrText xml:space="preserve"> TOC \o "1-5" \h \z \u </w:instrText>
          </w:r>
          <w:r w:rsidRPr="00425A7F">
            <w:fldChar w:fldCharType="separate"/>
          </w:r>
          <w:hyperlink w:anchor="_Toc497294468" w:history="1">
            <w:r w:rsidR="00E775BF" w:rsidRPr="00813A82">
              <w:rPr>
                <w:rStyle w:val="Lienhypertexte"/>
                <w:noProof/>
              </w:rPr>
              <w:t>LISTE DES TABLEAUX</w:t>
            </w:r>
            <w:r w:rsidR="00E775BF">
              <w:rPr>
                <w:noProof/>
                <w:webHidden/>
              </w:rPr>
              <w:tab/>
            </w:r>
            <w:r w:rsidR="00E775BF">
              <w:rPr>
                <w:noProof/>
                <w:webHidden/>
              </w:rPr>
              <w:fldChar w:fldCharType="begin"/>
            </w:r>
            <w:r w:rsidR="00E775BF">
              <w:rPr>
                <w:noProof/>
                <w:webHidden/>
              </w:rPr>
              <w:instrText xml:space="preserve"> PAGEREF _Toc497294468 \h </w:instrText>
            </w:r>
            <w:r w:rsidR="00E775BF">
              <w:rPr>
                <w:noProof/>
                <w:webHidden/>
              </w:rPr>
            </w:r>
            <w:r w:rsidR="00E775BF">
              <w:rPr>
                <w:noProof/>
                <w:webHidden/>
              </w:rPr>
              <w:fldChar w:fldCharType="separate"/>
            </w:r>
            <w:r w:rsidR="00E775BF">
              <w:rPr>
                <w:noProof/>
                <w:webHidden/>
              </w:rPr>
              <w:t>4</w:t>
            </w:r>
            <w:r w:rsidR="00E775BF">
              <w:rPr>
                <w:noProof/>
                <w:webHidden/>
              </w:rPr>
              <w:fldChar w:fldCharType="end"/>
            </w:r>
          </w:hyperlink>
        </w:p>
        <w:p w:rsidR="00E775BF" w:rsidRDefault="00E775BF">
          <w:pPr>
            <w:pStyle w:val="TM1"/>
            <w:rPr>
              <w:rFonts w:asciiTheme="minorHAnsi" w:eastAsiaTheme="minorEastAsia" w:hAnsiTheme="minorHAnsi" w:cstheme="minorBidi"/>
              <w:noProof/>
              <w:lang w:eastAsia="fr-FR"/>
            </w:rPr>
          </w:pPr>
          <w:hyperlink w:anchor="_Toc497294469" w:history="1">
            <w:r w:rsidRPr="00813A82">
              <w:rPr>
                <w:rStyle w:val="Lienhypertexte"/>
                <w:noProof/>
              </w:rPr>
              <w:t>LISTE DE SIGLES ET ABREVIATIONS</w:t>
            </w:r>
            <w:r>
              <w:rPr>
                <w:noProof/>
                <w:webHidden/>
              </w:rPr>
              <w:tab/>
            </w:r>
            <w:r>
              <w:rPr>
                <w:noProof/>
                <w:webHidden/>
              </w:rPr>
              <w:fldChar w:fldCharType="begin"/>
            </w:r>
            <w:r>
              <w:rPr>
                <w:noProof/>
                <w:webHidden/>
              </w:rPr>
              <w:instrText xml:space="preserve"> PAGEREF _Toc497294469 \h </w:instrText>
            </w:r>
            <w:r>
              <w:rPr>
                <w:noProof/>
                <w:webHidden/>
              </w:rPr>
            </w:r>
            <w:r>
              <w:rPr>
                <w:noProof/>
                <w:webHidden/>
              </w:rPr>
              <w:fldChar w:fldCharType="separate"/>
            </w:r>
            <w:r>
              <w:rPr>
                <w:noProof/>
                <w:webHidden/>
              </w:rPr>
              <w:t>5</w:t>
            </w:r>
            <w:r>
              <w:rPr>
                <w:noProof/>
                <w:webHidden/>
              </w:rPr>
              <w:fldChar w:fldCharType="end"/>
            </w:r>
          </w:hyperlink>
        </w:p>
        <w:p w:rsidR="00E775BF" w:rsidRDefault="00E775BF">
          <w:pPr>
            <w:pStyle w:val="TM1"/>
            <w:rPr>
              <w:rFonts w:asciiTheme="minorHAnsi" w:eastAsiaTheme="minorEastAsia" w:hAnsiTheme="minorHAnsi" w:cstheme="minorBidi"/>
              <w:noProof/>
              <w:lang w:eastAsia="fr-FR"/>
            </w:rPr>
          </w:pPr>
          <w:hyperlink w:anchor="_Toc497294470" w:history="1">
            <w:r w:rsidRPr="00813A82">
              <w:rPr>
                <w:rStyle w:val="Lienhypertexte"/>
                <w:noProof/>
              </w:rPr>
              <w:t>RESUME</w:t>
            </w:r>
            <w:r>
              <w:rPr>
                <w:noProof/>
                <w:webHidden/>
              </w:rPr>
              <w:tab/>
            </w:r>
            <w:r>
              <w:rPr>
                <w:noProof/>
                <w:webHidden/>
              </w:rPr>
              <w:fldChar w:fldCharType="begin"/>
            </w:r>
            <w:r>
              <w:rPr>
                <w:noProof/>
                <w:webHidden/>
              </w:rPr>
              <w:instrText xml:space="preserve"> PAGEREF _Toc497294470 \h </w:instrText>
            </w:r>
            <w:r>
              <w:rPr>
                <w:noProof/>
                <w:webHidden/>
              </w:rPr>
            </w:r>
            <w:r>
              <w:rPr>
                <w:noProof/>
                <w:webHidden/>
              </w:rPr>
              <w:fldChar w:fldCharType="separate"/>
            </w:r>
            <w:r>
              <w:rPr>
                <w:noProof/>
                <w:webHidden/>
              </w:rPr>
              <w:t>6</w:t>
            </w:r>
            <w:r>
              <w:rPr>
                <w:noProof/>
                <w:webHidden/>
              </w:rPr>
              <w:fldChar w:fldCharType="end"/>
            </w:r>
          </w:hyperlink>
        </w:p>
        <w:p w:rsidR="00E775BF" w:rsidRDefault="00E775BF">
          <w:pPr>
            <w:pStyle w:val="TM1"/>
            <w:rPr>
              <w:rFonts w:asciiTheme="minorHAnsi" w:eastAsiaTheme="minorEastAsia" w:hAnsiTheme="minorHAnsi" w:cstheme="minorBidi"/>
              <w:noProof/>
              <w:lang w:eastAsia="fr-FR"/>
            </w:rPr>
          </w:pPr>
          <w:hyperlink w:anchor="_Toc497294471" w:history="1">
            <w:r w:rsidRPr="00813A82">
              <w:rPr>
                <w:rStyle w:val="Lienhypertexte"/>
                <w:noProof/>
              </w:rPr>
              <w:t>CONTEXTE ET JUSTIFICATION</w:t>
            </w:r>
            <w:r>
              <w:rPr>
                <w:noProof/>
                <w:webHidden/>
              </w:rPr>
              <w:tab/>
            </w:r>
            <w:r>
              <w:rPr>
                <w:noProof/>
                <w:webHidden/>
              </w:rPr>
              <w:fldChar w:fldCharType="begin"/>
            </w:r>
            <w:r>
              <w:rPr>
                <w:noProof/>
                <w:webHidden/>
              </w:rPr>
              <w:instrText xml:space="preserve"> PAGEREF _Toc497294471 \h </w:instrText>
            </w:r>
            <w:r>
              <w:rPr>
                <w:noProof/>
                <w:webHidden/>
              </w:rPr>
            </w:r>
            <w:r>
              <w:rPr>
                <w:noProof/>
                <w:webHidden/>
              </w:rPr>
              <w:fldChar w:fldCharType="separate"/>
            </w:r>
            <w:r>
              <w:rPr>
                <w:noProof/>
                <w:webHidden/>
              </w:rPr>
              <w:t>8</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472" w:history="1">
            <w:r w:rsidRPr="00813A82">
              <w:rPr>
                <w:rStyle w:val="Lienhypertexte"/>
                <w:noProof/>
              </w:rPr>
              <w:t>1.</w:t>
            </w:r>
            <w:r>
              <w:rPr>
                <w:rFonts w:asciiTheme="minorHAnsi" w:eastAsiaTheme="minorEastAsia" w:hAnsiTheme="minorHAnsi" w:cstheme="minorBidi"/>
                <w:noProof/>
                <w:lang w:eastAsia="fr-FR"/>
              </w:rPr>
              <w:tab/>
            </w:r>
            <w:r w:rsidRPr="00813A82">
              <w:rPr>
                <w:rStyle w:val="Lienhypertexte"/>
                <w:noProof/>
              </w:rPr>
              <w:t>Caractéristiques géographiques, démographiques et administratives</w:t>
            </w:r>
            <w:r>
              <w:rPr>
                <w:noProof/>
                <w:webHidden/>
              </w:rPr>
              <w:tab/>
            </w:r>
            <w:r>
              <w:rPr>
                <w:noProof/>
                <w:webHidden/>
              </w:rPr>
              <w:fldChar w:fldCharType="begin"/>
            </w:r>
            <w:r>
              <w:rPr>
                <w:noProof/>
                <w:webHidden/>
              </w:rPr>
              <w:instrText xml:space="preserve"> PAGEREF _Toc497294472 \h </w:instrText>
            </w:r>
            <w:r>
              <w:rPr>
                <w:noProof/>
                <w:webHidden/>
              </w:rPr>
            </w:r>
            <w:r>
              <w:rPr>
                <w:noProof/>
                <w:webHidden/>
              </w:rPr>
              <w:fldChar w:fldCharType="separate"/>
            </w:r>
            <w:r>
              <w:rPr>
                <w:noProof/>
                <w:webHidden/>
              </w:rPr>
              <w:t>8</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473" w:history="1">
            <w:r w:rsidRPr="00813A82">
              <w:rPr>
                <w:rStyle w:val="Lienhypertexte"/>
                <w:noProof/>
              </w:rPr>
              <w:t>2.</w:t>
            </w:r>
            <w:r>
              <w:rPr>
                <w:rFonts w:asciiTheme="minorHAnsi" w:eastAsiaTheme="minorEastAsia" w:hAnsiTheme="minorHAnsi" w:cstheme="minorBidi"/>
                <w:noProof/>
                <w:lang w:eastAsia="fr-FR"/>
              </w:rPr>
              <w:tab/>
            </w:r>
            <w:r w:rsidRPr="00813A82">
              <w:rPr>
                <w:rStyle w:val="Lienhypertexte"/>
                <w:noProof/>
              </w:rPr>
              <w:t>Politique Nationale de Santé</w:t>
            </w:r>
            <w:r>
              <w:rPr>
                <w:noProof/>
                <w:webHidden/>
              </w:rPr>
              <w:tab/>
            </w:r>
            <w:r>
              <w:rPr>
                <w:noProof/>
                <w:webHidden/>
              </w:rPr>
              <w:fldChar w:fldCharType="begin"/>
            </w:r>
            <w:r>
              <w:rPr>
                <w:noProof/>
                <w:webHidden/>
              </w:rPr>
              <w:instrText xml:space="preserve"> PAGEREF _Toc497294473 \h </w:instrText>
            </w:r>
            <w:r>
              <w:rPr>
                <w:noProof/>
                <w:webHidden/>
              </w:rPr>
            </w:r>
            <w:r>
              <w:rPr>
                <w:noProof/>
                <w:webHidden/>
              </w:rPr>
              <w:fldChar w:fldCharType="separate"/>
            </w:r>
            <w:r>
              <w:rPr>
                <w:noProof/>
                <w:webHidden/>
              </w:rPr>
              <w:t>10</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474" w:history="1">
            <w:r w:rsidRPr="00813A82">
              <w:rPr>
                <w:rStyle w:val="Lienhypertexte"/>
                <w:noProof/>
              </w:rPr>
              <w:t>3.</w:t>
            </w:r>
            <w:r>
              <w:rPr>
                <w:rFonts w:asciiTheme="minorHAnsi" w:eastAsiaTheme="minorEastAsia" w:hAnsiTheme="minorHAnsi" w:cstheme="minorBidi"/>
                <w:noProof/>
                <w:lang w:eastAsia="fr-FR"/>
              </w:rPr>
              <w:tab/>
            </w:r>
            <w:r w:rsidRPr="00813A82">
              <w:rPr>
                <w:rStyle w:val="Lienhypertexte"/>
                <w:noProof/>
              </w:rPr>
              <w:t>Organisation du système de santé</w:t>
            </w:r>
            <w:r>
              <w:rPr>
                <w:noProof/>
                <w:webHidden/>
              </w:rPr>
              <w:tab/>
            </w:r>
            <w:r>
              <w:rPr>
                <w:noProof/>
                <w:webHidden/>
              </w:rPr>
              <w:fldChar w:fldCharType="begin"/>
            </w:r>
            <w:r>
              <w:rPr>
                <w:noProof/>
                <w:webHidden/>
              </w:rPr>
              <w:instrText xml:space="preserve"> PAGEREF _Toc497294474 \h </w:instrText>
            </w:r>
            <w:r>
              <w:rPr>
                <w:noProof/>
                <w:webHidden/>
              </w:rPr>
            </w:r>
            <w:r>
              <w:rPr>
                <w:noProof/>
                <w:webHidden/>
              </w:rPr>
              <w:fldChar w:fldCharType="separate"/>
            </w:r>
            <w:r>
              <w:rPr>
                <w:noProof/>
                <w:webHidden/>
              </w:rPr>
              <w:t>11</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475" w:history="1">
            <w:r w:rsidRPr="00813A82">
              <w:rPr>
                <w:rStyle w:val="Lienhypertexte"/>
                <w:noProof/>
              </w:rPr>
              <w:t>4.</w:t>
            </w:r>
            <w:r>
              <w:rPr>
                <w:rFonts w:asciiTheme="minorHAnsi" w:eastAsiaTheme="minorEastAsia" w:hAnsiTheme="minorHAnsi" w:cstheme="minorBidi"/>
                <w:noProof/>
                <w:lang w:eastAsia="fr-FR"/>
              </w:rPr>
              <w:tab/>
            </w:r>
            <w:r w:rsidRPr="00813A82">
              <w:rPr>
                <w:rStyle w:val="Lienhypertexte"/>
                <w:noProof/>
              </w:rPr>
              <w:t>Situation sociale</w:t>
            </w:r>
            <w:r>
              <w:rPr>
                <w:noProof/>
                <w:webHidden/>
              </w:rPr>
              <w:tab/>
            </w:r>
            <w:r>
              <w:rPr>
                <w:noProof/>
                <w:webHidden/>
              </w:rPr>
              <w:fldChar w:fldCharType="begin"/>
            </w:r>
            <w:r>
              <w:rPr>
                <w:noProof/>
                <w:webHidden/>
              </w:rPr>
              <w:instrText xml:space="preserve"> PAGEREF _Toc497294475 \h </w:instrText>
            </w:r>
            <w:r>
              <w:rPr>
                <w:noProof/>
                <w:webHidden/>
              </w:rPr>
            </w:r>
            <w:r>
              <w:rPr>
                <w:noProof/>
                <w:webHidden/>
              </w:rPr>
              <w:fldChar w:fldCharType="separate"/>
            </w:r>
            <w:r>
              <w:rPr>
                <w:noProof/>
                <w:webHidden/>
              </w:rPr>
              <w:t>12</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476" w:history="1">
            <w:r w:rsidRPr="00813A82">
              <w:rPr>
                <w:rStyle w:val="Lienhypertexte"/>
                <w:rFonts w:asciiTheme="majorHAnsi" w:eastAsiaTheme="majorEastAsia" w:hAnsiTheme="majorHAnsi" w:cstheme="majorBidi"/>
                <w:bCs/>
                <w:noProof/>
              </w:rPr>
              <w:t>5.</w:t>
            </w:r>
            <w:r>
              <w:rPr>
                <w:rFonts w:asciiTheme="minorHAnsi" w:eastAsiaTheme="minorEastAsia" w:hAnsiTheme="minorHAnsi" w:cstheme="minorBidi"/>
                <w:noProof/>
                <w:lang w:eastAsia="fr-FR"/>
              </w:rPr>
              <w:tab/>
            </w:r>
            <w:r w:rsidRPr="00813A82">
              <w:rPr>
                <w:rStyle w:val="Lienhypertexte"/>
                <w:noProof/>
              </w:rPr>
              <w:t>Justification de la stratégie de financement de la santé pour le développement de la couverture sanitaire universelle</w:t>
            </w:r>
            <w:r>
              <w:rPr>
                <w:noProof/>
                <w:webHidden/>
              </w:rPr>
              <w:tab/>
            </w:r>
            <w:r>
              <w:rPr>
                <w:noProof/>
                <w:webHidden/>
              </w:rPr>
              <w:fldChar w:fldCharType="begin"/>
            </w:r>
            <w:r>
              <w:rPr>
                <w:noProof/>
                <w:webHidden/>
              </w:rPr>
              <w:instrText xml:space="preserve"> PAGEREF _Toc497294476 \h </w:instrText>
            </w:r>
            <w:r>
              <w:rPr>
                <w:noProof/>
                <w:webHidden/>
              </w:rPr>
            </w:r>
            <w:r>
              <w:rPr>
                <w:noProof/>
                <w:webHidden/>
              </w:rPr>
              <w:fldChar w:fldCharType="separate"/>
            </w:r>
            <w:r>
              <w:rPr>
                <w:noProof/>
                <w:webHidden/>
              </w:rPr>
              <w:t>13</w:t>
            </w:r>
            <w:r>
              <w:rPr>
                <w:noProof/>
                <w:webHidden/>
              </w:rPr>
              <w:fldChar w:fldCharType="end"/>
            </w:r>
          </w:hyperlink>
        </w:p>
        <w:p w:rsidR="00E775BF" w:rsidRDefault="00E775BF">
          <w:pPr>
            <w:pStyle w:val="TM1"/>
            <w:rPr>
              <w:rFonts w:asciiTheme="minorHAnsi" w:eastAsiaTheme="minorEastAsia" w:hAnsiTheme="minorHAnsi" w:cstheme="minorBidi"/>
              <w:noProof/>
              <w:lang w:eastAsia="fr-FR"/>
            </w:rPr>
          </w:pPr>
          <w:hyperlink w:anchor="_Toc497294477" w:history="1">
            <w:r w:rsidRPr="00813A82">
              <w:rPr>
                <w:rStyle w:val="Lienhypertexte"/>
                <w:noProof/>
              </w:rPr>
              <w:t>ANALYSE DIAGNOSTIQUE</w:t>
            </w:r>
            <w:r>
              <w:rPr>
                <w:noProof/>
                <w:webHidden/>
              </w:rPr>
              <w:tab/>
            </w:r>
            <w:r>
              <w:rPr>
                <w:noProof/>
                <w:webHidden/>
              </w:rPr>
              <w:fldChar w:fldCharType="begin"/>
            </w:r>
            <w:r>
              <w:rPr>
                <w:noProof/>
                <w:webHidden/>
              </w:rPr>
              <w:instrText xml:space="preserve"> PAGEREF _Toc497294477 \h </w:instrText>
            </w:r>
            <w:r>
              <w:rPr>
                <w:noProof/>
                <w:webHidden/>
              </w:rPr>
            </w:r>
            <w:r>
              <w:rPr>
                <w:noProof/>
                <w:webHidden/>
              </w:rPr>
              <w:fldChar w:fldCharType="separate"/>
            </w:r>
            <w:r>
              <w:rPr>
                <w:noProof/>
                <w:webHidden/>
              </w:rPr>
              <w:t>15</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478" w:history="1">
            <w:r w:rsidRPr="00813A82">
              <w:rPr>
                <w:rStyle w:val="Lienhypertexte"/>
                <w:noProof/>
              </w:rPr>
              <w:t>1.</w:t>
            </w:r>
            <w:r>
              <w:rPr>
                <w:rFonts w:asciiTheme="minorHAnsi" w:eastAsiaTheme="minorEastAsia" w:hAnsiTheme="minorHAnsi" w:cstheme="minorBidi"/>
                <w:noProof/>
                <w:lang w:eastAsia="fr-FR"/>
              </w:rPr>
              <w:tab/>
            </w:r>
            <w:r w:rsidRPr="00813A82">
              <w:rPr>
                <w:rStyle w:val="Lienhypertexte"/>
                <w:noProof/>
              </w:rPr>
              <w:t>Analyse du système de financement de la santé</w:t>
            </w:r>
            <w:r>
              <w:rPr>
                <w:noProof/>
                <w:webHidden/>
              </w:rPr>
              <w:tab/>
            </w:r>
            <w:r>
              <w:rPr>
                <w:noProof/>
                <w:webHidden/>
              </w:rPr>
              <w:fldChar w:fldCharType="begin"/>
            </w:r>
            <w:r>
              <w:rPr>
                <w:noProof/>
                <w:webHidden/>
              </w:rPr>
              <w:instrText xml:space="preserve"> PAGEREF _Toc497294478 \h </w:instrText>
            </w:r>
            <w:r>
              <w:rPr>
                <w:noProof/>
                <w:webHidden/>
              </w:rPr>
            </w:r>
            <w:r>
              <w:rPr>
                <w:noProof/>
                <w:webHidden/>
              </w:rPr>
              <w:fldChar w:fldCharType="separate"/>
            </w:r>
            <w:r>
              <w:rPr>
                <w:noProof/>
                <w:webHidden/>
              </w:rPr>
              <w:t>15</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479" w:history="1">
            <w:r w:rsidRPr="00813A82">
              <w:rPr>
                <w:rStyle w:val="Lienhypertexte"/>
                <w:noProof/>
              </w:rPr>
              <w:t>Architecture</w:t>
            </w:r>
            <w:r>
              <w:rPr>
                <w:noProof/>
                <w:webHidden/>
              </w:rPr>
              <w:tab/>
            </w:r>
            <w:r>
              <w:rPr>
                <w:noProof/>
                <w:webHidden/>
              </w:rPr>
              <w:fldChar w:fldCharType="begin"/>
            </w:r>
            <w:r>
              <w:rPr>
                <w:noProof/>
                <w:webHidden/>
              </w:rPr>
              <w:instrText xml:space="preserve"> PAGEREF _Toc497294479 \h </w:instrText>
            </w:r>
            <w:r>
              <w:rPr>
                <w:noProof/>
                <w:webHidden/>
              </w:rPr>
            </w:r>
            <w:r>
              <w:rPr>
                <w:noProof/>
                <w:webHidden/>
              </w:rPr>
              <w:fldChar w:fldCharType="separate"/>
            </w:r>
            <w:r>
              <w:rPr>
                <w:noProof/>
                <w:webHidden/>
              </w:rPr>
              <w:t>15</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480" w:history="1">
            <w:r w:rsidRPr="00813A82">
              <w:rPr>
                <w:rStyle w:val="Lienhypertexte"/>
                <w:noProof/>
              </w:rPr>
              <w:t>Financement de la santé par l’Etat</w:t>
            </w:r>
            <w:r>
              <w:rPr>
                <w:noProof/>
                <w:webHidden/>
              </w:rPr>
              <w:tab/>
            </w:r>
            <w:r>
              <w:rPr>
                <w:noProof/>
                <w:webHidden/>
              </w:rPr>
              <w:fldChar w:fldCharType="begin"/>
            </w:r>
            <w:r>
              <w:rPr>
                <w:noProof/>
                <w:webHidden/>
              </w:rPr>
              <w:instrText xml:space="preserve"> PAGEREF _Toc497294480 \h </w:instrText>
            </w:r>
            <w:r>
              <w:rPr>
                <w:noProof/>
                <w:webHidden/>
              </w:rPr>
            </w:r>
            <w:r>
              <w:rPr>
                <w:noProof/>
                <w:webHidden/>
              </w:rPr>
              <w:fldChar w:fldCharType="separate"/>
            </w:r>
            <w:r>
              <w:rPr>
                <w:noProof/>
                <w:webHidden/>
              </w:rPr>
              <w:t>17</w:t>
            </w:r>
            <w:r>
              <w:rPr>
                <w:noProof/>
                <w:webHidden/>
              </w:rPr>
              <w:fldChar w:fldCharType="end"/>
            </w:r>
          </w:hyperlink>
        </w:p>
        <w:p w:rsidR="00E775BF" w:rsidRDefault="00E775BF">
          <w:pPr>
            <w:pStyle w:val="TM4"/>
            <w:tabs>
              <w:tab w:val="right" w:leader="dot" w:pos="9060"/>
            </w:tabs>
            <w:rPr>
              <w:rFonts w:asciiTheme="minorHAnsi" w:eastAsiaTheme="minorEastAsia" w:hAnsiTheme="minorHAnsi" w:cstheme="minorBidi"/>
              <w:noProof/>
              <w:lang w:eastAsia="fr-FR"/>
            </w:rPr>
          </w:pPr>
          <w:hyperlink w:anchor="_Toc497294481" w:history="1">
            <w:r w:rsidRPr="00813A82">
              <w:rPr>
                <w:rStyle w:val="Lienhypertexte"/>
                <w:noProof/>
              </w:rPr>
              <w:t>Financement de l’ensemble des dépenses de santé :</w:t>
            </w:r>
            <w:r>
              <w:rPr>
                <w:noProof/>
                <w:webHidden/>
              </w:rPr>
              <w:tab/>
            </w:r>
            <w:r>
              <w:rPr>
                <w:noProof/>
                <w:webHidden/>
              </w:rPr>
              <w:fldChar w:fldCharType="begin"/>
            </w:r>
            <w:r>
              <w:rPr>
                <w:noProof/>
                <w:webHidden/>
              </w:rPr>
              <w:instrText xml:space="preserve"> PAGEREF _Toc497294481 \h </w:instrText>
            </w:r>
            <w:r>
              <w:rPr>
                <w:noProof/>
                <w:webHidden/>
              </w:rPr>
            </w:r>
            <w:r>
              <w:rPr>
                <w:noProof/>
                <w:webHidden/>
              </w:rPr>
              <w:fldChar w:fldCharType="separate"/>
            </w:r>
            <w:r>
              <w:rPr>
                <w:noProof/>
                <w:webHidden/>
              </w:rPr>
              <w:t>17</w:t>
            </w:r>
            <w:r>
              <w:rPr>
                <w:noProof/>
                <w:webHidden/>
              </w:rPr>
              <w:fldChar w:fldCharType="end"/>
            </w:r>
          </w:hyperlink>
        </w:p>
        <w:p w:rsidR="00E775BF" w:rsidRDefault="00E775BF">
          <w:pPr>
            <w:pStyle w:val="TM4"/>
            <w:tabs>
              <w:tab w:val="right" w:leader="dot" w:pos="9060"/>
            </w:tabs>
            <w:rPr>
              <w:rFonts w:asciiTheme="minorHAnsi" w:eastAsiaTheme="minorEastAsia" w:hAnsiTheme="minorHAnsi" w:cstheme="minorBidi"/>
              <w:noProof/>
              <w:lang w:eastAsia="fr-FR"/>
            </w:rPr>
          </w:pPr>
          <w:hyperlink w:anchor="_Toc497294482" w:history="1">
            <w:r w:rsidRPr="00813A82">
              <w:rPr>
                <w:rStyle w:val="Lienhypertexte"/>
                <w:noProof/>
              </w:rPr>
              <w:t>Répartition des dépenses publiques en santé :</w:t>
            </w:r>
            <w:r>
              <w:rPr>
                <w:noProof/>
                <w:webHidden/>
              </w:rPr>
              <w:tab/>
            </w:r>
            <w:r>
              <w:rPr>
                <w:noProof/>
                <w:webHidden/>
              </w:rPr>
              <w:fldChar w:fldCharType="begin"/>
            </w:r>
            <w:r>
              <w:rPr>
                <w:noProof/>
                <w:webHidden/>
              </w:rPr>
              <w:instrText xml:space="preserve"> PAGEREF _Toc497294482 \h </w:instrText>
            </w:r>
            <w:r>
              <w:rPr>
                <w:noProof/>
                <w:webHidden/>
              </w:rPr>
            </w:r>
            <w:r>
              <w:rPr>
                <w:noProof/>
                <w:webHidden/>
              </w:rPr>
              <w:fldChar w:fldCharType="separate"/>
            </w:r>
            <w:r>
              <w:rPr>
                <w:noProof/>
                <w:webHidden/>
              </w:rPr>
              <w:t>17</w:t>
            </w:r>
            <w:r>
              <w:rPr>
                <w:noProof/>
                <w:webHidden/>
              </w:rPr>
              <w:fldChar w:fldCharType="end"/>
            </w:r>
          </w:hyperlink>
        </w:p>
        <w:p w:rsidR="00E775BF" w:rsidRDefault="00E775BF">
          <w:pPr>
            <w:pStyle w:val="TM4"/>
            <w:tabs>
              <w:tab w:val="right" w:leader="dot" w:pos="9060"/>
            </w:tabs>
            <w:rPr>
              <w:rFonts w:asciiTheme="minorHAnsi" w:eastAsiaTheme="minorEastAsia" w:hAnsiTheme="minorHAnsi" w:cstheme="minorBidi"/>
              <w:noProof/>
              <w:lang w:eastAsia="fr-FR"/>
            </w:rPr>
          </w:pPr>
          <w:hyperlink w:anchor="_Toc497294483" w:history="1">
            <w:r w:rsidRPr="00813A82">
              <w:rPr>
                <w:rStyle w:val="Lienhypertexte"/>
                <w:noProof/>
              </w:rPr>
              <w:t>Effort public spécifique à la santé :</w:t>
            </w:r>
            <w:r>
              <w:rPr>
                <w:noProof/>
                <w:webHidden/>
              </w:rPr>
              <w:tab/>
            </w:r>
            <w:r>
              <w:rPr>
                <w:noProof/>
                <w:webHidden/>
              </w:rPr>
              <w:fldChar w:fldCharType="begin"/>
            </w:r>
            <w:r>
              <w:rPr>
                <w:noProof/>
                <w:webHidden/>
              </w:rPr>
              <w:instrText xml:space="preserve"> PAGEREF _Toc497294483 \h </w:instrText>
            </w:r>
            <w:r>
              <w:rPr>
                <w:noProof/>
                <w:webHidden/>
              </w:rPr>
            </w:r>
            <w:r>
              <w:rPr>
                <w:noProof/>
                <w:webHidden/>
              </w:rPr>
              <w:fldChar w:fldCharType="separate"/>
            </w:r>
            <w:r>
              <w:rPr>
                <w:noProof/>
                <w:webHidden/>
              </w:rPr>
              <w:t>19</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484" w:history="1">
            <w:r w:rsidRPr="00813A82">
              <w:rPr>
                <w:rStyle w:val="Lienhypertexte"/>
                <w:noProof/>
              </w:rPr>
              <w:t>Analyse institutionnelle et organisationnelle des fonctions et défis principaux</w:t>
            </w:r>
            <w:r>
              <w:rPr>
                <w:noProof/>
                <w:webHidden/>
              </w:rPr>
              <w:tab/>
            </w:r>
            <w:r>
              <w:rPr>
                <w:noProof/>
                <w:webHidden/>
              </w:rPr>
              <w:fldChar w:fldCharType="begin"/>
            </w:r>
            <w:r>
              <w:rPr>
                <w:noProof/>
                <w:webHidden/>
              </w:rPr>
              <w:instrText xml:space="preserve"> PAGEREF _Toc497294484 \h </w:instrText>
            </w:r>
            <w:r>
              <w:rPr>
                <w:noProof/>
                <w:webHidden/>
              </w:rPr>
            </w:r>
            <w:r>
              <w:rPr>
                <w:noProof/>
                <w:webHidden/>
              </w:rPr>
              <w:fldChar w:fldCharType="separate"/>
            </w:r>
            <w:r>
              <w:rPr>
                <w:noProof/>
                <w:webHidden/>
              </w:rPr>
              <w:t>19</w:t>
            </w:r>
            <w:r>
              <w:rPr>
                <w:noProof/>
                <w:webHidden/>
              </w:rPr>
              <w:fldChar w:fldCharType="end"/>
            </w:r>
          </w:hyperlink>
        </w:p>
        <w:p w:rsidR="00E775BF" w:rsidRDefault="00E775BF">
          <w:pPr>
            <w:pStyle w:val="TM4"/>
            <w:tabs>
              <w:tab w:val="right" w:leader="dot" w:pos="9060"/>
            </w:tabs>
            <w:rPr>
              <w:rFonts w:asciiTheme="minorHAnsi" w:eastAsiaTheme="minorEastAsia" w:hAnsiTheme="minorHAnsi" w:cstheme="minorBidi"/>
              <w:noProof/>
              <w:lang w:eastAsia="fr-FR"/>
            </w:rPr>
          </w:pPr>
          <w:hyperlink w:anchor="_Toc497294485" w:history="1">
            <w:r w:rsidRPr="00813A82">
              <w:rPr>
                <w:rStyle w:val="Lienhypertexte"/>
                <w:noProof/>
              </w:rPr>
              <w:t>Mobilisation des ressources</w:t>
            </w:r>
            <w:r>
              <w:rPr>
                <w:noProof/>
                <w:webHidden/>
              </w:rPr>
              <w:tab/>
            </w:r>
            <w:r>
              <w:rPr>
                <w:noProof/>
                <w:webHidden/>
              </w:rPr>
              <w:fldChar w:fldCharType="begin"/>
            </w:r>
            <w:r>
              <w:rPr>
                <w:noProof/>
                <w:webHidden/>
              </w:rPr>
              <w:instrText xml:space="preserve"> PAGEREF _Toc497294485 \h </w:instrText>
            </w:r>
            <w:r>
              <w:rPr>
                <w:noProof/>
                <w:webHidden/>
              </w:rPr>
            </w:r>
            <w:r>
              <w:rPr>
                <w:noProof/>
                <w:webHidden/>
              </w:rPr>
              <w:fldChar w:fldCharType="separate"/>
            </w:r>
            <w:r>
              <w:rPr>
                <w:noProof/>
                <w:webHidden/>
              </w:rPr>
              <w:t>19</w:t>
            </w:r>
            <w:r>
              <w:rPr>
                <w:noProof/>
                <w:webHidden/>
              </w:rPr>
              <w:fldChar w:fldCharType="end"/>
            </w:r>
          </w:hyperlink>
        </w:p>
        <w:p w:rsidR="00E775BF" w:rsidRDefault="00E775BF">
          <w:pPr>
            <w:pStyle w:val="TM4"/>
            <w:tabs>
              <w:tab w:val="right" w:leader="dot" w:pos="9060"/>
            </w:tabs>
            <w:rPr>
              <w:rFonts w:asciiTheme="minorHAnsi" w:eastAsiaTheme="minorEastAsia" w:hAnsiTheme="minorHAnsi" w:cstheme="minorBidi"/>
              <w:noProof/>
              <w:lang w:eastAsia="fr-FR"/>
            </w:rPr>
          </w:pPr>
          <w:hyperlink w:anchor="_Toc497294486" w:history="1">
            <w:r w:rsidRPr="00813A82">
              <w:rPr>
                <w:rStyle w:val="Lienhypertexte"/>
                <w:noProof/>
              </w:rPr>
              <w:t>Mise en commun</w:t>
            </w:r>
            <w:r>
              <w:rPr>
                <w:noProof/>
                <w:webHidden/>
              </w:rPr>
              <w:tab/>
            </w:r>
            <w:r>
              <w:rPr>
                <w:noProof/>
                <w:webHidden/>
              </w:rPr>
              <w:fldChar w:fldCharType="begin"/>
            </w:r>
            <w:r>
              <w:rPr>
                <w:noProof/>
                <w:webHidden/>
              </w:rPr>
              <w:instrText xml:space="preserve"> PAGEREF _Toc497294486 \h </w:instrText>
            </w:r>
            <w:r>
              <w:rPr>
                <w:noProof/>
                <w:webHidden/>
              </w:rPr>
            </w:r>
            <w:r>
              <w:rPr>
                <w:noProof/>
                <w:webHidden/>
              </w:rPr>
              <w:fldChar w:fldCharType="separate"/>
            </w:r>
            <w:r>
              <w:rPr>
                <w:noProof/>
                <w:webHidden/>
              </w:rPr>
              <w:t>20</w:t>
            </w:r>
            <w:r>
              <w:rPr>
                <w:noProof/>
                <w:webHidden/>
              </w:rPr>
              <w:fldChar w:fldCharType="end"/>
            </w:r>
          </w:hyperlink>
        </w:p>
        <w:p w:rsidR="00E775BF" w:rsidRDefault="00E775BF">
          <w:pPr>
            <w:pStyle w:val="TM4"/>
            <w:tabs>
              <w:tab w:val="right" w:leader="dot" w:pos="9060"/>
            </w:tabs>
            <w:rPr>
              <w:rFonts w:asciiTheme="minorHAnsi" w:eastAsiaTheme="minorEastAsia" w:hAnsiTheme="minorHAnsi" w:cstheme="minorBidi"/>
              <w:noProof/>
              <w:lang w:eastAsia="fr-FR"/>
            </w:rPr>
          </w:pPr>
          <w:hyperlink w:anchor="_Toc497294487" w:history="1">
            <w:r w:rsidRPr="00813A82">
              <w:rPr>
                <w:rStyle w:val="Lienhypertexte"/>
                <w:noProof/>
              </w:rPr>
              <w:t>Achat</w:t>
            </w:r>
            <w:r>
              <w:rPr>
                <w:noProof/>
                <w:webHidden/>
              </w:rPr>
              <w:tab/>
            </w:r>
            <w:r>
              <w:rPr>
                <w:noProof/>
                <w:webHidden/>
              </w:rPr>
              <w:fldChar w:fldCharType="begin"/>
            </w:r>
            <w:r>
              <w:rPr>
                <w:noProof/>
                <w:webHidden/>
              </w:rPr>
              <w:instrText xml:space="preserve"> PAGEREF _Toc497294487 \h </w:instrText>
            </w:r>
            <w:r>
              <w:rPr>
                <w:noProof/>
                <w:webHidden/>
              </w:rPr>
            </w:r>
            <w:r>
              <w:rPr>
                <w:noProof/>
                <w:webHidden/>
              </w:rPr>
              <w:fldChar w:fldCharType="separate"/>
            </w:r>
            <w:r>
              <w:rPr>
                <w:noProof/>
                <w:webHidden/>
              </w:rPr>
              <w:t>21</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488" w:history="1">
            <w:r w:rsidRPr="00813A82">
              <w:rPr>
                <w:rStyle w:val="Lienhypertexte"/>
                <w:noProof/>
              </w:rPr>
              <w:t>2.</w:t>
            </w:r>
            <w:r>
              <w:rPr>
                <w:rFonts w:asciiTheme="minorHAnsi" w:eastAsiaTheme="minorEastAsia" w:hAnsiTheme="minorHAnsi" w:cstheme="minorBidi"/>
                <w:noProof/>
                <w:lang w:eastAsia="fr-FR"/>
              </w:rPr>
              <w:tab/>
            </w:r>
            <w:r w:rsidRPr="00813A82">
              <w:rPr>
                <w:rStyle w:val="Lienhypertexte"/>
                <w:noProof/>
              </w:rPr>
              <w:t>Analyse de la performance du système de financement de la santé</w:t>
            </w:r>
            <w:r>
              <w:rPr>
                <w:noProof/>
                <w:webHidden/>
              </w:rPr>
              <w:tab/>
            </w:r>
            <w:r>
              <w:rPr>
                <w:noProof/>
                <w:webHidden/>
              </w:rPr>
              <w:fldChar w:fldCharType="begin"/>
            </w:r>
            <w:r>
              <w:rPr>
                <w:noProof/>
                <w:webHidden/>
              </w:rPr>
              <w:instrText xml:space="preserve"> PAGEREF _Toc497294488 \h </w:instrText>
            </w:r>
            <w:r>
              <w:rPr>
                <w:noProof/>
                <w:webHidden/>
              </w:rPr>
            </w:r>
            <w:r>
              <w:rPr>
                <w:noProof/>
                <w:webHidden/>
              </w:rPr>
              <w:fldChar w:fldCharType="separate"/>
            </w:r>
            <w:r>
              <w:rPr>
                <w:noProof/>
                <w:webHidden/>
              </w:rPr>
              <w:t>21</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489" w:history="1">
            <w:r w:rsidRPr="00813A82">
              <w:rPr>
                <w:rStyle w:val="Lienhypertexte"/>
                <w:noProof/>
              </w:rPr>
              <w:t>a. Utilisation des services</w:t>
            </w:r>
            <w:r>
              <w:rPr>
                <w:noProof/>
                <w:webHidden/>
              </w:rPr>
              <w:tab/>
            </w:r>
            <w:r>
              <w:rPr>
                <w:noProof/>
                <w:webHidden/>
              </w:rPr>
              <w:fldChar w:fldCharType="begin"/>
            </w:r>
            <w:r>
              <w:rPr>
                <w:noProof/>
                <w:webHidden/>
              </w:rPr>
              <w:instrText xml:space="preserve"> PAGEREF _Toc497294489 \h </w:instrText>
            </w:r>
            <w:r>
              <w:rPr>
                <w:noProof/>
                <w:webHidden/>
              </w:rPr>
            </w:r>
            <w:r>
              <w:rPr>
                <w:noProof/>
                <w:webHidden/>
              </w:rPr>
              <w:fldChar w:fldCharType="separate"/>
            </w:r>
            <w:r>
              <w:rPr>
                <w:noProof/>
                <w:webHidden/>
              </w:rPr>
              <w:t>21</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490" w:history="1">
            <w:r w:rsidRPr="00813A82">
              <w:rPr>
                <w:rStyle w:val="Lienhypertexte"/>
                <w:noProof/>
              </w:rPr>
              <w:t>b. Equité</w:t>
            </w:r>
            <w:r>
              <w:rPr>
                <w:noProof/>
                <w:webHidden/>
              </w:rPr>
              <w:tab/>
            </w:r>
            <w:r>
              <w:rPr>
                <w:noProof/>
                <w:webHidden/>
              </w:rPr>
              <w:fldChar w:fldCharType="begin"/>
            </w:r>
            <w:r>
              <w:rPr>
                <w:noProof/>
                <w:webHidden/>
              </w:rPr>
              <w:instrText xml:space="preserve"> PAGEREF _Toc497294490 \h </w:instrText>
            </w:r>
            <w:r>
              <w:rPr>
                <w:noProof/>
                <w:webHidden/>
              </w:rPr>
            </w:r>
            <w:r>
              <w:rPr>
                <w:noProof/>
                <w:webHidden/>
              </w:rPr>
              <w:fldChar w:fldCharType="separate"/>
            </w:r>
            <w:r>
              <w:rPr>
                <w:noProof/>
                <w:webHidden/>
              </w:rPr>
              <w:t>22</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491" w:history="1">
            <w:r w:rsidRPr="00813A82">
              <w:rPr>
                <w:rStyle w:val="Lienhypertexte"/>
                <w:noProof/>
              </w:rPr>
              <w:t>c. Efficience</w:t>
            </w:r>
            <w:r>
              <w:rPr>
                <w:noProof/>
                <w:webHidden/>
              </w:rPr>
              <w:tab/>
            </w:r>
            <w:r>
              <w:rPr>
                <w:noProof/>
                <w:webHidden/>
              </w:rPr>
              <w:fldChar w:fldCharType="begin"/>
            </w:r>
            <w:r>
              <w:rPr>
                <w:noProof/>
                <w:webHidden/>
              </w:rPr>
              <w:instrText xml:space="preserve"> PAGEREF _Toc497294491 \h </w:instrText>
            </w:r>
            <w:r>
              <w:rPr>
                <w:noProof/>
                <w:webHidden/>
              </w:rPr>
            </w:r>
            <w:r>
              <w:rPr>
                <w:noProof/>
                <w:webHidden/>
              </w:rPr>
              <w:fldChar w:fldCharType="separate"/>
            </w:r>
            <w:r>
              <w:rPr>
                <w:noProof/>
                <w:webHidden/>
              </w:rPr>
              <w:t>22</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492" w:history="1">
            <w:r w:rsidRPr="00813A82">
              <w:rPr>
                <w:rStyle w:val="Lienhypertexte"/>
                <w:noProof/>
              </w:rPr>
              <w:t>d.  Conclusion sur la performance du système de financement de la santé</w:t>
            </w:r>
            <w:r>
              <w:rPr>
                <w:noProof/>
                <w:webHidden/>
              </w:rPr>
              <w:tab/>
            </w:r>
            <w:r>
              <w:rPr>
                <w:noProof/>
                <w:webHidden/>
              </w:rPr>
              <w:fldChar w:fldCharType="begin"/>
            </w:r>
            <w:r>
              <w:rPr>
                <w:noProof/>
                <w:webHidden/>
              </w:rPr>
              <w:instrText xml:space="preserve"> PAGEREF _Toc497294492 \h </w:instrText>
            </w:r>
            <w:r>
              <w:rPr>
                <w:noProof/>
                <w:webHidden/>
              </w:rPr>
            </w:r>
            <w:r>
              <w:rPr>
                <w:noProof/>
                <w:webHidden/>
              </w:rPr>
              <w:fldChar w:fldCharType="separate"/>
            </w:r>
            <w:r>
              <w:rPr>
                <w:noProof/>
                <w:webHidden/>
              </w:rPr>
              <w:t>22</w:t>
            </w:r>
            <w:r>
              <w:rPr>
                <w:noProof/>
                <w:webHidden/>
              </w:rPr>
              <w:fldChar w:fldCharType="end"/>
            </w:r>
          </w:hyperlink>
        </w:p>
        <w:p w:rsidR="00E775BF" w:rsidRDefault="00E775BF">
          <w:pPr>
            <w:pStyle w:val="TM1"/>
            <w:rPr>
              <w:rFonts w:asciiTheme="minorHAnsi" w:eastAsiaTheme="minorEastAsia" w:hAnsiTheme="minorHAnsi" w:cstheme="minorBidi"/>
              <w:noProof/>
              <w:lang w:eastAsia="fr-FR"/>
            </w:rPr>
          </w:pPr>
          <w:hyperlink w:anchor="_Toc497294493" w:history="1">
            <w:r w:rsidRPr="00813A82">
              <w:rPr>
                <w:rStyle w:val="Lienhypertexte"/>
                <w:noProof/>
              </w:rPr>
              <w:t>ESQUISSE DES PERSPECTIVES D’EVOLUTION</w:t>
            </w:r>
            <w:r>
              <w:rPr>
                <w:noProof/>
                <w:webHidden/>
              </w:rPr>
              <w:tab/>
            </w:r>
            <w:r>
              <w:rPr>
                <w:noProof/>
                <w:webHidden/>
              </w:rPr>
              <w:fldChar w:fldCharType="begin"/>
            </w:r>
            <w:r>
              <w:rPr>
                <w:noProof/>
                <w:webHidden/>
              </w:rPr>
              <w:instrText xml:space="preserve"> PAGEREF _Toc497294493 \h </w:instrText>
            </w:r>
            <w:r>
              <w:rPr>
                <w:noProof/>
                <w:webHidden/>
              </w:rPr>
            </w:r>
            <w:r>
              <w:rPr>
                <w:noProof/>
                <w:webHidden/>
              </w:rPr>
              <w:fldChar w:fldCharType="separate"/>
            </w:r>
            <w:r>
              <w:rPr>
                <w:noProof/>
                <w:webHidden/>
              </w:rPr>
              <w:t>24</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494" w:history="1">
            <w:r w:rsidRPr="00813A82">
              <w:rPr>
                <w:rStyle w:val="Lienhypertexte"/>
                <w:noProof/>
              </w:rPr>
              <w:t>1.</w:t>
            </w:r>
            <w:r>
              <w:rPr>
                <w:rFonts w:asciiTheme="minorHAnsi" w:eastAsiaTheme="minorEastAsia" w:hAnsiTheme="minorHAnsi" w:cstheme="minorBidi"/>
                <w:noProof/>
                <w:lang w:eastAsia="fr-FR"/>
              </w:rPr>
              <w:tab/>
            </w:r>
            <w:r w:rsidRPr="00813A82">
              <w:rPr>
                <w:rStyle w:val="Lienhypertexte"/>
                <w:noProof/>
              </w:rPr>
              <w:t>Mobilisation des ressources efficace, équitable, soutenable</w:t>
            </w:r>
            <w:r>
              <w:rPr>
                <w:noProof/>
                <w:webHidden/>
              </w:rPr>
              <w:tab/>
            </w:r>
            <w:r>
              <w:rPr>
                <w:noProof/>
                <w:webHidden/>
              </w:rPr>
              <w:fldChar w:fldCharType="begin"/>
            </w:r>
            <w:r>
              <w:rPr>
                <w:noProof/>
                <w:webHidden/>
              </w:rPr>
              <w:instrText xml:space="preserve"> PAGEREF _Toc497294494 \h </w:instrText>
            </w:r>
            <w:r>
              <w:rPr>
                <w:noProof/>
                <w:webHidden/>
              </w:rPr>
            </w:r>
            <w:r>
              <w:rPr>
                <w:noProof/>
                <w:webHidden/>
              </w:rPr>
              <w:fldChar w:fldCharType="separate"/>
            </w:r>
            <w:r>
              <w:rPr>
                <w:noProof/>
                <w:webHidden/>
              </w:rPr>
              <w:t>24</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495" w:history="1">
            <w:r w:rsidRPr="00813A82">
              <w:rPr>
                <w:rStyle w:val="Lienhypertexte"/>
                <w:noProof/>
              </w:rPr>
              <w:t>2.</w:t>
            </w:r>
            <w:r>
              <w:rPr>
                <w:rFonts w:asciiTheme="minorHAnsi" w:eastAsiaTheme="minorEastAsia" w:hAnsiTheme="minorHAnsi" w:cstheme="minorBidi"/>
                <w:noProof/>
                <w:lang w:eastAsia="fr-FR"/>
              </w:rPr>
              <w:tab/>
            </w:r>
            <w:r w:rsidRPr="00813A82">
              <w:rPr>
                <w:rStyle w:val="Lienhypertexte"/>
                <w:noProof/>
              </w:rPr>
              <w:t>Réduction des barrières financières</w:t>
            </w:r>
            <w:r>
              <w:rPr>
                <w:noProof/>
                <w:webHidden/>
              </w:rPr>
              <w:tab/>
            </w:r>
            <w:r>
              <w:rPr>
                <w:noProof/>
                <w:webHidden/>
              </w:rPr>
              <w:fldChar w:fldCharType="begin"/>
            </w:r>
            <w:r>
              <w:rPr>
                <w:noProof/>
                <w:webHidden/>
              </w:rPr>
              <w:instrText xml:space="preserve"> PAGEREF _Toc497294495 \h </w:instrText>
            </w:r>
            <w:r>
              <w:rPr>
                <w:noProof/>
                <w:webHidden/>
              </w:rPr>
            </w:r>
            <w:r>
              <w:rPr>
                <w:noProof/>
                <w:webHidden/>
              </w:rPr>
              <w:fldChar w:fldCharType="separate"/>
            </w:r>
            <w:r>
              <w:rPr>
                <w:noProof/>
                <w:webHidden/>
              </w:rPr>
              <w:t>24</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496" w:history="1">
            <w:r w:rsidRPr="00813A82">
              <w:rPr>
                <w:rStyle w:val="Lienhypertexte"/>
                <w:noProof/>
              </w:rPr>
              <w:t>3.</w:t>
            </w:r>
            <w:r>
              <w:rPr>
                <w:rFonts w:asciiTheme="minorHAnsi" w:eastAsiaTheme="minorEastAsia" w:hAnsiTheme="minorHAnsi" w:cstheme="minorBidi"/>
                <w:noProof/>
                <w:lang w:eastAsia="fr-FR"/>
              </w:rPr>
              <w:tab/>
            </w:r>
            <w:r w:rsidRPr="00813A82">
              <w:rPr>
                <w:rStyle w:val="Lienhypertexte"/>
                <w:noProof/>
              </w:rPr>
              <w:t>Utilisation judicieuse des ressources</w:t>
            </w:r>
            <w:r>
              <w:rPr>
                <w:noProof/>
                <w:webHidden/>
              </w:rPr>
              <w:tab/>
            </w:r>
            <w:r>
              <w:rPr>
                <w:noProof/>
                <w:webHidden/>
              </w:rPr>
              <w:fldChar w:fldCharType="begin"/>
            </w:r>
            <w:r>
              <w:rPr>
                <w:noProof/>
                <w:webHidden/>
              </w:rPr>
              <w:instrText xml:space="preserve"> PAGEREF _Toc497294496 \h </w:instrText>
            </w:r>
            <w:r>
              <w:rPr>
                <w:noProof/>
                <w:webHidden/>
              </w:rPr>
            </w:r>
            <w:r>
              <w:rPr>
                <w:noProof/>
                <w:webHidden/>
              </w:rPr>
              <w:fldChar w:fldCharType="separate"/>
            </w:r>
            <w:r>
              <w:rPr>
                <w:noProof/>
                <w:webHidden/>
              </w:rPr>
              <w:t>25</w:t>
            </w:r>
            <w:r>
              <w:rPr>
                <w:noProof/>
                <w:webHidden/>
              </w:rPr>
              <w:fldChar w:fldCharType="end"/>
            </w:r>
          </w:hyperlink>
        </w:p>
        <w:p w:rsidR="00E775BF" w:rsidRDefault="00E775BF">
          <w:pPr>
            <w:pStyle w:val="TM1"/>
            <w:rPr>
              <w:rFonts w:asciiTheme="minorHAnsi" w:eastAsiaTheme="minorEastAsia" w:hAnsiTheme="minorHAnsi" w:cstheme="minorBidi"/>
              <w:noProof/>
              <w:lang w:eastAsia="fr-FR"/>
            </w:rPr>
          </w:pPr>
          <w:hyperlink w:anchor="_Toc497294497" w:history="1">
            <w:r w:rsidRPr="00813A82">
              <w:rPr>
                <w:rStyle w:val="Lienhypertexte"/>
                <w:noProof/>
              </w:rPr>
              <w:t>FORMULATION DES LA VISION ET DEFINITION DES OBJECTIFS ET DES AXES STRATEGIQUES</w:t>
            </w:r>
            <w:r>
              <w:rPr>
                <w:noProof/>
                <w:webHidden/>
              </w:rPr>
              <w:tab/>
            </w:r>
            <w:r>
              <w:rPr>
                <w:noProof/>
                <w:webHidden/>
              </w:rPr>
              <w:fldChar w:fldCharType="begin"/>
            </w:r>
            <w:r>
              <w:rPr>
                <w:noProof/>
                <w:webHidden/>
              </w:rPr>
              <w:instrText xml:space="preserve"> PAGEREF _Toc497294497 \h </w:instrText>
            </w:r>
            <w:r>
              <w:rPr>
                <w:noProof/>
                <w:webHidden/>
              </w:rPr>
            </w:r>
            <w:r>
              <w:rPr>
                <w:noProof/>
                <w:webHidden/>
              </w:rPr>
              <w:fldChar w:fldCharType="separate"/>
            </w:r>
            <w:r>
              <w:rPr>
                <w:noProof/>
                <w:webHidden/>
              </w:rPr>
              <w:t>27</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498" w:history="1">
            <w:r w:rsidRPr="00813A82">
              <w:rPr>
                <w:rStyle w:val="Lienhypertexte"/>
                <w:noProof/>
              </w:rPr>
              <w:t>1.</w:t>
            </w:r>
            <w:r>
              <w:rPr>
                <w:rFonts w:asciiTheme="minorHAnsi" w:eastAsiaTheme="minorEastAsia" w:hAnsiTheme="minorHAnsi" w:cstheme="minorBidi"/>
                <w:noProof/>
                <w:lang w:eastAsia="fr-FR"/>
              </w:rPr>
              <w:tab/>
            </w:r>
            <w:r w:rsidRPr="00813A82">
              <w:rPr>
                <w:rStyle w:val="Lienhypertexte"/>
                <w:noProof/>
              </w:rPr>
              <w:t>Vision</w:t>
            </w:r>
            <w:r>
              <w:rPr>
                <w:noProof/>
                <w:webHidden/>
              </w:rPr>
              <w:tab/>
            </w:r>
            <w:r>
              <w:rPr>
                <w:noProof/>
                <w:webHidden/>
              </w:rPr>
              <w:fldChar w:fldCharType="begin"/>
            </w:r>
            <w:r>
              <w:rPr>
                <w:noProof/>
                <w:webHidden/>
              </w:rPr>
              <w:instrText xml:space="preserve"> PAGEREF _Toc497294498 \h </w:instrText>
            </w:r>
            <w:r>
              <w:rPr>
                <w:noProof/>
                <w:webHidden/>
              </w:rPr>
            </w:r>
            <w:r>
              <w:rPr>
                <w:noProof/>
                <w:webHidden/>
              </w:rPr>
              <w:fldChar w:fldCharType="separate"/>
            </w:r>
            <w:r>
              <w:rPr>
                <w:noProof/>
                <w:webHidden/>
              </w:rPr>
              <w:t>27</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499" w:history="1">
            <w:r w:rsidRPr="00813A82">
              <w:rPr>
                <w:rStyle w:val="Lienhypertexte"/>
                <w:noProof/>
              </w:rPr>
              <w:t>2.</w:t>
            </w:r>
            <w:r>
              <w:rPr>
                <w:rFonts w:asciiTheme="minorHAnsi" w:eastAsiaTheme="minorEastAsia" w:hAnsiTheme="minorHAnsi" w:cstheme="minorBidi"/>
                <w:noProof/>
                <w:lang w:eastAsia="fr-FR"/>
              </w:rPr>
              <w:tab/>
            </w:r>
            <w:r w:rsidRPr="00813A82">
              <w:rPr>
                <w:rStyle w:val="Lienhypertexte"/>
                <w:noProof/>
              </w:rPr>
              <w:t>Objectifs :</w:t>
            </w:r>
            <w:r>
              <w:rPr>
                <w:noProof/>
                <w:webHidden/>
              </w:rPr>
              <w:tab/>
            </w:r>
            <w:r>
              <w:rPr>
                <w:noProof/>
                <w:webHidden/>
              </w:rPr>
              <w:fldChar w:fldCharType="begin"/>
            </w:r>
            <w:r>
              <w:rPr>
                <w:noProof/>
                <w:webHidden/>
              </w:rPr>
              <w:instrText xml:space="preserve"> PAGEREF _Toc497294499 \h </w:instrText>
            </w:r>
            <w:r>
              <w:rPr>
                <w:noProof/>
                <w:webHidden/>
              </w:rPr>
            </w:r>
            <w:r>
              <w:rPr>
                <w:noProof/>
                <w:webHidden/>
              </w:rPr>
              <w:fldChar w:fldCharType="separate"/>
            </w:r>
            <w:r>
              <w:rPr>
                <w:noProof/>
                <w:webHidden/>
              </w:rPr>
              <w:t>27</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500" w:history="1">
            <w:r w:rsidRPr="00813A82">
              <w:rPr>
                <w:rStyle w:val="Lienhypertexte"/>
                <w:noProof/>
              </w:rPr>
              <w:t>3.</w:t>
            </w:r>
            <w:r>
              <w:rPr>
                <w:rFonts w:asciiTheme="minorHAnsi" w:eastAsiaTheme="minorEastAsia" w:hAnsiTheme="minorHAnsi" w:cstheme="minorBidi"/>
                <w:noProof/>
                <w:lang w:eastAsia="fr-FR"/>
              </w:rPr>
              <w:tab/>
            </w:r>
            <w:r w:rsidRPr="00813A82">
              <w:rPr>
                <w:rStyle w:val="Lienhypertexte"/>
                <w:noProof/>
              </w:rPr>
              <w:t>Axes stratégiques</w:t>
            </w:r>
            <w:r>
              <w:rPr>
                <w:noProof/>
                <w:webHidden/>
              </w:rPr>
              <w:tab/>
            </w:r>
            <w:r>
              <w:rPr>
                <w:noProof/>
                <w:webHidden/>
              </w:rPr>
              <w:fldChar w:fldCharType="begin"/>
            </w:r>
            <w:r>
              <w:rPr>
                <w:noProof/>
                <w:webHidden/>
              </w:rPr>
              <w:instrText xml:space="preserve"> PAGEREF _Toc497294500 \h </w:instrText>
            </w:r>
            <w:r>
              <w:rPr>
                <w:noProof/>
                <w:webHidden/>
              </w:rPr>
            </w:r>
            <w:r>
              <w:rPr>
                <w:noProof/>
                <w:webHidden/>
              </w:rPr>
              <w:fldChar w:fldCharType="separate"/>
            </w:r>
            <w:r>
              <w:rPr>
                <w:noProof/>
                <w:webHidden/>
              </w:rPr>
              <w:t>28</w:t>
            </w:r>
            <w:r>
              <w:rPr>
                <w:noProof/>
                <w:webHidden/>
              </w:rPr>
              <w:fldChar w:fldCharType="end"/>
            </w:r>
          </w:hyperlink>
        </w:p>
        <w:p w:rsidR="00E775BF" w:rsidRDefault="00E775BF">
          <w:pPr>
            <w:pStyle w:val="TM1"/>
            <w:rPr>
              <w:rFonts w:asciiTheme="minorHAnsi" w:eastAsiaTheme="minorEastAsia" w:hAnsiTheme="minorHAnsi" w:cstheme="minorBidi"/>
              <w:noProof/>
              <w:lang w:eastAsia="fr-FR"/>
            </w:rPr>
          </w:pPr>
          <w:hyperlink w:anchor="_Toc497294501" w:history="1">
            <w:r w:rsidRPr="00813A82">
              <w:rPr>
                <w:rStyle w:val="Lienhypertexte"/>
                <w:rFonts w:eastAsia="Times New Roman"/>
                <w:noProof/>
                <w:lang w:eastAsia="fr-FR"/>
              </w:rPr>
              <w:t>STRATEGIE DE MISE EN ŒUVRE ET PLAN D’ACTIONS</w:t>
            </w:r>
            <w:r>
              <w:rPr>
                <w:noProof/>
                <w:webHidden/>
              </w:rPr>
              <w:tab/>
            </w:r>
            <w:r>
              <w:rPr>
                <w:noProof/>
                <w:webHidden/>
              </w:rPr>
              <w:fldChar w:fldCharType="begin"/>
            </w:r>
            <w:r>
              <w:rPr>
                <w:noProof/>
                <w:webHidden/>
              </w:rPr>
              <w:instrText xml:space="preserve"> PAGEREF _Toc497294501 \h </w:instrText>
            </w:r>
            <w:r>
              <w:rPr>
                <w:noProof/>
                <w:webHidden/>
              </w:rPr>
            </w:r>
            <w:r>
              <w:rPr>
                <w:noProof/>
                <w:webHidden/>
              </w:rPr>
              <w:fldChar w:fldCharType="separate"/>
            </w:r>
            <w:r>
              <w:rPr>
                <w:noProof/>
                <w:webHidden/>
              </w:rPr>
              <w:t>29</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502" w:history="1">
            <w:r w:rsidRPr="00813A82">
              <w:rPr>
                <w:rStyle w:val="Lienhypertexte"/>
                <w:noProof/>
                <w:lang w:eastAsia="fr-FR"/>
              </w:rPr>
              <w:t>1.</w:t>
            </w:r>
            <w:r>
              <w:rPr>
                <w:rFonts w:asciiTheme="minorHAnsi" w:eastAsiaTheme="minorEastAsia" w:hAnsiTheme="minorHAnsi" w:cstheme="minorBidi"/>
                <w:noProof/>
                <w:lang w:eastAsia="fr-FR"/>
              </w:rPr>
              <w:tab/>
            </w:r>
            <w:r w:rsidRPr="00813A82">
              <w:rPr>
                <w:rStyle w:val="Lienhypertexte"/>
                <w:noProof/>
                <w:lang w:eastAsia="fr-FR"/>
              </w:rPr>
              <w:t>Stratégie de mise en œuvre</w:t>
            </w:r>
            <w:r>
              <w:rPr>
                <w:noProof/>
                <w:webHidden/>
              </w:rPr>
              <w:tab/>
            </w:r>
            <w:r>
              <w:rPr>
                <w:noProof/>
                <w:webHidden/>
              </w:rPr>
              <w:fldChar w:fldCharType="begin"/>
            </w:r>
            <w:r>
              <w:rPr>
                <w:noProof/>
                <w:webHidden/>
              </w:rPr>
              <w:instrText xml:space="preserve"> PAGEREF _Toc497294502 \h </w:instrText>
            </w:r>
            <w:r>
              <w:rPr>
                <w:noProof/>
                <w:webHidden/>
              </w:rPr>
            </w:r>
            <w:r>
              <w:rPr>
                <w:noProof/>
                <w:webHidden/>
              </w:rPr>
              <w:fldChar w:fldCharType="separate"/>
            </w:r>
            <w:r>
              <w:rPr>
                <w:noProof/>
                <w:webHidden/>
              </w:rPr>
              <w:t>29</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503" w:history="1">
            <w:r w:rsidRPr="00813A82">
              <w:rPr>
                <w:rStyle w:val="Lienhypertexte"/>
                <w:noProof/>
              </w:rPr>
              <w:t>a. Augmenter le niveau des financements publics dédiés au secteur de la santé</w:t>
            </w:r>
            <w:r>
              <w:rPr>
                <w:noProof/>
                <w:webHidden/>
              </w:rPr>
              <w:tab/>
            </w:r>
            <w:r>
              <w:rPr>
                <w:noProof/>
                <w:webHidden/>
              </w:rPr>
              <w:fldChar w:fldCharType="begin"/>
            </w:r>
            <w:r>
              <w:rPr>
                <w:noProof/>
                <w:webHidden/>
              </w:rPr>
              <w:instrText xml:space="preserve"> PAGEREF _Toc497294503 \h </w:instrText>
            </w:r>
            <w:r>
              <w:rPr>
                <w:noProof/>
                <w:webHidden/>
              </w:rPr>
            </w:r>
            <w:r>
              <w:rPr>
                <w:noProof/>
                <w:webHidden/>
              </w:rPr>
              <w:fldChar w:fldCharType="separate"/>
            </w:r>
            <w:r>
              <w:rPr>
                <w:noProof/>
                <w:webHidden/>
              </w:rPr>
              <w:t>29</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504" w:history="1">
            <w:r w:rsidRPr="00813A82">
              <w:rPr>
                <w:rStyle w:val="Lienhypertexte"/>
                <w:noProof/>
              </w:rPr>
              <w:t xml:space="preserve">b. </w:t>
            </w:r>
            <w:r w:rsidRPr="00813A82">
              <w:rPr>
                <w:rStyle w:val="Lienhypertexte"/>
                <w:noProof/>
                <w:vertAlign w:val="superscript"/>
              </w:rPr>
              <w:t xml:space="preserve"> </w:t>
            </w:r>
            <w:r w:rsidRPr="00813A82">
              <w:rPr>
                <w:rStyle w:val="Lienhypertexte"/>
                <w:noProof/>
              </w:rPr>
              <w:t>Mobiliser des ressources spécifiques pour subventionner l’assurance maladie universelle</w:t>
            </w:r>
            <w:r>
              <w:rPr>
                <w:noProof/>
                <w:webHidden/>
              </w:rPr>
              <w:tab/>
            </w:r>
            <w:r>
              <w:rPr>
                <w:noProof/>
                <w:webHidden/>
              </w:rPr>
              <w:fldChar w:fldCharType="begin"/>
            </w:r>
            <w:r>
              <w:rPr>
                <w:noProof/>
                <w:webHidden/>
              </w:rPr>
              <w:instrText xml:space="preserve"> PAGEREF _Toc497294504 \h </w:instrText>
            </w:r>
            <w:r>
              <w:rPr>
                <w:noProof/>
                <w:webHidden/>
              </w:rPr>
            </w:r>
            <w:r>
              <w:rPr>
                <w:noProof/>
                <w:webHidden/>
              </w:rPr>
              <w:fldChar w:fldCharType="separate"/>
            </w:r>
            <w:r>
              <w:rPr>
                <w:noProof/>
                <w:webHidden/>
              </w:rPr>
              <w:t>29</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505" w:history="1">
            <w:r w:rsidRPr="00813A82">
              <w:rPr>
                <w:rStyle w:val="Lienhypertexte"/>
                <w:noProof/>
              </w:rPr>
              <w:t>c. Augmenter le volume des financements extérieurs prévisibles et maîtrisables</w:t>
            </w:r>
            <w:r>
              <w:rPr>
                <w:noProof/>
                <w:webHidden/>
              </w:rPr>
              <w:tab/>
            </w:r>
            <w:r>
              <w:rPr>
                <w:noProof/>
                <w:webHidden/>
              </w:rPr>
              <w:fldChar w:fldCharType="begin"/>
            </w:r>
            <w:r>
              <w:rPr>
                <w:noProof/>
                <w:webHidden/>
              </w:rPr>
              <w:instrText xml:space="preserve"> PAGEREF _Toc497294505 \h </w:instrText>
            </w:r>
            <w:r>
              <w:rPr>
                <w:noProof/>
                <w:webHidden/>
              </w:rPr>
            </w:r>
            <w:r>
              <w:rPr>
                <w:noProof/>
                <w:webHidden/>
              </w:rPr>
              <w:fldChar w:fldCharType="separate"/>
            </w:r>
            <w:r>
              <w:rPr>
                <w:noProof/>
                <w:webHidden/>
              </w:rPr>
              <w:t>30</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506" w:history="1">
            <w:r w:rsidRPr="00813A82">
              <w:rPr>
                <w:rStyle w:val="Lienhypertexte"/>
                <w:noProof/>
              </w:rPr>
              <w:t>d. Mettre en place un système d'allocation des financements sur la base d'objectifs d'efficience et d'équité</w:t>
            </w:r>
            <w:r>
              <w:rPr>
                <w:noProof/>
                <w:webHidden/>
              </w:rPr>
              <w:tab/>
            </w:r>
            <w:r>
              <w:rPr>
                <w:noProof/>
                <w:webHidden/>
              </w:rPr>
              <w:fldChar w:fldCharType="begin"/>
            </w:r>
            <w:r>
              <w:rPr>
                <w:noProof/>
                <w:webHidden/>
              </w:rPr>
              <w:instrText xml:space="preserve"> PAGEREF _Toc497294506 \h </w:instrText>
            </w:r>
            <w:r>
              <w:rPr>
                <w:noProof/>
                <w:webHidden/>
              </w:rPr>
            </w:r>
            <w:r>
              <w:rPr>
                <w:noProof/>
                <w:webHidden/>
              </w:rPr>
              <w:fldChar w:fldCharType="separate"/>
            </w:r>
            <w:r>
              <w:rPr>
                <w:noProof/>
                <w:webHidden/>
              </w:rPr>
              <w:t>30</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507" w:history="1">
            <w:r w:rsidRPr="00813A82">
              <w:rPr>
                <w:rStyle w:val="Lienhypertexte"/>
                <w:noProof/>
              </w:rPr>
              <w:t>e. Développer la certification &amp; la mise en place de modalités de tarification adéquates</w:t>
            </w:r>
            <w:r>
              <w:rPr>
                <w:noProof/>
                <w:webHidden/>
              </w:rPr>
              <w:tab/>
            </w:r>
            <w:r>
              <w:rPr>
                <w:noProof/>
                <w:webHidden/>
              </w:rPr>
              <w:fldChar w:fldCharType="begin"/>
            </w:r>
            <w:r>
              <w:rPr>
                <w:noProof/>
                <w:webHidden/>
              </w:rPr>
              <w:instrText xml:space="preserve"> PAGEREF _Toc497294507 \h </w:instrText>
            </w:r>
            <w:r>
              <w:rPr>
                <w:noProof/>
                <w:webHidden/>
              </w:rPr>
            </w:r>
            <w:r>
              <w:rPr>
                <w:noProof/>
                <w:webHidden/>
              </w:rPr>
              <w:fldChar w:fldCharType="separate"/>
            </w:r>
            <w:r>
              <w:rPr>
                <w:noProof/>
                <w:webHidden/>
              </w:rPr>
              <w:t>31</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508" w:history="1">
            <w:r w:rsidRPr="00813A82">
              <w:rPr>
                <w:rStyle w:val="Lienhypertexte"/>
                <w:noProof/>
              </w:rPr>
              <w:t xml:space="preserve">f. </w:t>
            </w:r>
            <w:r w:rsidRPr="00813A82">
              <w:rPr>
                <w:rStyle w:val="Lienhypertexte"/>
                <w:rFonts w:eastAsia="Times New Roman"/>
                <w:noProof/>
              </w:rPr>
              <w:t>Prendre en considération les priorités du secteur et le contexte national dans l’allocation des ressources</w:t>
            </w:r>
            <w:r>
              <w:rPr>
                <w:noProof/>
                <w:webHidden/>
              </w:rPr>
              <w:tab/>
            </w:r>
            <w:r>
              <w:rPr>
                <w:noProof/>
                <w:webHidden/>
              </w:rPr>
              <w:fldChar w:fldCharType="begin"/>
            </w:r>
            <w:r>
              <w:rPr>
                <w:noProof/>
                <w:webHidden/>
              </w:rPr>
              <w:instrText xml:space="preserve"> PAGEREF _Toc497294508 \h </w:instrText>
            </w:r>
            <w:r>
              <w:rPr>
                <w:noProof/>
                <w:webHidden/>
              </w:rPr>
            </w:r>
            <w:r>
              <w:rPr>
                <w:noProof/>
                <w:webHidden/>
              </w:rPr>
              <w:fldChar w:fldCharType="separate"/>
            </w:r>
            <w:r>
              <w:rPr>
                <w:noProof/>
                <w:webHidden/>
              </w:rPr>
              <w:t>31</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509" w:history="1">
            <w:r w:rsidRPr="00813A82">
              <w:rPr>
                <w:rStyle w:val="Lienhypertexte"/>
                <w:noProof/>
              </w:rPr>
              <w:t xml:space="preserve">g. </w:t>
            </w:r>
            <w:r w:rsidRPr="00813A82">
              <w:rPr>
                <w:rStyle w:val="Lienhypertexte"/>
                <w:rFonts w:eastAsia="Times New Roman"/>
                <w:noProof/>
              </w:rPr>
              <w:t>Développer une stratégie avec le secteur privé dans le sens de l’intérêt des populations</w:t>
            </w:r>
            <w:r>
              <w:rPr>
                <w:noProof/>
                <w:webHidden/>
              </w:rPr>
              <w:tab/>
            </w:r>
            <w:r>
              <w:rPr>
                <w:noProof/>
                <w:webHidden/>
              </w:rPr>
              <w:fldChar w:fldCharType="begin"/>
            </w:r>
            <w:r>
              <w:rPr>
                <w:noProof/>
                <w:webHidden/>
              </w:rPr>
              <w:instrText xml:space="preserve"> PAGEREF _Toc497294509 \h </w:instrText>
            </w:r>
            <w:r>
              <w:rPr>
                <w:noProof/>
                <w:webHidden/>
              </w:rPr>
            </w:r>
            <w:r>
              <w:rPr>
                <w:noProof/>
                <w:webHidden/>
              </w:rPr>
              <w:fldChar w:fldCharType="separate"/>
            </w:r>
            <w:r>
              <w:rPr>
                <w:noProof/>
                <w:webHidden/>
              </w:rPr>
              <w:t>31</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510" w:history="1">
            <w:r w:rsidRPr="00813A82">
              <w:rPr>
                <w:rStyle w:val="Lienhypertexte"/>
                <w:noProof/>
              </w:rPr>
              <w:t xml:space="preserve">h. </w:t>
            </w:r>
            <w:r w:rsidRPr="00813A82">
              <w:rPr>
                <w:rStyle w:val="Lienhypertexte"/>
                <w:rFonts w:eastAsia="Times New Roman"/>
                <w:noProof/>
              </w:rPr>
              <w:t>Organiser l’institutionnalisation de l’Assurance Maladie Universelle</w:t>
            </w:r>
            <w:r>
              <w:rPr>
                <w:noProof/>
                <w:webHidden/>
              </w:rPr>
              <w:tab/>
            </w:r>
            <w:r>
              <w:rPr>
                <w:noProof/>
                <w:webHidden/>
              </w:rPr>
              <w:fldChar w:fldCharType="begin"/>
            </w:r>
            <w:r>
              <w:rPr>
                <w:noProof/>
                <w:webHidden/>
              </w:rPr>
              <w:instrText xml:space="preserve"> PAGEREF _Toc497294510 \h </w:instrText>
            </w:r>
            <w:r>
              <w:rPr>
                <w:noProof/>
                <w:webHidden/>
              </w:rPr>
            </w:r>
            <w:r>
              <w:rPr>
                <w:noProof/>
                <w:webHidden/>
              </w:rPr>
              <w:fldChar w:fldCharType="separate"/>
            </w:r>
            <w:r>
              <w:rPr>
                <w:noProof/>
                <w:webHidden/>
              </w:rPr>
              <w:t>31</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511" w:history="1">
            <w:r w:rsidRPr="00813A82">
              <w:rPr>
                <w:rStyle w:val="Lienhypertexte"/>
                <w:noProof/>
              </w:rPr>
              <w:t>i.</w:t>
            </w:r>
            <w:r>
              <w:rPr>
                <w:rFonts w:asciiTheme="minorHAnsi" w:eastAsiaTheme="minorEastAsia" w:hAnsiTheme="minorHAnsi" w:cstheme="minorBidi"/>
                <w:noProof/>
                <w:lang w:eastAsia="fr-FR"/>
              </w:rPr>
              <w:tab/>
            </w:r>
            <w:r w:rsidRPr="00813A82">
              <w:rPr>
                <w:rStyle w:val="Lienhypertexte"/>
                <w:noProof/>
              </w:rPr>
              <w:t>Instaurer un paquet de base de couverture sanitaire universelle pour tous</w:t>
            </w:r>
            <w:r>
              <w:rPr>
                <w:noProof/>
                <w:webHidden/>
              </w:rPr>
              <w:tab/>
            </w:r>
            <w:r>
              <w:rPr>
                <w:noProof/>
                <w:webHidden/>
              </w:rPr>
              <w:fldChar w:fldCharType="begin"/>
            </w:r>
            <w:r>
              <w:rPr>
                <w:noProof/>
                <w:webHidden/>
              </w:rPr>
              <w:instrText xml:space="preserve"> PAGEREF _Toc497294511 \h </w:instrText>
            </w:r>
            <w:r>
              <w:rPr>
                <w:noProof/>
                <w:webHidden/>
              </w:rPr>
            </w:r>
            <w:r>
              <w:rPr>
                <w:noProof/>
                <w:webHidden/>
              </w:rPr>
              <w:fldChar w:fldCharType="separate"/>
            </w:r>
            <w:r>
              <w:rPr>
                <w:noProof/>
                <w:webHidden/>
              </w:rPr>
              <w:t>32</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512" w:history="1">
            <w:r w:rsidRPr="00813A82">
              <w:rPr>
                <w:rStyle w:val="Lienhypertexte"/>
                <w:noProof/>
              </w:rPr>
              <w:t>j. Intégrer progressivement les gratuités à l’Assurance Maladie</w:t>
            </w:r>
            <w:r>
              <w:rPr>
                <w:noProof/>
                <w:webHidden/>
              </w:rPr>
              <w:tab/>
            </w:r>
            <w:r>
              <w:rPr>
                <w:noProof/>
                <w:webHidden/>
              </w:rPr>
              <w:fldChar w:fldCharType="begin"/>
            </w:r>
            <w:r>
              <w:rPr>
                <w:noProof/>
                <w:webHidden/>
              </w:rPr>
              <w:instrText xml:space="preserve"> PAGEREF _Toc497294512 \h </w:instrText>
            </w:r>
            <w:r>
              <w:rPr>
                <w:noProof/>
                <w:webHidden/>
              </w:rPr>
            </w:r>
            <w:r>
              <w:rPr>
                <w:noProof/>
                <w:webHidden/>
              </w:rPr>
              <w:fldChar w:fldCharType="separate"/>
            </w:r>
            <w:r>
              <w:rPr>
                <w:noProof/>
                <w:webHidden/>
              </w:rPr>
              <w:t>32</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513" w:history="1">
            <w:r w:rsidRPr="00813A82">
              <w:rPr>
                <w:rStyle w:val="Lienhypertexte"/>
                <w:noProof/>
              </w:rPr>
              <w:t>k. Mettre en place un dispositif de gestion stratégique de l’information financière</w:t>
            </w:r>
            <w:r>
              <w:rPr>
                <w:noProof/>
                <w:webHidden/>
              </w:rPr>
              <w:tab/>
            </w:r>
            <w:r>
              <w:rPr>
                <w:noProof/>
                <w:webHidden/>
              </w:rPr>
              <w:fldChar w:fldCharType="begin"/>
            </w:r>
            <w:r>
              <w:rPr>
                <w:noProof/>
                <w:webHidden/>
              </w:rPr>
              <w:instrText xml:space="preserve"> PAGEREF _Toc497294513 \h </w:instrText>
            </w:r>
            <w:r>
              <w:rPr>
                <w:noProof/>
                <w:webHidden/>
              </w:rPr>
            </w:r>
            <w:r>
              <w:rPr>
                <w:noProof/>
                <w:webHidden/>
              </w:rPr>
              <w:fldChar w:fldCharType="separate"/>
            </w:r>
            <w:r>
              <w:rPr>
                <w:noProof/>
                <w:webHidden/>
              </w:rPr>
              <w:t>33</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514" w:history="1">
            <w:r w:rsidRPr="00813A82">
              <w:rPr>
                <w:rStyle w:val="Lienhypertexte"/>
                <w:noProof/>
              </w:rPr>
              <w:t xml:space="preserve">l. </w:t>
            </w:r>
            <w:r w:rsidRPr="00813A82">
              <w:rPr>
                <w:rStyle w:val="Lienhypertexte"/>
                <w:rFonts w:eastAsia="Times New Roman"/>
                <w:noProof/>
              </w:rPr>
              <w:t>Améliorer l’efficience dans la gestion des financements</w:t>
            </w:r>
            <w:r>
              <w:rPr>
                <w:noProof/>
                <w:webHidden/>
              </w:rPr>
              <w:tab/>
            </w:r>
            <w:r>
              <w:rPr>
                <w:noProof/>
                <w:webHidden/>
              </w:rPr>
              <w:fldChar w:fldCharType="begin"/>
            </w:r>
            <w:r>
              <w:rPr>
                <w:noProof/>
                <w:webHidden/>
              </w:rPr>
              <w:instrText xml:space="preserve"> PAGEREF _Toc497294514 \h </w:instrText>
            </w:r>
            <w:r>
              <w:rPr>
                <w:noProof/>
                <w:webHidden/>
              </w:rPr>
            </w:r>
            <w:r>
              <w:rPr>
                <w:noProof/>
                <w:webHidden/>
              </w:rPr>
              <w:fldChar w:fldCharType="separate"/>
            </w:r>
            <w:r>
              <w:rPr>
                <w:noProof/>
                <w:webHidden/>
              </w:rPr>
              <w:t>33</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515" w:history="1">
            <w:r w:rsidRPr="00813A82">
              <w:rPr>
                <w:rStyle w:val="Lienhypertexte"/>
                <w:noProof/>
              </w:rPr>
              <w:t xml:space="preserve">m. </w:t>
            </w:r>
            <w:r w:rsidRPr="00813A82">
              <w:rPr>
                <w:rStyle w:val="Lienhypertexte"/>
                <w:rFonts w:eastAsia="Times New Roman"/>
                <w:noProof/>
              </w:rPr>
              <w:t>Améliorer la redevabilité</w:t>
            </w:r>
            <w:r>
              <w:rPr>
                <w:noProof/>
                <w:webHidden/>
              </w:rPr>
              <w:tab/>
            </w:r>
            <w:r>
              <w:rPr>
                <w:noProof/>
                <w:webHidden/>
              </w:rPr>
              <w:fldChar w:fldCharType="begin"/>
            </w:r>
            <w:r>
              <w:rPr>
                <w:noProof/>
                <w:webHidden/>
              </w:rPr>
              <w:instrText xml:space="preserve"> PAGEREF _Toc497294515 \h </w:instrText>
            </w:r>
            <w:r>
              <w:rPr>
                <w:noProof/>
                <w:webHidden/>
              </w:rPr>
            </w:r>
            <w:r>
              <w:rPr>
                <w:noProof/>
                <w:webHidden/>
              </w:rPr>
              <w:fldChar w:fldCharType="separate"/>
            </w:r>
            <w:r>
              <w:rPr>
                <w:noProof/>
                <w:webHidden/>
              </w:rPr>
              <w:t>33</w:t>
            </w:r>
            <w:r>
              <w:rPr>
                <w:noProof/>
                <w:webHidden/>
              </w:rPr>
              <w:fldChar w:fldCharType="end"/>
            </w:r>
          </w:hyperlink>
        </w:p>
        <w:p w:rsidR="00E775BF" w:rsidRDefault="00E775BF">
          <w:pPr>
            <w:pStyle w:val="TM3"/>
            <w:rPr>
              <w:rFonts w:asciiTheme="minorHAnsi" w:eastAsiaTheme="minorEastAsia" w:hAnsiTheme="minorHAnsi" w:cstheme="minorBidi"/>
              <w:noProof/>
              <w:lang w:eastAsia="fr-FR"/>
            </w:rPr>
          </w:pPr>
          <w:hyperlink w:anchor="_Toc497294516" w:history="1">
            <w:r w:rsidRPr="00813A82">
              <w:rPr>
                <w:rStyle w:val="Lienhypertexte"/>
                <w:noProof/>
              </w:rPr>
              <w:t xml:space="preserve">n. </w:t>
            </w:r>
            <w:r w:rsidRPr="00813A82">
              <w:rPr>
                <w:rStyle w:val="Lienhypertexte"/>
                <w:rFonts w:eastAsia="Times New Roman"/>
                <w:noProof/>
              </w:rPr>
              <w:t>Renforcer l’environnement institutionnel pour un financement durable</w:t>
            </w:r>
            <w:r>
              <w:rPr>
                <w:noProof/>
                <w:webHidden/>
              </w:rPr>
              <w:tab/>
            </w:r>
            <w:r>
              <w:rPr>
                <w:noProof/>
                <w:webHidden/>
              </w:rPr>
              <w:fldChar w:fldCharType="begin"/>
            </w:r>
            <w:r>
              <w:rPr>
                <w:noProof/>
                <w:webHidden/>
              </w:rPr>
              <w:instrText xml:space="preserve"> PAGEREF _Toc497294516 \h </w:instrText>
            </w:r>
            <w:r>
              <w:rPr>
                <w:noProof/>
                <w:webHidden/>
              </w:rPr>
            </w:r>
            <w:r>
              <w:rPr>
                <w:noProof/>
                <w:webHidden/>
              </w:rPr>
              <w:fldChar w:fldCharType="separate"/>
            </w:r>
            <w:r>
              <w:rPr>
                <w:noProof/>
                <w:webHidden/>
              </w:rPr>
              <w:t>33</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517" w:history="1">
            <w:r w:rsidRPr="00813A82">
              <w:rPr>
                <w:rStyle w:val="Lienhypertexte"/>
                <w:noProof/>
                <w:lang w:eastAsia="fr-FR"/>
              </w:rPr>
              <w:t>2.</w:t>
            </w:r>
            <w:r>
              <w:rPr>
                <w:rFonts w:asciiTheme="minorHAnsi" w:eastAsiaTheme="minorEastAsia" w:hAnsiTheme="minorHAnsi" w:cstheme="minorBidi"/>
                <w:noProof/>
                <w:lang w:eastAsia="fr-FR"/>
              </w:rPr>
              <w:tab/>
            </w:r>
            <w:r w:rsidRPr="00813A82">
              <w:rPr>
                <w:rStyle w:val="Lienhypertexte"/>
                <w:noProof/>
                <w:lang w:eastAsia="fr-FR"/>
              </w:rPr>
              <w:t>Plan d’actions 2018-2022</w:t>
            </w:r>
            <w:r>
              <w:rPr>
                <w:noProof/>
                <w:webHidden/>
              </w:rPr>
              <w:tab/>
            </w:r>
            <w:r>
              <w:rPr>
                <w:noProof/>
                <w:webHidden/>
              </w:rPr>
              <w:fldChar w:fldCharType="begin"/>
            </w:r>
            <w:r>
              <w:rPr>
                <w:noProof/>
                <w:webHidden/>
              </w:rPr>
              <w:instrText xml:space="preserve"> PAGEREF _Toc497294517 \h </w:instrText>
            </w:r>
            <w:r>
              <w:rPr>
                <w:noProof/>
                <w:webHidden/>
              </w:rPr>
            </w:r>
            <w:r>
              <w:rPr>
                <w:noProof/>
                <w:webHidden/>
              </w:rPr>
              <w:fldChar w:fldCharType="separate"/>
            </w:r>
            <w:r>
              <w:rPr>
                <w:noProof/>
                <w:webHidden/>
              </w:rPr>
              <w:t>34</w:t>
            </w:r>
            <w:r>
              <w:rPr>
                <w:noProof/>
                <w:webHidden/>
              </w:rPr>
              <w:fldChar w:fldCharType="end"/>
            </w:r>
          </w:hyperlink>
        </w:p>
        <w:p w:rsidR="00E775BF" w:rsidRDefault="00E775BF">
          <w:pPr>
            <w:pStyle w:val="TM1"/>
            <w:rPr>
              <w:rFonts w:asciiTheme="minorHAnsi" w:eastAsiaTheme="minorEastAsia" w:hAnsiTheme="minorHAnsi" w:cstheme="minorBidi"/>
              <w:noProof/>
              <w:lang w:eastAsia="fr-FR"/>
            </w:rPr>
          </w:pPr>
          <w:hyperlink w:anchor="_Toc497294518" w:history="1">
            <w:r w:rsidRPr="00813A82">
              <w:rPr>
                <w:rStyle w:val="Lienhypertexte"/>
                <w:noProof/>
                <w:lang w:eastAsia="fr-FR"/>
              </w:rPr>
              <w:t>SCHEMA DE FINANCEMENT ET DE MOBILISATION DE RESSOURCE :</w:t>
            </w:r>
            <w:r>
              <w:rPr>
                <w:noProof/>
                <w:webHidden/>
              </w:rPr>
              <w:tab/>
            </w:r>
            <w:r>
              <w:rPr>
                <w:noProof/>
                <w:webHidden/>
              </w:rPr>
              <w:fldChar w:fldCharType="begin"/>
            </w:r>
            <w:r>
              <w:rPr>
                <w:noProof/>
                <w:webHidden/>
              </w:rPr>
              <w:instrText xml:space="preserve"> PAGEREF _Toc497294518 \h </w:instrText>
            </w:r>
            <w:r>
              <w:rPr>
                <w:noProof/>
                <w:webHidden/>
              </w:rPr>
            </w:r>
            <w:r>
              <w:rPr>
                <w:noProof/>
                <w:webHidden/>
              </w:rPr>
              <w:fldChar w:fldCharType="separate"/>
            </w:r>
            <w:r>
              <w:rPr>
                <w:noProof/>
                <w:webHidden/>
              </w:rPr>
              <w:t>37</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519" w:history="1">
            <w:r w:rsidRPr="00813A82">
              <w:rPr>
                <w:rStyle w:val="Lienhypertexte"/>
                <w:noProof/>
                <w:lang w:eastAsia="fr-FR"/>
              </w:rPr>
              <w:t>Engagement financier de l’Etat pour avancer vers la Couverture Sanitaire Universelle</w:t>
            </w:r>
            <w:r>
              <w:rPr>
                <w:noProof/>
                <w:webHidden/>
              </w:rPr>
              <w:tab/>
            </w:r>
            <w:r>
              <w:rPr>
                <w:noProof/>
                <w:webHidden/>
              </w:rPr>
              <w:fldChar w:fldCharType="begin"/>
            </w:r>
            <w:r>
              <w:rPr>
                <w:noProof/>
                <w:webHidden/>
              </w:rPr>
              <w:instrText xml:space="preserve"> PAGEREF _Toc497294519 \h </w:instrText>
            </w:r>
            <w:r>
              <w:rPr>
                <w:noProof/>
                <w:webHidden/>
              </w:rPr>
            </w:r>
            <w:r>
              <w:rPr>
                <w:noProof/>
                <w:webHidden/>
              </w:rPr>
              <w:fldChar w:fldCharType="separate"/>
            </w:r>
            <w:r>
              <w:rPr>
                <w:noProof/>
                <w:webHidden/>
              </w:rPr>
              <w:t>37</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520" w:history="1">
            <w:r w:rsidRPr="00813A82">
              <w:rPr>
                <w:rStyle w:val="Lienhypertexte"/>
                <w:noProof/>
                <w:lang w:eastAsia="fr-FR"/>
              </w:rPr>
              <w:t>Financement des activités à programmer dans le cadre de la SNFS-CSU</w:t>
            </w:r>
            <w:r>
              <w:rPr>
                <w:noProof/>
                <w:webHidden/>
              </w:rPr>
              <w:tab/>
            </w:r>
            <w:r>
              <w:rPr>
                <w:noProof/>
                <w:webHidden/>
              </w:rPr>
              <w:fldChar w:fldCharType="begin"/>
            </w:r>
            <w:r>
              <w:rPr>
                <w:noProof/>
                <w:webHidden/>
              </w:rPr>
              <w:instrText xml:space="preserve"> PAGEREF _Toc497294520 \h </w:instrText>
            </w:r>
            <w:r>
              <w:rPr>
                <w:noProof/>
                <w:webHidden/>
              </w:rPr>
            </w:r>
            <w:r>
              <w:rPr>
                <w:noProof/>
                <w:webHidden/>
              </w:rPr>
              <w:fldChar w:fldCharType="separate"/>
            </w:r>
            <w:r>
              <w:rPr>
                <w:noProof/>
                <w:webHidden/>
              </w:rPr>
              <w:t>37</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521" w:history="1">
            <w:r w:rsidRPr="00813A82">
              <w:rPr>
                <w:rStyle w:val="Lienhypertexte"/>
                <w:noProof/>
                <w:lang w:eastAsia="fr-FR"/>
              </w:rPr>
              <w:t>Mobilisation des ressources</w:t>
            </w:r>
            <w:r>
              <w:rPr>
                <w:noProof/>
                <w:webHidden/>
              </w:rPr>
              <w:tab/>
            </w:r>
            <w:r>
              <w:rPr>
                <w:noProof/>
                <w:webHidden/>
              </w:rPr>
              <w:fldChar w:fldCharType="begin"/>
            </w:r>
            <w:r>
              <w:rPr>
                <w:noProof/>
                <w:webHidden/>
              </w:rPr>
              <w:instrText xml:space="preserve"> PAGEREF _Toc497294521 \h </w:instrText>
            </w:r>
            <w:r>
              <w:rPr>
                <w:noProof/>
                <w:webHidden/>
              </w:rPr>
            </w:r>
            <w:r>
              <w:rPr>
                <w:noProof/>
                <w:webHidden/>
              </w:rPr>
              <w:fldChar w:fldCharType="separate"/>
            </w:r>
            <w:r>
              <w:rPr>
                <w:noProof/>
                <w:webHidden/>
              </w:rPr>
              <w:t>38</w:t>
            </w:r>
            <w:r>
              <w:rPr>
                <w:noProof/>
                <w:webHidden/>
              </w:rPr>
              <w:fldChar w:fldCharType="end"/>
            </w:r>
          </w:hyperlink>
        </w:p>
        <w:p w:rsidR="00E775BF" w:rsidRDefault="00E775BF">
          <w:pPr>
            <w:pStyle w:val="TM1"/>
            <w:rPr>
              <w:rFonts w:asciiTheme="minorHAnsi" w:eastAsiaTheme="minorEastAsia" w:hAnsiTheme="minorHAnsi" w:cstheme="minorBidi"/>
              <w:noProof/>
              <w:lang w:eastAsia="fr-FR"/>
            </w:rPr>
          </w:pPr>
          <w:hyperlink w:anchor="_Toc497294522" w:history="1">
            <w:r w:rsidRPr="00813A82">
              <w:rPr>
                <w:rStyle w:val="Lienhypertexte"/>
                <w:noProof/>
              </w:rPr>
              <w:t>MECANISME DE SUIVI-EVALUATION ET DE REVISION</w:t>
            </w:r>
            <w:r>
              <w:rPr>
                <w:noProof/>
                <w:webHidden/>
              </w:rPr>
              <w:tab/>
            </w:r>
            <w:r>
              <w:rPr>
                <w:noProof/>
                <w:webHidden/>
              </w:rPr>
              <w:fldChar w:fldCharType="begin"/>
            </w:r>
            <w:r>
              <w:rPr>
                <w:noProof/>
                <w:webHidden/>
              </w:rPr>
              <w:instrText xml:space="preserve"> PAGEREF _Toc497294522 \h </w:instrText>
            </w:r>
            <w:r>
              <w:rPr>
                <w:noProof/>
                <w:webHidden/>
              </w:rPr>
            </w:r>
            <w:r>
              <w:rPr>
                <w:noProof/>
                <w:webHidden/>
              </w:rPr>
              <w:fldChar w:fldCharType="separate"/>
            </w:r>
            <w:r>
              <w:rPr>
                <w:noProof/>
                <w:webHidden/>
              </w:rPr>
              <w:t>39</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523" w:history="1">
            <w:r w:rsidRPr="00813A82">
              <w:rPr>
                <w:rStyle w:val="Lienhypertexte"/>
                <w:noProof/>
              </w:rPr>
              <w:t>1.</w:t>
            </w:r>
            <w:r>
              <w:rPr>
                <w:rFonts w:asciiTheme="minorHAnsi" w:eastAsiaTheme="minorEastAsia" w:hAnsiTheme="minorHAnsi" w:cstheme="minorBidi"/>
                <w:noProof/>
                <w:lang w:eastAsia="fr-FR"/>
              </w:rPr>
              <w:tab/>
            </w:r>
            <w:r w:rsidRPr="00813A82">
              <w:rPr>
                <w:rStyle w:val="Lienhypertexte"/>
                <w:noProof/>
              </w:rPr>
              <w:t>Dispositif de suivi</w:t>
            </w:r>
            <w:r>
              <w:rPr>
                <w:noProof/>
                <w:webHidden/>
              </w:rPr>
              <w:tab/>
            </w:r>
            <w:r>
              <w:rPr>
                <w:noProof/>
                <w:webHidden/>
              </w:rPr>
              <w:fldChar w:fldCharType="begin"/>
            </w:r>
            <w:r>
              <w:rPr>
                <w:noProof/>
                <w:webHidden/>
              </w:rPr>
              <w:instrText xml:space="preserve"> PAGEREF _Toc497294523 \h </w:instrText>
            </w:r>
            <w:r>
              <w:rPr>
                <w:noProof/>
                <w:webHidden/>
              </w:rPr>
            </w:r>
            <w:r>
              <w:rPr>
                <w:noProof/>
                <w:webHidden/>
              </w:rPr>
              <w:fldChar w:fldCharType="separate"/>
            </w:r>
            <w:r>
              <w:rPr>
                <w:noProof/>
                <w:webHidden/>
              </w:rPr>
              <w:t>39</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524" w:history="1">
            <w:r w:rsidRPr="00813A82">
              <w:rPr>
                <w:rStyle w:val="Lienhypertexte"/>
                <w:noProof/>
              </w:rPr>
              <w:t>2.</w:t>
            </w:r>
            <w:r>
              <w:rPr>
                <w:rFonts w:asciiTheme="minorHAnsi" w:eastAsiaTheme="minorEastAsia" w:hAnsiTheme="minorHAnsi" w:cstheme="minorBidi"/>
                <w:noProof/>
                <w:lang w:eastAsia="fr-FR"/>
              </w:rPr>
              <w:tab/>
            </w:r>
            <w:r w:rsidRPr="00813A82">
              <w:rPr>
                <w:rStyle w:val="Lienhypertexte"/>
                <w:noProof/>
              </w:rPr>
              <w:t>Mécanismes d’évaluation et révision</w:t>
            </w:r>
            <w:r>
              <w:rPr>
                <w:noProof/>
                <w:webHidden/>
              </w:rPr>
              <w:tab/>
            </w:r>
            <w:r>
              <w:rPr>
                <w:noProof/>
                <w:webHidden/>
              </w:rPr>
              <w:fldChar w:fldCharType="begin"/>
            </w:r>
            <w:r>
              <w:rPr>
                <w:noProof/>
                <w:webHidden/>
              </w:rPr>
              <w:instrText xml:space="preserve"> PAGEREF _Toc497294524 \h </w:instrText>
            </w:r>
            <w:r>
              <w:rPr>
                <w:noProof/>
                <w:webHidden/>
              </w:rPr>
            </w:r>
            <w:r>
              <w:rPr>
                <w:noProof/>
                <w:webHidden/>
              </w:rPr>
              <w:fldChar w:fldCharType="separate"/>
            </w:r>
            <w:r>
              <w:rPr>
                <w:noProof/>
                <w:webHidden/>
              </w:rPr>
              <w:t>39</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525" w:history="1">
            <w:r w:rsidRPr="00813A82">
              <w:rPr>
                <w:rStyle w:val="Lienhypertexte"/>
                <w:noProof/>
              </w:rPr>
              <w:t>3.</w:t>
            </w:r>
            <w:r>
              <w:rPr>
                <w:rFonts w:asciiTheme="minorHAnsi" w:eastAsiaTheme="minorEastAsia" w:hAnsiTheme="minorHAnsi" w:cstheme="minorBidi"/>
                <w:noProof/>
                <w:lang w:eastAsia="fr-FR"/>
              </w:rPr>
              <w:tab/>
            </w:r>
            <w:r w:rsidRPr="00813A82">
              <w:rPr>
                <w:rStyle w:val="Lienhypertexte"/>
                <w:noProof/>
              </w:rPr>
              <w:t>Indicateurs</w:t>
            </w:r>
            <w:r>
              <w:rPr>
                <w:noProof/>
                <w:webHidden/>
              </w:rPr>
              <w:tab/>
            </w:r>
            <w:r>
              <w:rPr>
                <w:noProof/>
                <w:webHidden/>
              </w:rPr>
              <w:fldChar w:fldCharType="begin"/>
            </w:r>
            <w:r>
              <w:rPr>
                <w:noProof/>
                <w:webHidden/>
              </w:rPr>
              <w:instrText xml:space="preserve"> PAGEREF _Toc497294525 \h </w:instrText>
            </w:r>
            <w:r>
              <w:rPr>
                <w:noProof/>
                <w:webHidden/>
              </w:rPr>
            </w:r>
            <w:r>
              <w:rPr>
                <w:noProof/>
                <w:webHidden/>
              </w:rPr>
              <w:fldChar w:fldCharType="separate"/>
            </w:r>
            <w:r>
              <w:rPr>
                <w:noProof/>
                <w:webHidden/>
              </w:rPr>
              <w:t>40</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526" w:history="1">
            <w:r w:rsidRPr="00813A82">
              <w:rPr>
                <w:rStyle w:val="Lienhypertexte"/>
                <w:noProof/>
              </w:rPr>
              <w:t>ANNEXE 1 : CADRE LOGIQUE</w:t>
            </w:r>
            <w:r>
              <w:rPr>
                <w:noProof/>
                <w:webHidden/>
              </w:rPr>
              <w:tab/>
            </w:r>
            <w:r>
              <w:rPr>
                <w:noProof/>
                <w:webHidden/>
              </w:rPr>
              <w:fldChar w:fldCharType="begin"/>
            </w:r>
            <w:r>
              <w:rPr>
                <w:noProof/>
                <w:webHidden/>
              </w:rPr>
              <w:instrText xml:space="preserve"> PAGEREF _Toc497294526 \h </w:instrText>
            </w:r>
            <w:r>
              <w:rPr>
                <w:noProof/>
                <w:webHidden/>
              </w:rPr>
            </w:r>
            <w:r>
              <w:rPr>
                <w:noProof/>
                <w:webHidden/>
              </w:rPr>
              <w:fldChar w:fldCharType="separate"/>
            </w:r>
            <w:r>
              <w:rPr>
                <w:noProof/>
                <w:webHidden/>
              </w:rPr>
              <w:t>41</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527" w:history="1">
            <w:r w:rsidRPr="00813A82">
              <w:rPr>
                <w:rStyle w:val="Lienhypertexte"/>
                <w:noProof/>
              </w:rPr>
              <w:t>ANNEXE 2 : ARCHITECTURE DE L’ASSURANCE MALADIE UNIVERSELLE A TERME (2023)</w:t>
            </w:r>
            <w:r>
              <w:rPr>
                <w:noProof/>
                <w:webHidden/>
              </w:rPr>
              <w:tab/>
            </w:r>
            <w:r>
              <w:rPr>
                <w:noProof/>
                <w:webHidden/>
              </w:rPr>
              <w:fldChar w:fldCharType="begin"/>
            </w:r>
            <w:r>
              <w:rPr>
                <w:noProof/>
                <w:webHidden/>
              </w:rPr>
              <w:instrText xml:space="preserve"> PAGEREF _Toc497294527 \h </w:instrText>
            </w:r>
            <w:r>
              <w:rPr>
                <w:noProof/>
                <w:webHidden/>
              </w:rPr>
            </w:r>
            <w:r>
              <w:rPr>
                <w:noProof/>
                <w:webHidden/>
              </w:rPr>
              <w:fldChar w:fldCharType="separate"/>
            </w:r>
            <w:r>
              <w:rPr>
                <w:noProof/>
                <w:webHidden/>
              </w:rPr>
              <w:t>48</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528" w:history="1">
            <w:r w:rsidRPr="00813A82">
              <w:rPr>
                <w:rStyle w:val="Lienhypertexte"/>
                <w:noProof/>
              </w:rPr>
              <w:t>ANNEXE 3 : Croissance de la couverture de la population par l’Assurance Maladie Universelle et subventions d’Etat</w:t>
            </w:r>
            <w:r>
              <w:rPr>
                <w:noProof/>
                <w:webHidden/>
              </w:rPr>
              <w:tab/>
            </w:r>
            <w:r>
              <w:rPr>
                <w:noProof/>
                <w:webHidden/>
              </w:rPr>
              <w:fldChar w:fldCharType="begin"/>
            </w:r>
            <w:r>
              <w:rPr>
                <w:noProof/>
                <w:webHidden/>
              </w:rPr>
              <w:instrText xml:space="preserve"> PAGEREF _Toc497294528 \h </w:instrText>
            </w:r>
            <w:r>
              <w:rPr>
                <w:noProof/>
                <w:webHidden/>
              </w:rPr>
            </w:r>
            <w:r>
              <w:rPr>
                <w:noProof/>
                <w:webHidden/>
              </w:rPr>
              <w:fldChar w:fldCharType="separate"/>
            </w:r>
            <w:r>
              <w:rPr>
                <w:noProof/>
                <w:webHidden/>
              </w:rPr>
              <w:t>49</w:t>
            </w:r>
            <w:r>
              <w:rPr>
                <w:noProof/>
                <w:webHidden/>
              </w:rPr>
              <w:fldChar w:fldCharType="end"/>
            </w:r>
          </w:hyperlink>
        </w:p>
        <w:p w:rsidR="00E775BF" w:rsidRDefault="00E775BF">
          <w:pPr>
            <w:pStyle w:val="TM2"/>
            <w:rPr>
              <w:rFonts w:asciiTheme="minorHAnsi" w:eastAsiaTheme="minorEastAsia" w:hAnsiTheme="minorHAnsi" w:cstheme="minorBidi"/>
              <w:noProof/>
              <w:lang w:eastAsia="fr-FR"/>
            </w:rPr>
          </w:pPr>
          <w:hyperlink w:anchor="_Toc497294529" w:history="1">
            <w:r w:rsidRPr="00813A82">
              <w:rPr>
                <w:rStyle w:val="Lienhypertexte"/>
                <w:noProof/>
              </w:rPr>
              <w:t>ANNEXE 4 : Matrice des activités du Plan d’Actions 2018 – 2022 de la Stratégie Nationale de Financement de la Santé pour la Couverture Universelle</w:t>
            </w:r>
            <w:r>
              <w:rPr>
                <w:noProof/>
                <w:webHidden/>
              </w:rPr>
              <w:tab/>
            </w:r>
            <w:r>
              <w:rPr>
                <w:noProof/>
                <w:webHidden/>
              </w:rPr>
              <w:fldChar w:fldCharType="begin"/>
            </w:r>
            <w:r>
              <w:rPr>
                <w:noProof/>
                <w:webHidden/>
              </w:rPr>
              <w:instrText xml:space="preserve"> PAGEREF _Toc497294529 \h </w:instrText>
            </w:r>
            <w:r>
              <w:rPr>
                <w:noProof/>
                <w:webHidden/>
              </w:rPr>
            </w:r>
            <w:r>
              <w:rPr>
                <w:noProof/>
                <w:webHidden/>
              </w:rPr>
              <w:fldChar w:fldCharType="separate"/>
            </w:r>
            <w:r>
              <w:rPr>
                <w:noProof/>
                <w:webHidden/>
              </w:rPr>
              <w:t>50</w:t>
            </w:r>
            <w:r>
              <w:rPr>
                <w:noProof/>
                <w:webHidden/>
              </w:rPr>
              <w:fldChar w:fldCharType="end"/>
            </w:r>
          </w:hyperlink>
        </w:p>
        <w:p w:rsidR="00A86D28" w:rsidRPr="00425A7F" w:rsidRDefault="006121E7" w:rsidP="00887AD3">
          <w:pPr>
            <w:widowControl w:val="0"/>
            <w:suppressAutoHyphens/>
            <w:jc w:val="both"/>
          </w:pPr>
          <w:r w:rsidRPr="00425A7F">
            <w:fldChar w:fldCharType="end"/>
          </w:r>
        </w:p>
      </w:sdtContent>
    </w:sdt>
    <w:p w:rsidR="00F423F9" w:rsidRPr="00425A7F" w:rsidRDefault="00F423F9">
      <w:pPr>
        <w:spacing w:after="200" w:line="276" w:lineRule="auto"/>
        <w:rPr>
          <w:b/>
          <w:u w:val="single"/>
        </w:rPr>
      </w:pPr>
      <w:r w:rsidRPr="00425A7F">
        <w:rPr>
          <w:b/>
          <w:u w:val="single"/>
        </w:rPr>
        <w:br w:type="page"/>
      </w:r>
      <w:bookmarkStart w:id="0" w:name="_GoBack"/>
      <w:bookmarkEnd w:id="0"/>
    </w:p>
    <w:p w:rsidR="00F423F9" w:rsidRPr="00425A7F" w:rsidRDefault="00F423F9" w:rsidP="00F423F9">
      <w:pPr>
        <w:pStyle w:val="Titre1"/>
      </w:pPr>
      <w:bookmarkStart w:id="1" w:name="_Toc497294468"/>
      <w:r w:rsidRPr="00425A7F">
        <w:lastRenderedPageBreak/>
        <w:t>LISTE DES TABLEAUX</w:t>
      </w:r>
      <w:bookmarkEnd w:id="1"/>
    </w:p>
    <w:p w:rsidR="00F423F9" w:rsidRPr="00425A7F" w:rsidRDefault="00F423F9" w:rsidP="00F423F9">
      <w:pPr>
        <w:jc w:val="both"/>
        <w:rPr>
          <w:b/>
          <w:u w:val="single"/>
        </w:rPr>
      </w:pPr>
    </w:p>
    <w:p w:rsidR="00F423F9" w:rsidRPr="00425A7F" w:rsidRDefault="00F423F9" w:rsidP="00F423F9">
      <w:pPr>
        <w:jc w:val="both"/>
        <w:rPr>
          <w:b/>
          <w:u w:val="single"/>
        </w:rPr>
      </w:pPr>
      <w:r w:rsidRPr="00425A7F">
        <w:rPr>
          <w:b/>
          <w:u w:val="single"/>
        </w:rPr>
        <w:t>Tableau n°1 : implications de la mise en œuvre de la stratégie de financement de la santé</w:t>
      </w:r>
      <w:r w:rsidRPr="00425A7F">
        <w:rPr>
          <w:b/>
          <w:u w:val="single"/>
        </w:rPr>
        <w:tab/>
        <w:t>7</w:t>
      </w:r>
    </w:p>
    <w:p w:rsidR="00F423F9" w:rsidRPr="00425A7F" w:rsidRDefault="00F423F9" w:rsidP="00F423F9">
      <w:pPr>
        <w:pStyle w:val="Default"/>
        <w:spacing w:after="61"/>
        <w:rPr>
          <w:rFonts w:asciiTheme="minorHAnsi" w:hAnsiTheme="minorHAnsi" w:cs="Arial"/>
          <w:b/>
          <w:color w:val="auto"/>
          <w:sz w:val="22"/>
          <w:szCs w:val="22"/>
          <w:u w:val="single"/>
        </w:rPr>
      </w:pPr>
      <w:r w:rsidRPr="00425A7F">
        <w:rPr>
          <w:rFonts w:asciiTheme="minorHAnsi" w:hAnsiTheme="minorHAnsi" w:cs="Arial"/>
          <w:b/>
          <w:color w:val="auto"/>
          <w:sz w:val="22"/>
          <w:szCs w:val="22"/>
          <w:u w:val="single"/>
        </w:rPr>
        <w:t>Tableau n°2 : croissance réelle du PIB Mali et UEMOA</w:t>
      </w:r>
      <w:r w:rsidRPr="00425A7F">
        <w:rPr>
          <w:rFonts w:asciiTheme="minorHAnsi" w:hAnsiTheme="minorHAnsi" w:cs="Arial"/>
          <w:b/>
          <w:color w:val="auto"/>
          <w:sz w:val="22"/>
          <w:szCs w:val="22"/>
          <w:u w:val="single"/>
        </w:rPr>
        <w:tab/>
      </w:r>
      <w:r w:rsidRPr="00425A7F">
        <w:rPr>
          <w:rFonts w:asciiTheme="minorHAnsi" w:hAnsiTheme="minorHAnsi" w:cs="Arial"/>
          <w:b/>
          <w:color w:val="auto"/>
          <w:sz w:val="22"/>
          <w:szCs w:val="22"/>
          <w:u w:val="single"/>
        </w:rPr>
        <w:tab/>
      </w:r>
      <w:r w:rsidRPr="00425A7F">
        <w:rPr>
          <w:rFonts w:asciiTheme="minorHAnsi" w:hAnsiTheme="minorHAnsi" w:cs="Arial"/>
          <w:b/>
          <w:color w:val="auto"/>
          <w:sz w:val="22"/>
          <w:szCs w:val="22"/>
          <w:u w:val="single"/>
        </w:rPr>
        <w:tab/>
      </w:r>
      <w:r w:rsidRPr="00425A7F">
        <w:rPr>
          <w:rFonts w:asciiTheme="minorHAnsi" w:hAnsiTheme="minorHAnsi" w:cs="Arial"/>
          <w:b/>
          <w:color w:val="auto"/>
          <w:sz w:val="22"/>
          <w:szCs w:val="22"/>
          <w:u w:val="single"/>
        </w:rPr>
        <w:tab/>
      </w:r>
      <w:r w:rsidRPr="00425A7F">
        <w:rPr>
          <w:rFonts w:asciiTheme="minorHAnsi" w:hAnsiTheme="minorHAnsi" w:cs="Arial"/>
          <w:b/>
          <w:color w:val="auto"/>
          <w:sz w:val="22"/>
          <w:szCs w:val="22"/>
          <w:u w:val="single"/>
        </w:rPr>
        <w:tab/>
      </w:r>
      <w:r w:rsidRPr="00425A7F">
        <w:rPr>
          <w:rFonts w:asciiTheme="minorHAnsi" w:hAnsiTheme="minorHAnsi" w:cs="Arial"/>
          <w:b/>
          <w:color w:val="auto"/>
          <w:sz w:val="22"/>
          <w:szCs w:val="22"/>
          <w:u w:val="single"/>
        </w:rPr>
        <w:tab/>
        <w:t>9</w:t>
      </w:r>
    </w:p>
    <w:p w:rsidR="00F423F9" w:rsidRPr="00425A7F" w:rsidRDefault="00F423F9" w:rsidP="00F423F9">
      <w:pPr>
        <w:pStyle w:val="Default"/>
        <w:spacing w:after="61"/>
        <w:rPr>
          <w:rFonts w:asciiTheme="minorHAnsi" w:hAnsiTheme="minorHAnsi"/>
          <w:b/>
          <w:sz w:val="22"/>
          <w:szCs w:val="22"/>
          <w:u w:val="single"/>
        </w:rPr>
      </w:pPr>
      <w:r w:rsidRPr="00425A7F">
        <w:rPr>
          <w:rFonts w:asciiTheme="minorHAnsi" w:hAnsiTheme="minorHAnsi"/>
          <w:b/>
          <w:sz w:val="22"/>
          <w:szCs w:val="22"/>
          <w:u w:val="single"/>
        </w:rPr>
        <w:t>Tableau n°3 : PIB, croissance et déflateur Mali</w:t>
      </w:r>
      <w:r w:rsidRPr="00425A7F">
        <w:rPr>
          <w:rFonts w:asciiTheme="minorHAnsi" w:hAnsiTheme="minorHAnsi"/>
          <w:b/>
          <w:sz w:val="22"/>
          <w:szCs w:val="22"/>
          <w:u w:val="single"/>
        </w:rPr>
        <w:tab/>
      </w:r>
      <w:r w:rsidRPr="00425A7F">
        <w:rPr>
          <w:rFonts w:asciiTheme="minorHAnsi" w:hAnsiTheme="minorHAnsi"/>
          <w:b/>
          <w:sz w:val="22"/>
          <w:szCs w:val="22"/>
          <w:u w:val="single"/>
        </w:rPr>
        <w:tab/>
      </w:r>
      <w:r w:rsidRPr="00425A7F">
        <w:rPr>
          <w:rFonts w:asciiTheme="minorHAnsi" w:hAnsiTheme="minorHAnsi"/>
          <w:b/>
          <w:sz w:val="22"/>
          <w:szCs w:val="22"/>
          <w:u w:val="single"/>
        </w:rPr>
        <w:tab/>
      </w:r>
      <w:r w:rsidRPr="00425A7F">
        <w:rPr>
          <w:rFonts w:asciiTheme="minorHAnsi" w:hAnsiTheme="minorHAnsi"/>
          <w:b/>
          <w:sz w:val="22"/>
          <w:szCs w:val="22"/>
          <w:u w:val="single"/>
        </w:rPr>
        <w:tab/>
      </w:r>
      <w:r w:rsidRPr="00425A7F">
        <w:rPr>
          <w:rFonts w:asciiTheme="minorHAnsi" w:hAnsiTheme="minorHAnsi"/>
          <w:b/>
          <w:sz w:val="22"/>
          <w:szCs w:val="22"/>
          <w:u w:val="single"/>
        </w:rPr>
        <w:tab/>
      </w:r>
      <w:r w:rsidRPr="00425A7F">
        <w:rPr>
          <w:rFonts w:asciiTheme="minorHAnsi" w:hAnsiTheme="minorHAnsi"/>
          <w:b/>
          <w:sz w:val="22"/>
          <w:szCs w:val="22"/>
          <w:u w:val="single"/>
        </w:rPr>
        <w:tab/>
      </w:r>
      <w:r w:rsidRPr="00425A7F">
        <w:rPr>
          <w:rFonts w:asciiTheme="minorHAnsi" w:hAnsiTheme="minorHAnsi"/>
          <w:b/>
          <w:sz w:val="22"/>
          <w:szCs w:val="22"/>
          <w:u w:val="single"/>
        </w:rPr>
        <w:tab/>
        <w:t>9</w:t>
      </w:r>
    </w:p>
    <w:p w:rsidR="00F423F9" w:rsidRPr="00425A7F" w:rsidRDefault="00F423F9" w:rsidP="00F423F9">
      <w:pPr>
        <w:pStyle w:val="Default"/>
        <w:spacing w:after="61"/>
        <w:rPr>
          <w:rFonts w:asciiTheme="minorHAnsi" w:hAnsiTheme="minorHAnsi"/>
          <w:b/>
          <w:sz w:val="22"/>
          <w:szCs w:val="22"/>
          <w:u w:val="single"/>
        </w:rPr>
      </w:pPr>
      <w:r w:rsidRPr="00425A7F">
        <w:rPr>
          <w:rFonts w:asciiTheme="minorHAnsi" w:hAnsiTheme="minorHAnsi"/>
          <w:b/>
          <w:sz w:val="22"/>
          <w:szCs w:val="22"/>
          <w:u w:val="single"/>
        </w:rPr>
        <w:t>Tableau n°4 : évolution de la pression fiscale :</w:t>
      </w:r>
      <w:r w:rsidRPr="00425A7F">
        <w:rPr>
          <w:rFonts w:asciiTheme="minorHAnsi" w:hAnsiTheme="minorHAnsi"/>
          <w:b/>
          <w:sz w:val="22"/>
          <w:szCs w:val="22"/>
          <w:u w:val="single"/>
        </w:rPr>
        <w:tab/>
      </w:r>
      <w:r w:rsidRPr="00425A7F">
        <w:rPr>
          <w:rFonts w:asciiTheme="minorHAnsi" w:hAnsiTheme="minorHAnsi"/>
          <w:b/>
          <w:sz w:val="22"/>
          <w:szCs w:val="22"/>
          <w:u w:val="single"/>
        </w:rPr>
        <w:tab/>
      </w:r>
      <w:r w:rsidRPr="00425A7F">
        <w:rPr>
          <w:rFonts w:asciiTheme="minorHAnsi" w:hAnsiTheme="minorHAnsi"/>
          <w:b/>
          <w:sz w:val="22"/>
          <w:szCs w:val="22"/>
          <w:u w:val="single"/>
        </w:rPr>
        <w:tab/>
      </w:r>
      <w:r w:rsidRPr="00425A7F">
        <w:rPr>
          <w:rFonts w:asciiTheme="minorHAnsi" w:hAnsiTheme="minorHAnsi"/>
          <w:b/>
          <w:sz w:val="22"/>
          <w:szCs w:val="22"/>
          <w:u w:val="single"/>
        </w:rPr>
        <w:tab/>
      </w:r>
      <w:r w:rsidRPr="00425A7F">
        <w:rPr>
          <w:rFonts w:asciiTheme="minorHAnsi" w:hAnsiTheme="minorHAnsi"/>
          <w:b/>
          <w:sz w:val="22"/>
          <w:szCs w:val="22"/>
          <w:u w:val="single"/>
        </w:rPr>
        <w:tab/>
      </w:r>
      <w:r w:rsidRPr="00425A7F">
        <w:rPr>
          <w:rFonts w:asciiTheme="minorHAnsi" w:hAnsiTheme="minorHAnsi"/>
          <w:b/>
          <w:sz w:val="22"/>
          <w:szCs w:val="22"/>
          <w:u w:val="single"/>
        </w:rPr>
        <w:tab/>
      </w:r>
      <w:r w:rsidRPr="00425A7F">
        <w:rPr>
          <w:rFonts w:asciiTheme="minorHAnsi" w:hAnsiTheme="minorHAnsi"/>
          <w:b/>
          <w:sz w:val="22"/>
          <w:szCs w:val="22"/>
          <w:u w:val="single"/>
        </w:rPr>
        <w:tab/>
        <w:t>9</w:t>
      </w:r>
    </w:p>
    <w:p w:rsidR="00F423F9" w:rsidRDefault="00F423F9" w:rsidP="00F423F9">
      <w:pPr>
        <w:rPr>
          <w:b/>
          <w:u w:val="single"/>
          <w:lang w:val="fr-CH" w:eastAsia="fr-FR"/>
        </w:rPr>
      </w:pPr>
      <w:r w:rsidRPr="00425A7F">
        <w:rPr>
          <w:b/>
          <w:u w:val="single"/>
          <w:lang w:val="fr-CH" w:eastAsia="fr-FR"/>
        </w:rPr>
        <w:t>Tableau n°5 : dépe</w:t>
      </w:r>
      <w:r w:rsidR="0052061B">
        <w:rPr>
          <w:b/>
          <w:u w:val="single"/>
          <w:lang w:val="fr-CH" w:eastAsia="fr-FR"/>
        </w:rPr>
        <w:t>nses de santé de l’Etat</w:t>
      </w:r>
      <w:r w:rsidR="0052061B">
        <w:rPr>
          <w:b/>
          <w:u w:val="single"/>
          <w:lang w:val="fr-CH" w:eastAsia="fr-FR"/>
        </w:rPr>
        <w:tab/>
      </w:r>
      <w:r w:rsidR="0052061B">
        <w:rPr>
          <w:b/>
          <w:u w:val="single"/>
          <w:lang w:val="fr-CH" w:eastAsia="fr-FR"/>
        </w:rPr>
        <w:tab/>
      </w:r>
      <w:r w:rsidR="0052061B">
        <w:rPr>
          <w:b/>
          <w:u w:val="single"/>
          <w:lang w:val="fr-CH" w:eastAsia="fr-FR"/>
        </w:rPr>
        <w:tab/>
      </w:r>
      <w:r w:rsidR="0052061B">
        <w:rPr>
          <w:b/>
          <w:u w:val="single"/>
          <w:lang w:val="fr-CH" w:eastAsia="fr-FR"/>
        </w:rPr>
        <w:tab/>
      </w:r>
      <w:r w:rsidR="0052061B">
        <w:rPr>
          <w:b/>
          <w:u w:val="single"/>
          <w:lang w:val="fr-CH" w:eastAsia="fr-FR"/>
        </w:rPr>
        <w:tab/>
      </w:r>
      <w:r w:rsidR="0052061B">
        <w:rPr>
          <w:b/>
          <w:u w:val="single"/>
          <w:lang w:val="fr-CH" w:eastAsia="fr-FR"/>
        </w:rPr>
        <w:tab/>
      </w:r>
      <w:r w:rsidR="0052061B">
        <w:rPr>
          <w:b/>
          <w:u w:val="single"/>
          <w:lang w:val="fr-CH" w:eastAsia="fr-FR"/>
        </w:rPr>
        <w:tab/>
        <w:t>18</w:t>
      </w:r>
    </w:p>
    <w:p w:rsidR="0052061B" w:rsidRPr="0052061B" w:rsidRDefault="0052061B" w:rsidP="00F423F9">
      <w:pPr>
        <w:rPr>
          <w:b/>
          <w:u w:val="single"/>
          <w:lang w:val="fr-CH" w:eastAsia="fr-FR"/>
        </w:rPr>
      </w:pPr>
      <w:r>
        <w:rPr>
          <w:b/>
          <w:u w:val="single"/>
          <w:lang w:val="fr-CH" w:eastAsia="fr-FR"/>
        </w:rPr>
        <w:t xml:space="preserve">Tableau n°6 : montants des subventions et % sur le total des subventions à la couverture du risque </w:t>
      </w:r>
      <w:r w:rsidRPr="0052061B">
        <w:rPr>
          <w:b/>
          <w:u w:val="single"/>
          <w:lang w:val="fr-CH" w:eastAsia="fr-FR"/>
        </w:rPr>
        <w:t>maladie</w:t>
      </w:r>
      <w:r>
        <w:rPr>
          <w:b/>
          <w:u w:val="single"/>
          <w:lang w:val="fr-CH" w:eastAsia="fr-FR"/>
        </w:rPr>
        <w:tab/>
      </w:r>
      <w:r>
        <w:rPr>
          <w:b/>
          <w:u w:val="single"/>
          <w:lang w:val="fr-CH" w:eastAsia="fr-FR"/>
        </w:rPr>
        <w:tab/>
      </w:r>
      <w:r>
        <w:rPr>
          <w:b/>
          <w:u w:val="single"/>
          <w:lang w:val="fr-CH" w:eastAsia="fr-FR"/>
        </w:rPr>
        <w:tab/>
      </w:r>
      <w:r>
        <w:rPr>
          <w:b/>
          <w:u w:val="single"/>
          <w:lang w:val="fr-CH" w:eastAsia="fr-FR"/>
        </w:rPr>
        <w:tab/>
      </w:r>
      <w:r>
        <w:rPr>
          <w:b/>
          <w:u w:val="single"/>
          <w:lang w:val="fr-CH" w:eastAsia="fr-FR"/>
        </w:rPr>
        <w:tab/>
      </w:r>
      <w:r>
        <w:rPr>
          <w:b/>
          <w:u w:val="single"/>
          <w:lang w:val="fr-CH" w:eastAsia="fr-FR"/>
        </w:rPr>
        <w:tab/>
      </w:r>
      <w:r>
        <w:rPr>
          <w:b/>
          <w:u w:val="single"/>
          <w:lang w:val="fr-CH" w:eastAsia="fr-FR"/>
        </w:rPr>
        <w:tab/>
      </w:r>
      <w:r>
        <w:rPr>
          <w:b/>
          <w:u w:val="single"/>
          <w:lang w:val="fr-CH" w:eastAsia="fr-FR"/>
        </w:rPr>
        <w:tab/>
      </w:r>
      <w:r>
        <w:rPr>
          <w:b/>
          <w:u w:val="single"/>
          <w:lang w:val="fr-CH" w:eastAsia="fr-FR"/>
        </w:rPr>
        <w:tab/>
      </w:r>
      <w:r>
        <w:rPr>
          <w:b/>
          <w:u w:val="single"/>
          <w:lang w:val="fr-CH" w:eastAsia="fr-FR"/>
        </w:rPr>
        <w:tab/>
      </w:r>
      <w:r>
        <w:rPr>
          <w:b/>
          <w:u w:val="single"/>
          <w:lang w:val="fr-CH" w:eastAsia="fr-FR"/>
        </w:rPr>
        <w:tab/>
        <w:t xml:space="preserve">18   </w:t>
      </w:r>
      <w:r w:rsidRPr="0052061B">
        <w:rPr>
          <w:b/>
          <w:u w:val="single"/>
          <w:lang w:val="fr-CH" w:eastAsia="fr-FR"/>
        </w:rPr>
        <w:t xml:space="preserve">                                  </w:t>
      </w:r>
    </w:p>
    <w:p w:rsidR="00F423F9" w:rsidRPr="00425A7F" w:rsidRDefault="00F423F9" w:rsidP="00F423F9">
      <w:pPr>
        <w:rPr>
          <w:b/>
          <w:u w:val="single"/>
          <w:lang w:val="fr-CH" w:eastAsia="fr-FR"/>
        </w:rPr>
      </w:pPr>
      <w:r w:rsidRPr="00425A7F">
        <w:rPr>
          <w:b/>
          <w:u w:val="single"/>
          <w:lang w:val="fr-CH" w:eastAsia="fr-FR"/>
        </w:rPr>
        <w:t>Tableau n°7 : évolution de la part de la fonction santé dans le budget global de l’Etat</w:t>
      </w:r>
      <w:r w:rsidRPr="00425A7F">
        <w:rPr>
          <w:b/>
          <w:u w:val="single"/>
          <w:lang w:val="fr-CH" w:eastAsia="fr-FR"/>
        </w:rPr>
        <w:tab/>
      </w:r>
      <w:r w:rsidRPr="00425A7F">
        <w:rPr>
          <w:b/>
          <w:u w:val="single"/>
          <w:lang w:val="fr-CH" w:eastAsia="fr-FR"/>
        </w:rPr>
        <w:tab/>
        <w:t>1</w:t>
      </w:r>
      <w:r w:rsidR="0052061B">
        <w:rPr>
          <w:b/>
          <w:u w:val="single"/>
          <w:lang w:val="fr-CH" w:eastAsia="fr-FR"/>
        </w:rPr>
        <w:t>9</w:t>
      </w:r>
    </w:p>
    <w:p w:rsidR="00F423F9" w:rsidRPr="00425A7F" w:rsidRDefault="00F423F9" w:rsidP="00F423F9">
      <w:pPr>
        <w:pStyle w:val="Sansinterligne"/>
        <w:widowControl w:val="0"/>
        <w:suppressAutoHyphens/>
        <w:jc w:val="both"/>
        <w:rPr>
          <w:b/>
          <w:u w:val="single"/>
          <w:lang w:val="fr-CH" w:eastAsia="fr-FR"/>
        </w:rPr>
      </w:pPr>
      <w:r w:rsidRPr="00425A7F">
        <w:rPr>
          <w:b/>
          <w:u w:val="single"/>
          <w:lang w:val="fr-CH" w:eastAsia="fr-FR"/>
        </w:rPr>
        <w:t>Tableau n°8 : évolution de la part du secteur santé dans le</w:t>
      </w:r>
      <w:r w:rsidR="008555D3">
        <w:rPr>
          <w:b/>
          <w:u w:val="single"/>
          <w:lang w:val="fr-CH" w:eastAsia="fr-FR"/>
        </w:rPr>
        <w:t xml:space="preserve"> total du budget (allocation)</w:t>
      </w:r>
      <w:r w:rsidR="008555D3">
        <w:rPr>
          <w:b/>
          <w:u w:val="single"/>
          <w:lang w:val="fr-CH" w:eastAsia="fr-FR"/>
        </w:rPr>
        <w:tab/>
        <w:t>19</w:t>
      </w:r>
    </w:p>
    <w:p w:rsidR="00F423F9" w:rsidRPr="00425A7F" w:rsidRDefault="00F423F9" w:rsidP="00F423F9">
      <w:pPr>
        <w:rPr>
          <w:b/>
          <w:u w:val="single"/>
        </w:rPr>
      </w:pPr>
      <w:r w:rsidRPr="00425A7F">
        <w:rPr>
          <w:b/>
          <w:u w:val="single"/>
        </w:rPr>
        <w:t>Tableau n°9 : quelques indicateurs clé d’accès aux services :</w:t>
      </w:r>
      <w:r w:rsidRPr="00425A7F">
        <w:rPr>
          <w:b/>
          <w:u w:val="single"/>
        </w:rPr>
        <w:tab/>
      </w:r>
      <w:r w:rsidRPr="00425A7F">
        <w:rPr>
          <w:b/>
          <w:u w:val="single"/>
        </w:rPr>
        <w:tab/>
      </w:r>
      <w:r w:rsidRPr="00425A7F">
        <w:rPr>
          <w:b/>
          <w:u w:val="single"/>
        </w:rPr>
        <w:tab/>
      </w:r>
      <w:r w:rsidRPr="00425A7F">
        <w:rPr>
          <w:b/>
          <w:u w:val="single"/>
        </w:rPr>
        <w:tab/>
      </w:r>
      <w:r w:rsidRPr="00425A7F">
        <w:rPr>
          <w:b/>
          <w:u w:val="single"/>
        </w:rPr>
        <w:tab/>
        <w:t>2</w:t>
      </w:r>
      <w:r w:rsidR="0052061B">
        <w:rPr>
          <w:b/>
          <w:u w:val="single"/>
        </w:rPr>
        <w:t>1</w:t>
      </w:r>
    </w:p>
    <w:p w:rsidR="00F423F9" w:rsidRPr="00425A7F" w:rsidRDefault="00F423F9" w:rsidP="00F423F9">
      <w:pPr>
        <w:widowControl w:val="0"/>
        <w:suppressAutoHyphens/>
        <w:jc w:val="both"/>
        <w:rPr>
          <w:b/>
          <w:u w:val="single"/>
        </w:rPr>
      </w:pPr>
      <w:r w:rsidRPr="00425A7F">
        <w:rPr>
          <w:b/>
          <w:u w:val="single"/>
        </w:rPr>
        <w:t>Tableau n°10 : indicateurs clés de l’évolution induite par la stratégie :</w:t>
      </w:r>
      <w:r w:rsidRPr="00425A7F">
        <w:rPr>
          <w:b/>
          <w:u w:val="single"/>
        </w:rPr>
        <w:tab/>
      </w:r>
      <w:r w:rsidRPr="00425A7F">
        <w:rPr>
          <w:b/>
          <w:u w:val="single"/>
        </w:rPr>
        <w:tab/>
      </w:r>
      <w:r w:rsidRPr="00425A7F">
        <w:rPr>
          <w:b/>
          <w:u w:val="single"/>
        </w:rPr>
        <w:tab/>
      </w:r>
      <w:r w:rsidRPr="00425A7F">
        <w:rPr>
          <w:b/>
          <w:u w:val="single"/>
        </w:rPr>
        <w:tab/>
        <w:t>2</w:t>
      </w:r>
      <w:r w:rsidR="008555D3">
        <w:rPr>
          <w:b/>
          <w:u w:val="single"/>
        </w:rPr>
        <w:t>5</w:t>
      </w:r>
    </w:p>
    <w:p w:rsidR="00F423F9" w:rsidRPr="00425A7F" w:rsidRDefault="00F423F9" w:rsidP="00F423F9">
      <w:pPr>
        <w:widowControl w:val="0"/>
        <w:suppressAutoHyphens/>
        <w:jc w:val="both"/>
        <w:rPr>
          <w:b/>
          <w:u w:val="single"/>
        </w:rPr>
      </w:pPr>
      <w:r w:rsidRPr="00425A7F">
        <w:rPr>
          <w:b/>
          <w:u w:val="single"/>
        </w:rPr>
        <w:t xml:space="preserve">Tableau n°11 : perspective d’évolution de la structure </w:t>
      </w:r>
      <w:r w:rsidR="008555D3">
        <w:rPr>
          <w:b/>
          <w:u w:val="single"/>
        </w:rPr>
        <w:t>du financement de la santé :</w:t>
      </w:r>
      <w:r w:rsidR="008555D3">
        <w:rPr>
          <w:b/>
          <w:u w:val="single"/>
        </w:rPr>
        <w:tab/>
      </w:r>
      <w:r w:rsidR="008555D3">
        <w:rPr>
          <w:b/>
          <w:u w:val="single"/>
        </w:rPr>
        <w:tab/>
        <w:t>26</w:t>
      </w:r>
    </w:p>
    <w:p w:rsidR="00F423F9" w:rsidRPr="00425A7F" w:rsidRDefault="00F423F9" w:rsidP="00F423F9">
      <w:pPr>
        <w:widowControl w:val="0"/>
        <w:suppressAutoHyphens/>
        <w:jc w:val="both"/>
        <w:rPr>
          <w:b/>
          <w:bCs/>
          <w:u w:val="single"/>
        </w:rPr>
      </w:pPr>
      <w:r w:rsidRPr="00425A7F">
        <w:rPr>
          <w:b/>
          <w:bCs/>
          <w:u w:val="single"/>
        </w:rPr>
        <w:t>Tableau n°12 : part des secteurs de l’axe 2 dans les dépenses récurrentes 2017-2020</w:t>
      </w:r>
      <w:r w:rsidRPr="00425A7F">
        <w:rPr>
          <w:rStyle w:val="Appelnotedebasdep"/>
          <w:b/>
          <w:bCs/>
          <w:u w:val="single"/>
        </w:rPr>
        <w:footnoteReference w:id="1"/>
      </w:r>
      <w:r w:rsidRPr="00425A7F">
        <w:rPr>
          <w:b/>
          <w:bCs/>
          <w:u w:val="single"/>
        </w:rPr>
        <w:tab/>
      </w:r>
      <w:r w:rsidRPr="00425A7F">
        <w:rPr>
          <w:b/>
          <w:bCs/>
          <w:u w:val="single"/>
        </w:rPr>
        <w:tab/>
        <w:t>2</w:t>
      </w:r>
      <w:r w:rsidR="008555D3">
        <w:rPr>
          <w:b/>
          <w:bCs/>
          <w:u w:val="single"/>
        </w:rPr>
        <w:t>9</w:t>
      </w:r>
    </w:p>
    <w:p w:rsidR="00F423F9" w:rsidRPr="00425A7F" w:rsidRDefault="00F423F9" w:rsidP="00F423F9">
      <w:pPr>
        <w:pStyle w:val="Lgende"/>
        <w:spacing w:after="0"/>
        <w:rPr>
          <w:color w:val="auto"/>
          <w:sz w:val="22"/>
          <w:szCs w:val="22"/>
          <w:u w:val="single"/>
        </w:rPr>
      </w:pPr>
      <w:r w:rsidRPr="00425A7F">
        <w:rPr>
          <w:color w:val="auto"/>
          <w:sz w:val="22"/>
          <w:szCs w:val="22"/>
          <w:u w:val="single"/>
        </w:rPr>
        <w:t>Tableau n°13 : prévision d'évolution de la couverture maladie</w:t>
      </w:r>
      <w:r w:rsidRPr="00425A7F">
        <w:rPr>
          <w:color w:val="auto"/>
          <w:sz w:val="22"/>
          <w:szCs w:val="22"/>
          <w:u w:val="single"/>
        </w:rPr>
        <w:tab/>
      </w:r>
      <w:r w:rsidRPr="00425A7F">
        <w:rPr>
          <w:color w:val="auto"/>
          <w:sz w:val="22"/>
          <w:szCs w:val="22"/>
          <w:u w:val="single"/>
        </w:rPr>
        <w:tab/>
      </w:r>
      <w:r w:rsidRPr="00425A7F">
        <w:rPr>
          <w:color w:val="auto"/>
          <w:sz w:val="22"/>
          <w:szCs w:val="22"/>
          <w:u w:val="single"/>
        </w:rPr>
        <w:tab/>
      </w:r>
      <w:r w:rsidRPr="00425A7F">
        <w:rPr>
          <w:color w:val="auto"/>
          <w:sz w:val="22"/>
          <w:szCs w:val="22"/>
          <w:u w:val="single"/>
        </w:rPr>
        <w:tab/>
      </w:r>
      <w:r w:rsidRPr="00425A7F">
        <w:rPr>
          <w:color w:val="auto"/>
          <w:sz w:val="22"/>
          <w:szCs w:val="22"/>
          <w:u w:val="single"/>
        </w:rPr>
        <w:tab/>
      </w:r>
      <w:r w:rsidR="008555D3">
        <w:rPr>
          <w:color w:val="auto"/>
          <w:sz w:val="22"/>
          <w:szCs w:val="22"/>
          <w:u w:val="single"/>
        </w:rPr>
        <w:t>30</w:t>
      </w:r>
    </w:p>
    <w:p w:rsidR="00F423F9" w:rsidRPr="00425A7F" w:rsidRDefault="008555D3" w:rsidP="00F423F9">
      <w:pPr>
        <w:pStyle w:val="Lgende"/>
        <w:spacing w:after="0"/>
        <w:rPr>
          <w:u w:val="single"/>
        </w:rPr>
      </w:pPr>
      <w:r>
        <w:rPr>
          <w:color w:val="auto"/>
          <w:sz w:val="22"/>
          <w:szCs w:val="22"/>
          <w:u w:val="single"/>
        </w:rPr>
        <w:t>Tableau n°14</w:t>
      </w:r>
      <w:r w:rsidR="00F423F9" w:rsidRPr="00425A7F">
        <w:rPr>
          <w:color w:val="auto"/>
          <w:sz w:val="22"/>
          <w:szCs w:val="22"/>
          <w:u w:val="single"/>
        </w:rPr>
        <w:t xml:space="preserve"> : Indicateurs de la stratégie de financement de la santé et leurs objectifs</w:t>
      </w:r>
      <w:r w:rsidR="00F423F9" w:rsidRPr="00425A7F">
        <w:rPr>
          <w:color w:val="auto"/>
          <w:sz w:val="22"/>
          <w:szCs w:val="22"/>
          <w:u w:val="single"/>
        </w:rPr>
        <w:tab/>
      </w:r>
      <w:r>
        <w:rPr>
          <w:color w:val="auto"/>
          <w:sz w:val="22"/>
          <w:szCs w:val="22"/>
          <w:u w:val="single"/>
        </w:rPr>
        <w:t>40</w:t>
      </w:r>
    </w:p>
    <w:p w:rsidR="00F423F9" w:rsidRPr="00425A7F" w:rsidRDefault="00F423F9" w:rsidP="00F423F9">
      <w:pPr>
        <w:rPr>
          <w:b/>
          <w:u w:val="single"/>
          <w:lang w:eastAsia="fr-FR"/>
        </w:rPr>
      </w:pPr>
    </w:p>
    <w:p w:rsidR="00F423F9" w:rsidRPr="00425A7F" w:rsidRDefault="00F423F9" w:rsidP="00F423F9">
      <w:pPr>
        <w:rPr>
          <w:b/>
          <w:u w:val="single"/>
          <w:lang w:eastAsia="fr-FR"/>
        </w:rPr>
      </w:pPr>
    </w:p>
    <w:p w:rsidR="00F423F9" w:rsidRPr="00425A7F" w:rsidRDefault="00F423F9" w:rsidP="00F423F9"/>
    <w:p w:rsidR="00F423F9" w:rsidRPr="00425A7F" w:rsidRDefault="00F423F9" w:rsidP="00F423F9">
      <w:pPr>
        <w:widowControl w:val="0"/>
        <w:suppressAutoHyphens/>
        <w:jc w:val="both"/>
        <w:rPr>
          <w:b/>
          <w:bCs/>
          <w:u w:val="single"/>
        </w:rPr>
      </w:pPr>
    </w:p>
    <w:p w:rsidR="00F423F9" w:rsidRPr="00425A7F" w:rsidRDefault="00F423F9" w:rsidP="00F423F9">
      <w:pPr>
        <w:widowControl w:val="0"/>
        <w:suppressAutoHyphens/>
        <w:jc w:val="both"/>
        <w:rPr>
          <w:b/>
          <w:bCs/>
          <w:u w:val="single"/>
        </w:rPr>
      </w:pPr>
    </w:p>
    <w:p w:rsidR="00F423F9" w:rsidRPr="00425A7F" w:rsidRDefault="00F423F9" w:rsidP="00F423F9">
      <w:pPr>
        <w:widowControl w:val="0"/>
        <w:suppressAutoHyphens/>
        <w:jc w:val="both"/>
        <w:rPr>
          <w:b/>
          <w:u w:val="single"/>
        </w:rPr>
      </w:pPr>
    </w:p>
    <w:p w:rsidR="00F423F9" w:rsidRPr="00425A7F" w:rsidRDefault="00F423F9" w:rsidP="00F423F9">
      <w:pPr>
        <w:rPr>
          <w:b/>
          <w:u w:val="single"/>
        </w:rPr>
      </w:pPr>
    </w:p>
    <w:p w:rsidR="00F423F9" w:rsidRPr="00425A7F" w:rsidRDefault="00F423F9" w:rsidP="00F423F9">
      <w:pPr>
        <w:pStyle w:val="Sansinterligne"/>
        <w:widowControl w:val="0"/>
        <w:suppressAutoHyphens/>
        <w:jc w:val="both"/>
      </w:pPr>
    </w:p>
    <w:p w:rsidR="00F423F9" w:rsidRPr="00425A7F" w:rsidRDefault="00F423F9" w:rsidP="00F423F9">
      <w:pPr>
        <w:pStyle w:val="Sansinterligne"/>
        <w:widowControl w:val="0"/>
        <w:suppressAutoHyphens/>
        <w:jc w:val="both"/>
        <w:rPr>
          <w:lang w:val="fr-CH" w:eastAsia="fr-FR"/>
        </w:rPr>
      </w:pPr>
    </w:p>
    <w:p w:rsidR="00F423F9" w:rsidRPr="00425A7F" w:rsidRDefault="00F423F9" w:rsidP="00F423F9">
      <w:pPr>
        <w:pStyle w:val="Default"/>
        <w:spacing w:after="61"/>
        <w:rPr>
          <w:rFonts w:asciiTheme="minorHAnsi" w:hAnsiTheme="minorHAnsi"/>
          <w:b/>
          <w:sz w:val="22"/>
          <w:szCs w:val="22"/>
          <w:u w:val="single"/>
        </w:rPr>
      </w:pPr>
    </w:p>
    <w:p w:rsidR="00F423F9" w:rsidRPr="00425A7F" w:rsidRDefault="00F423F9" w:rsidP="00F423F9">
      <w:pPr>
        <w:jc w:val="both"/>
        <w:rPr>
          <w:b/>
          <w:u w:val="single"/>
        </w:rPr>
      </w:pPr>
    </w:p>
    <w:p w:rsidR="00F423F9" w:rsidRPr="00425A7F" w:rsidRDefault="00F423F9" w:rsidP="00F423F9">
      <w:pPr>
        <w:jc w:val="both"/>
        <w:rPr>
          <w:b/>
          <w:u w:val="single"/>
        </w:rPr>
      </w:pPr>
    </w:p>
    <w:p w:rsidR="008F1066" w:rsidRPr="00425A7F" w:rsidRDefault="008F1066">
      <w:pPr>
        <w:spacing w:after="200" w:line="276" w:lineRule="auto"/>
        <w:rPr>
          <w:lang w:val="fr-CH"/>
        </w:rPr>
      </w:pPr>
      <w:r w:rsidRPr="00425A7F">
        <w:rPr>
          <w:lang w:val="fr-CH"/>
        </w:rPr>
        <w:br w:type="page"/>
      </w:r>
    </w:p>
    <w:p w:rsidR="00B31F40" w:rsidRPr="00425A7F" w:rsidRDefault="00B31F40" w:rsidP="00F24E98">
      <w:pPr>
        <w:widowControl w:val="0"/>
        <w:suppressAutoHyphens/>
        <w:jc w:val="both"/>
        <w:rPr>
          <w:lang w:val="fr-CH"/>
        </w:rPr>
      </w:pPr>
    </w:p>
    <w:p w:rsidR="00B31F40" w:rsidRPr="00425A7F" w:rsidRDefault="00BF7533" w:rsidP="00EA65F3">
      <w:pPr>
        <w:pStyle w:val="Titre1"/>
      </w:pPr>
      <w:bookmarkStart w:id="2" w:name="_Toc497294469"/>
      <w:r w:rsidRPr="00425A7F">
        <w:t>LISTE DE SIGLES ET ABREVIATIONS</w:t>
      </w:r>
      <w:bookmarkEnd w:id="2"/>
    </w:p>
    <w:p w:rsidR="00D142E2" w:rsidRPr="00425A7F" w:rsidRDefault="00D142E2" w:rsidP="00F24E98">
      <w:pPr>
        <w:widowControl w:val="0"/>
        <w:suppressAutoHyphens/>
        <w:jc w:val="both"/>
        <w:rPr>
          <w:lang w:val="fr-CH"/>
        </w:rPr>
      </w:pPr>
    </w:p>
    <w:p w:rsidR="0073473B" w:rsidRPr="00425A7F" w:rsidRDefault="0073473B" w:rsidP="0073473B">
      <w:pPr>
        <w:rPr>
          <w:lang w:val="fr-CH"/>
        </w:rPr>
      </w:pPr>
      <w:r w:rsidRPr="00425A7F">
        <w:rPr>
          <w:lang w:val="fr-CH"/>
        </w:rPr>
        <w:t>AMO</w:t>
      </w:r>
      <w:r w:rsidRPr="00425A7F">
        <w:rPr>
          <w:lang w:val="fr-CH"/>
        </w:rPr>
        <w:tab/>
      </w:r>
      <w:r w:rsidRPr="00425A7F">
        <w:rPr>
          <w:lang w:val="fr-CH"/>
        </w:rPr>
        <w:tab/>
      </w:r>
      <w:r w:rsidRPr="00425A7F">
        <w:rPr>
          <w:lang w:val="fr-CH"/>
        </w:rPr>
        <w:tab/>
        <w:t>Assurance Maladie Obligatoire</w:t>
      </w:r>
    </w:p>
    <w:p w:rsidR="0073473B" w:rsidRPr="00425A7F" w:rsidRDefault="0073473B" w:rsidP="0073473B">
      <w:pPr>
        <w:rPr>
          <w:rFonts w:eastAsia="Times New Roman"/>
          <w:lang w:eastAsia="fr-FR"/>
        </w:rPr>
      </w:pPr>
      <w:r w:rsidRPr="00425A7F">
        <w:rPr>
          <w:rFonts w:asciiTheme="minorHAnsi" w:eastAsia="Times New Roman" w:hAnsiTheme="minorHAnsi"/>
          <w:lang w:eastAsia="fr-FR"/>
        </w:rPr>
        <w:t>AMU</w:t>
      </w:r>
      <w:r w:rsidRPr="00425A7F">
        <w:rPr>
          <w:rFonts w:eastAsia="Times New Roman"/>
          <w:lang w:eastAsia="fr-FR"/>
        </w:rPr>
        <w:tab/>
      </w:r>
      <w:r w:rsidRPr="00425A7F">
        <w:rPr>
          <w:rFonts w:eastAsia="Times New Roman"/>
          <w:lang w:eastAsia="fr-FR"/>
        </w:rPr>
        <w:tab/>
      </w:r>
      <w:r w:rsidRPr="00425A7F">
        <w:rPr>
          <w:rFonts w:eastAsia="Times New Roman"/>
          <w:lang w:eastAsia="fr-FR"/>
        </w:rPr>
        <w:tab/>
        <w:t>Assurance Maladie Universelle</w:t>
      </w:r>
    </w:p>
    <w:p w:rsidR="0073473B" w:rsidRPr="00425A7F" w:rsidRDefault="0073473B" w:rsidP="0073473B">
      <w:pPr>
        <w:rPr>
          <w:lang w:val="fr-CH"/>
        </w:rPr>
      </w:pPr>
      <w:r w:rsidRPr="00425A7F">
        <w:rPr>
          <w:lang w:val="fr-CH"/>
        </w:rPr>
        <w:t>ANAM</w:t>
      </w:r>
      <w:r w:rsidRPr="00425A7F">
        <w:rPr>
          <w:lang w:val="fr-CH"/>
        </w:rPr>
        <w:tab/>
      </w:r>
      <w:r w:rsidRPr="00425A7F">
        <w:rPr>
          <w:lang w:val="fr-CH"/>
        </w:rPr>
        <w:tab/>
      </w:r>
      <w:r w:rsidRPr="00425A7F">
        <w:rPr>
          <w:lang w:val="fr-CH"/>
        </w:rPr>
        <w:tab/>
        <w:t>Agence Nationale d’Assistance Médicale</w:t>
      </w:r>
    </w:p>
    <w:p w:rsidR="0073473B" w:rsidRPr="00425A7F" w:rsidRDefault="0073473B" w:rsidP="0073473B">
      <w:pPr>
        <w:rPr>
          <w:rFonts w:cs="Arial"/>
        </w:rPr>
      </w:pPr>
      <w:r w:rsidRPr="00425A7F">
        <w:rPr>
          <w:rFonts w:asciiTheme="minorHAnsi" w:hAnsiTheme="minorHAnsi" w:cs="Arial"/>
        </w:rPr>
        <w:t>BCEAO</w:t>
      </w:r>
      <w:r w:rsidRPr="00425A7F">
        <w:rPr>
          <w:rFonts w:cs="Arial"/>
        </w:rPr>
        <w:tab/>
      </w:r>
      <w:r w:rsidRPr="00425A7F">
        <w:rPr>
          <w:rFonts w:cs="Arial"/>
        </w:rPr>
        <w:tab/>
      </w:r>
      <w:r w:rsidRPr="00425A7F">
        <w:rPr>
          <w:rFonts w:cs="Arial"/>
        </w:rPr>
        <w:tab/>
        <w:t>Banque Centrale des Etats de l’Afrique de l’Ouest</w:t>
      </w:r>
    </w:p>
    <w:p w:rsidR="0073473B" w:rsidRPr="00425A7F" w:rsidRDefault="0073473B" w:rsidP="0073473B">
      <w:r w:rsidRPr="00425A7F">
        <w:t>CA</w:t>
      </w:r>
      <w:r w:rsidRPr="00425A7F">
        <w:tab/>
      </w:r>
      <w:r w:rsidRPr="00425A7F">
        <w:tab/>
      </w:r>
      <w:r w:rsidRPr="00425A7F">
        <w:tab/>
        <w:t>Conseil d’Administration</w:t>
      </w:r>
    </w:p>
    <w:p w:rsidR="0073473B" w:rsidRPr="00425A7F" w:rsidRDefault="0073473B" w:rsidP="0073473B">
      <w:pPr>
        <w:rPr>
          <w:lang w:val="fr-CH"/>
        </w:rPr>
      </w:pPr>
      <w:r w:rsidRPr="00425A7F">
        <w:rPr>
          <w:lang w:val="fr-CH"/>
        </w:rPr>
        <w:t>CANAM</w:t>
      </w:r>
      <w:r w:rsidRPr="00425A7F">
        <w:rPr>
          <w:lang w:val="fr-CH"/>
        </w:rPr>
        <w:tab/>
      </w:r>
      <w:r w:rsidRPr="00425A7F">
        <w:rPr>
          <w:lang w:val="fr-CH"/>
        </w:rPr>
        <w:tab/>
      </w:r>
      <w:r w:rsidRPr="00425A7F">
        <w:rPr>
          <w:lang w:val="fr-CH"/>
        </w:rPr>
        <w:tab/>
        <w:t>Caisse Nationale d’Assurance Maladie</w:t>
      </w:r>
    </w:p>
    <w:p w:rsidR="0073473B" w:rsidRPr="00425A7F" w:rsidRDefault="0073473B" w:rsidP="0073473B">
      <w:r w:rsidRPr="00425A7F">
        <w:t>CDMT</w:t>
      </w:r>
      <w:r w:rsidRPr="00425A7F">
        <w:tab/>
      </w:r>
      <w:r w:rsidRPr="00425A7F">
        <w:tab/>
      </w:r>
      <w:r w:rsidRPr="00425A7F">
        <w:tab/>
        <w:t>Cadre de Dépenses à Moyen Terme</w:t>
      </w:r>
    </w:p>
    <w:p w:rsidR="0073473B" w:rsidRPr="00425A7F" w:rsidRDefault="0073473B" w:rsidP="0073473B">
      <w:r w:rsidRPr="00425A7F">
        <w:rPr>
          <w:rFonts w:eastAsia="Times New Roman"/>
          <w:lang w:eastAsia="fr-FR"/>
        </w:rPr>
        <w:t>CNS</w:t>
      </w:r>
      <w:r w:rsidRPr="00425A7F">
        <w:rPr>
          <w:rFonts w:eastAsia="Times New Roman"/>
          <w:lang w:eastAsia="fr-FR"/>
        </w:rPr>
        <w:tab/>
      </w:r>
      <w:r w:rsidRPr="00425A7F">
        <w:rPr>
          <w:rFonts w:eastAsia="Times New Roman"/>
          <w:lang w:eastAsia="fr-FR"/>
        </w:rPr>
        <w:tab/>
      </w:r>
      <w:r w:rsidRPr="00425A7F">
        <w:rPr>
          <w:rFonts w:eastAsia="Times New Roman"/>
          <w:lang w:eastAsia="fr-FR"/>
        </w:rPr>
        <w:tab/>
        <w:t>Comptes Nationaux de la Santé</w:t>
      </w:r>
    </w:p>
    <w:p w:rsidR="0073473B" w:rsidRPr="00425A7F" w:rsidRDefault="0073473B" w:rsidP="0073473B">
      <w:r w:rsidRPr="00425A7F">
        <w:t>CPS</w:t>
      </w:r>
      <w:r w:rsidRPr="00425A7F">
        <w:tab/>
      </w:r>
      <w:r w:rsidRPr="00425A7F">
        <w:tab/>
      </w:r>
      <w:r w:rsidRPr="00425A7F">
        <w:tab/>
        <w:t>Cellule de Planification et de Statistiques</w:t>
      </w:r>
    </w:p>
    <w:p w:rsidR="0073473B" w:rsidRPr="00425A7F" w:rsidRDefault="0073473B" w:rsidP="0073473B">
      <w:pPr>
        <w:rPr>
          <w:rFonts w:cs="Arial"/>
        </w:rPr>
      </w:pPr>
      <w:r w:rsidRPr="00425A7F">
        <w:rPr>
          <w:rFonts w:asciiTheme="minorHAnsi" w:hAnsiTheme="minorHAnsi" w:cs="Arial"/>
        </w:rPr>
        <w:t>CSCom</w:t>
      </w:r>
      <w:r w:rsidRPr="00425A7F">
        <w:rPr>
          <w:rFonts w:cs="Arial"/>
        </w:rPr>
        <w:tab/>
      </w:r>
      <w:r w:rsidRPr="00425A7F">
        <w:rPr>
          <w:rFonts w:cs="Arial"/>
        </w:rPr>
        <w:tab/>
      </w:r>
      <w:r w:rsidRPr="00425A7F">
        <w:rPr>
          <w:rFonts w:cs="Arial"/>
        </w:rPr>
        <w:tab/>
        <w:t xml:space="preserve">Centre de </w:t>
      </w:r>
      <w:r w:rsidR="00C46C02" w:rsidRPr="00425A7F">
        <w:rPr>
          <w:rFonts w:cs="Arial"/>
        </w:rPr>
        <w:t>S</w:t>
      </w:r>
      <w:r w:rsidRPr="00425A7F">
        <w:rPr>
          <w:rFonts w:cs="Arial"/>
        </w:rPr>
        <w:t>anté communautaire</w:t>
      </w:r>
    </w:p>
    <w:p w:rsidR="0073473B" w:rsidRPr="00425A7F" w:rsidRDefault="0073473B" w:rsidP="0073473B">
      <w:pPr>
        <w:rPr>
          <w:rFonts w:cs="Arial"/>
        </w:rPr>
      </w:pPr>
      <w:r w:rsidRPr="00425A7F">
        <w:rPr>
          <w:rFonts w:asciiTheme="minorHAnsi" w:hAnsiTheme="minorHAnsi" w:cs="Arial"/>
        </w:rPr>
        <w:t>CSRéf</w:t>
      </w:r>
      <w:r w:rsidR="00543259" w:rsidRPr="00425A7F">
        <w:rPr>
          <w:rFonts w:cs="Arial"/>
        </w:rPr>
        <w:tab/>
      </w:r>
      <w:r w:rsidR="00543259" w:rsidRPr="00425A7F">
        <w:rPr>
          <w:rFonts w:cs="Arial"/>
        </w:rPr>
        <w:tab/>
      </w:r>
      <w:r w:rsidR="00543259" w:rsidRPr="00425A7F">
        <w:rPr>
          <w:rFonts w:cs="Arial"/>
        </w:rPr>
        <w:tab/>
        <w:t xml:space="preserve">Centre de </w:t>
      </w:r>
      <w:r w:rsidR="00C46C02" w:rsidRPr="00425A7F">
        <w:rPr>
          <w:rFonts w:cs="Arial"/>
        </w:rPr>
        <w:t>S</w:t>
      </w:r>
      <w:r w:rsidR="00543259" w:rsidRPr="00425A7F">
        <w:rPr>
          <w:rFonts w:cs="Arial"/>
        </w:rPr>
        <w:t>anté </w:t>
      </w:r>
      <w:r w:rsidRPr="00425A7F">
        <w:rPr>
          <w:rFonts w:cs="Arial"/>
        </w:rPr>
        <w:t>de référence</w:t>
      </w:r>
    </w:p>
    <w:p w:rsidR="0073473B" w:rsidRPr="00425A7F" w:rsidRDefault="0073473B" w:rsidP="0073473B">
      <w:pPr>
        <w:rPr>
          <w:rFonts w:cs="Arial"/>
        </w:rPr>
      </w:pPr>
      <w:r w:rsidRPr="00425A7F">
        <w:rPr>
          <w:rFonts w:cs="Arial"/>
        </w:rPr>
        <w:t>DGB</w:t>
      </w:r>
      <w:r w:rsidRPr="00425A7F">
        <w:rPr>
          <w:rFonts w:cs="Arial"/>
        </w:rPr>
        <w:tab/>
      </w:r>
      <w:r w:rsidRPr="00425A7F">
        <w:rPr>
          <w:rFonts w:cs="Arial"/>
        </w:rPr>
        <w:tab/>
      </w:r>
      <w:r w:rsidRPr="00425A7F">
        <w:rPr>
          <w:rFonts w:cs="Arial"/>
        </w:rPr>
        <w:tab/>
        <w:t>Direction Générale du Budget</w:t>
      </w:r>
    </w:p>
    <w:p w:rsidR="0073473B" w:rsidRPr="00425A7F" w:rsidRDefault="0073473B" w:rsidP="0073473B">
      <w:r w:rsidRPr="00425A7F">
        <w:t>DNTCP</w:t>
      </w:r>
      <w:r w:rsidRPr="00425A7F">
        <w:tab/>
      </w:r>
      <w:r w:rsidRPr="00425A7F">
        <w:tab/>
      </w:r>
      <w:r w:rsidRPr="00425A7F">
        <w:tab/>
        <w:t xml:space="preserve">Direction Nationale du Trésor et de la Comptabilité Publique </w:t>
      </w:r>
    </w:p>
    <w:p w:rsidR="0073473B" w:rsidRPr="00425A7F" w:rsidRDefault="0073473B" w:rsidP="0073473B">
      <w:pPr>
        <w:rPr>
          <w:rFonts w:cs="Arial"/>
        </w:rPr>
      </w:pPr>
      <w:r w:rsidRPr="00425A7F">
        <w:rPr>
          <w:rFonts w:asciiTheme="minorHAnsi" w:hAnsiTheme="minorHAnsi" w:cs="Arial"/>
        </w:rPr>
        <w:t>EPH</w:t>
      </w:r>
      <w:r w:rsidRPr="00425A7F">
        <w:rPr>
          <w:rFonts w:cs="Arial"/>
        </w:rPr>
        <w:tab/>
      </w:r>
      <w:r w:rsidRPr="00425A7F">
        <w:rPr>
          <w:rFonts w:cs="Arial"/>
        </w:rPr>
        <w:tab/>
      </w:r>
      <w:r w:rsidRPr="00425A7F">
        <w:rPr>
          <w:rFonts w:cs="Arial"/>
        </w:rPr>
        <w:tab/>
        <w:t xml:space="preserve">Etablissement </w:t>
      </w:r>
      <w:r w:rsidR="00C46C02" w:rsidRPr="00425A7F">
        <w:rPr>
          <w:rFonts w:cs="Arial"/>
        </w:rPr>
        <w:t>P</w:t>
      </w:r>
      <w:r w:rsidRPr="00425A7F">
        <w:rPr>
          <w:rFonts w:cs="Arial"/>
        </w:rPr>
        <w:t>ublic Hospitalier</w:t>
      </w:r>
    </w:p>
    <w:p w:rsidR="0073473B" w:rsidRPr="00425A7F" w:rsidRDefault="0073473B" w:rsidP="0073473B">
      <w:pPr>
        <w:rPr>
          <w:rFonts w:cs="Arial"/>
        </w:rPr>
      </w:pPr>
      <w:r w:rsidRPr="00425A7F">
        <w:rPr>
          <w:rFonts w:cs="Arial"/>
        </w:rPr>
        <w:t xml:space="preserve">IDH </w:t>
      </w:r>
      <w:r w:rsidRPr="00425A7F">
        <w:rPr>
          <w:rFonts w:cs="Arial"/>
        </w:rPr>
        <w:tab/>
      </w:r>
      <w:r w:rsidRPr="00425A7F">
        <w:rPr>
          <w:rFonts w:cs="Arial"/>
        </w:rPr>
        <w:tab/>
      </w:r>
      <w:r w:rsidRPr="00425A7F">
        <w:rPr>
          <w:rFonts w:cs="Arial"/>
        </w:rPr>
        <w:tab/>
      </w:r>
      <w:r w:rsidRPr="00425A7F">
        <w:rPr>
          <w:rFonts w:asciiTheme="minorHAnsi" w:hAnsiTheme="minorHAnsi" w:cs="Arial"/>
        </w:rPr>
        <w:t>Indice de Développement Humain</w:t>
      </w:r>
    </w:p>
    <w:p w:rsidR="0073473B" w:rsidRPr="00425A7F" w:rsidRDefault="0073473B" w:rsidP="0073473B">
      <w:r w:rsidRPr="00425A7F">
        <w:t>OMD</w:t>
      </w:r>
      <w:r w:rsidRPr="00425A7F">
        <w:tab/>
      </w:r>
      <w:r w:rsidRPr="00425A7F">
        <w:tab/>
      </w:r>
      <w:r w:rsidRPr="00425A7F">
        <w:tab/>
        <w:t>Objectif du Millénaire pour le Développement</w:t>
      </w:r>
    </w:p>
    <w:p w:rsidR="0073473B" w:rsidRPr="00425A7F" w:rsidRDefault="0073473B" w:rsidP="0073473B">
      <w:r w:rsidRPr="00425A7F">
        <w:t>OMS</w:t>
      </w:r>
      <w:r w:rsidRPr="00425A7F">
        <w:tab/>
      </w:r>
      <w:r w:rsidRPr="00425A7F">
        <w:tab/>
      </w:r>
      <w:r w:rsidRPr="00425A7F">
        <w:tab/>
        <w:t>Organisation Mondiale de la Santé</w:t>
      </w:r>
    </w:p>
    <w:p w:rsidR="0073473B" w:rsidRPr="00425A7F" w:rsidRDefault="0073473B" w:rsidP="0073473B">
      <w:pPr>
        <w:rPr>
          <w:rFonts w:cs="Arial"/>
        </w:rPr>
      </w:pPr>
      <w:r w:rsidRPr="00425A7F">
        <w:rPr>
          <w:rFonts w:asciiTheme="minorHAnsi" w:hAnsiTheme="minorHAnsi" w:cs="Arial"/>
        </w:rPr>
        <w:t>PDDSS</w:t>
      </w:r>
      <w:r w:rsidRPr="00425A7F">
        <w:rPr>
          <w:rFonts w:cs="Arial"/>
        </w:rPr>
        <w:tab/>
      </w:r>
      <w:r w:rsidRPr="00425A7F">
        <w:rPr>
          <w:rFonts w:cs="Arial"/>
        </w:rPr>
        <w:tab/>
      </w:r>
      <w:r w:rsidRPr="00425A7F">
        <w:rPr>
          <w:rFonts w:cs="Arial"/>
        </w:rPr>
        <w:tab/>
        <w:t>Plan Décennal de Développement Sanitaire et Social</w:t>
      </w:r>
    </w:p>
    <w:p w:rsidR="0073473B" w:rsidRPr="00425A7F" w:rsidRDefault="0073473B" w:rsidP="0073473B">
      <w:pPr>
        <w:rPr>
          <w:rFonts w:cs="Arial"/>
          <w:lang w:val="en-US"/>
        </w:rPr>
      </w:pPr>
      <w:r w:rsidRPr="00425A7F">
        <w:rPr>
          <w:lang w:val="en-US"/>
        </w:rPr>
        <w:t>P4H</w:t>
      </w:r>
      <w:r w:rsidRPr="00425A7F">
        <w:rPr>
          <w:rFonts w:cs="Arial"/>
          <w:lang w:val="en-US"/>
        </w:rPr>
        <w:t xml:space="preserve"> </w:t>
      </w:r>
      <w:r w:rsidRPr="00425A7F">
        <w:rPr>
          <w:rFonts w:cs="Arial"/>
          <w:lang w:val="en-US"/>
        </w:rPr>
        <w:tab/>
      </w:r>
      <w:r w:rsidRPr="00425A7F">
        <w:rPr>
          <w:rFonts w:cs="Arial"/>
          <w:lang w:val="en-US"/>
        </w:rPr>
        <w:tab/>
      </w:r>
      <w:r w:rsidRPr="00425A7F">
        <w:rPr>
          <w:rFonts w:cs="Arial"/>
          <w:lang w:val="en-US"/>
        </w:rPr>
        <w:tab/>
        <w:t>Providing for Health</w:t>
      </w:r>
    </w:p>
    <w:p w:rsidR="0073473B" w:rsidRPr="00425A7F" w:rsidRDefault="0073473B" w:rsidP="0073473B">
      <w:pPr>
        <w:rPr>
          <w:rFonts w:cs="Arial"/>
          <w:lang w:val="en-US"/>
        </w:rPr>
      </w:pPr>
      <w:r w:rsidRPr="00425A7F">
        <w:rPr>
          <w:rFonts w:asciiTheme="minorHAnsi" w:hAnsiTheme="minorHAnsi" w:cs="Arial"/>
          <w:lang w:val="en-US"/>
        </w:rPr>
        <w:t>PMA</w:t>
      </w:r>
      <w:r w:rsidRPr="00425A7F">
        <w:rPr>
          <w:rFonts w:cs="Arial"/>
          <w:lang w:val="en-US"/>
        </w:rPr>
        <w:tab/>
      </w:r>
      <w:r w:rsidRPr="00425A7F">
        <w:rPr>
          <w:rFonts w:cs="Arial"/>
          <w:lang w:val="en-US"/>
        </w:rPr>
        <w:tab/>
      </w:r>
      <w:r w:rsidRPr="00425A7F">
        <w:rPr>
          <w:rFonts w:cs="Arial"/>
          <w:lang w:val="en-US"/>
        </w:rPr>
        <w:tab/>
        <w:t>Paquet Minimum d’Activité</w:t>
      </w:r>
      <w:r w:rsidR="00AE781F" w:rsidRPr="00425A7F">
        <w:rPr>
          <w:rFonts w:cs="Arial"/>
          <w:lang w:val="en-US"/>
        </w:rPr>
        <w:t>s</w:t>
      </w:r>
    </w:p>
    <w:p w:rsidR="0073473B" w:rsidRPr="00425A7F" w:rsidRDefault="0073473B" w:rsidP="0073473B">
      <w:pPr>
        <w:rPr>
          <w:rFonts w:cs="Arial"/>
        </w:rPr>
      </w:pPr>
      <w:r w:rsidRPr="00425A7F">
        <w:rPr>
          <w:rFonts w:asciiTheme="minorHAnsi" w:hAnsiTheme="minorHAnsi" w:cs="Arial"/>
        </w:rPr>
        <w:t>PNUD</w:t>
      </w:r>
      <w:r w:rsidRPr="00425A7F">
        <w:rPr>
          <w:rFonts w:cs="Arial"/>
        </w:rPr>
        <w:tab/>
      </w:r>
      <w:r w:rsidRPr="00425A7F">
        <w:rPr>
          <w:rFonts w:cs="Arial"/>
        </w:rPr>
        <w:tab/>
      </w:r>
      <w:r w:rsidRPr="00425A7F">
        <w:rPr>
          <w:rFonts w:cs="Arial"/>
        </w:rPr>
        <w:tab/>
        <w:t>Programme des Nations Unies pour le Développement</w:t>
      </w:r>
    </w:p>
    <w:p w:rsidR="0073473B" w:rsidRPr="00425A7F" w:rsidRDefault="0073473B" w:rsidP="0073473B">
      <w:r w:rsidRPr="00425A7F">
        <w:t>PIB</w:t>
      </w:r>
      <w:r w:rsidRPr="00425A7F">
        <w:tab/>
      </w:r>
      <w:r w:rsidRPr="00425A7F">
        <w:tab/>
      </w:r>
      <w:r w:rsidRPr="00425A7F">
        <w:tab/>
        <w:t>Produit Intérieur Brut</w:t>
      </w:r>
    </w:p>
    <w:p w:rsidR="0073473B" w:rsidRPr="00425A7F" w:rsidRDefault="0073473B" w:rsidP="0073473B">
      <w:pPr>
        <w:rPr>
          <w:rFonts w:eastAsia="Times New Roman"/>
          <w:lang w:eastAsia="fr-FR"/>
        </w:rPr>
      </w:pPr>
      <w:r w:rsidRPr="00425A7F">
        <w:rPr>
          <w:rFonts w:asciiTheme="minorHAnsi" w:eastAsia="Times New Roman" w:hAnsiTheme="minorHAnsi"/>
          <w:lang w:eastAsia="fr-FR"/>
        </w:rPr>
        <w:t>PPP</w:t>
      </w:r>
      <w:r w:rsidRPr="00425A7F">
        <w:rPr>
          <w:rFonts w:eastAsia="Times New Roman"/>
          <w:lang w:eastAsia="fr-FR"/>
        </w:rPr>
        <w:tab/>
      </w:r>
      <w:r w:rsidRPr="00425A7F">
        <w:rPr>
          <w:rFonts w:eastAsia="Times New Roman"/>
          <w:lang w:eastAsia="fr-FR"/>
        </w:rPr>
        <w:tab/>
      </w:r>
      <w:r w:rsidRPr="00425A7F">
        <w:rPr>
          <w:rFonts w:eastAsia="Times New Roman"/>
          <w:lang w:eastAsia="fr-FR"/>
        </w:rPr>
        <w:tab/>
        <w:t>Partenariat Public Privé</w:t>
      </w:r>
    </w:p>
    <w:p w:rsidR="0073473B" w:rsidRPr="00425A7F" w:rsidRDefault="0073473B" w:rsidP="0073473B">
      <w:r w:rsidRPr="00425A7F">
        <w:t>PRODESS</w:t>
      </w:r>
      <w:r w:rsidRPr="00425A7F">
        <w:tab/>
      </w:r>
      <w:r w:rsidRPr="00425A7F">
        <w:tab/>
        <w:t>Programme de Développement Sanitaire et Social</w:t>
      </w:r>
    </w:p>
    <w:p w:rsidR="0073473B" w:rsidRPr="00425A7F" w:rsidRDefault="0073473B" w:rsidP="0073473B">
      <w:pPr>
        <w:rPr>
          <w:rFonts w:cs="Arial"/>
        </w:rPr>
      </w:pPr>
      <w:r w:rsidRPr="00425A7F">
        <w:rPr>
          <w:rFonts w:cs="Arial"/>
        </w:rPr>
        <w:t xml:space="preserve">PTF </w:t>
      </w:r>
      <w:r w:rsidRPr="00425A7F">
        <w:rPr>
          <w:rFonts w:cs="Arial"/>
        </w:rPr>
        <w:tab/>
      </w:r>
      <w:r w:rsidRPr="00425A7F">
        <w:rPr>
          <w:rFonts w:cs="Arial"/>
        </w:rPr>
        <w:tab/>
      </w:r>
      <w:r w:rsidRPr="00425A7F">
        <w:rPr>
          <w:rFonts w:cs="Arial"/>
        </w:rPr>
        <w:tab/>
        <w:t>Partenaire Technique et Financier</w:t>
      </w:r>
    </w:p>
    <w:p w:rsidR="0073473B" w:rsidRPr="00425A7F" w:rsidRDefault="0073473B" w:rsidP="0073473B">
      <w:pPr>
        <w:rPr>
          <w:rFonts w:cs="Arial"/>
        </w:rPr>
      </w:pPr>
      <w:r w:rsidRPr="00425A7F">
        <w:rPr>
          <w:rFonts w:cs="Arial"/>
        </w:rPr>
        <w:t>RAMED</w:t>
      </w:r>
      <w:r w:rsidRPr="00425A7F">
        <w:rPr>
          <w:rFonts w:cs="Arial"/>
        </w:rPr>
        <w:tab/>
      </w:r>
      <w:r w:rsidRPr="00425A7F">
        <w:rPr>
          <w:rFonts w:cs="Arial"/>
        </w:rPr>
        <w:tab/>
      </w:r>
      <w:r w:rsidRPr="00425A7F">
        <w:rPr>
          <w:rFonts w:cs="Arial"/>
        </w:rPr>
        <w:tab/>
        <w:t>Régime d’Assistance Médicale</w:t>
      </w:r>
    </w:p>
    <w:p w:rsidR="0073473B" w:rsidRPr="00425A7F" w:rsidRDefault="0073473B" w:rsidP="0073473B">
      <w:pPr>
        <w:rPr>
          <w:rFonts w:cs="Arial"/>
        </w:rPr>
      </w:pPr>
      <w:r w:rsidRPr="00425A7F">
        <w:rPr>
          <w:rFonts w:asciiTheme="minorHAnsi" w:hAnsiTheme="minorHAnsi" w:cs="Arial"/>
        </w:rPr>
        <w:t>RGPH</w:t>
      </w:r>
      <w:r w:rsidRPr="00425A7F">
        <w:rPr>
          <w:rFonts w:cs="Arial"/>
        </w:rPr>
        <w:tab/>
      </w:r>
      <w:r w:rsidRPr="00425A7F">
        <w:rPr>
          <w:rFonts w:cs="Arial"/>
        </w:rPr>
        <w:tab/>
      </w:r>
      <w:r w:rsidRPr="00425A7F">
        <w:rPr>
          <w:rFonts w:cs="Arial"/>
        </w:rPr>
        <w:tab/>
        <w:t>Recensement Général de la Population et de l’Habitat</w:t>
      </w:r>
    </w:p>
    <w:p w:rsidR="0073473B" w:rsidRPr="00425A7F" w:rsidRDefault="0073473B" w:rsidP="0073473B">
      <w:pPr>
        <w:rPr>
          <w:rFonts w:cs="Arial"/>
        </w:rPr>
      </w:pPr>
      <w:r w:rsidRPr="00425A7F">
        <w:rPr>
          <w:rFonts w:asciiTheme="minorHAnsi" w:hAnsiTheme="minorHAnsi" w:cs="Arial"/>
        </w:rPr>
        <w:t>SSP</w:t>
      </w:r>
      <w:r w:rsidRPr="00425A7F">
        <w:rPr>
          <w:rFonts w:cs="Arial"/>
        </w:rPr>
        <w:tab/>
      </w:r>
      <w:r w:rsidRPr="00425A7F">
        <w:rPr>
          <w:rFonts w:cs="Arial"/>
        </w:rPr>
        <w:tab/>
      </w:r>
      <w:r w:rsidRPr="00425A7F">
        <w:rPr>
          <w:rFonts w:cs="Arial"/>
        </w:rPr>
        <w:tab/>
        <w:t xml:space="preserve">Soins de </w:t>
      </w:r>
      <w:r w:rsidR="00C46C02" w:rsidRPr="00425A7F">
        <w:rPr>
          <w:rFonts w:cs="Arial"/>
        </w:rPr>
        <w:t>S</w:t>
      </w:r>
      <w:r w:rsidRPr="00425A7F">
        <w:rPr>
          <w:rFonts w:cs="Arial"/>
        </w:rPr>
        <w:t>anté primaires</w:t>
      </w:r>
    </w:p>
    <w:p w:rsidR="0073473B" w:rsidRPr="00425A7F" w:rsidRDefault="0073473B" w:rsidP="0073473B">
      <w:pPr>
        <w:rPr>
          <w:rFonts w:cs="Arial"/>
        </w:rPr>
      </w:pPr>
      <w:r w:rsidRPr="00425A7F">
        <w:rPr>
          <w:rFonts w:asciiTheme="minorHAnsi" w:hAnsiTheme="minorHAnsi" w:cs="Arial"/>
        </w:rPr>
        <w:t>UEMOA</w:t>
      </w:r>
      <w:r w:rsidRPr="00425A7F">
        <w:rPr>
          <w:rFonts w:cs="Arial"/>
        </w:rPr>
        <w:tab/>
      </w:r>
      <w:r w:rsidRPr="00425A7F">
        <w:rPr>
          <w:rFonts w:cs="Arial"/>
        </w:rPr>
        <w:tab/>
        <w:t>Union Economique et Monétaire Ouest Africaine</w:t>
      </w:r>
    </w:p>
    <w:p w:rsidR="0073473B" w:rsidRPr="00425A7F" w:rsidRDefault="0073473B" w:rsidP="0073473B">
      <w:pPr>
        <w:rPr>
          <w:lang w:val="fr-CH"/>
        </w:rPr>
      </w:pPr>
      <w:r w:rsidRPr="00425A7F">
        <w:rPr>
          <w:lang w:val="fr-CH"/>
        </w:rPr>
        <w:t>UTM</w:t>
      </w:r>
      <w:r w:rsidRPr="00425A7F">
        <w:rPr>
          <w:lang w:val="fr-CH"/>
        </w:rPr>
        <w:tab/>
      </w:r>
      <w:r w:rsidRPr="00425A7F">
        <w:rPr>
          <w:lang w:val="fr-CH"/>
        </w:rPr>
        <w:tab/>
      </w:r>
      <w:r w:rsidRPr="00425A7F">
        <w:rPr>
          <w:lang w:val="fr-CH"/>
        </w:rPr>
        <w:tab/>
        <w:t>Union Technique de la Mutualité Malienne</w:t>
      </w:r>
    </w:p>
    <w:p w:rsidR="0073473B" w:rsidRPr="00425A7F" w:rsidRDefault="0073473B" w:rsidP="00F24E98">
      <w:pPr>
        <w:widowControl w:val="0"/>
        <w:suppressAutoHyphens/>
        <w:jc w:val="both"/>
        <w:rPr>
          <w:lang w:val="fr-CH"/>
        </w:rPr>
      </w:pPr>
    </w:p>
    <w:p w:rsidR="00A86D28" w:rsidRPr="00425A7F" w:rsidRDefault="00A86D28" w:rsidP="00F24E98">
      <w:pPr>
        <w:widowControl w:val="0"/>
        <w:suppressAutoHyphens/>
        <w:jc w:val="both"/>
        <w:rPr>
          <w:rFonts w:asciiTheme="majorHAnsi" w:eastAsiaTheme="majorEastAsia" w:hAnsiTheme="majorHAnsi" w:cstheme="majorBidi"/>
          <w:b/>
          <w:bCs/>
          <w:color w:val="365F91" w:themeColor="accent1" w:themeShade="BF"/>
          <w:sz w:val="28"/>
          <w:szCs w:val="28"/>
          <w:lang w:val="fr-CH"/>
        </w:rPr>
      </w:pPr>
      <w:r w:rsidRPr="00425A7F">
        <w:rPr>
          <w:lang w:val="fr-CH"/>
        </w:rPr>
        <w:br w:type="page"/>
      </w:r>
    </w:p>
    <w:p w:rsidR="005266A3" w:rsidRPr="00425A7F" w:rsidRDefault="00EA65F3" w:rsidP="00EA65F3">
      <w:pPr>
        <w:pStyle w:val="Titre1"/>
      </w:pPr>
      <w:bookmarkStart w:id="3" w:name="_Toc497294470"/>
      <w:r w:rsidRPr="00425A7F">
        <w:lastRenderedPageBreak/>
        <w:t>RESUME</w:t>
      </w:r>
      <w:bookmarkEnd w:id="3"/>
    </w:p>
    <w:p w:rsidR="00BF7533" w:rsidRPr="00425A7F" w:rsidRDefault="00BF7533" w:rsidP="00BF7533">
      <w:pPr>
        <w:widowControl w:val="0"/>
        <w:suppressAutoHyphens/>
        <w:jc w:val="both"/>
        <w:rPr>
          <w:rFonts w:cs="Arial"/>
          <w:lang w:val="fr-CA"/>
        </w:rPr>
      </w:pPr>
      <w:r w:rsidRPr="00425A7F">
        <w:t xml:space="preserve">Les Ministères de la Santé et de l’Hygiène Publique, celui de la Solidarité et l'Action Humanitaire et celui de la Promotion de la Femme, de la Famille et de l’Enfant ont élaboré un plan décennal de développement sanitaire et social. </w:t>
      </w:r>
      <w:r w:rsidRPr="00425A7F">
        <w:rPr>
          <w:rFonts w:cs="Arial"/>
          <w:lang w:val="fr-CA"/>
        </w:rPr>
        <w:t>Les Ministères et leurs Partenaires Techniques et Financiers (PTF) ont convenu qu’un certain nombre de thèmes devaient y être</w:t>
      </w:r>
      <w:r w:rsidR="00B225AD" w:rsidRPr="00425A7F">
        <w:rPr>
          <w:rFonts w:cs="Arial"/>
          <w:lang w:val="fr-CA"/>
        </w:rPr>
        <w:t xml:space="preserve"> approfondis, dont le </w:t>
      </w:r>
      <w:r w:rsidRPr="00425A7F">
        <w:rPr>
          <w:rFonts w:cs="Arial"/>
          <w:lang w:val="fr-CA"/>
        </w:rPr>
        <w:t>financement de la santé</w:t>
      </w:r>
      <w:r w:rsidR="00FE158D" w:rsidRPr="00425A7F">
        <w:rPr>
          <w:rFonts w:cs="Arial"/>
          <w:lang w:val="fr-CA"/>
        </w:rPr>
        <w:t>, confié à u</w:t>
      </w:r>
      <w:r w:rsidR="00B225AD" w:rsidRPr="00425A7F">
        <w:rPr>
          <w:rFonts w:cs="Arial"/>
          <w:lang w:val="fr-CA"/>
        </w:rPr>
        <w:t>n</w:t>
      </w:r>
      <w:r w:rsidRPr="00425A7F">
        <w:rPr>
          <w:rFonts w:cs="Arial"/>
          <w:lang w:val="fr-CA"/>
        </w:rPr>
        <w:t xml:space="preserve"> groupe t</w:t>
      </w:r>
      <w:r w:rsidR="00FE158D" w:rsidRPr="00425A7F">
        <w:rPr>
          <w:rFonts w:cs="Arial"/>
          <w:lang w:val="fr-CA"/>
        </w:rPr>
        <w:t>hématique de travail</w:t>
      </w:r>
      <w:r w:rsidRPr="00425A7F">
        <w:rPr>
          <w:rFonts w:cs="Arial"/>
          <w:lang w:val="fr-CA"/>
        </w:rPr>
        <w:t>.</w:t>
      </w:r>
    </w:p>
    <w:p w:rsidR="00BF7533" w:rsidRPr="00425A7F" w:rsidRDefault="00BF7533" w:rsidP="00BF7533">
      <w:pPr>
        <w:widowControl w:val="0"/>
        <w:suppressAutoHyphens/>
        <w:jc w:val="both"/>
      </w:pPr>
    </w:p>
    <w:p w:rsidR="00BF7533" w:rsidRPr="00425A7F" w:rsidRDefault="00BF7533" w:rsidP="00BF7533">
      <w:pPr>
        <w:widowControl w:val="0"/>
        <w:suppressAutoHyphens/>
        <w:jc w:val="both"/>
      </w:pPr>
      <w:r w:rsidRPr="00425A7F">
        <w:t>Auparavant, un processus avait démarré entre le gouvernement et les PTF dans le cadre d’une démarche de la plateforme P4H</w:t>
      </w:r>
      <w:r w:rsidRPr="00425A7F">
        <w:rPr>
          <w:rStyle w:val="Appelnotedebasdep"/>
        </w:rPr>
        <w:footnoteReference w:id="2"/>
      </w:r>
      <w:r w:rsidRPr="00425A7F">
        <w:t xml:space="preserve">. Il s’agissait d’élaborer et de mettre en œuvre une feuille de route conjointe pour le développement de la couverture </w:t>
      </w:r>
      <w:r w:rsidR="002C37D7" w:rsidRPr="00425A7F">
        <w:t xml:space="preserve">sanitaire </w:t>
      </w:r>
      <w:r w:rsidRPr="00425A7F">
        <w:t>universelle. Au cœur de celle-ci figurait l’élaboration d’une stratégie de financement de la santé sous la conduite du Ministère de la Solidarité et de l'Action Humanitaire.</w:t>
      </w:r>
    </w:p>
    <w:p w:rsidR="00BF7533" w:rsidRPr="00425A7F" w:rsidRDefault="00BF7533" w:rsidP="00BF7533">
      <w:pPr>
        <w:widowControl w:val="0"/>
        <w:suppressAutoHyphens/>
        <w:jc w:val="both"/>
      </w:pPr>
    </w:p>
    <w:p w:rsidR="00BF7533" w:rsidRPr="00425A7F" w:rsidRDefault="00BF7533" w:rsidP="00BF7533">
      <w:pPr>
        <w:widowControl w:val="0"/>
        <w:suppressAutoHyphens/>
        <w:jc w:val="both"/>
      </w:pPr>
      <w:r w:rsidRPr="00425A7F">
        <w:t xml:space="preserve">Les deux démarches se sont rejointes pour la réalisation du document. Au-delà des termes (« financement de la santé » ou « financement de la couverture </w:t>
      </w:r>
      <w:r w:rsidR="002C37D7" w:rsidRPr="00425A7F">
        <w:t xml:space="preserve">sanitaire </w:t>
      </w:r>
      <w:r w:rsidRPr="00425A7F">
        <w:t xml:space="preserve">universelle » ou encore « développement de la </w:t>
      </w:r>
      <w:r w:rsidR="002C37D7" w:rsidRPr="00425A7F">
        <w:t>couverture sanitaire universelle</w:t>
      </w:r>
      <w:r w:rsidRPr="00425A7F">
        <w:t xml:space="preserve"> »), les départements se sont retrouvés, en collaboration avec le Ministère de l’Economie et des Finances, pour l’élaboration </w:t>
      </w:r>
      <w:r w:rsidR="00FE158D" w:rsidRPr="00425A7F">
        <w:t>du document de</w:t>
      </w:r>
      <w:r w:rsidRPr="00425A7F">
        <w:t xml:space="preserve"> </w:t>
      </w:r>
      <w:r w:rsidRPr="00425A7F">
        <w:rPr>
          <w:i/>
        </w:rPr>
        <w:t xml:space="preserve">stratégie nationale de financement de la santé pour la </w:t>
      </w:r>
      <w:r w:rsidR="002C37D7" w:rsidRPr="00425A7F">
        <w:rPr>
          <w:i/>
        </w:rPr>
        <w:t>couverture sanitaire universelle</w:t>
      </w:r>
      <w:r w:rsidRPr="00425A7F">
        <w:t xml:space="preserve">. Celui-ci dessine la voie de l’accès à des soins de qualité pour l’ensemble de la population du Mali </w:t>
      </w:r>
      <w:r w:rsidR="00FE158D" w:rsidRPr="00425A7F">
        <w:t>tout en</w:t>
      </w:r>
      <w:r w:rsidRPr="00425A7F">
        <w:t xml:space="preserve"> la protégeant du risque </w:t>
      </w:r>
      <w:r w:rsidR="00FE158D" w:rsidRPr="00425A7F">
        <w:t xml:space="preserve">financier lié à la </w:t>
      </w:r>
      <w:r w:rsidRPr="00425A7F">
        <w:t>maladie.</w:t>
      </w:r>
    </w:p>
    <w:p w:rsidR="00BF7533" w:rsidRPr="00425A7F" w:rsidRDefault="00BF7533" w:rsidP="0077763F">
      <w:pPr>
        <w:jc w:val="both"/>
      </w:pPr>
    </w:p>
    <w:p w:rsidR="005266A3" w:rsidRPr="00425A7F" w:rsidRDefault="005266A3" w:rsidP="0077763F">
      <w:pPr>
        <w:jc w:val="both"/>
      </w:pPr>
      <w:r w:rsidRPr="00425A7F">
        <w:t xml:space="preserve">Avant de rédiger la </w:t>
      </w:r>
      <w:r w:rsidR="00BF7533" w:rsidRPr="00425A7F">
        <w:t>stratégie</w:t>
      </w:r>
      <w:r w:rsidRPr="00425A7F">
        <w:t xml:space="preserve"> nationale, un état des lieux du financement de la santé a été dressé dont les conclusions sont les suivantes : </w:t>
      </w:r>
    </w:p>
    <w:p w:rsidR="00F93401" w:rsidRPr="00425A7F" w:rsidRDefault="00F93401" w:rsidP="0077763F">
      <w:pPr>
        <w:jc w:val="both"/>
      </w:pPr>
    </w:p>
    <w:p w:rsidR="005266A3" w:rsidRPr="00425A7F" w:rsidRDefault="005266A3" w:rsidP="00C52415">
      <w:pPr>
        <w:pStyle w:val="Paragraphedeliste"/>
        <w:numPr>
          <w:ilvl w:val="0"/>
          <w:numId w:val="6"/>
        </w:numPr>
        <w:spacing w:after="0" w:line="240" w:lineRule="auto"/>
        <w:contextualSpacing w:val="0"/>
        <w:jc w:val="both"/>
      </w:pPr>
      <w:r w:rsidRPr="00425A7F">
        <w:t>une offre de soins et un système de santé peu performants,</w:t>
      </w:r>
    </w:p>
    <w:p w:rsidR="005266A3" w:rsidRPr="00425A7F" w:rsidRDefault="005266A3" w:rsidP="00C52415">
      <w:pPr>
        <w:pStyle w:val="Paragraphedeliste"/>
        <w:numPr>
          <w:ilvl w:val="0"/>
          <w:numId w:val="6"/>
        </w:numPr>
        <w:spacing w:after="0" w:line="240" w:lineRule="auto"/>
        <w:contextualSpacing w:val="0"/>
        <w:jc w:val="both"/>
      </w:pPr>
      <w:r w:rsidRPr="00425A7F">
        <w:t xml:space="preserve">un financement </w:t>
      </w:r>
      <w:r w:rsidR="00FE158D" w:rsidRPr="00425A7F">
        <w:t xml:space="preserve">du secteur </w:t>
      </w:r>
      <w:r w:rsidRPr="00425A7F">
        <w:t>insuffisant,</w:t>
      </w:r>
    </w:p>
    <w:p w:rsidR="005266A3" w:rsidRPr="00425A7F" w:rsidRDefault="005266A3" w:rsidP="00C52415">
      <w:pPr>
        <w:pStyle w:val="Paragraphedeliste"/>
        <w:numPr>
          <w:ilvl w:val="0"/>
          <w:numId w:val="6"/>
        </w:numPr>
        <w:spacing w:after="0" w:line="240" w:lineRule="auto"/>
        <w:contextualSpacing w:val="0"/>
        <w:jc w:val="both"/>
      </w:pPr>
      <w:r w:rsidRPr="00425A7F">
        <w:t>des inégalités fortes - à la fois inégalités sociales et inégalités géographiques,</w:t>
      </w:r>
    </w:p>
    <w:p w:rsidR="005266A3" w:rsidRPr="00425A7F" w:rsidRDefault="005266A3" w:rsidP="00C52415">
      <w:pPr>
        <w:pStyle w:val="Paragraphedeliste"/>
        <w:numPr>
          <w:ilvl w:val="0"/>
          <w:numId w:val="6"/>
        </w:numPr>
        <w:spacing w:after="0" w:line="240" w:lineRule="auto"/>
        <w:contextualSpacing w:val="0"/>
        <w:jc w:val="both"/>
      </w:pPr>
      <w:r w:rsidRPr="00425A7F">
        <w:t>un environnement général « critique » pour la santé, qui dépasse la dichotomie « urgence » et « développement »,</w:t>
      </w:r>
    </w:p>
    <w:p w:rsidR="005266A3" w:rsidRPr="00425A7F" w:rsidRDefault="005266A3" w:rsidP="00C52415">
      <w:pPr>
        <w:pStyle w:val="Paragraphedeliste"/>
        <w:numPr>
          <w:ilvl w:val="0"/>
          <w:numId w:val="6"/>
        </w:numPr>
        <w:spacing w:after="0" w:line="240" w:lineRule="auto"/>
        <w:contextualSpacing w:val="0"/>
        <w:jc w:val="both"/>
      </w:pPr>
      <w:r w:rsidRPr="00425A7F">
        <w:t>une organisation communautaire dynamique,</w:t>
      </w:r>
    </w:p>
    <w:p w:rsidR="005266A3" w:rsidRPr="00425A7F" w:rsidRDefault="005266A3" w:rsidP="00C52415">
      <w:pPr>
        <w:pStyle w:val="Paragraphedeliste"/>
        <w:numPr>
          <w:ilvl w:val="0"/>
          <w:numId w:val="6"/>
        </w:numPr>
        <w:spacing w:after="0" w:line="240" w:lineRule="auto"/>
        <w:contextualSpacing w:val="0"/>
        <w:jc w:val="both"/>
      </w:pPr>
      <w:r w:rsidRPr="00425A7F">
        <w:t>une réponse fragmentée du « système » de financement : divers mécanismes de prise en charge coexistent, qui fonctionnent mal et qui empêchent une réponse systémique,</w:t>
      </w:r>
    </w:p>
    <w:p w:rsidR="002C37D7" w:rsidRPr="00425A7F" w:rsidRDefault="002C37D7" w:rsidP="00C52415">
      <w:pPr>
        <w:pStyle w:val="Paragraphedeliste"/>
        <w:numPr>
          <w:ilvl w:val="0"/>
          <w:numId w:val="6"/>
        </w:numPr>
        <w:spacing w:after="0" w:line="240" w:lineRule="auto"/>
        <w:contextualSpacing w:val="0"/>
        <w:jc w:val="both"/>
      </w:pPr>
      <w:r w:rsidRPr="00425A7F">
        <w:t xml:space="preserve">un leadership sectoriel &amp; intersectoriel à améliorer </w:t>
      </w:r>
      <w:r w:rsidR="00FE158D" w:rsidRPr="00425A7F">
        <w:t>sur</w:t>
      </w:r>
      <w:r w:rsidRPr="00425A7F">
        <w:t xml:space="preserve"> le système de financement </w:t>
      </w:r>
    </w:p>
    <w:p w:rsidR="008145C0" w:rsidRPr="00425A7F" w:rsidRDefault="008145C0" w:rsidP="008145C0">
      <w:pPr>
        <w:jc w:val="both"/>
      </w:pPr>
    </w:p>
    <w:p w:rsidR="008145C0" w:rsidRPr="00425A7F" w:rsidRDefault="008145C0" w:rsidP="008145C0">
      <w:pPr>
        <w:widowControl w:val="0"/>
        <w:pBdr>
          <w:top w:val="single" w:sz="4" w:space="1" w:color="auto"/>
          <w:left w:val="single" w:sz="4" w:space="4" w:color="auto"/>
          <w:bottom w:val="single" w:sz="4" w:space="1" w:color="auto"/>
          <w:right w:val="single" w:sz="4" w:space="4" w:color="auto"/>
        </w:pBdr>
        <w:suppressAutoHyphens/>
        <w:jc w:val="both"/>
        <w:rPr>
          <w:b/>
          <w:u w:val="single"/>
        </w:rPr>
      </w:pPr>
      <w:r w:rsidRPr="00425A7F">
        <w:rPr>
          <w:b/>
          <w:u w:val="single"/>
        </w:rPr>
        <w:t>Focus sur les dépenses de l’Etat en Santé </w:t>
      </w:r>
      <w:r w:rsidR="009B338F" w:rsidRPr="00425A7F">
        <w:rPr>
          <w:b/>
          <w:u w:val="single"/>
        </w:rPr>
        <w:t>en 2016</w:t>
      </w:r>
      <w:r w:rsidRPr="00425A7F">
        <w:rPr>
          <w:b/>
          <w:u w:val="single"/>
        </w:rPr>
        <w:t>:</w:t>
      </w:r>
    </w:p>
    <w:p w:rsidR="008145C0" w:rsidRPr="00425A7F" w:rsidRDefault="008145C0" w:rsidP="008145C0">
      <w:pPr>
        <w:widowControl w:val="0"/>
        <w:pBdr>
          <w:top w:val="single" w:sz="4" w:space="1" w:color="auto"/>
          <w:left w:val="single" w:sz="4" w:space="4" w:color="auto"/>
          <w:bottom w:val="single" w:sz="4" w:space="1" w:color="auto"/>
          <w:right w:val="single" w:sz="4" w:space="4" w:color="auto"/>
        </w:pBdr>
        <w:suppressAutoHyphens/>
        <w:jc w:val="both"/>
      </w:pPr>
      <w:r w:rsidRPr="00425A7F">
        <w:t xml:space="preserve">L’Etat </w:t>
      </w:r>
      <w:r w:rsidR="00C43D97" w:rsidRPr="00425A7F">
        <w:t>dépense environ</w:t>
      </w:r>
      <w:r w:rsidRPr="00425A7F">
        <w:t xml:space="preserve"> 11% de son budget au secteur santé, ce qui est </w:t>
      </w:r>
      <w:r w:rsidR="00C43D97" w:rsidRPr="00425A7F">
        <w:t xml:space="preserve">relativement </w:t>
      </w:r>
      <w:r w:rsidRPr="00425A7F">
        <w:t>peu au regard des défis sanitaires</w:t>
      </w:r>
      <w:r w:rsidR="00C43D97" w:rsidRPr="00425A7F">
        <w:t>, mais honorable eu égard aux autres défis auxquels le Mali doit faire face</w:t>
      </w:r>
      <w:r w:rsidRPr="00425A7F">
        <w:t>. Le Ministère de la Santé dispose des ¾ de ce budget (77%). Ses besoins de financement sont très importants mais l’efficience de ses dépenses peut également être améliorée. La couver</w:t>
      </w:r>
      <w:r w:rsidR="00C43D97" w:rsidRPr="00425A7F">
        <w:t>ture du risque maladie profite</w:t>
      </w:r>
      <w:r w:rsidRPr="00425A7F">
        <w:t xml:space="preserve"> à toute la population malienne et</w:t>
      </w:r>
      <w:r w:rsidR="00C43D97" w:rsidRPr="00425A7F">
        <w:t xml:space="preserve"> à des cibles vulnérables</w:t>
      </w:r>
      <w:r w:rsidRPr="00425A7F">
        <w:t xml:space="preserve"> grâce aux « gratuités » (exemptions de paiement). Par contre les dépenses de l’Etat </w:t>
      </w:r>
      <w:r w:rsidR="00C43D97" w:rsidRPr="00425A7F">
        <w:t>en assurance maladie (11,1</w:t>
      </w:r>
      <w:r w:rsidRPr="00425A7F">
        <w:t>% du total), ne sont pas équitables. La grande majorité profite à la population du secteur public au travers l’AMO (</w:t>
      </w:r>
      <w:r w:rsidR="00C43D97" w:rsidRPr="00425A7F">
        <w:t>la cotisation de l’Etat employeur représente 63% de ces dépenses</w:t>
      </w:r>
      <w:r w:rsidRPr="00425A7F">
        <w:t>). Les subventions au secteur informel sont minimes (11%) et celles aux démunis sont faibles (1/4 du total) et utilisées de façon sous-optimale. D’autres Ministères (Education, Armées) gèrent moins de 2% des dépenses du secteur. Il est néanmoins important que la Tutelle du secteur puisse suivre des dépenses pour en analyser la performance.</w:t>
      </w:r>
    </w:p>
    <w:p w:rsidR="008145C0" w:rsidRPr="00425A7F" w:rsidRDefault="008145C0" w:rsidP="008145C0">
      <w:pPr>
        <w:jc w:val="both"/>
      </w:pPr>
    </w:p>
    <w:p w:rsidR="005266A3" w:rsidRPr="00425A7F" w:rsidRDefault="005266A3" w:rsidP="0077763F">
      <w:pPr>
        <w:jc w:val="both"/>
      </w:pPr>
    </w:p>
    <w:p w:rsidR="005266A3" w:rsidRPr="00425A7F" w:rsidRDefault="002C37D7" w:rsidP="0077763F">
      <w:pPr>
        <w:jc w:val="both"/>
      </w:pPr>
      <w:r w:rsidRPr="00425A7F">
        <w:t xml:space="preserve">Pour transcender </w:t>
      </w:r>
      <w:r w:rsidR="005266A3" w:rsidRPr="00425A7F">
        <w:t xml:space="preserve">ces défis, la </w:t>
      </w:r>
      <w:r w:rsidR="00BF7533" w:rsidRPr="00425A7F">
        <w:t>stratégie</w:t>
      </w:r>
      <w:r w:rsidR="005266A3" w:rsidRPr="00425A7F">
        <w:t xml:space="preserve"> entend apporter des réponses </w:t>
      </w:r>
      <w:r w:rsidR="009B27ED" w:rsidRPr="00425A7F">
        <w:t>autour</w:t>
      </w:r>
      <w:r w:rsidR="005266A3" w:rsidRPr="00425A7F">
        <w:t xml:space="preserve"> de quatre piliers:</w:t>
      </w:r>
    </w:p>
    <w:p w:rsidR="008A6543" w:rsidRPr="00425A7F" w:rsidRDefault="008A6543" w:rsidP="0077763F">
      <w:pPr>
        <w:jc w:val="both"/>
      </w:pPr>
    </w:p>
    <w:p w:rsidR="005266A3" w:rsidRPr="00425A7F" w:rsidRDefault="005266A3" w:rsidP="00C52415">
      <w:pPr>
        <w:pStyle w:val="Paragraphedeliste"/>
        <w:numPr>
          <w:ilvl w:val="0"/>
          <w:numId w:val="7"/>
        </w:numPr>
        <w:spacing w:after="0" w:line="240" w:lineRule="auto"/>
        <w:contextualSpacing w:val="0"/>
        <w:jc w:val="both"/>
        <w:rPr>
          <w:bCs/>
        </w:rPr>
      </w:pPr>
      <w:r w:rsidRPr="00425A7F">
        <w:rPr>
          <w:b/>
          <w:bCs/>
        </w:rPr>
        <w:t xml:space="preserve">Améliorer le niveau de financement public pour le développement de la </w:t>
      </w:r>
      <w:r w:rsidR="002C37D7" w:rsidRPr="00425A7F">
        <w:rPr>
          <w:b/>
          <w:bCs/>
        </w:rPr>
        <w:t>couverture sanitaire universelle</w:t>
      </w:r>
      <w:r w:rsidRPr="00425A7F">
        <w:rPr>
          <w:b/>
          <w:bCs/>
        </w:rPr>
        <w:t xml:space="preserve">; </w:t>
      </w:r>
      <w:r w:rsidRPr="00425A7F">
        <w:rPr>
          <w:bCs/>
        </w:rPr>
        <w:t>il s'agit d'</w:t>
      </w:r>
      <w:r w:rsidRPr="00425A7F">
        <w:rPr>
          <w:bCs/>
          <w:iCs/>
        </w:rPr>
        <w:t>augmenter le niveau des financements publics dédiés au secteur de la santé</w:t>
      </w:r>
      <w:r w:rsidR="008145C0" w:rsidRPr="00425A7F">
        <w:rPr>
          <w:bCs/>
          <w:iCs/>
        </w:rPr>
        <w:t xml:space="preserve"> en général</w:t>
      </w:r>
      <w:r w:rsidR="00BD52F7" w:rsidRPr="00425A7F">
        <w:rPr>
          <w:bCs/>
          <w:iCs/>
        </w:rPr>
        <w:t xml:space="preserve"> pour atteindre 14% en 2023</w:t>
      </w:r>
      <w:r w:rsidRPr="00425A7F">
        <w:rPr>
          <w:bCs/>
          <w:iCs/>
        </w:rPr>
        <w:t xml:space="preserve">, </w:t>
      </w:r>
      <w:r w:rsidR="00DD30C3" w:rsidRPr="00425A7F">
        <w:rPr>
          <w:bCs/>
          <w:iCs/>
        </w:rPr>
        <w:t>pour permettre notamment l’extension de</w:t>
      </w:r>
      <w:r w:rsidRPr="00425A7F">
        <w:rPr>
          <w:bCs/>
          <w:iCs/>
        </w:rPr>
        <w:t xml:space="preserve"> l’assurance maladie universelle</w:t>
      </w:r>
      <w:r w:rsidRPr="00425A7F">
        <w:rPr>
          <w:bCs/>
        </w:rPr>
        <w:t xml:space="preserve"> </w:t>
      </w:r>
      <w:r w:rsidR="00DD30C3" w:rsidRPr="00425A7F">
        <w:rPr>
          <w:bCs/>
        </w:rPr>
        <w:t>au</w:t>
      </w:r>
      <w:r w:rsidR="008145C0" w:rsidRPr="00425A7F">
        <w:rPr>
          <w:bCs/>
        </w:rPr>
        <w:t xml:space="preserve"> secteur informel pauvre et non pauvre</w:t>
      </w:r>
      <w:r w:rsidR="002C37D7" w:rsidRPr="00425A7F">
        <w:rPr>
          <w:bCs/>
          <w:iCs/>
        </w:rPr>
        <w:t> </w:t>
      </w:r>
      <w:r w:rsidR="002C37D7" w:rsidRPr="00425A7F">
        <w:rPr>
          <w:bCs/>
        </w:rPr>
        <w:t>;</w:t>
      </w:r>
    </w:p>
    <w:p w:rsidR="005266A3" w:rsidRPr="00425A7F" w:rsidRDefault="005266A3" w:rsidP="0077763F">
      <w:pPr>
        <w:pStyle w:val="Paragraphedeliste"/>
        <w:spacing w:after="0" w:line="240" w:lineRule="auto"/>
        <w:contextualSpacing w:val="0"/>
        <w:jc w:val="both"/>
        <w:rPr>
          <w:sz w:val="20"/>
          <w:szCs w:val="20"/>
        </w:rPr>
      </w:pPr>
    </w:p>
    <w:p w:rsidR="005266A3" w:rsidRPr="00425A7F" w:rsidRDefault="005266A3" w:rsidP="00C52415">
      <w:pPr>
        <w:pStyle w:val="Paragraphedeliste"/>
        <w:numPr>
          <w:ilvl w:val="0"/>
          <w:numId w:val="7"/>
        </w:numPr>
        <w:spacing w:after="0" w:line="240" w:lineRule="auto"/>
        <w:contextualSpacing w:val="0"/>
        <w:jc w:val="both"/>
        <w:rPr>
          <w:bCs/>
        </w:rPr>
      </w:pPr>
      <w:r w:rsidRPr="00425A7F">
        <w:rPr>
          <w:b/>
          <w:bCs/>
        </w:rPr>
        <w:t>Garantir une meilleure allocation des ressources,</w:t>
      </w:r>
      <w:r w:rsidRPr="00425A7F">
        <w:rPr>
          <w:bCs/>
        </w:rPr>
        <w:t xml:space="preserve"> pour ce faire, il faudra mettre en place un système d'allocation des financements sur la base d'objectifs d'efficience et d'équité, développer la certification &amp; la mise en place de modalités de tarification adéquates, prendre systématiquement en considération les priorités du secteur et le contexte national dans l’allocation des ressources, développer une </w:t>
      </w:r>
      <w:r w:rsidR="00BF7533" w:rsidRPr="00425A7F">
        <w:rPr>
          <w:bCs/>
        </w:rPr>
        <w:t>stratégie</w:t>
      </w:r>
      <w:r w:rsidRPr="00425A7F">
        <w:rPr>
          <w:bCs/>
        </w:rPr>
        <w:t xml:space="preserve"> avec le secteur privé dans le sens de l’intérêt des populations</w:t>
      </w:r>
      <w:r w:rsidR="00FE158D" w:rsidRPr="00425A7F">
        <w:rPr>
          <w:bCs/>
        </w:rPr>
        <w:t> ;</w:t>
      </w:r>
    </w:p>
    <w:p w:rsidR="005266A3" w:rsidRPr="00425A7F" w:rsidRDefault="00B225AD" w:rsidP="00B225AD">
      <w:pPr>
        <w:pStyle w:val="Paragraphedeliste"/>
        <w:tabs>
          <w:tab w:val="left" w:pos="2980"/>
        </w:tabs>
        <w:spacing w:after="0" w:line="240" w:lineRule="auto"/>
        <w:contextualSpacing w:val="0"/>
        <w:jc w:val="both"/>
        <w:rPr>
          <w:bCs/>
          <w:sz w:val="20"/>
          <w:szCs w:val="20"/>
        </w:rPr>
      </w:pPr>
      <w:r w:rsidRPr="00425A7F">
        <w:rPr>
          <w:bCs/>
          <w:sz w:val="20"/>
          <w:szCs w:val="20"/>
        </w:rPr>
        <w:tab/>
      </w:r>
    </w:p>
    <w:p w:rsidR="005266A3" w:rsidRPr="00425A7F" w:rsidRDefault="005266A3" w:rsidP="00C52415">
      <w:pPr>
        <w:pStyle w:val="Paragraphedeliste"/>
        <w:numPr>
          <w:ilvl w:val="0"/>
          <w:numId w:val="7"/>
        </w:numPr>
        <w:spacing w:after="0" w:line="240" w:lineRule="auto"/>
        <w:contextualSpacing w:val="0"/>
        <w:jc w:val="both"/>
        <w:rPr>
          <w:bCs/>
        </w:rPr>
      </w:pPr>
      <w:r w:rsidRPr="00425A7F">
        <w:rPr>
          <w:b/>
          <w:bCs/>
        </w:rPr>
        <w:t xml:space="preserve">Mettre en place l’Assurance Maladie Universelle au moyen d’un dispositif adapté, cohérent et complet </w:t>
      </w:r>
      <w:r w:rsidRPr="00425A7F">
        <w:rPr>
          <w:bCs/>
        </w:rPr>
        <w:t xml:space="preserve">qui passera par l’institutionnalisation </w:t>
      </w:r>
      <w:r w:rsidR="00FE158D" w:rsidRPr="00425A7F">
        <w:rPr>
          <w:bCs/>
        </w:rPr>
        <w:t>de la gestion d’un régime</w:t>
      </w:r>
      <w:r w:rsidRPr="00425A7F">
        <w:rPr>
          <w:bCs/>
        </w:rPr>
        <w:t xml:space="preserve"> </w:t>
      </w:r>
      <w:r w:rsidR="00FE158D" w:rsidRPr="00425A7F">
        <w:rPr>
          <w:bCs/>
        </w:rPr>
        <w:t xml:space="preserve">fondé sur </w:t>
      </w:r>
      <w:r w:rsidRPr="00425A7F">
        <w:rPr>
          <w:bCs/>
        </w:rPr>
        <w:t xml:space="preserve">un </w:t>
      </w:r>
      <w:r w:rsidR="00FE158D" w:rsidRPr="00425A7F">
        <w:rPr>
          <w:bCs/>
        </w:rPr>
        <w:t>panier de soins</w:t>
      </w:r>
      <w:r w:rsidRPr="00425A7F">
        <w:rPr>
          <w:bCs/>
        </w:rPr>
        <w:t xml:space="preserve"> de base </w:t>
      </w:r>
      <w:r w:rsidR="00FE158D" w:rsidRPr="00425A7F">
        <w:rPr>
          <w:bCs/>
        </w:rPr>
        <w:t xml:space="preserve">obligatoire </w:t>
      </w:r>
      <w:r w:rsidRPr="00425A7F">
        <w:rPr>
          <w:bCs/>
        </w:rPr>
        <w:t>pour tous,</w:t>
      </w:r>
      <w:r w:rsidR="00FE158D" w:rsidRPr="00425A7F">
        <w:rPr>
          <w:bCs/>
        </w:rPr>
        <w:t xml:space="preserve"> et</w:t>
      </w:r>
      <w:r w:rsidRPr="00425A7F">
        <w:rPr>
          <w:bCs/>
        </w:rPr>
        <w:t xml:space="preserve"> l'intégration progressive de</w:t>
      </w:r>
      <w:r w:rsidR="00FE158D" w:rsidRPr="00425A7F">
        <w:rPr>
          <w:bCs/>
        </w:rPr>
        <w:t xml:space="preserve"> certaine</w:t>
      </w:r>
      <w:r w:rsidRPr="00425A7F">
        <w:rPr>
          <w:bCs/>
        </w:rPr>
        <w:t>s gratuités</w:t>
      </w:r>
      <w:r w:rsidR="00FE158D" w:rsidRPr="00425A7F">
        <w:rPr>
          <w:bCs/>
        </w:rPr>
        <w:t> existantes ;</w:t>
      </w:r>
    </w:p>
    <w:p w:rsidR="005266A3" w:rsidRPr="00425A7F" w:rsidRDefault="005266A3" w:rsidP="0077763F">
      <w:pPr>
        <w:pStyle w:val="Paragraphedeliste"/>
        <w:spacing w:after="0" w:line="240" w:lineRule="auto"/>
        <w:contextualSpacing w:val="0"/>
        <w:rPr>
          <w:bCs/>
        </w:rPr>
      </w:pPr>
    </w:p>
    <w:p w:rsidR="005266A3" w:rsidRPr="00425A7F" w:rsidRDefault="005266A3" w:rsidP="00C52415">
      <w:pPr>
        <w:pStyle w:val="Paragraphedeliste"/>
        <w:numPr>
          <w:ilvl w:val="0"/>
          <w:numId w:val="7"/>
        </w:numPr>
        <w:spacing w:after="0" w:line="240" w:lineRule="auto"/>
        <w:contextualSpacing w:val="0"/>
        <w:jc w:val="both"/>
      </w:pPr>
      <w:r w:rsidRPr="00425A7F">
        <w:rPr>
          <w:b/>
          <w:bCs/>
        </w:rPr>
        <w:t xml:space="preserve">Améliorer la gouvernance financière, </w:t>
      </w:r>
      <w:r w:rsidRPr="00425A7F">
        <w:rPr>
          <w:bCs/>
        </w:rPr>
        <w:t>qui requiert</w:t>
      </w:r>
      <w:r w:rsidRPr="00425A7F">
        <w:rPr>
          <w:b/>
          <w:bCs/>
        </w:rPr>
        <w:t xml:space="preserve"> </w:t>
      </w:r>
      <w:r w:rsidRPr="00425A7F">
        <w:rPr>
          <w:bCs/>
          <w:iCs/>
        </w:rPr>
        <w:t xml:space="preserve">la mise en place </w:t>
      </w:r>
      <w:r w:rsidR="00FE158D" w:rsidRPr="00425A7F">
        <w:rPr>
          <w:bCs/>
          <w:iCs/>
        </w:rPr>
        <w:t>d’</w:t>
      </w:r>
      <w:r w:rsidRPr="00425A7F">
        <w:rPr>
          <w:bCs/>
          <w:iCs/>
        </w:rPr>
        <w:t xml:space="preserve">un dispositif de gestion stratégique de l’information  financière, l'amélioration de l’efficience dans la gestion des financements, </w:t>
      </w:r>
      <w:r w:rsidR="003069F4" w:rsidRPr="00425A7F">
        <w:rPr>
          <w:bCs/>
          <w:iCs/>
        </w:rPr>
        <w:t>de</w:t>
      </w:r>
      <w:r w:rsidR="00FE158D" w:rsidRPr="00425A7F">
        <w:rPr>
          <w:bCs/>
          <w:iCs/>
        </w:rPr>
        <w:t>s mécanismes de</w:t>
      </w:r>
      <w:r w:rsidRPr="00425A7F">
        <w:rPr>
          <w:bCs/>
          <w:iCs/>
        </w:rPr>
        <w:t xml:space="preserve"> redevabilité</w:t>
      </w:r>
      <w:r w:rsidRPr="00425A7F">
        <w:rPr>
          <w:bCs/>
        </w:rPr>
        <w:t xml:space="preserve"> et le r</w:t>
      </w:r>
      <w:r w:rsidRPr="00425A7F">
        <w:rPr>
          <w:bCs/>
          <w:iCs/>
        </w:rPr>
        <w:t>enforcement de l’environnement institutionnel pour un financement durable.</w:t>
      </w:r>
    </w:p>
    <w:p w:rsidR="00B4698E" w:rsidRPr="00425A7F" w:rsidRDefault="00B4698E" w:rsidP="0077763F">
      <w:pPr>
        <w:jc w:val="both"/>
        <w:rPr>
          <w:b/>
          <w:sz w:val="28"/>
          <w:szCs w:val="28"/>
        </w:rPr>
      </w:pPr>
    </w:p>
    <w:p w:rsidR="005266A3" w:rsidRPr="00425A7F" w:rsidRDefault="00F423F9" w:rsidP="0077763F">
      <w:pPr>
        <w:jc w:val="both"/>
        <w:rPr>
          <w:b/>
          <w:u w:val="single"/>
        </w:rPr>
      </w:pPr>
      <w:r w:rsidRPr="00425A7F">
        <w:rPr>
          <w:b/>
          <w:u w:val="single"/>
        </w:rPr>
        <w:t>Tableau n°1 : i</w:t>
      </w:r>
      <w:r w:rsidR="005266A3" w:rsidRPr="00425A7F">
        <w:rPr>
          <w:b/>
          <w:u w:val="single"/>
        </w:rPr>
        <w:t xml:space="preserve">mplications de la mise en œuvre de la </w:t>
      </w:r>
      <w:r w:rsidR="00BF7533" w:rsidRPr="00425A7F">
        <w:rPr>
          <w:b/>
          <w:u w:val="single"/>
        </w:rPr>
        <w:t>stratégie</w:t>
      </w:r>
      <w:r w:rsidR="005266A3" w:rsidRPr="00425A7F">
        <w:rPr>
          <w:b/>
          <w:u w:val="single"/>
        </w:rPr>
        <w:t xml:space="preserve"> de financement de la santé</w:t>
      </w:r>
    </w:p>
    <w:p w:rsidR="005266A3" w:rsidRPr="00425A7F" w:rsidRDefault="005266A3" w:rsidP="0077763F">
      <w:pPr>
        <w:jc w:val="both"/>
      </w:pPr>
    </w:p>
    <w:tbl>
      <w:tblPr>
        <w:tblW w:w="0" w:type="auto"/>
        <w:tblCellMar>
          <w:left w:w="0" w:type="dxa"/>
          <w:right w:w="0" w:type="dxa"/>
        </w:tblCellMar>
        <w:tblLook w:val="04A0" w:firstRow="1" w:lastRow="0" w:firstColumn="1" w:lastColumn="0" w:noHBand="0" w:noVBand="1"/>
      </w:tblPr>
      <w:tblGrid>
        <w:gridCol w:w="6443"/>
        <w:gridCol w:w="1416"/>
        <w:gridCol w:w="1191"/>
      </w:tblGrid>
      <w:tr w:rsidR="002C37D7" w:rsidRPr="00425A7F" w:rsidTr="00A66DC3">
        <w:trPr>
          <w:trHeight w:val="599"/>
        </w:trPr>
        <w:tc>
          <w:tcPr>
            <w:tcW w:w="0" w:type="auto"/>
            <w:tcBorders>
              <w:top w:val="single" w:sz="8" w:space="0" w:color="000000"/>
              <w:left w:val="single" w:sz="8" w:space="0" w:color="000000"/>
              <w:bottom w:val="single" w:sz="8" w:space="0" w:color="000000"/>
              <w:right w:val="single" w:sz="8" w:space="0" w:color="000000"/>
            </w:tcBorders>
            <w:shd w:val="clear" w:color="auto" w:fill="8DB3E2" w:themeFill="text2" w:themeFillTint="66"/>
            <w:tcMar>
              <w:top w:w="15" w:type="dxa"/>
              <w:left w:w="81" w:type="dxa"/>
              <w:bottom w:w="0" w:type="dxa"/>
              <w:right w:w="81" w:type="dxa"/>
            </w:tcMar>
            <w:vAlign w:val="center"/>
            <w:hideMark/>
          </w:tcPr>
          <w:p w:rsidR="002C37D7" w:rsidRPr="00425A7F" w:rsidRDefault="00FE158D" w:rsidP="0077763F">
            <w:pPr>
              <w:jc w:val="center"/>
            </w:pPr>
            <w:r w:rsidRPr="00425A7F">
              <w:rPr>
                <w:b/>
                <w:bCs/>
                <w:lang w:val="fr-CH"/>
              </w:rPr>
              <w:t>INDICATEURS CLES</w:t>
            </w:r>
          </w:p>
        </w:tc>
        <w:tc>
          <w:tcPr>
            <w:tcW w:w="0" w:type="auto"/>
            <w:tcBorders>
              <w:top w:val="single" w:sz="8" w:space="0" w:color="000000"/>
              <w:left w:val="single" w:sz="8" w:space="0" w:color="000000"/>
              <w:bottom w:val="single" w:sz="8" w:space="0" w:color="000000"/>
              <w:right w:val="single" w:sz="8" w:space="0" w:color="000000"/>
            </w:tcBorders>
            <w:shd w:val="clear" w:color="auto" w:fill="8DB3E2" w:themeFill="text2" w:themeFillTint="66"/>
            <w:tcMar>
              <w:top w:w="15" w:type="dxa"/>
              <w:left w:w="81" w:type="dxa"/>
              <w:bottom w:w="0" w:type="dxa"/>
              <w:right w:w="81" w:type="dxa"/>
            </w:tcMar>
            <w:vAlign w:val="center"/>
            <w:hideMark/>
          </w:tcPr>
          <w:p w:rsidR="002C37D7" w:rsidRPr="00425A7F" w:rsidRDefault="002C37D7" w:rsidP="00394648">
            <w:pPr>
              <w:jc w:val="center"/>
            </w:pPr>
            <w:r w:rsidRPr="00425A7F">
              <w:rPr>
                <w:b/>
                <w:bCs/>
                <w:lang w:val="fr-CH"/>
              </w:rPr>
              <w:t xml:space="preserve">2016 ou </w:t>
            </w:r>
            <w:r w:rsidR="00394648" w:rsidRPr="00425A7F">
              <w:rPr>
                <w:b/>
                <w:bCs/>
                <w:lang w:val="fr-CH"/>
              </w:rPr>
              <w:t>indiqué</w:t>
            </w:r>
          </w:p>
        </w:tc>
        <w:tc>
          <w:tcPr>
            <w:tcW w:w="0" w:type="auto"/>
            <w:tcBorders>
              <w:top w:val="single" w:sz="8" w:space="0" w:color="000000"/>
              <w:left w:val="single" w:sz="8" w:space="0" w:color="000000"/>
              <w:bottom w:val="single" w:sz="8" w:space="0" w:color="000000"/>
              <w:right w:val="single" w:sz="8" w:space="0" w:color="000000"/>
            </w:tcBorders>
            <w:shd w:val="clear" w:color="auto" w:fill="8DB3E2" w:themeFill="text2" w:themeFillTint="66"/>
            <w:vAlign w:val="center"/>
          </w:tcPr>
          <w:p w:rsidR="002C37D7" w:rsidRPr="00425A7F" w:rsidRDefault="00E167E8" w:rsidP="008A6543">
            <w:pPr>
              <w:jc w:val="center"/>
              <w:rPr>
                <w:b/>
                <w:bCs/>
                <w:lang w:val="fr-CH"/>
              </w:rPr>
            </w:pPr>
            <w:r w:rsidRPr="00425A7F">
              <w:rPr>
                <w:b/>
                <w:bCs/>
                <w:lang w:val="fr-CH"/>
              </w:rPr>
              <w:t xml:space="preserve">Objectifs </w:t>
            </w:r>
            <w:r w:rsidR="002C37D7" w:rsidRPr="00425A7F">
              <w:rPr>
                <w:b/>
                <w:bCs/>
                <w:lang w:val="fr-CH"/>
              </w:rPr>
              <w:t>2023</w:t>
            </w:r>
          </w:p>
        </w:tc>
      </w:tr>
      <w:tr w:rsidR="002C37D7" w:rsidRPr="00425A7F" w:rsidTr="00A66DC3">
        <w:trPr>
          <w:trHeight w:val="245"/>
        </w:trPr>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tcMar>
              <w:top w:w="15" w:type="dxa"/>
              <w:left w:w="81" w:type="dxa"/>
              <w:bottom w:w="0" w:type="dxa"/>
              <w:right w:w="81" w:type="dxa"/>
            </w:tcMar>
            <w:vAlign w:val="center"/>
          </w:tcPr>
          <w:p w:rsidR="002C37D7" w:rsidRPr="00425A7F" w:rsidRDefault="002C37D7" w:rsidP="008A6543">
            <w:pPr>
              <w:jc w:val="both"/>
              <w:rPr>
                <w:b/>
                <w:bCs/>
                <w:sz w:val="20"/>
                <w:szCs w:val="20"/>
                <w:lang w:val="fr-CH"/>
              </w:rPr>
            </w:pPr>
            <w:r w:rsidRPr="00425A7F">
              <w:rPr>
                <w:b/>
                <w:bCs/>
                <w:sz w:val="20"/>
                <w:szCs w:val="20"/>
                <w:lang w:val="fr-CH"/>
              </w:rPr>
              <w:t>EFFORT DE L’ETAT</w:t>
            </w:r>
          </w:p>
        </w:tc>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tcMar>
              <w:top w:w="15" w:type="dxa"/>
              <w:left w:w="81" w:type="dxa"/>
              <w:bottom w:w="0" w:type="dxa"/>
              <w:right w:w="81" w:type="dxa"/>
            </w:tcMar>
            <w:vAlign w:val="center"/>
          </w:tcPr>
          <w:p w:rsidR="002C37D7" w:rsidRPr="00425A7F" w:rsidRDefault="002C37D7" w:rsidP="008A6543">
            <w:pPr>
              <w:jc w:val="center"/>
              <w:rPr>
                <w:sz w:val="20"/>
                <w:szCs w:val="20"/>
              </w:rPr>
            </w:pPr>
          </w:p>
        </w:tc>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vAlign w:val="center"/>
          </w:tcPr>
          <w:p w:rsidR="002C37D7" w:rsidRPr="00425A7F" w:rsidRDefault="002C37D7" w:rsidP="008A6543">
            <w:pPr>
              <w:jc w:val="center"/>
              <w:rPr>
                <w:sz w:val="20"/>
                <w:szCs w:val="20"/>
                <w:lang w:val="fr-CH"/>
              </w:rPr>
            </w:pPr>
          </w:p>
        </w:tc>
      </w:tr>
      <w:tr w:rsidR="002C37D7" w:rsidRPr="00425A7F" w:rsidTr="00A66DC3">
        <w:trPr>
          <w:trHeight w:val="286"/>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hideMark/>
          </w:tcPr>
          <w:p w:rsidR="002C37D7" w:rsidRPr="00425A7F" w:rsidRDefault="002C37D7" w:rsidP="002C37D7">
            <w:pPr>
              <w:jc w:val="both"/>
              <w:rPr>
                <w:sz w:val="20"/>
                <w:szCs w:val="20"/>
              </w:rPr>
            </w:pPr>
            <w:r w:rsidRPr="00425A7F">
              <w:rPr>
                <w:b/>
                <w:bCs/>
                <w:sz w:val="20"/>
                <w:szCs w:val="20"/>
                <w:lang w:val="fr-CH"/>
              </w:rPr>
              <w:t>Budget du secteur santé en % des dépenses courantes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tcPr>
          <w:p w:rsidR="002C37D7" w:rsidRPr="00425A7F" w:rsidRDefault="002C37D7" w:rsidP="008A6543">
            <w:pPr>
              <w:jc w:val="center"/>
              <w:rPr>
                <w:sz w:val="20"/>
                <w:szCs w:val="20"/>
              </w:rPr>
            </w:pPr>
            <w:r w:rsidRPr="00425A7F">
              <w:rPr>
                <w:sz w:val="20"/>
                <w:szCs w:val="20"/>
              </w:rPr>
              <w:t>11%</w:t>
            </w:r>
          </w:p>
        </w:tc>
        <w:tc>
          <w:tcPr>
            <w:tcW w:w="0" w:type="auto"/>
            <w:tcBorders>
              <w:top w:val="single" w:sz="8" w:space="0" w:color="000000"/>
              <w:left w:val="single" w:sz="8" w:space="0" w:color="000000"/>
              <w:bottom w:val="single" w:sz="8" w:space="0" w:color="000000"/>
              <w:right w:val="single" w:sz="8" w:space="0" w:color="000000"/>
            </w:tcBorders>
            <w:vAlign w:val="center"/>
          </w:tcPr>
          <w:p w:rsidR="002C37D7" w:rsidRPr="00425A7F" w:rsidRDefault="002C37D7" w:rsidP="00DA4112">
            <w:pPr>
              <w:jc w:val="center"/>
              <w:rPr>
                <w:sz w:val="20"/>
                <w:szCs w:val="20"/>
                <w:lang w:val="fr-CH"/>
              </w:rPr>
            </w:pPr>
            <w:r w:rsidRPr="00425A7F">
              <w:rPr>
                <w:sz w:val="20"/>
                <w:szCs w:val="20"/>
                <w:lang w:val="fr-CH"/>
              </w:rPr>
              <w:t>1</w:t>
            </w:r>
            <w:r w:rsidR="00DA4112" w:rsidRPr="00425A7F">
              <w:rPr>
                <w:sz w:val="20"/>
                <w:szCs w:val="20"/>
                <w:lang w:val="fr-CH"/>
              </w:rPr>
              <w:t>4</w:t>
            </w:r>
            <w:r w:rsidRPr="00425A7F">
              <w:rPr>
                <w:sz w:val="20"/>
                <w:szCs w:val="20"/>
                <w:lang w:val="fr-CH"/>
              </w:rPr>
              <w:t>%</w:t>
            </w:r>
            <w:r w:rsidR="00855319" w:rsidRPr="00425A7F">
              <w:rPr>
                <w:rStyle w:val="Appelnotedebasdep"/>
                <w:sz w:val="20"/>
                <w:szCs w:val="20"/>
                <w:lang w:val="fr-CH"/>
              </w:rPr>
              <w:footnoteReference w:id="3"/>
            </w:r>
          </w:p>
        </w:tc>
      </w:tr>
      <w:tr w:rsidR="002C37D7" w:rsidRPr="00425A7F" w:rsidTr="00A66DC3">
        <w:trPr>
          <w:trHeight w:val="425"/>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hideMark/>
          </w:tcPr>
          <w:p w:rsidR="002C37D7" w:rsidRPr="00425A7F" w:rsidRDefault="002C37D7" w:rsidP="008A6543">
            <w:pPr>
              <w:jc w:val="both"/>
              <w:rPr>
                <w:sz w:val="20"/>
                <w:szCs w:val="20"/>
              </w:rPr>
            </w:pPr>
            <w:r w:rsidRPr="00425A7F">
              <w:rPr>
                <w:b/>
                <w:bCs/>
                <w:sz w:val="20"/>
                <w:szCs w:val="20"/>
                <w:lang w:val="fr-CH"/>
              </w:rPr>
              <w:t>Budget de l’Etat pour subventionner la couverture du risque maladie en % des dépenses courantes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tcPr>
          <w:p w:rsidR="002C37D7" w:rsidRPr="00425A7F" w:rsidRDefault="00187442" w:rsidP="008A6543">
            <w:pPr>
              <w:jc w:val="center"/>
              <w:rPr>
                <w:sz w:val="20"/>
                <w:szCs w:val="20"/>
              </w:rPr>
            </w:pPr>
            <w:r w:rsidRPr="00425A7F">
              <w:rPr>
                <w:sz w:val="20"/>
                <w:szCs w:val="20"/>
              </w:rPr>
              <w:t>0,5%</w:t>
            </w:r>
          </w:p>
        </w:tc>
        <w:tc>
          <w:tcPr>
            <w:tcW w:w="0" w:type="auto"/>
            <w:tcBorders>
              <w:top w:val="single" w:sz="8" w:space="0" w:color="000000"/>
              <w:left w:val="single" w:sz="8" w:space="0" w:color="000000"/>
              <w:bottom w:val="single" w:sz="8" w:space="0" w:color="000000"/>
              <w:right w:val="single" w:sz="8" w:space="0" w:color="000000"/>
            </w:tcBorders>
            <w:vAlign w:val="center"/>
          </w:tcPr>
          <w:p w:rsidR="002C37D7" w:rsidRPr="00425A7F" w:rsidRDefault="00187442" w:rsidP="008A6543">
            <w:pPr>
              <w:jc w:val="center"/>
              <w:rPr>
                <w:sz w:val="20"/>
                <w:szCs w:val="20"/>
                <w:lang w:val="fr-CH"/>
              </w:rPr>
            </w:pPr>
            <w:r w:rsidRPr="00425A7F">
              <w:rPr>
                <w:sz w:val="20"/>
                <w:szCs w:val="20"/>
                <w:lang w:val="fr-CH"/>
              </w:rPr>
              <w:t>4%</w:t>
            </w:r>
          </w:p>
        </w:tc>
      </w:tr>
      <w:tr w:rsidR="002C37D7" w:rsidRPr="00425A7F" w:rsidTr="00A66DC3">
        <w:trPr>
          <w:trHeight w:val="218"/>
        </w:trPr>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tcMar>
              <w:top w:w="15" w:type="dxa"/>
              <w:left w:w="81" w:type="dxa"/>
              <w:bottom w:w="0" w:type="dxa"/>
              <w:right w:w="81" w:type="dxa"/>
            </w:tcMar>
            <w:vAlign w:val="center"/>
          </w:tcPr>
          <w:p w:rsidR="002C37D7" w:rsidRPr="00425A7F" w:rsidRDefault="002C37D7" w:rsidP="0077763F">
            <w:pPr>
              <w:jc w:val="both"/>
              <w:rPr>
                <w:b/>
                <w:bCs/>
                <w:sz w:val="20"/>
                <w:szCs w:val="20"/>
                <w:lang w:val="fr-CH"/>
              </w:rPr>
            </w:pPr>
            <w:r w:rsidRPr="00425A7F">
              <w:rPr>
                <w:b/>
                <w:bCs/>
                <w:sz w:val="20"/>
                <w:szCs w:val="20"/>
                <w:lang w:val="fr-CH"/>
              </w:rPr>
              <w:t>EFFET SUR LA POPULATION</w:t>
            </w:r>
          </w:p>
        </w:tc>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tcMar>
              <w:top w:w="15" w:type="dxa"/>
              <w:left w:w="81" w:type="dxa"/>
              <w:bottom w:w="0" w:type="dxa"/>
              <w:right w:w="81" w:type="dxa"/>
            </w:tcMar>
            <w:vAlign w:val="center"/>
          </w:tcPr>
          <w:p w:rsidR="002C37D7" w:rsidRPr="00425A7F" w:rsidRDefault="002C37D7" w:rsidP="008A6543">
            <w:pPr>
              <w:jc w:val="center"/>
              <w:rPr>
                <w:sz w:val="20"/>
                <w:szCs w:val="20"/>
              </w:rPr>
            </w:pPr>
          </w:p>
        </w:tc>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vAlign w:val="center"/>
          </w:tcPr>
          <w:p w:rsidR="002C37D7" w:rsidRPr="00425A7F" w:rsidRDefault="002C37D7" w:rsidP="008A6543">
            <w:pPr>
              <w:jc w:val="center"/>
              <w:rPr>
                <w:b/>
                <w:bCs/>
                <w:sz w:val="20"/>
                <w:szCs w:val="20"/>
                <w:lang w:val="fr-CH"/>
              </w:rPr>
            </w:pPr>
          </w:p>
        </w:tc>
      </w:tr>
      <w:tr w:rsidR="002C37D7" w:rsidRPr="00425A7F" w:rsidTr="00A66DC3">
        <w:trPr>
          <w:trHeight w:val="302"/>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hideMark/>
          </w:tcPr>
          <w:p w:rsidR="002C37D7" w:rsidRPr="00425A7F" w:rsidRDefault="002C37D7" w:rsidP="00AE0253">
            <w:pPr>
              <w:jc w:val="both"/>
              <w:rPr>
                <w:sz w:val="20"/>
                <w:szCs w:val="20"/>
              </w:rPr>
            </w:pPr>
            <w:r w:rsidRPr="00425A7F">
              <w:rPr>
                <w:b/>
                <w:bCs/>
                <w:sz w:val="20"/>
                <w:szCs w:val="20"/>
                <w:lang w:val="fr-CH"/>
              </w:rPr>
              <w:t xml:space="preserve">Paiement direct des ménages dans le total des dépenses de santé </w:t>
            </w:r>
            <w:r w:rsidR="00394648" w:rsidRPr="00425A7F">
              <w:rPr>
                <w:b/>
                <w:bCs/>
                <w:sz w:val="20"/>
                <w:szCs w:val="20"/>
                <w:lang w:val="fr-CH"/>
              </w:rPr>
              <w:t>(2014)</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tcPr>
          <w:p w:rsidR="002C37D7" w:rsidRPr="00425A7F" w:rsidRDefault="00394648" w:rsidP="008A6543">
            <w:pPr>
              <w:jc w:val="center"/>
              <w:rPr>
                <w:sz w:val="20"/>
                <w:szCs w:val="20"/>
              </w:rPr>
            </w:pPr>
            <w:r w:rsidRPr="00425A7F">
              <w:rPr>
                <w:sz w:val="20"/>
                <w:szCs w:val="20"/>
              </w:rPr>
              <w:t>44,95%</w:t>
            </w:r>
          </w:p>
        </w:tc>
        <w:tc>
          <w:tcPr>
            <w:tcW w:w="0" w:type="auto"/>
            <w:tcBorders>
              <w:top w:val="single" w:sz="8" w:space="0" w:color="000000"/>
              <w:left w:val="single" w:sz="8" w:space="0" w:color="000000"/>
              <w:bottom w:val="single" w:sz="8" w:space="0" w:color="000000"/>
              <w:right w:val="single" w:sz="8" w:space="0" w:color="000000"/>
            </w:tcBorders>
            <w:vAlign w:val="center"/>
          </w:tcPr>
          <w:p w:rsidR="002C37D7" w:rsidRPr="00425A7F" w:rsidRDefault="00394648" w:rsidP="008A6543">
            <w:pPr>
              <w:jc w:val="center"/>
              <w:rPr>
                <w:bCs/>
                <w:sz w:val="20"/>
                <w:szCs w:val="20"/>
                <w:lang w:val="fr-CH"/>
              </w:rPr>
            </w:pPr>
            <w:r w:rsidRPr="00425A7F">
              <w:rPr>
                <w:bCs/>
                <w:sz w:val="20"/>
                <w:szCs w:val="20"/>
                <w:lang w:val="fr-CH"/>
              </w:rPr>
              <w:t>35%</w:t>
            </w:r>
          </w:p>
        </w:tc>
      </w:tr>
      <w:tr w:rsidR="002C37D7" w:rsidRPr="00425A7F" w:rsidTr="00A66DC3">
        <w:trPr>
          <w:trHeight w:val="250"/>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hideMark/>
          </w:tcPr>
          <w:p w:rsidR="002C37D7" w:rsidRPr="00425A7F" w:rsidRDefault="002C37D7" w:rsidP="0077763F">
            <w:pPr>
              <w:jc w:val="both"/>
              <w:rPr>
                <w:sz w:val="20"/>
                <w:szCs w:val="20"/>
              </w:rPr>
            </w:pPr>
            <w:r w:rsidRPr="00425A7F">
              <w:rPr>
                <w:b/>
                <w:bCs/>
                <w:sz w:val="20"/>
                <w:szCs w:val="20"/>
                <w:lang w:val="fr-CH"/>
              </w:rPr>
              <w:t>Couverture de la population en assurance maladie</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tcPr>
          <w:p w:rsidR="002C37D7" w:rsidRPr="00425A7F" w:rsidRDefault="002516D7" w:rsidP="008A6543">
            <w:pPr>
              <w:jc w:val="center"/>
              <w:rPr>
                <w:sz w:val="20"/>
                <w:szCs w:val="20"/>
              </w:rPr>
            </w:pPr>
            <w:r w:rsidRPr="00425A7F">
              <w:rPr>
                <w:sz w:val="20"/>
                <w:szCs w:val="20"/>
              </w:rPr>
              <w:t>11,92%</w:t>
            </w:r>
          </w:p>
        </w:tc>
        <w:tc>
          <w:tcPr>
            <w:tcW w:w="0" w:type="auto"/>
            <w:tcBorders>
              <w:top w:val="single" w:sz="8" w:space="0" w:color="000000"/>
              <w:left w:val="single" w:sz="8" w:space="0" w:color="000000"/>
              <w:bottom w:val="single" w:sz="8" w:space="0" w:color="000000"/>
              <w:right w:val="single" w:sz="8" w:space="0" w:color="000000"/>
            </w:tcBorders>
            <w:vAlign w:val="center"/>
          </w:tcPr>
          <w:p w:rsidR="002C37D7" w:rsidRPr="00425A7F" w:rsidRDefault="002A7FE1" w:rsidP="008A6543">
            <w:pPr>
              <w:jc w:val="center"/>
              <w:rPr>
                <w:bCs/>
                <w:sz w:val="20"/>
                <w:szCs w:val="20"/>
                <w:lang w:val="fr-CH"/>
              </w:rPr>
            </w:pPr>
            <w:r w:rsidRPr="00425A7F">
              <w:rPr>
                <w:bCs/>
                <w:sz w:val="20"/>
                <w:szCs w:val="20"/>
                <w:lang w:val="fr-CH"/>
              </w:rPr>
              <w:t>31</w:t>
            </w:r>
            <w:r w:rsidR="00187442" w:rsidRPr="00425A7F">
              <w:rPr>
                <w:bCs/>
                <w:sz w:val="20"/>
                <w:szCs w:val="20"/>
                <w:lang w:val="fr-CH"/>
              </w:rPr>
              <w:t>%</w:t>
            </w:r>
          </w:p>
        </w:tc>
      </w:tr>
      <w:tr w:rsidR="002C37D7" w:rsidRPr="00425A7F" w:rsidTr="00A66DC3">
        <w:trPr>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hideMark/>
          </w:tcPr>
          <w:p w:rsidR="002C37D7" w:rsidRPr="00425A7F" w:rsidRDefault="002C37D7" w:rsidP="0077763F">
            <w:pPr>
              <w:jc w:val="both"/>
              <w:rPr>
                <w:sz w:val="20"/>
                <w:szCs w:val="20"/>
              </w:rPr>
            </w:pPr>
            <w:r w:rsidRPr="00425A7F">
              <w:rPr>
                <w:b/>
                <w:bCs/>
                <w:sz w:val="20"/>
                <w:szCs w:val="20"/>
                <w:lang w:val="fr-CH"/>
              </w:rPr>
              <w:t>Incidence des dépenses catastrophiques</w:t>
            </w:r>
            <w:r w:rsidRPr="00425A7F">
              <w:rPr>
                <w:rStyle w:val="Appelnotedebasdep"/>
                <w:b/>
                <w:bCs/>
                <w:sz w:val="20"/>
                <w:szCs w:val="20"/>
                <w:lang w:val="fr-CH"/>
              </w:rPr>
              <w:footnoteReference w:id="4"/>
            </w:r>
            <w:r w:rsidR="004E691A" w:rsidRPr="00425A7F">
              <w:rPr>
                <w:b/>
                <w:bCs/>
                <w:sz w:val="20"/>
                <w:szCs w:val="20"/>
                <w:lang w:val="fr-CH"/>
              </w:rPr>
              <w:t xml:space="preserve"> (2011)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tcPr>
          <w:p w:rsidR="002C37D7" w:rsidRPr="00425A7F" w:rsidRDefault="004E691A" w:rsidP="008A6543">
            <w:pPr>
              <w:jc w:val="center"/>
              <w:rPr>
                <w:sz w:val="20"/>
                <w:szCs w:val="20"/>
              </w:rPr>
            </w:pPr>
            <w:r w:rsidRPr="00425A7F">
              <w:rPr>
                <w:sz w:val="20"/>
                <w:szCs w:val="20"/>
              </w:rPr>
              <w:t>19%</w:t>
            </w:r>
          </w:p>
        </w:tc>
        <w:tc>
          <w:tcPr>
            <w:tcW w:w="0" w:type="auto"/>
            <w:tcBorders>
              <w:top w:val="single" w:sz="8" w:space="0" w:color="000000"/>
              <w:left w:val="single" w:sz="8" w:space="0" w:color="000000"/>
              <w:bottom w:val="single" w:sz="8" w:space="0" w:color="000000"/>
              <w:right w:val="single" w:sz="8" w:space="0" w:color="000000"/>
            </w:tcBorders>
            <w:vAlign w:val="center"/>
          </w:tcPr>
          <w:p w:rsidR="002C37D7" w:rsidRPr="00425A7F" w:rsidRDefault="00AE0253" w:rsidP="008A6543">
            <w:pPr>
              <w:jc w:val="center"/>
              <w:rPr>
                <w:bCs/>
                <w:sz w:val="20"/>
                <w:szCs w:val="20"/>
                <w:lang w:val="fr-CH"/>
              </w:rPr>
            </w:pPr>
            <w:r w:rsidRPr="00425A7F">
              <w:rPr>
                <w:bCs/>
                <w:sz w:val="20"/>
                <w:szCs w:val="20"/>
                <w:lang w:val="fr-CH"/>
              </w:rPr>
              <w:t>10%</w:t>
            </w:r>
          </w:p>
        </w:tc>
      </w:tr>
    </w:tbl>
    <w:p w:rsidR="005266A3" w:rsidRPr="00425A7F" w:rsidRDefault="005266A3" w:rsidP="0077763F">
      <w:pPr>
        <w:jc w:val="both"/>
      </w:pPr>
    </w:p>
    <w:p w:rsidR="002A7FE1" w:rsidRPr="00425A7F" w:rsidRDefault="009B338F" w:rsidP="009B338F">
      <w:pPr>
        <w:widowControl w:val="0"/>
        <w:suppressAutoHyphens/>
        <w:jc w:val="both"/>
      </w:pPr>
      <w:r w:rsidRPr="00425A7F">
        <w:t xml:space="preserve">Les 14 points de budget </w:t>
      </w:r>
      <w:r w:rsidR="002A7FE1" w:rsidRPr="00425A7F">
        <w:t>que la stratégie consacre</w:t>
      </w:r>
      <w:r w:rsidRPr="00425A7F">
        <w:t xml:space="preserve"> à la santé </w:t>
      </w:r>
      <w:r w:rsidR="002A7FE1" w:rsidRPr="00425A7F">
        <w:t>pour</w:t>
      </w:r>
      <w:r w:rsidRPr="00425A7F">
        <w:t xml:space="preserve"> 2023 représenteront un effort substantiel de l’Etat, </w:t>
      </w:r>
      <w:r w:rsidR="002A7FE1" w:rsidRPr="00425A7F">
        <w:t>mais il est déjà prévu d’attein</w:t>
      </w:r>
      <w:r w:rsidRPr="00425A7F">
        <w:t>dre 12 points en 2020. En 2023 le système de santé aura</w:t>
      </w:r>
      <w:r w:rsidR="00A20443" w:rsidRPr="00425A7F">
        <w:t xml:space="preserve"> ainsi</w:t>
      </w:r>
      <w:r w:rsidRPr="00425A7F">
        <w:t xml:space="preserve"> bénéficié d’une meilleure gestion de ses ressources et de moyens supplémentaires. </w:t>
      </w:r>
    </w:p>
    <w:p w:rsidR="002A7FE1" w:rsidRPr="00425A7F" w:rsidRDefault="002A7FE1" w:rsidP="009B338F">
      <w:pPr>
        <w:widowControl w:val="0"/>
        <w:suppressAutoHyphens/>
        <w:jc w:val="both"/>
      </w:pPr>
    </w:p>
    <w:p w:rsidR="00BD52F7" w:rsidRPr="00425A7F" w:rsidRDefault="00A20443" w:rsidP="006802D4">
      <w:pPr>
        <w:widowControl w:val="0"/>
        <w:suppressAutoHyphens/>
        <w:jc w:val="both"/>
        <w:rPr>
          <w:lang w:val="fr-CH"/>
        </w:rPr>
      </w:pPr>
      <w:r w:rsidRPr="00425A7F">
        <w:t>Grâce à ces moyens et à la mise en œuvre de la présente stratégie</w:t>
      </w:r>
      <w:r w:rsidR="002A7FE1" w:rsidRPr="00425A7F">
        <w:t>, 31</w:t>
      </w:r>
      <w:r w:rsidR="009B338F" w:rsidRPr="00425A7F">
        <w:t>% de la population malienne sera couverte par l’assurance maladie universelle</w:t>
      </w:r>
      <w:r w:rsidRPr="00425A7F">
        <w:t>,</w:t>
      </w:r>
      <w:r w:rsidR="009B338F" w:rsidRPr="00425A7F">
        <w:t xml:space="preserve"> dont 21% du secteur informel </w:t>
      </w:r>
      <w:r w:rsidR="002A7FE1" w:rsidRPr="00425A7F">
        <w:t>non pauvre et plus de 1 million</w:t>
      </w:r>
      <w:r w:rsidR="009B338F" w:rsidRPr="00425A7F">
        <w:t xml:space="preserve"> de personnes identifiées comme les plus pauvres</w:t>
      </w:r>
      <w:r w:rsidR="002A7FE1" w:rsidRPr="00425A7F">
        <w:t xml:space="preserve"> (« démunis »)</w:t>
      </w:r>
      <w:r w:rsidR="009B338F" w:rsidRPr="00425A7F">
        <w:t xml:space="preserve">. </w:t>
      </w:r>
      <w:r w:rsidRPr="00425A7F">
        <w:t>Le financement du secteur de la santé participera plus que jamais à améliorer l’état de santé de la population ainsi qu’au développement et à la cohésion nationale.</w:t>
      </w:r>
    </w:p>
    <w:p w:rsidR="0002595D" w:rsidRPr="00425A7F" w:rsidRDefault="00BF7533" w:rsidP="00EA65F3">
      <w:pPr>
        <w:pStyle w:val="Titre1"/>
      </w:pPr>
      <w:bookmarkStart w:id="4" w:name="_Toc497294471"/>
      <w:r w:rsidRPr="00425A7F">
        <w:lastRenderedPageBreak/>
        <w:t>CONTEXTE ET JUSTIFICATION</w:t>
      </w:r>
      <w:bookmarkEnd w:id="4"/>
    </w:p>
    <w:p w:rsidR="005547B6" w:rsidRPr="00425A7F" w:rsidRDefault="00EC21AA" w:rsidP="00C52415">
      <w:pPr>
        <w:pStyle w:val="Titre2"/>
        <w:numPr>
          <w:ilvl w:val="0"/>
          <w:numId w:val="10"/>
        </w:numPr>
      </w:pPr>
      <w:bookmarkStart w:id="5" w:name="_Toc321382257"/>
      <w:bookmarkStart w:id="6" w:name="_Toc328493851"/>
      <w:bookmarkStart w:id="7" w:name="_Toc497294472"/>
      <w:r w:rsidRPr="00425A7F">
        <w:t>Caractéristiques géographiques, démographiques</w:t>
      </w:r>
      <w:bookmarkEnd w:id="5"/>
      <w:r w:rsidRPr="00425A7F">
        <w:t xml:space="preserve"> et administratives</w:t>
      </w:r>
      <w:bookmarkEnd w:id="6"/>
      <w:bookmarkEnd w:id="7"/>
    </w:p>
    <w:p w:rsidR="00246D00" w:rsidRPr="00425A7F" w:rsidRDefault="00246D00" w:rsidP="00246D00">
      <w:pPr>
        <w:widowControl w:val="0"/>
        <w:tabs>
          <w:tab w:val="left" w:pos="142"/>
        </w:tabs>
        <w:suppressAutoHyphens/>
        <w:jc w:val="both"/>
        <w:rPr>
          <w:rFonts w:asciiTheme="minorHAnsi" w:hAnsiTheme="minorHAnsi" w:cs="Arial"/>
        </w:rPr>
      </w:pPr>
      <w:bookmarkStart w:id="8" w:name="_Toc321859525"/>
      <w:bookmarkStart w:id="9" w:name="_Toc328493854"/>
      <w:r w:rsidRPr="00425A7F">
        <w:rPr>
          <w:rFonts w:asciiTheme="minorHAnsi" w:hAnsiTheme="minorHAnsi" w:cs="Arial"/>
        </w:rPr>
        <w:t>Situé au cœur de l’Afrique de l’ouest, le Mali est un pays continental avec une superficie de 1.241.238 km². Il s’étend du Nord au Sud sur 1.500 km et d’Est en Ouest sur 1.800 km. Il partage 7.200 km de frontière avec l’Algérie et la Mauritanie au nord, le Niger à l’Est, le Burkina Faso et la Côte d’Ivoire au Sud, la Guinée Conakry au Sud-ouest et le Sénégal à l’Ouest.</w:t>
      </w:r>
    </w:p>
    <w:p w:rsidR="00246D00" w:rsidRPr="00425A7F" w:rsidRDefault="00246D00" w:rsidP="00246D00">
      <w:pPr>
        <w:widowControl w:val="0"/>
        <w:tabs>
          <w:tab w:val="left" w:pos="142"/>
        </w:tabs>
        <w:suppressAutoHyphens/>
        <w:jc w:val="both"/>
        <w:rPr>
          <w:rFonts w:asciiTheme="minorHAnsi" w:hAnsiTheme="minorHAnsi" w:cs="Arial"/>
        </w:rPr>
      </w:pPr>
    </w:p>
    <w:p w:rsidR="00246D00" w:rsidRPr="00425A7F" w:rsidRDefault="00246D00" w:rsidP="00246D00">
      <w:pPr>
        <w:widowControl w:val="0"/>
        <w:suppressAutoHyphens/>
        <w:jc w:val="both"/>
        <w:rPr>
          <w:rFonts w:asciiTheme="minorHAnsi" w:hAnsiTheme="minorHAnsi" w:cs="Arial"/>
        </w:rPr>
      </w:pPr>
      <w:r w:rsidRPr="00425A7F">
        <w:rPr>
          <w:rFonts w:asciiTheme="minorHAnsi" w:hAnsiTheme="minorHAnsi" w:cs="Arial"/>
        </w:rPr>
        <w:t xml:space="preserve">Selon les résultats définitifs du 4ème Recensement Général de la Population et de l’Habitat (RGPH), la population résidante était de 14.528.662 habitants en 2009 avec une légère prédominance des femmes : 50,4% de la population soit un rapport de 98 hommes pour 100 femmes. L’espérance de vie à la naissance est estimée à 55 ans. Cette population aurait atteint </w:t>
      </w:r>
      <w:r w:rsidRPr="00425A7F">
        <w:rPr>
          <w:rFonts w:asciiTheme="minorHAnsi" w:hAnsiTheme="minorHAnsi" w:cs="Arial"/>
          <w:b/>
        </w:rPr>
        <w:t>18 343 000 habitants en 2016</w:t>
      </w:r>
      <w:r w:rsidRPr="00425A7F">
        <w:rPr>
          <w:rFonts w:asciiTheme="minorHAnsi" w:hAnsiTheme="minorHAnsi" w:cs="Arial"/>
        </w:rPr>
        <w:t xml:space="preserve"> selon les résultats des projections issus de la révision 2016 du RGPH 2009 de la Direction Nationale de la Population du Mali.</w:t>
      </w:r>
    </w:p>
    <w:p w:rsidR="00246D00" w:rsidRPr="00425A7F" w:rsidRDefault="00246D00" w:rsidP="00246D00">
      <w:pPr>
        <w:widowControl w:val="0"/>
        <w:tabs>
          <w:tab w:val="left" w:pos="0"/>
        </w:tabs>
        <w:suppressAutoHyphens/>
        <w:jc w:val="both"/>
        <w:rPr>
          <w:rFonts w:asciiTheme="minorHAnsi" w:hAnsiTheme="minorHAnsi" w:cs="Arial"/>
        </w:rPr>
      </w:pPr>
    </w:p>
    <w:p w:rsidR="00246D00" w:rsidRPr="00425A7F" w:rsidRDefault="00246D00" w:rsidP="00246D00">
      <w:pPr>
        <w:widowControl w:val="0"/>
        <w:tabs>
          <w:tab w:val="left" w:pos="0"/>
        </w:tabs>
        <w:suppressAutoHyphens/>
        <w:jc w:val="both"/>
        <w:rPr>
          <w:rFonts w:asciiTheme="minorHAnsi" w:hAnsiTheme="minorHAnsi" w:cs="Arial"/>
        </w:rPr>
      </w:pPr>
      <w:r w:rsidRPr="00425A7F">
        <w:rPr>
          <w:rFonts w:asciiTheme="minorHAnsi" w:hAnsiTheme="minorHAnsi" w:cs="Arial"/>
        </w:rPr>
        <w:t xml:space="preserve">Dans sa très grande majorité, la population malienne est sédentaire; les nomades représentent 0,92% de la population. Elle vit essentiellement en milieu rural. Le milieu urbain compte 3.274.727 résidants (soit 22,5%) contre 11.253.935 (soit 77,5%) pour le milieu rural. </w:t>
      </w:r>
    </w:p>
    <w:p w:rsidR="00246D00" w:rsidRPr="00425A7F" w:rsidRDefault="00246D00" w:rsidP="00246D00">
      <w:pPr>
        <w:widowControl w:val="0"/>
        <w:tabs>
          <w:tab w:val="left" w:pos="0"/>
        </w:tabs>
        <w:suppressAutoHyphens/>
        <w:jc w:val="both"/>
        <w:rPr>
          <w:rFonts w:asciiTheme="minorHAnsi" w:hAnsiTheme="minorHAnsi" w:cs="Arial"/>
        </w:rPr>
      </w:pPr>
    </w:p>
    <w:p w:rsidR="00246D00" w:rsidRPr="00425A7F" w:rsidRDefault="00246D00" w:rsidP="00246D00">
      <w:pPr>
        <w:widowControl w:val="0"/>
        <w:tabs>
          <w:tab w:val="left" w:pos="0"/>
        </w:tabs>
        <w:suppressAutoHyphens/>
        <w:jc w:val="both"/>
        <w:rPr>
          <w:rFonts w:asciiTheme="minorHAnsi" w:hAnsiTheme="minorHAnsi" w:cs="Arial"/>
        </w:rPr>
      </w:pPr>
      <w:r w:rsidRPr="00425A7F">
        <w:rPr>
          <w:rFonts w:asciiTheme="minorHAnsi" w:hAnsiTheme="minorHAnsi" w:cs="Arial"/>
        </w:rPr>
        <w:t xml:space="preserve">La densité du pays est d’environ 15 habitants au Km² en 2016. Cette moyenne nationale cache de très fortes disparités régionales. </w:t>
      </w:r>
    </w:p>
    <w:p w:rsidR="00246D00" w:rsidRPr="00425A7F" w:rsidRDefault="00246D00" w:rsidP="00246D00">
      <w:pPr>
        <w:widowControl w:val="0"/>
        <w:tabs>
          <w:tab w:val="left" w:pos="0"/>
        </w:tabs>
        <w:suppressAutoHyphens/>
        <w:jc w:val="both"/>
        <w:rPr>
          <w:rFonts w:asciiTheme="minorHAnsi" w:hAnsiTheme="minorHAnsi" w:cs="Arial"/>
        </w:rPr>
      </w:pPr>
    </w:p>
    <w:p w:rsidR="00246D00" w:rsidRPr="00425A7F" w:rsidRDefault="00246D00" w:rsidP="00246D00">
      <w:pPr>
        <w:widowControl w:val="0"/>
        <w:tabs>
          <w:tab w:val="left" w:pos="0"/>
        </w:tabs>
        <w:suppressAutoHyphens/>
        <w:jc w:val="both"/>
        <w:rPr>
          <w:rFonts w:asciiTheme="minorHAnsi" w:hAnsiTheme="minorHAnsi" w:cs="Arial"/>
        </w:rPr>
      </w:pPr>
      <w:r w:rsidRPr="00425A7F">
        <w:rPr>
          <w:rFonts w:asciiTheme="minorHAnsi" w:hAnsiTheme="minorHAnsi" w:cs="Arial"/>
        </w:rPr>
        <w:t>Le Mali a connu une augmentation rapide de l’effectif de sa population entre 1976 et 2009. En effet, estimé à 1,7% en moyenne entre 1976 et 1987, le taux de croissance de la population a atteint 3,6 de 1998 à 2009. A ce rythme, la population malienne doublera presque tous les 20 ans avec les conséquences qui pourraient en résulter quant à l’amélioration du bien-être des individus.</w:t>
      </w:r>
    </w:p>
    <w:p w:rsidR="00246D00" w:rsidRPr="00425A7F" w:rsidRDefault="00246D00" w:rsidP="00246D00">
      <w:pPr>
        <w:widowControl w:val="0"/>
        <w:tabs>
          <w:tab w:val="left" w:pos="0"/>
        </w:tabs>
        <w:suppressAutoHyphens/>
        <w:jc w:val="both"/>
        <w:rPr>
          <w:rFonts w:asciiTheme="minorHAnsi" w:hAnsiTheme="minorHAnsi" w:cs="Arial"/>
        </w:rPr>
      </w:pPr>
    </w:p>
    <w:p w:rsidR="00246D00" w:rsidRPr="00425A7F" w:rsidRDefault="00246D00" w:rsidP="00246D00">
      <w:pPr>
        <w:widowControl w:val="0"/>
        <w:tabs>
          <w:tab w:val="left" w:pos="0"/>
        </w:tabs>
        <w:suppressAutoHyphens/>
        <w:jc w:val="both"/>
        <w:rPr>
          <w:rFonts w:asciiTheme="minorHAnsi" w:hAnsiTheme="minorHAnsi" w:cs="Arial"/>
        </w:rPr>
      </w:pPr>
      <w:r w:rsidRPr="00425A7F">
        <w:rPr>
          <w:rFonts w:asciiTheme="minorHAnsi" w:hAnsiTheme="minorHAnsi" w:cs="Arial"/>
        </w:rPr>
        <w:t>La population du Mali se caractérise par son extrême jeunesse. Les moins de 15 ans représentent 46,6% de la population, la tranche d’âge de 15-64 ans représente 48,4% et la population âgée de 65 ans et plus est de 5%.</w:t>
      </w:r>
    </w:p>
    <w:p w:rsidR="00246D00" w:rsidRPr="00425A7F" w:rsidRDefault="00246D00" w:rsidP="00246D00">
      <w:pPr>
        <w:widowControl w:val="0"/>
        <w:tabs>
          <w:tab w:val="left" w:pos="0"/>
        </w:tabs>
        <w:suppressAutoHyphens/>
        <w:jc w:val="both"/>
        <w:rPr>
          <w:rFonts w:asciiTheme="minorHAnsi" w:hAnsiTheme="minorHAnsi" w:cs="Arial"/>
        </w:rPr>
      </w:pPr>
    </w:p>
    <w:p w:rsidR="00246D00" w:rsidRPr="00425A7F" w:rsidRDefault="00246D00" w:rsidP="00246D00">
      <w:pPr>
        <w:widowControl w:val="0"/>
        <w:tabs>
          <w:tab w:val="left" w:pos="0"/>
        </w:tabs>
        <w:suppressAutoHyphens/>
        <w:jc w:val="both"/>
        <w:rPr>
          <w:rFonts w:asciiTheme="minorHAnsi" w:hAnsiTheme="minorHAnsi" w:cs="Arial"/>
        </w:rPr>
      </w:pPr>
      <w:r w:rsidRPr="00425A7F">
        <w:rPr>
          <w:rFonts w:asciiTheme="minorHAnsi" w:hAnsiTheme="minorHAnsi" w:cs="Arial"/>
        </w:rPr>
        <w:t xml:space="preserve">Le Mali comprend actuellement dix régions administratives (y compris le district de Bamako (la capitale), 66 cercles (y compris les 6 communes de Bamako qui ont également un statut de cercle), et 703 communes (y compris les 6 communes de Bamako). Ces dernières sont administrées par les collectivités territoriales. </w:t>
      </w:r>
    </w:p>
    <w:p w:rsidR="00246D00" w:rsidRPr="00425A7F" w:rsidRDefault="00246D00" w:rsidP="00246D00">
      <w:pPr>
        <w:widowControl w:val="0"/>
        <w:tabs>
          <w:tab w:val="left" w:pos="0"/>
        </w:tabs>
        <w:suppressAutoHyphens/>
        <w:jc w:val="both"/>
        <w:rPr>
          <w:rFonts w:ascii="Times New Roman" w:hAnsi="Times New Roman"/>
          <w:strike/>
          <w:sz w:val="24"/>
          <w:szCs w:val="24"/>
        </w:rPr>
      </w:pPr>
    </w:p>
    <w:p w:rsidR="00312571" w:rsidRPr="00425A7F" w:rsidRDefault="00312571" w:rsidP="00312571">
      <w:pPr>
        <w:pStyle w:val="Default"/>
        <w:rPr>
          <w:rFonts w:ascii="Arial" w:hAnsi="Arial" w:cs="Arial"/>
          <w:b/>
          <w:bCs/>
          <w:sz w:val="23"/>
          <w:szCs w:val="23"/>
        </w:rPr>
      </w:pPr>
      <w:r w:rsidRPr="00425A7F">
        <w:rPr>
          <w:rFonts w:ascii="Cambria" w:hAnsi="Cambria" w:cs="Cambria"/>
          <w:b/>
          <w:bCs/>
          <w:sz w:val="20"/>
          <w:szCs w:val="20"/>
        </w:rPr>
        <w:t xml:space="preserve"> </w:t>
      </w:r>
      <w:r w:rsidRPr="00425A7F">
        <w:rPr>
          <w:rFonts w:ascii="Arial" w:hAnsi="Arial" w:cs="Arial"/>
          <w:b/>
          <w:bCs/>
          <w:sz w:val="23"/>
          <w:szCs w:val="23"/>
        </w:rPr>
        <w:t>Evolution de la situation macroéconomique 2014-2016</w:t>
      </w:r>
      <w:r w:rsidR="00042DCA" w:rsidRPr="00425A7F">
        <w:rPr>
          <w:rStyle w:val="Appelnotedebasdep"/>
          <w:rFonts w:ascii="Arial" w:hAnsi="Arial" w:cs="Arial"/>
          <w:b/>
          <w:bCs/>
          <w:sz w:val="23"/>
          <w:szCs w:val="23"/>
        </w:rPr>
        <w:footnoteReference w:id="5"/>
      </w:r>
    </w:p>
    <w:p w:rsidR="00312571" w:rsidRPr="00425A7F" w:rsidRDefault="00312571" w:rsidP="00312571">
      <w:pPr>
        <w:pStyle w:val="Default"/>
        <w:rPr>
          <w:rFonts w:ascii="Arial" w:hAnsi="Arial" w:cs="Arial"/>
          <w:sz w:val="23"/>
          <w:szCs w:val="23"/>
        </w:rPr>
      </w:pPr>
    </w:p>
    <w:p w:rsidR="00312571" w:rsidRPr="00425A7F" w:rsidRDefault="00312571" w:rsidP="00312571">
      <w:pPr>
        <w:pStyle w:val="Default"/>
        <w:spacing w:after="61"/>
        <w:rPr>
          <w:rFonts w:asciiTheme="minorHAnsi" w:hAnsiTheme="minorHAnsi" w:cs="Arial"/>
          <w:color w:val="auto"/>
          <w:sz w:val="22"/>
          <w:szCs w:val="22"/>
        </w:rPr>
      </w:pPr>
      <w:r w:rsidRPr="00425A7F">
        <w:rPr>
          <w:rFonts w:asciiTheme="minorHAnsi" w:hAnsiTheme="minorHAnsi" w:cs="Arial"/>
          <w:color w:val="auto"/>
          <w:sz w:val="22"/>
          <w:szCs w:val="22"/>
        </w:rPr>
        <w:t xml:space="preserve">L’économie malienne a connu une croissance exceptionnelle de 7,0 % en 2014. Cette performance est imputable à un rebond de la croissance dans les secteurs primaire et secondaire. </w:t>
      </w:r>
    </w:p>
    <w:p w:rsidR="00312571" w:rsidRPr="00425A7F" w:rsidRDefault="00312571" w:rsidP="00312571">
      <w:pPr>
        <w:pStyle w:val="Default"/>
        <w:spacing w:after="61"/>
        <w:rPr>
          <w:rFonts w:asciiTheme="minorHAnsi" w:hAnsiTheme="minorHAnsi" w:cs="Arial"/>
          <w:color w:val="auto"/>
          <w:sz w:val="22"/>
          <w:szCs w:val="22"/>
        </w:rPr>
      </w:pPr>
    </w:p>
    <w:p w:rsidR="00312571" w:rsidRPr="00425A7F" w:rsidRDefault="00312571" w:rsidP="00312571">
      <w:pPr>
        <w:pStyle w:val="Default"/>
        <w:spacing w:after="61"/>
        <w:rPr>
          <w:rFonts w:asciiTheme="minorHAnsi" w:hAnsiTheme="minorHAnsi" w:cs="Arial"/>
          <w:color w:val="auto"/>
          <w:sz w:val="22"/>
          <w:szCs w:val="22"/>
        </w:rPr>
      </w:pPr>
      <w:r w:rsidRPr="00425A7F">
        <w:rPr>
          <w:rFonts w:asciiTheme="minorHAnsi" w:hAnsiTheme="minorHAnsi" w:cs="Arial"/>
          <w:color w:val="auto"/>
          <w:sz w:val="22"/>
          <w:szCs w:val="22"/>
        </w:rPr>
        <w:t xml:space="preserve">Malgré une légère décélération en 2015 due à la contraction de l’activité dans le secteur secondaire, la croissance de l’économie est restée robuste. Ainsi, la croissance du PIB réel est ressortie à 6 % en 2015 grâce au dynamisme du secteur tertiaire et à la bonne tenue du secteur primaire en lien avec l’agriculture vivrière. En 2016, le taux de croissance est quasi identique à son niveau de 2015 (environ 5,8%) soutenu essentiellement par le secteur tertiaire et primaire. </w:t>
      </w:r>
    </w:p>
    <w:p w:rsidR="00312571" w:rsidRPr="00425A7F" w:rsidRDefault="00312571" w:rsidP="00312571">
      <w:pPr>
        <w:pStyle w:val="Default"/>
        <w:spacing w:after="61"/>
        <w:rPr>
          <w:rFonts w:asciiTheme="minorHAnsi" w:hAnsiTheme="minorHAnsi" w:cs="Arial"/>
          <w:color w:val="auto"/>
          <w:sz w:val="22"/>
          <w:szCs w:val="22"/>
        </w:rPr>
      </w:pPr>
    </w:p>
    <w:p w:rsidR="00312571" w:rsidRPr="00425A7F" w:rsidRDefault="00312571" w:rsidP="00312571">
      <w:pPr>
        <w:pStyle w:val="Default"/>
        <w:spacing w:after="61"/>
        <w:rPr>
          <w:rFonts w:asciiTheme="minorHAnsi" w:hAnsiTheme="minorHAnsi" w:cs="Arial"/>
          <w:color w:val="auto"/>
          <w:sz w:val="22"/>
          <w:szCs w:val="22"/>
        </w:rPr>
      </w:pPr>
      <w:r w:rsidRPr="00425A7F">
        <w:rPr>
          <w:rFonts w:asciiTheme="minorHAnsi" w:hAnsiTheme="minorHAnsi" w:cs="Arial"/>
          <w:color w:val="auto"/>
          <w:sz w:val="22"/>
          <w:szCs w:val="22"/>
        </w:rPr>
        <w:lastRenderedPageBreak/>
        <w:t xml:space="preserve">L’inflation est restée très modeste sur la période 2014-2016 en raison, principalement, de la bonne tenue des campagnes agricoles et du faible niveau du prix des produits pétroliers. Sur la période 2014-2016, la moyenne annuelle du taux d’inflation est estimée à 0,5 % contre la norme de 3 % pour la zone UEMOA. </w:t>
      </w:r>
    </w:p>
    <w:p w:rsidR="00312571" w:rsidRPr="00425A7F" w:rsidRDefault="00312571" w:rsidP="00312571">
      <w:pPr>
        <w:pStyle w:val="Default"/>
        <w:rPr>
          <w:rFonts w:asciiTheme="minorHAnsi" w:hAnsiTheme="minorHAnsi"/>
          <w:color w:val="auto"/>
          <w:sz w:val="22"/>
          <w:szCs w:val="22"/>
        </w:rPr>
      </w:pPr>
    </w:p>
    <w:p w:rsidR="00312571" w:rsidRPr="00425A7F" w:rsidRDefault="00312571" w:rsidP="00312571">
      <w:pPr>
        <w:pStyle w:val="Default"/>
        <w:rPr>
          <w:rFonts w:asciiTheme="minorHAnsi" w:hAnsiTheme="minorHAnsi"/>
          <w:color w:val="auto"/>
          <w:sz w:val="22"/>
          <w:szCs w:val="22"/>
        </w:rPr>
      </w:pPr>
      <w:r w:rsidRPr="00425A7F">
        <w:rPr>
          <w:rFonts w:ascii="Arial" w:hAnsi="Arial" w:cs="Arial"/>
          <w:b/>
          <w:bCs/>
          <w:sz w:val="23"/>
          <w:szCs w:val="23"/>
        </w:rPr>
        <w:t xml:space="preserve">Perspectives économiques 2017 </w:t>
      </w:r>
    </w:p>
    <w:p w:rsidR="00312571" w:rsidRPr="00425A7F" w:rsidRDefault="00312571" w:rsidP="00312571">
      <w:pPr>
        <w:pStyle w:val="Default"/>
        <w:spacing w:after="61"/>
        <w:rPr>
          <w:rFonts w:ascii="Arial" w:hAnsi="Arial" w:cs="Arial"/>
          <w:sz w:val="23"/>
          <w:szCs w:val="23"/>
        </w:rPr>
      </w:pPr>
    </w:p>
    <w:p w:rsidR="00312571" w:rsidRPr="00425A7F" w:rsidRDefault="00312571" w:rsidP="00312571">
      <w:pPr>
        <w:pStyle w:val="Default"/>
        <w:spacing w:after="61"/>
        <w:rPr>
          <w:rFonts w:asciiTheme="minorHAnsi" w:hAnsiTheme="minorHAnsi" w:cs="Arial"/>
          <w:color w:val="auto"/>
          <w:sz w:val="22"/>
          <w:szCs w:val="22"/>
        </w:rPr>
      </w:pPr>
      <w:r w:rsidRPr="00425A7F">
        <w:rPr>
          <w:rFonts w:asciiTheme="minorHAnsi" w:hAnsiTheme="minorHAnsi" w:cs="Arial"/>
          <w:color w:val="auto"/>
          <w:sz w:val="22"/>
          <w:szCs w:val="22"/>
        </w:rPr>
        <w:t>Le taux de croissance économique ressortirait à 5,3 % en 2017 contre 5,8 % en 2016. L’inflation moyenne est prévue à 0,2% en 2017</w:t>
      </w:r>
    </w:p>
    <w:p w:rsidR="00F423F9" w:rsidRPr="00425A7F" w:rsidRDefault="00F423F9" w:rsidP="00312571">
      <w:pPr>
        <w:pStyle w:val="Default"/>
        <w:spacing w:after="61"/>
        <w:rPr>
          <w:rFonts w:asciiTheme="minorHAnsi" w:hAnsiTheme="minorHAnsi" w:cs="Arial"/>
          <w:color w:val="auto"/>
          <w:sz w:val="22"/>
          <w:szCs w:val="22"/>
        </w:rPr>
      </w:pPr>
    </w:p>
    <w:p w:rsidR="00F423F9" w:rsidRPr="00425A7F" w:rsidRDefault="00F423F9" w:rsidP="00312571">
      <w:pPr>
        <w:pStyle w:val="Default"/>
        <w:spacing w:after="61"/>
        <w:rPr>
          <w:rFonts w:asciiTheme="minorHAnsi" w:hAnsiTheme="minorHAnsi" w:cs="Arial"/>
          <w:b/>
          <w:color w:val="auto"/>
          <w:sz w:val="22"/>
          <w:szCs w:val="22"/>
          <w:u w:val="single"/>
        </w:rPr>
      </w:pPr>
      <w:r w:rsidRPr="00425A7F">
        <w:rPr>
          <w:rFonts w:asciiTheme="minorHAnsi" w:hAnsiTheme="minorHAnsi" w:cs="Arial"/>
          <w:b/>
          <w:color w:val="auto"/>
          <w:sz w:val="22"/>
          <w:szCs w:val="22"/>
          <w:u w:val="single"/>
        </w:rPr>
        <w:t>Tableau n°2 : croissance réelle du PIB Mali et UEMOA</w:t>
      </w:r>
    </w:p>
    <w:p w:rsidR="00312571" w:rsidRPr="00425A7F" w:rsidRDefault="00312571" w:rsidP="00312571">
      <w:pPr>
        <w:pStyle w:val="Default"/>
        <w:spacing w:after="61"/>
      </w:pPr>
    </w:p>
    <w:p w:rsidR="00312571" w:rsidRPr="00425A7F" w:rsidRDefault="00312571" w:rsidP="00312571">
      <w:pPr>
        <w:pStyle w:val="Default"/>
        <w:spacing w:after="61"/>
      </w:pPr>
      <w:r w:rsidRPr="00425A7F">
        <w:rPr>
          <w:noProof/>
          <w:lang w:eastAsia="fr-FR"/>
        </w:rPr>
        <w:drawing>
          <wp:inline distT="0" distB="0" distL="0" distR="0" wp14:anchorId="215FA66B" wp14:editId="6D80276B">
            <wp:extent cx="4057650" cy="838200"/>
            <wp:effectExtent l="0" t="0" r="0"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57650" cy="838200"/>
                    </a:xfrm>
                    <a:prstGeom prst="rect">
                      <a:avLst/>
                    </a:prstGeom>
                    <a:noFill/>
                    <a:ln>
                      <a:noFill/>
                    </a:ln>
                  </pic:spPr>
                </pic:pic>
              </a:graphicData>
            </a:graphic>
          </wp:inline>
        </w:drawing>
      </w:r>
      <w:r w:rsidR="007D16C9" w:rsidRPr="00425A7F">
        <w:rPr>
          <w:rStyle w:val="Appelnotedebasdep"/>
        </w:rPr>
        <w:footnoteReference w:id="6"/>
      </w:r>
    </w:p>
    <w:p w:rsidR="00F423F9" w:rsidRPr="00425A7F" w:rsidRDefault="00F423F9" w:rsidP="00312571">
      <w:pPr>
        <w:pStyle w:val="Default"/>
        <w:spacing w:after="61"/>
      </w:pPr>
    </w:p>
    <w:p w:rsidR="00F423F9" w:rsidRPr="00425A7F" w:rsidRDefault="00F423F9" w:rsidP="00312571">
      <w:pPr>
        <w:pStyle w:val="Default"/>
        <w:spacing w:after="61"/>
        <w:rPr>
          <w:rFonts w:asciiTheme="minorHAnsi" w:hAnsiTheme="minorHAnsi"/>
          <w:b/>
          <w:sz w:val="22"/>
          <w:szCs w:val="22"/>
          <w:u w:val="single"/>
        </w:rPr>
      </w:pPr>
      <w:r w:rsidRPr="00425A7F">
        <w:rPr>
          <w:rFonts w:asciiTheme="minorHAnsi" w:hAnsiTheme="minorHAnsi"/>
          <w:b/>
          <w:sz w:val="22"/>
          <w:szCs w:val="22"/>
          <w:u w:val="single"/>
        </w:rPr>
        <w:t>Tableau n°3 : PIB, croissance et déflateur Mali</w:t>
      </w:r>
    </w:p>
    <w:p w:rsidR="00312571" w:rsidRPr="00425A7F" w:rsidRDefault="00312571" w:rsidP="00312571">
      <w:pPr>
        <w:pStyle w:val="Default"/>
        <w:spacing w:after="61"/>
      </w:pPr>
    </w:p>
    <w:p w:rsidR="00312571" w:rsidRPr="00425A7F" w:rsidRDefault="00312571" w:rsidP="00312571">
      <w:pPr>
        <w:pStyle w:val="Default"/>
        <w:spacing w:after="61"/>
      </w:pPr>
      <w:r w:rsidRPr="00425A7F">
        <w:rPr>
          <w:noProof/>
          <w:lang w:eastAsia="fr-FR"/>
        </w:rPr>
        <w:drawing>
          <wp:inline distT="0" distB="0" distL="0" distR="0" wp14:anchorId="687517D3" wp14:editId="6F1FDF7A">
            <wp:extent cx="4781550" cy="1009650"/>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81550" cy="1009650"/>
                    </a:xfrm>
                    <a:prstGeom prst="rect">
                      <a:avLst/>
                    </a:prstGeom>
                    <a:noFill/>
                    <a:ln>
                      <a:noFill/>
                    </a:ln>
                  </pic:spPr>
                </pic:pic>
              </a:graphicData>
            </a:graphic>
          </wp:inline>
        </w:drawing>
      </w:r>
      <w:r w:rsidR="007D16C9" w:rsidRPr="00425A7F">
        <w:rPr>
          <w:rStyle w:val="Appelnotedebasdep"/>
        </w:rPr>
        <w:footnoteReference w:id="7"/>
      </w:r>
    </w:p>
    <w:p w:rsidR="00042DCA" w:rsidRPr="00425A7F" w:rsidRDefault="00042DCA" w:rsidP="00312571">
      <w:pPr>
        <w:pStyle w:val="Default"/>
        <w:spacing w:after="61"/>
      </w:pPr>
    </w:p>
    <w:p w:rsidR="00042DCA" w:rsidRPr="00425A7F" w:rsidRDefault="00042DCA" w:rsidP="00312571">
      <w:pPr>
        <w:pStyle w:val="Default"/>
        <w:spacing w:after="61"/>
        <w:rPr>
          <w:rFonts w:asciiTheme="minorHAnsi" w:hAnsiTheme="minorHAnsi" w:cs="Arial"/>
          <w:color w:val="auto"/>
          <w:sz w:val="22"/>
          <w:szCs w:val="22"/>
        </w:rPr>
      </w:pPr>
      <w:r w:rsidRPr="00425A7F">
        <w:rPr>
          <w:rFonts w:asciiTheme="minorHAnsi" w:hAnsiTheme="minorHAnsi" w:cs="Arial"/>
          <w:color w:val="auto"/>
          <w:sz w:val="22"/>
          <w:szCs w:val="22"/>
        </w:rPr>
        <w:t>Il est également très intéressant de noter l’amélioration sensible de la pression fiscale</w:t>
      </w:r>
      <w:r w:rsidRPr="00425A7F">
        <w:rPr>
          <w:rStyle w:val="Appelnotedebasdep"/>
          <w:rFonts w:asciiTheme="minorHAnsi" w:hAnsiTheme="minorHAnsi" w:cs="Arial"/>
          <w:color w:val="auto"/>
          <w:sz w:val="22"/>
          <w:szCs w:val="22"/>
        </w:rPr>
        <w:footnoteReference w:id="8"/>
      </w:r>
      <w:r w:rsidRPr="00425A7F">
        <w:rPr>
          <w:rFonts w:asciiTheme="minorHAnsi" w:hAnsiTheme="minorHAnsi" w:cs="Arial"/>
          <w:color w:val="auto"/>
          <w:sz w:val="22"/>
          <w:szCs w:val="22"/>
        </w:rPr>
        <w:t> :</w:t>
      </w:r>
    </w:p>
    <w:p w:rsidR="00042DCA" w:rsidRPr="00425A7F" w:rsidRDefault="00042DCA" w:rsidP="00312571">
      <w:pPr>
        <w:pStyle w:val="Default"/>
        <w:spacing w:after="61"/>
      </w:pPr>
    </w:p>
    <w:p w:rsidR="00F423F9" w:rsidRPr="00425A7F" w:rsidRDefault="00F423F9" w:rsidP="00312571">
      <w:pPr>
        <w:pStyle w:val="Default"/>
        <w:spacing w:after="61"/>
        <w:rPr>
          <w:rFonts w:asciiTheme="minorHAnsi" w:hAnsiTheme="minorHAnsi"/>
          <w:b/>
          <w:sz w:val="22"/>
          <w:szCs w:val="22"/>
          <w:u w:val="single"/>
        </w:rPr>
      </w:pPr>
      <w:r w:rsidRPr="00425A7F">
        <w:rPr>
          <w:rFonts w:asciiTheme="minorHAnsi" w:hAnsiTheme="minorHAnsi"/>
          <w:b/>
          <w:sz w:val="22"/>
          <w:szCs w:val="22"/>
          <w:u w:val="single"/>
        </w:rPr>
        <w:t>Tableau n°4 : évolution de la pression fiscale :</w:t>
      </w:r>
    </w:p>
    <w:p w:rsidR="00F423F9" w:rsidRPr="00425A7F" w:rsidRDefault="00F423F9" w:rsidP="00312571">
      <w:pPr>
        <w:pStyle w:val="Default"/>
        <w:spacing w:after="61"/>
      </w:pPr>
    </w:p>
    <w:p w:rsidR="00042DCA" w:rsidRPr="00425A7F" w:rsidRDefault="00042DCA" w:rsidP="00312571">
      <w:pPr>
        <w:pStyle w:val="Default"/>
        <w:spacing w:after="61"/>
      </w:pPr>
      <w:r w:rsidRPr="00425A7F">
        <w:rPr>
          <w:noProof/>
          <w:lang w:eastAsia="fr-FR"/>
        </w:rPr>
        <w:drawing>
          <wp:inline distT="0" distB="0" distL="0" distR="0" wp14:anchorId="34CD45C1" wp14:editId="41F9CF76">
            <wp:extent cx="4591050" cy="2079298"/>
            <wp:effectExtent l="0" t="0" r="0" b="0"/>
            <wp:docPr id="44" name="Imag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588621" cy="2078198"/>
                    </a:xfrm>
                    <a:prstGeom prst="rect">
                      <a:avLst/>
                    </a:prstGeom>
                  </pic:spPr>
                </pic:pic>
              </a:graphicData>
            </a:graphic>
          </wp:inline>
        </w:drawing>
      </w:r>
    </w:p>
    <w:p w:rsidR="005D3FAE" w:rsidRPr="00425A7F" w:rsidRDefault="005D3FAE" w:rsidP="00312571">
      <w:pPr>
        <w:pStyle w:val="Default"/>
        <w:spacing w:after="61"/>
      </w:pPr>
    </w:p>
    <w:p w:rsidR="005547B6" w:rsidRPr="00425A7F" w:rsidRDefault="00EC21AA" w:rsidP="00C52415">
      <w:pPr>
        <w:pStyle w:val="Titre2"/>
        <w:numPr>
          <w:ilvl w:val="0"/>
          <w:numId w:val="10"/>
        </w:numPr>
      </w:pPr>
      <w:bookmarkStart w:id="10" w:name="_Toc497294473"/>
      <w:r w:rsidRPr="00425A7F">
        <w:t>Politique Nationale de Santé</w:t>
      </w:r>
      <w:bookmarkEnd w:id="8"/>
      <w:bookmarkEnd w:id="9"/>
      <w:bookmarkEnd w:id="10"/>
    </w:p>
    <w:p w:rsidR="00022F7D" w:rsidRPr="00425A7F" w:rsidRDefault="00022F7D" w:rsidP="00022F7D">
      <w:pPr>
        <w:contextualSpacing/>
        <w:jc w:val="both"/>
        <w:rPr>
          <w:rFonts w:asciiTheme="minorHAnsi" w:hAnsiTheme="minorHAnsi" w:cs="Arial"/>
        </w:rPr>
      </w:pPr>
      <w:r w:rsidRPr="00425A7F">
        <w:rPr>
          <w:rFonts w:asciiTheme="minorHAnsi" w:hAnsiTheme="minorHAnsi" w:cs="Arial"/>
        </w:rPr>
        <w:t xml:space="preserve">Le Mali a adopté le 15 décembre 1990 sa déclaration de Politique sectorielle de santé et de population.  Cette politique basée sur l’approche programme qui, contrairement à l’approche projet, est plus globale, plus intégrée et vise un développement harmonieux durable du secteur de la santé de la Solidarité et de l’Action Humanitaire de la promotion de la Famille.  Elle ambitionne de résoudre les problèmes prioritaires de santé du pays ; ce qui a été  reconfirmé par la Loi d’orientation sur la santé n ° 02 – 049  du 22 Juillet 2002, qui précise ses grandes orientations sur l’amélioration de la santé des populations, l’extension de la couverture sanitaire et la recherche d’une plus grande viabilité et une meilleure performance du système de santé. </w:t>
      </w:r>
    </w:p>
    <w:p w:rsidR="00022F7D" w:rsidRPr="00425A7F" w:rsidRDefault="00022F7D" w:rsidP="00022F7D">
      <w:pPr>
        <w:contextualSpacing/>
        <w:jc w:val="both"/>
        <w:rPr>
          <w:rFonts w:asciiTheme="minorHAnsi" w:hAnsiTheme="minorHAnsi" w:cs="Arial"/>
        </w:rPr>
      </w:pPr>
    </w:p>
    <w:p w:rsidR="00022F7D" w:rsidRPr="00425A7F" w:rsidRDefault="00022F7D" w:rsidP="00022F7D">
      <w:pPr>
        <w:contextualSpacing/>
        <w:jc w:val="both"/>
        <w:rPr>
          <w:rFonts w:asciiTheme="minorHAnsi" w:hAnsiTheme="minorHAnsi" w:cs="Arial"/>
        </w:rPr>
      </w:pPr>
      <w:r w:rsidRPr="00425A7F">
        <w:rPr>
          <w:rFonts w:asciiTheme="minorHAnsi" w:hAnsiTheme="minorHAnsi" w:cs="Arial"/>
        </w:rPr>
        <w:t>Le Plan Décennal de Développement Sanitaire et Social (PDDSS) 1998-2007 a été mis en œuvre à travers deux programmes quinquennaux suivant l’approche sectorielle : le Programme de Développement Sanitaire et Social (PRODESS) I sur la période 1998-2002 et le PRODESS II, sur la période 2005- 2009. Le PRODESS II a été par la suite prolongé à 2011 pour l’aligner sur la période du Cadre Stratégique pour la Croissance et la Réduction de la Pauvreté (CSCRP) 2007-2011 qui constitue le document de référence des politiques et programmes sectoriels dans le cadre de l’atteinte des Objectifs du Millénaire pour le Développement (OMD).</w:t>
      </w:r>
    </w:p>
    <w:p w:rsidR="00022F7D" w:rsidRPr="00425A7F" w:rsidRDefault="00022F7D" w:rsidP="00022F7D">
      <w:pPr>
        <w:contextualSpacing/>
        <w:jc w:val="both"/>
        <w:rPr>
          <w:rFonts w:asciiTheme="minorHAnsi" w:hAnsiTheme="minorHAnsi" w:cs="Arial"/>
        </w:rPr>
      </w:pPr>
    </w:p>
    <w:p w:rsidR="00022F7D" w:rsidRPr="00425A7F" w:rsidRDefault="00022F7D" w:rsidP="00022F7D">
      <w:pPr>
        <w:jc w:val="both"/>
        <w:rPr>
          <w:rFonts w:asciiTheme="minorHAnsi" w:hAnsiTheme="minorHAnsi" w:cs="Arial"/>
        </w:rPr>
      </w:pPr>
      <w:r w:rsidRPr="00425A7F">
        <w:rPr>
          <w:rFonts w:asciiTheme="minorHAnsi" w:hAnsiTheme="minorHAnsi" w:cs="Arial"/>
        </w:rPr>
        <w:t>Dans le cadre de la mise en œuvre de ces politiques, le Mali a élaboré son quatrième  Plan Décennal de Développement Sanitaire et Social (PDDSS) pour la période 2014-2023.</w:t>
      </w:r>
    </w:p>
    <w:p w:rsidR="00022F7D" w:rsidRPr="00425A7F" w:rsidRDefault="00022F7D" w:rsidP="00022F7D">
      <w:pPr>
        <w:jc w:val="both"/>
        <w:rPr>
          <w:rFonts w:asciiTheme="minorHAnsi" w:hAnsiTheme="minorHAnsi" w:cs="Arial"/>
        </w:rPr>
      </w:pPr>
      <w:r w:rsidRPr="00425A7F">
        <w:rPr>
          <w:rFonts w:asciiTheme="minorHAnsi" w:hAnsiTheme="minorHAnsi" w:cs="Arial"/>
        </w:rPr>
        <w:t>Le PDDSS (2014-2023) devrait fournir l’opportunité de passer au palier supérieur, celui de l’accès universel aux soins de santé, de la qualité des prestations et de l’atteinte des résultats dans les domaines de la santé, la solidarité et la promotion de la femme.</w:t>
      </w:r>
    </w:p>
    <w:p w:rsidR="00022F7D" w:rsidRPr="00425A7F" w:rsidRDefault="00022F7D" w:rsidP="00022F7D">
      <w:pPr>
        <w:contextualSpacing/>
        <w:jc w:val="both"/>
        <w:rPr>
          <w:rFonts w:asciiTheme="minorHAnsi" w:hAnsiTheme="minorHAnsi" w:cs="Arial"/>
        </w:rPr>
      </w:pPr>
    </w:p>
    <w:p w:rsidR="00022F7D" w:rsidRPr="00425A7F" w:rsidRDefault="00022F7D" w:rsidP="00022F7D">
      <w:pPr>
        <w:jc w:val="both"/>
        <w:rPr>
          <w:rFonts w:asciiTheme="minorHAnsi" w:hAnsiTheme="minorHAnsi" w:cs="Arial"/>
        </w:rPr>
      </w:pPr>
      <w:r w:rsidRPr="00425A7F">
        <w:rPr>
          <w:rFonts w:asciiTheme="minorHAnsi" w:hAnsiTheme="minorHAnsi" w:cs="Arial"/>
        </w:rPr>
        <w:t>Le Programme de Développement Socio-sanitaire (PRODESS III) 2014-2018 (première tranche quinquennale du PDDSS) a été validé le 04 Juin 2014. Le PRODESS III a été bâti suivant une approche participative, ascendante et décentralisée. Il suit la vision et les orientations stratégiques du PDDSS 2014-2023.</w:t>
      </w:r>
    </w:p>
    <w:p w:rsidR="00022F7D" w:rsidRPr="00425A7F" w:rsidRDefault="00022F7D" w:rsidP="00022F7D">
      <w:pPr>
        <w:jc w:val="both"/>
        <w:rPr>
          <w:rFonts w:asciiTheme="minorHAnsi" w:hAnsiTheme="minorHAnsi" w:cs="Arial"/>
        </w:rPr>
      </w:pPr>
    </w:p>
    <w:p w:rsidR="00022F7D" w:rsidRPr="00425A7F" w:rsidRDefault="00022F7D" w:rsidP="00022F7D">
      <w:pPr>
        <w:pStyle w:val="Default"/>
        <w:jc w:val="both"/>
        <w:rPr>
          <w:rFonts w:asciiTheme="minorHAnsi" w:hAnsiTheme="minorHAnsi" w:cs="Arial"/>
          <w:color w:val="auto"/>
          <w:sz w:val="22"/>
          <w:szCs w:val="22"/>
        </w:rPr>
      </w:pPr>
      <w:r w:rsidRPr="00425A7F">
        <w:rPr>
          <w:rFonts w:asciiTheme="minorHAnsi" w:hAnsiTheme="minorHAnsi" w:cs="Arial"/>
          <w:color w:val="auto"/>
          <w:sz w:val="22"/>
          <w:szCs w:val="22"/>
        </w:rPr>
        <w:t xml:space="preserve">Les objectifs stratégiques (OS) du PDDSS 2014-2023 dont le PRODESS III constitue la première tranche quinquennale sont au nombre de onze (11) : </w:t>
      </w:r>
    </w:p>
    <w:p w:rsidR="00022F7D" w:rsidRPr="00425A7F" w:rsidRDefault="00022F7D" w:rsidP="00022F7D">
      <w:pPr>
        <w:pStyle w:val="Default"/>
        <w:jc w:val="both"/>
        <w:rPr>
          <w:rFonts w:asciiTheme="minorHAnsi" w:hAnsiTheme="minorHAnsi" w:cs="Arial"/>
          <w:color w:val="auto"/>
          <w:sz w:val="22"/>
          <w:szCs w:val="22"/>
        </w:rPr>
      </w:pPr>
    </w:p>
    <w:p w:rsidR="00022F7D" w:rsidRPr="00425A7F" w:rsidRDefault="00022F7D" w:rsidP="00C52415">
      <w:pPr>
        <w:pStyle w:val="Default"/>
        <w:numPr>
          <w:ilvl w:val="0"/>
          <w:numId w:val="16"/>
        </w:numPr>
        <w:spacing w:after="22"/>
        <w:jc w:val="both"/>
        <w:rPr>
          <w:rFonts w:asciiTheme="minorHAnsi" w:hAnsiTheme="minorHAnsi" w:cs="Arial"/>
          <w:color w:val="auto"/>
          <w:sz w:val="22"/>
          <w:szCs w:val="22"/>
        </w:rPr>
      </w:pPr>
      <w:r w:rsidRPr="00425A7F">
        <w:rPr>
          <w:rFonts w:asciiTheme="minorHAnsi" w:hAnsiTheme="minorHAnsi" w:cs="Arial"/>
          <w:color w:val="auto"/>
          <w:sz w:val="22"/>
          <w:szCs w:val="22"/>
        </w:rPr>
        <w:t>Réduire la morbidité et la mortalité maternelle, néonatale, infantile et infanto-juvénile ;</w:t>
      </w:r>
    </w:p>
    <w:p w:rsidR="00022F7D" w:rsidRPr="00425A7F" w:rsidRDefault="00022F7D" w:rsidP="00C52415">
      <w:pPr>
        <w:pStyle w:val="Default"/>
        <w:numPr>
          <w:ilvl w:val="0"/>
          <w:numId w:val="16"/>
        </w:numPr>
        <w:spacing w:after="22"/>
        <w:jc w:val="both"/>
        <w:rPr>
          <w:rFonts w:asciiTheme="minorHAnsi" w:hAnsiTheme="minorHAnsi" w:cs="Arial"/>
          <w:color w:val="auto"/>
          <w:sz w:val="22"/>
          <w:szCs w:val="22"/>
        </w:rPr>
      </w:pPr>
      <w:r w:rsidRPr="00425A7F">
        <w:rPr>
          <w:rFonts w:asciiTheme="minorHAnsi" w:hAnsiTheme="minorHAnsi" w:cs="Arial"/>
          <w:color w:val="auto"/>
          <w:sz w:val="22"/>
          <w:szCs w:val="22"/>
        </w:rPr>
        <w:t>Réduire la morbidité et la mortalité liées aux maladies transmissibles ;</w:t>
      </w:r>
    </w:p>
    <w:p w:rsidR="00022F7D" w:rsidRPr="00425A7F" w:rsidRDefault="00022F7D" w:rsidP="00C52415">
      <w:pPr>
        <w:pStyle w:val="Default"/>
        <w:numPr>
          <w:ilvl w:val="0"/>
          <w:numId w:val="16"/>
        </w:numPr>
        <w:spacing w:after="22"/>
        <w:jc w:val="both"/>
        <w:rPr>
          <w:rFonts w:asciiTheme="minorHAnsi" w:hAnsiTheme="minorHAnsi" w:cs="Arial"/>
          <w:color w:val="auto"/>
          <w:sz w:val="22"/>
          <w:szCs w:val="22"/>
        </w:rPr>
      </w:pPr>
      <w:r w:rsidRPr="00425A7F">
        <w:rPr>
          <w:rFonts w:asciiTheme="minorHAnsi" w:hAnsiTheme="minorHAnsi" w:cs="Arial"/>
          <w:color w:val="auto"/>
          <w:sz w:val="22"/>
          <w:szCs w:val="22"/>
        </w:rPr>
        <w:t>Réduire la morbidité, la mortalité et les handicaps liés aux maladies non transmissibles ;</w:t>
      </w:r>
    </w:p>
    <w:p w:rsidR="00022F7D" w:rsidRPr="00425A7F" w:rsidRDefault="00022F7D" w:rsidP="00C52415">
      <w:pPr>
        <w:pStyle w:val="Default"/>
        <w:numPr>
          <w:ilvl w:val="0"/>
          <w:numId w:val="16"/>
        </w:numPr>
        <w:spacing w:after="22"/>
        <w:jc w:val="both"/>
        <w:rPr>
          <w:rFonts w:asciiTheme="minorHAnsi" w:hAnsiTheme="minorHAnsi" w:cs="Arial"/>
          <w:color w:val="auto"/>
          <w:sz w:val="22"/>
          <w:szCs w:val="22"/>
        </w:rPr>
      </w:pPr>
      <w:r w:rsidRPr="00425A7F">
        <w:rPr>
          <w:rFonts w:asciiTheme="minorHAnsi" w:hAnsiTheme="minorHAnsi" w:cs="Arial"/>
          <w:color w:val="auto"/>
          <w:sz w:val="22"/>
          <w:szCs w:val="22"/>
        </w:rPr>
        <w:t>Promouvoir un environnement sain en s’attaquant aux déterminants sociaux de la santé ;</w:t>
      </w:r>
    </w:p>
    <w:p w:rsidR="00022F7D" w:rsidRPr="00425A7F" w:rsidRDefault="00022F7D" w:rsidP="00C52415">
      <w:pPr>
        <w:pStyle w:val="Default"/>
        <w:numPr>
          <w:ilvl w:val="0"/>
          <w:numId w:val="16"/>
        </w:numPr>
        <w:spacing w:after="22"/>
        <w:jc w:val="both"/>
        <w:rPr>
          <w:rFonts w:asciiTheme="minorHAnsi" w:hAnsiTheme="minorHAnsi" w:cs="Arial"/>
          <w:color w:val="auto"/>
          <w:sz w:val="22"/>
          <w:szCs w:val="22"/>
        </w:rPr>
      </w:pPr>
      <w:r w:rsidRPr="00425A7F">
        <w:rPr>
          <w:rFonts w:asciiTheme="minorHAnsi" w:hAnsiTheme="minorHAnsi" w:cs="Arial"/>
          <w:color w:val="auto"/>
          <w:sz w:val="22"/>
          <w:szCs w:val="22"/>
        </w:rPr>
        <w:t>Réduire les conséquences sanitaires des urgences liées aux désastres, crises et conflits, et minimiser leur impact social et économique ;</w:t>
      </w:r>
    </w:p>
    <w:p w:rsidR="00022F7D" w:rsidRPr="00425A7F" w:rsidRDefault="00022F7D" w:rsidP="00C52415">
      <w:pPr>
        <w:pStyle w:val="Default"/>
        <w:numPr>
          <w:ilvl w:val="0"/>
          <w:numId w:val="16"/>
        </w:numPr>
        <w:spacing w:after="22"/>
        <w:jc w:val="both"/>
        <w:rPr>
          <w:rFonts w:asciiTheme="minorHAnsi" w:hAnsiTheme="minorHAnsi" w:cs="Arial"/>
          <w:color w:val="auto"/>
          <w:sz w:val="22"/>
          <w:szCs w:val="22"/>
        </w:rPr>
      </w:pPr>
      <w:r w:rsidRPr="00425A7F">
        <w:rPr>
          <w:rFonts w:asciiTheme="minorHAnsi" w:hAnsiTheme="minorHAnsi" w:cs="Arial"/>
          <w:color w:val="auto"/>
          <w:sz w:val="22"/>
          <w:szCs w:val="22"/>
        </w:rPr>
        <w:t>Augmenter l’offre et l’utilisation de services de santé de qualité, répartis de manière équitable et répondant aux besoins des populations ;</w:t>
      </w:r>
    </w:p>
    <w:p w:rsidR="00022F7D" w:rsidRPr="00425A7F" w:rsidRDefault="00022F7D" w:rsidP="00C52415">
      <w:pPr>
        <w:pStyle w:val="Default"/>
        <w:numPr>
          <w:ilvl w:val="0"/>
          <w:numId w:val="16"/>
        </w:numPr>
        <w:spacing w:after="22"/>
        <w:jc w:val="both"/>
        <w:rPr>
          <w:rFonts w:asciiTheme="minorHAnsi" w:hAnsiTheme="minorHAnsi" w:cs="Arial"/>
          <w:color w:val="auto"/>
          <w:sz w:val="22"/>
          <w:szCs w:val="22"/>
        </w:rPr>
      </w:pPr>
      <w:r w:rsidRPr="00425A7F">
        <w:rPr>
          <w:rFonts w:asciiTheme="minorHAnsi" w:hAnsiTheme="minorHAnsi" w:cs="Arial"/>
          <w:color w:val="auto"/>
          <w:sz w:val="22"/>
          <w:szCs w:val="22"/>
        </w:rPr>
        <w:t>Assurer un meilleur accès, une meilleure qualité et utilisation des produits pharmaceutiques y compris les réactifs de laboratoire, les vaccins et les produits sanguins ;</w:t>
      </w:r>
    </w:p>
    <w:p w:rsidR="00022F7D" w:rsidRPr="00425A7F" w:rsidRDefault="00022F7D" w:rsidP="00C52415">
      <w:pPr>
        <w:pStyle w:val="Default"/>
        <w:numPr>
          <w:ilvl w:val="0"/>
          <w:numId w:val="16"/>
        </w:numPr>
        <w:spacing w:after="22"/>
        <w:jc w:val="both"/>
        <w:rPr>
          <w:rFonts w:asciiTheme="minorHAnsi" w:hAnsiTheme="minorHAnsi" w:cs="Arial"/>
          <w:color w:val="auto"/>
          <w:sz w:val="22"/>
          <w:szCs w:val="22"/>
        </w:rPr>
      </w:pPr>
      <w:r w:rsidRPr="00425A7F">
        <w:rPr>
          <w:rFonts w:asciiTheme="minorHAnsi" w:hAnsiTheme="minorHAnsi" w:cs="Arial"/>
          <w:color w:val="auto"/>
          <w:sz w:val="22"/>
          <w:szCs w:val="22"/>
        </w:rPr>
        <w:t xml:space="preserve">Assurer la disponibilité des ressources humaines (hommes et femmes) qualifiées, compétentes, performantes et de façon équitable ; </w:t>
      </w:r>
    </w:p>
    <w:p w:rsidR="00022F7D" w:rsidRPr="00425A7F" w:rsidRDefault="00022F7D" w:rsidP="00C52415">
      <w:pPr>
        <w:pStyle w:val="Default"/>
        <w:numPr>
          <w:ilvl w:val="0"/>
          <w:numId w:val="16"/>
        </w:numPr>
        <w:spacing w:after="22"/>
        <w:jc w:val="both"/>
        <w:rPr>
          <w:rFonts w:asciiTheme="minorHAnsi" w:hAnsiTheme="minorHAnsi" w:cs="Arial"/>
          <w:color w:val="auto"/>
          <w:sz w:val="22"/>
          <w:szCs w:val="22"/>
        </w:rPr>
      </w:pPr>
      <w:r w:rsidRPr="00425A7F">
        <w:rPr>
          <w:rFonts w:asciiTheme="minorHAnsi" w:hAnsiTheme="minorHAnsi" w:cs="Arial"/>
          <w:color w:val="auto"/>
          <w:sz w:val="22"/>
          <w:szCs w:val="22"/>
        </w:rPr>
        <w:t>Développer un système de financement permettant une meilleure mobilisation et utilisation des ressources financières pour la santé, une meilleure accessibilité aux services de santé, une gestion transparente et qui incite les prestataires et les utilisateurs à être plus efficients ;</w:t>
      </w:r>
    </w:p>
    <w:p w:rsidR="00022F7D" w:rsidRPr="00425A7F" w:rsidRDefault="00022F7D" w:rsidP="00C52415">
      <w:pPr>
        <w:pStyle w:val="Default"/>
        <w:numPr>
          <w:ilvl w:val="0"/>
          <w:numId w:val="16"/>
        </w:numPr>
        <w:spacing w:after="22"/>
        <w:jc w:val="both"/>
        <w:rPr>
          <w:rFonts w:asciiTheme="minorHAnsi" w:hAnsiTheme="minorHAnsi" w:cs="Arial"/>
          <w:color w:val="auto"/>
          <w:sz w:val="22"/>
          <w:szCs w:val="22"/>
        </w:rPr>
      </w:pPr>
      <w:r w:rsidRPr="00425A7F">
        <w:rPr>
          <w:rFonts w:asciiTheme="minorHAnsi" w:hAnsiTheme="minorHAnsi" w:cs="Arial"/>
          <w:color w:val="auto"/>
          <w:sz w:val="22"/>
          <w:szCs w:val="22"/>
        </w:rPr>
        <w:lastRenderedPageBreak/>
        <w:t xml:space="preserve">Assurer la production, l’analyse, la dissémination et l’utilisation d’informations sanitaires fiables ventilées par sexe et à jour sur les déterminants de la santé, la performance du système de santé et le statut sanitaire ; </w:t>
      </w:r>
    </w:p>
    <w:p w:rsidR="00022F7D" w:rsidRPr="00425A7F" w:rsidRDefault="00022F7D" w:rsidP="00C52415">
      <w:pPr>
        <w:pStyle w:val="Default"/>
        <w:numPr>
          <w:ilvl w:val="0"/>
          <w:numId w:val="16"/>
        </w:numPr>
        <w:spacing w:after="240"/>
        <w:jc w:val="both"/>
        <w:rPr>
          <w:rFonts w:asciiTheme="minorHAnsi" w:hAnsiTheme="minorHAnsi" w:cs="Arial"/>
          <w:color w:val="auto"/>
          <w:sz w:val="22"/>
          <w:szCs w:val="22"/>
        </w:rPr>
      </w:pPr>
      <w:r w:rsidRPr="00425A7F">
        <w:rPr>
          <w:rFonts w:asciiTheme="minorHAnsi" w:hAnsiTheme="minorHAnsi" w:cs="Arial"/>
          <w:color w:val="auto"/>
          <w:sz w:val="22"/>
          <w:szCs w:val="22"/>
        </w:rPr>
        <w:t xml:space="preserve">Assurer une gouvernance du système de santé permettant une meilleure prise en compte du genre, une meilleure planification stratégique et opérationnelle, une implication effective de toutes les parties prenantes, une meilleure coordination de mise en œuvre des interventions, le renforcement des audits (interne, externe) et du contrôle. </w:t>
      </w:r>
    </w:p>
    <w:p w:rsidR="005547B6" w:rsidRPr="00425A7F" w:rsidRDefault="00EC21AA" w:rsidP="00F24E98">
      <w:pPr>
        <w:widowControl w:val="0"/>
        <w:suppressAutoHyphens/>
        <w:jc w:val="both"/>
        <w:rPr>
          <w:rFonts w:asciiTheme="minorHAnsi" w:hAnsiTheme="minorHAnsi" w:cs="Arial"/>
        </w:rPr>
      </w:pPr>
      <w:r w:rsidRPr="00425A7F">
        <w:rPr>
          <w:rFonts w:asciiTheme="minorHAnsi" w:hAnsiTheme="minorHAnsi" w:cs="Arial"/>
        </w:rPr>
        <w:t xml:space="preserve">Dans le cadre de la mise en œuvre de la politique de décentralisation, le Gouvernement de la République du Mali a transféré certaines compétences </w:t>
      </w:r>
      <w:r w:rsidR="00543259" w:rsidRPr="00425A7F">
        <w:rPr>
          <w:rFonts w:asciiTheme="minorHAnsi" w:hAnsiTheme="minorHAnsi" w:cs="Arial"/>
        </w:rPr>
        <w:t>et ressources aux collectivités</w:t>
      </w:r>
      <w:r w:rsidRPr="00425A7F">
        <w:rPr>
          <w:rFonts w:asciiTheme="minorHAnsi" w:hAnsiTheme="minorHAnsi" w:cs="Arial"/>
        </w:rPr>
        <w:t xml:space="preserve"> territoriales </w:t>
      </w:r>
      <w:r w:rsidRPr="00425A7F">
        <w:rPr>
          <w:rFonts w:asciiTheme="minorHAnsi" w:hAnsiTheme="minorHAnsi" w:cs="Arial"/>
          <w:bCs/>
        </w:rPr>
        <w:t>des niveaux Commune et Cercle</w:t>
      </w:r>
      <w:r w:rsidRPr="00425A7F">
        <w:rPr>
          <w:rFonts w:asciiTheme="minorHAnsi" w:hAnsiTheme="minorHAnsi" w:cs="Arial"/>
        </w:rPr>
        <w:t xml:space="preserve"> suivant le décret 02-314/P-RM du 04 Juin 2002. </w:t>
      </w:r>
    </w:p>
    <w:p w:rsidR="005547B6" w:rsidRPr="00425A7F" w:rsidRDefault="005547B6" w:rsidP="00F24E98">
      <w:pPr>
        <w:widowControl w:val="0"/>
        <w:suppressAutoHyphens/>
        <w:jc w:val="both"/>
        <w:rPr>
          <w:rFonts w:asciiTheme="minorHAnsi" w:hAnsiTheme="minorHAnsi" w:cs="Arial"/>
        </w:rPr>
      </w:pPr>
    </w:p>
    <w:p w:rsidR="005547B6" w:rsidRPr="00425A7F" w:rsidRDefault="00EC21AA" w:rsidP="00F24E98">
      <w:pPr>
        <w:widowControl w:val="0"/>
        <w:suppressAutoHyphens/>
        <w:jc w:val="both"/>
        <w:rPr>
          <w:rFonts w:asciiTheme="minorHAnsi" w:hAnsiTheme="minorHAnsi" w:cs="Arial"/>
        </w:rPr>
      </w:pPr>
      <w:r w:rsidRPr="00425A7F">
        <w:rPr>
          <w:rFonts w:asciiTheme="minorHAnsi" w:hAnsiTheme="minorHAnsi" w:cs="Arial"/>
        </w:rPr>
        <w:t xml:space="preserve">La politique nationale de santé est renforcée dans sa mise en œuvre par l’élaboration de la politique de solidarité et des personnes âgées (1993), la </w:t>
      </w:r>
      <w:r w:rsidR="008A56F8" w:rsidRPr="00425A7F">
        <w:rPr>
          <w:rFonts w:asciiTheme="minorHAnsi" w:hAnsiTheme="minorHAnsi" w:cs="Arial"/>
        </w:rPr>
        <w:t xml:space="preserve">déclaration de </w:t>
      </w:r>
      <w:r w:rsidRPr="00425A7F">
        <w:rPr>
          <w:rFonts w:asciiTheme="minorHAnsi" w:hAnsiTheme="minorHAnsi" w:cs="Arial"/>
        </w:rPr>
        <w:t xml:space="preserve">politique </w:t>
      </w:r>
      <w:r w:rsidR="00D142E2" w:rsidRPr="00425A7F">
        <w:rPr>
          <w:rFonts w:asciiTheme="minorHAnsi" w:hAnsiTheme="minorHAnsi" w:cs="Arial"/>
        </w:rPr>
        <w:t>de protection sociale (2002)</w:t>
      </w:r>
      <w:r w:rsidR="00D0233B">
        <w:rPr>
          <w:rFonts w:asciiTheme="minorHAnsi" w:hAnsiTheme="minorHAnsi" w:cs="Arial"/>
        </w:rPr>
        <w:t>, la politique nationale de promotion de l’économie sociale et solidaire (2015)</w:t>
      </w:r>
      <w:r w:rsidR="008A56F8" w:rsidRPr="00425A7F">
        <w:rPr>
          <w:rFonts w:asciiTheme="minorHAnsi" w:hAnsiTheme="minorHAnsi" w:cs="Arial"/>
        </w:rPr>
        <w:t xml:space="preserve"> la politique </w:t>
      </w:r>
      <w:r w:rsidR="00D0233B">
        <w:rPr>
          <w:rFonts w:asciiTheme="minorHAnsi" w:hAnsiTheme="minorHAnsi" w:cs="Arial"/>
        </w:rPr>
        <w:t xml:space="preserve">nationale </w:t>
      </w:r>
      <w:r w:rsidR="008A56F8" w:rsidRPr="00425A7F">
        <w:rPr>
          <w:rFonts w:asciiTheme="minorHAnsi" w:hAnsiTheme="minorHAnsi" w:cs="Arial"/>
        </w:rPr>
        <w:t>de protection sociale (2016)</w:t>
      </w:r>
      <w:r w:rsidR="00D142E2" w:rsidRPr="00425A7F">
        <w:rPr>
          <w:rFonts w:asciiTheme="minorHAnsi" w:hAnsiTheme="minorHAnsi" w:cs="Arial"/>
        </w:rPr>
        <w:t xml:space="preserve">, </w:t>
      </w:r>
      <w:r w:rsidRPr="00425A7F">
        <w:rPr>
          <w:rFonts w:asciiTheme="minorHAnsi" w:hAnsiTheme="minorHAnsi" w:cs="Arial"/>
        </w:rPr>
        <w:t xml:space="preserve">la politique nationale de promotion de la femme et de l’enfant (2002) et la Politique Nationale Genre (2010). </w:t>
      </w:r>
    </w:p>
    <w:p w:rsidR="005547B6" w:rsidRPr="00425A7F" w:rsidRDefault="005547B6" w:rsidP="00F24E98">
      <w:pPr>
        <w:widowControl w:val="0"/>
        <w:suppressAutoHyphens/>
        <w:jc w:val="both"/>
        <w:rPr>
          <w:rFonts w:asciiTheme="minorHAnsi" w:hAnsiTheme="minorHAnsi" w:cs="Arial"/>
        </w:rPr>
      </w:pPr>
    </w:p>
    <w:p w:rsidR="005547B6" w:rsidRPr="00425A7F" w:rsidRDefault="00EC21AA" w:rsidP="00C52415">
      <w:pPr>
        <w:pStyle w:val="Titre2"/>
        <w:numPr>
          <w:ilvl w:val="0"/>
          <w:numId w:val="10"/>
        </w:numPr>
      </w:pPr>
      <w:bookmarkStart w:id="11" w:name="_Toc321859526"/>
      <w:bookmarkStart w:id="12" w:name="_Toc328493855"/>
      <w:bookmarkStart w:id="13" w:name="_Toc497294474"/>
      <w:r w:rsidRPr="00425A7F">
        <w:t>Organisation du système de santé</w:t>
      </w:r>
      <w:bookmarkEnd w:id="11"/>
      <w:bookmarkEnd w:id="12"/>
      <w:bookmarkEnd w:id="13"/>
    </w:p>
    <w:p w:rsidR="005547B6" w:rsidRPr="00425A7F" w:rsidRDefault="00EC21AA" w:rsidP="00F24E98">
      <w:pPr>
        <w:widowControl w:val="0"/>
        <w:suppressAutoHyphens/>
        <w:jc w:val="both"/>
        <w:rPr>
          <w:rFonts w:asciiTheme="minorHAnsi" w:hAnsiTheme="minorHAnsi" w:cs="Arial"/>
        </w:rPr>
      </w:pPr>
      <w:r w:rsidRPr="00425A7F">
        <w:rPr>
          <w:rFonts w:asciiTheme="minorHAnsi" w:hAnsiTheme="minorHAnsi" w:cs="Arial"/>
        </w:rPr>
        <w:t xml:space="preserve">Le système de santé est composé de l’ensemble des structures et organismes publics (Etat et collectivités territoriales), privés, communautaires (associations et mutuelles, fondations) et confessionnels ainsi que les ordres professionnels de la santé dont l’action concourt à la mise en œuvre de la politique nationale de santé. </w:t>
      </w:r>
    </w:p>
    <w:p w:rsidR="005547B6" w:rsidRPr="00425A7F" w:rsidRDefault="005547B6" w:rsidP="00F24E98">
      <w:pPr>
        <w:widowControl w:val="0"/>
        <w:suppressAutoHyphens/>
        <w:jc w:val="both"/>
        <w:rPr>
          <w:rFonts w:asciiTheme="minorHAnsi" w:hAnsiTheme="minorHAnsi" w:cs="Arial"/>
        </w:rPr>
      </w:pPr>
    </w:p>
    <w:p w:rsidR="005F7BA6" w:rsidRPr="00425A7F" w:rsidRDefault="00EC21AA" w:rsidP="00F24E98">
      <w:pPr>
        <w:widowControl w:val="0"/>
        <w:suppressAutoHyphens/>
        <w:jc w:val="both"/>
        <w:rPr>
          <w:rFonts w:asciiTheme="minorHAnsi" w:hAnsiTheme="minorHAnsi" w:cs="Arial"/>
        </w:rPr>
      </w:pPr>
      <w:r w:rsidRPr="00425A7F">
        <w:rPr>
          <w:rFonts w:asciiTheme="minorHAnsi" w:hAnsiTheme="minorHAnsi" w:cs="Arial"/>
        </w:rPr>
        <w:t>Au niveau institutionnel, le système de santé est structuré en trois niveaux:</w:t>
      </w:r>
    </w:p>
    <w:p w:rsidR="005547B6" w:rsidRPr="00425A7F" w:rsidRDefault="00EC21AA" w:rsidP="00487AB2">
      <w:pPr>
        <w:widowControl w:val="0"/>
        <w:numPr>
          <w:ilvl w:val="0"/>
          <w:numId w:val="4"/>
        </w:numPr>
        <w:suppressAutoHyphens/>
        <w:ind w:left="714" w:hanging="357"/>
        <w:jc w:val="both"/>
        <w:rPr>
          <w:rFonts w:asciiTheme="minorHAnsi" w:hAnsiTheme="minorHAnsi" w:cs="Arial"/>
        </w:rPr>
      </w:pPr>
      <w:r w:rsidRPr="00425A7F">
        <w:rPr>
          <w:rFonts w:asciiTheme="minorHAnsi" w:hAnsiTheme="minorHAnsi" w:cs="Arial"/>
        </w:rPr>
        <w:t>le niveau opérationnel : le cercle constitue l’</w:t>
      </w:r>
      <w:r w:rsidR="00543259" w:rsidRPr="00425A7F">
        <w:rPr>
          <w:rFonts w:asciiTheme="minorHAnsi" w:hAnsiTheme="minorHAnsi" w:cs="Arial"/>
        </w:rPr>
        <w:t>unité opérationnelle chargée de</w:t>
      </w:r>
      <w:r w:rsidRPr="00425A7F">
        <w:rPr>
          <w:rFonts w:asciiTheme="minorHAnsi" w:hAnsiTheme="minorHAnsi" w:cs="Arial"/>
        </w:rPr>
        <w:t xml:space="preserve"> planifier le développement de la santé, de la budgétiser et d’en assurer la gestion ;</w:t>
      </w:r>
    </w:p>
    <w:p w:rsidR="005547B6" w:rsidRPr="00425A7F" w:rsidRDefault="00EC21AA" w:rsidP="00487AB2">
      <w:pPr>
        <w:widowControl w:val="0"/>
        <w:numPr>
          <w:ilvl w:val="0"/>
          <w:numId w:val="4"/>
        </w:numPr>
        <w:suppressAutoHyphens/>
        <w:ind w:left="714" w:hanging="357"/>
        <w:jc w:val="both"/>
        <w:rPr>
          <w:rFonts w:asciiTheme="minorHAnsi" w:hAnsiTheme="minorHAnsi" w:cs="Arial"/>
        </w:rPr>
      </w:pPr>
      <w:r w:rsidRPr="00425A7F">
        <w:rPr>
          <w:rFonts w:asciiTheme="minorHAnsi" w:hAnsiTheme="minorHAnsi" w:cs="Arial"/>
        </w:rPr>
        <w:t>le niveau régional est celui de l’appui technique au premier niveau ;</w:t>
      </w:r>
    </w:p>
    <w:p w:rsidR="005547B6" w:rsidRPr="00425A7F" w:rsidRDefault="00EC21AA" w:rsidP="00487AB2">
      <w:pPr>
        <w:widowControl w:val="0"/>
        <w:numPr>
          <w:ilvl w:val="0"/>
          <w:numId w:val="4"/>
        </w:numPr>
        <w:suppressAutoHyphens/>
        <w:jc w:val="both"/>
        <w:rPr>
          <w:rFonts w:asciiTheme="minorHAnsi" w:hAnsiTheme="minorHAnsi" w:cs="Arial"/>
        </w:rPr>
      </w:pPr>
      <w:r w:rsidRPr="00425A7F">
        <w:rPr>
          <w:rFonts w:asciiTheme="minorHAnsi" w:hAnsiTheme="minorHAnsi" w:cs="Arial"/>
        </w:rPr>
        <w:t>le niveau national est le niveau stratégique qui définit les orientations stratégiques et détermine les investissements et le fonctionnement. En outre</w:t>
      </w:r>
      <w:r w:rsidR="002B031F" w:rsidRPr="00425A7F">
        <w:rPr>
          <w:rFonts w:asciiTheme="minorHAnsi" w:hAnsiTheme="minorHAnsi" w:cs="Arial"/>
        </w:rPr>
        <w:t>,</w:t>
      </w:r>
      <w:r w:rsidRPr="00425A7F">
        <w:rPr>
          <w:rFonts w:asciiTheme="minorHAnsi" w:hAnsiTheme="minorHAnsi" w:cs="Arial"/>
        </w:rPr>
        <w:t xml:space="preserve"> il définit les critères d’efficience, d’équité et de viabilité. Il veille à l’application des normes et standards. Il s’efforce de mobiliser les ressources privées, celles de l’Etat et celles des bailleurs de fonds pour le financement des soins de qualité accessibles à tous.</w:t>
      </w:r>
    </w:p>
    <w:p w:rsidR="005547B6" w:rsidRPr="00425A7F" w:rsidRDefault="005547B6" w:rsidP="00F24E98">
      <w:pPr>
        <w:widowControl w:val="0"/>
        <w:suppressAutoHyphens/>
        <w:jc w:val="both"/>
        <w:rPr>
          <w:rFonts w:asciiTheme="minorHAnsi" w:hAnsiTheme="minorHAnsi" w:cs="Arial"/>
        </w:rPr>
      </w:pPr>
    </w:p>
    <w:p w:rsidR="005547B6" w:rsidRPr="00425A7F" w:rsidRDefault="00EC21AA" w:rsidP="00F24E98">
      <w:pPr>
        <w:widowControl w:val="0"/>
        <w:suppressAutoHyphens/>
        <w:jc w:val="both"/>
        <w:rPr>
          <w:rFonts w:asciiTheme="minorHAnsi" w:hAnsiTheme="minorHAnsi" w:cs="Arial"/>
        </w:rPr>
      </w:pPr>
      <w:r w:rsidRPr="00425A7F">
        <w:rPr>
          <w:rFonts w:asciiTheme="minorHAnsi" w:hAnsiTheme="minorHAnsi" w:cs="Arial"/>
        </w:rPr>
        <w:t xml:space="preserve">Les collectivités territoriales participent à l’administration de la santé dans les conditions définies </w:t>
      </w:r>
      <w:r w:rsidR="00C46C02" w:rsidRPr="00425A7F">
        <w:rPr>
          <w:rFonts w:asciiTheme="minorHAnsi" w:hAnsiTheme="minorHAnsi" w:cs="Arial"/>
          <w:bCs/>
        </w:rPr>
        <w:t>par la loi n°</w:t>
      </w:r>
      <w:r w:rsidRPr="00425A7F">
        <w:rPr>
          <w:rFonts w:asciiTheme="minorHAnsi" w:hAnsiTheme="minorHAnsi" w:cs="Arial"/>
          <w:bCs/>
        </w:rPr>
        <w:t xml:space="preserve">95-034 du </w:t>
      </w:r>
      <w:r w:rsidR="00614B71" w:rsidRPr="00425A7F">
        <w:rPr>
          <w:rFonts w:ascii="Tahoma" w:hAnsi="Tahoma" w:cs="Tahoma"/>
          <w:color w:val="000000"/>
          <w:sz w:val="19"/>
          <w:szCs w:val="19"/>
          <w:shd w:val="clear" w:color="auto" w:fill="FFFFFF"/>
        </w:rPr>
        <w:t xml:space="preserve">12 avril 1995 </w:t>
      </w:r>
      <w:r w:rsidRPr="00425A7F">
        <w:rPr>
          <w:rFonts w:asciiTheme="minorHAnsi" w:hAnsiTheme="minorHAnsi" w:cs="Arial"/>
          <w:bCs/>
        </w:rPr>
        <w:t>portant code</w:t>
      </w:r>
      <w:r w:rsidRPr="00425A7F">
        <w:rPr>
          <w:rFonts w:asciiTheme="minorHAnsi" w:hAnsiTheme="minorHAnsi" w:cs="Arial"/>
        </w:rPr>
        <w:t xml:space="preserve"> des collectivités territoriales. Ainsi le conseil communal, le conseil de cercle et </w:t>
      </w:r>
      <w:r w:rsidR="00246D00" w:rsidRPr="00425A7F">
        <w:rPr>
          <w:rFonts w:asciiTheme="minorHAnsi" w:hAnsiTheme="minorHAnsi" w:cs="Arial"/>
        </w:rPr>
        <w:t>le Conseil Régional</w:t>
      </w:r>
      <w:r w:rsidRPr="00425A7F">
        <w:rPr>
          <w:rFonts w:asciiTheme="minorHAnsi" w:hAnsiTheme="minorHAnsi" w:cs="Arial"/>
        </w:rPr>
        <w:t xml:space="preserve"> délibèrent sur la politique de création et de gestion des dispensaires, des maternités et des centres de santé communautaires et des hôpitaux régionaux. Ils délibèrent également sur les mesures d’hygiène </w:t>
      </w:r>
      <w:r w:rsidRPr="00425A7F">
        <w:rPr>
          <w:rFonts w:asciiTheme="minorHAnsi" w:hAnsiTheme="minorHAnsi" w:cs="Arial"/>
          <w:bCs/>
        </w:rPr>
        <w:t>publique, d’assainissement</w:t>
      </w:r>
      <w:r w:rsidRPr="00425A7F">
        <w:rPr>
          <w:rFonts w:asciiTheme="minorHAnsi" w:hAnsiTheme="minorHAnsi" w:cs="Arial"/>
        </w:rPr>
        <w:t xml:space="preserve"> et de solidarité en direction des populations rurales.</w:t>
      </w:r>
    </w:p>
    <w:p w:rsidR="005547B6" w:rsidRPr="00425A7F" w:rsidRDefault="005547B6" w:rsidP="00F24E98">
      <w:pPr>
        <w:widowControl w:val="0"/>
        <w:suppressAutoHyphens/>
        <w:jc w:val="both"/>
        <w:rPr>
          <w:rFonts w:asciiTheme="minorHAnsi" w:hAnsiTheme="minorHAnsi" w:cs="Arial"/>
        </w:rPr>
      </w:pPr>
    </w:p>
    <w:p w:rsidR="005547B6" w:rsidRPr="00425A7F" w:rsidRDefault="00EC21AA" w:rsidP="00F24E98">
      <w:pPr>
        <w:widowControl w:val="0"/>
        <w:suppressAutoHyphens/>
        <w:jc w:val="both"/>
        <w:rPr>
          <w:rFonts w:asciiTheme="minorHAnsi" w:hAnsiTheme="minorHAnsi" w:cs="Arial"/>
        </w:rPr>
      </w:pPr>
      <w:r w:rsidRPr="00425A7F">
        <w:rPr>
          <w:rFonts w:asciiTheme="minorHAnsi" w:hAnsiTheme="minorHAnsi" w:cs="Arial"/>
        </w:rPr>
        <w:t>Les Ordres professionnels du secteur de la santé participent à l’exécution de la Politique Nationale de Santé dans les conditions fixées par la loi.</w:t>
      </w:r>
    </w:p>
    <w:p w:rsidR="005547B6" w:rsidRPr="00425A7F" w:rsidRDefault="005547B6" w:rsidP="00F24E98">
      <w:pPr>
        <w:widowControl w:val="0"/>
        <w:suppressAutoHyphens/>
        <w:jc w:val="both"/>
        <w:rPr>
          <w:rFonts w:asciiTheme="minorHAnsi" w:hAnsiTheme="minorHAnsi" w:cs="Arial"/>
        </w:rPr>
      </w:pPr>
    </w:p>
    <w:p w:rsidR="00246D00" w:rsidRPr="00425A7F" w:rsidRDefault="00246D00" w:rsidP="00246D00">
      <w:pPr>
        <w:widowControl w:val="0"/>
        <w:suppressAutoHyphens/>
        <w:jc w:val="both"/>
        <w:rPr>
          <w:rFonts w:asciiTheme="minorHAnsi" w:hAnsiTheme="minorHAnsi" w:cs="Arial"/>
        </w:rPr>
      </w:pPr>
      <w:r w:rsidRPr="00425A7F">
        <w:rPr>
          <w:rFonts w:asciiTheme="minorHAnsi" w:hAnsiTheme="minorHAnsi" w:cs="Arial"/>
        </w:rPr>
        <w:t>Au niveau des structures de prestations de soins, la pyramide sanitaire se décline en trois niveaux. Le niveau district sanitaire avec 2 échelons ; le premier échelon qui est la base de la pyramide ou premier niveau de recours aux soins, offre le Paquet Minimum d’Activités (PMA) dans les Centres de Santé Communautaires (CSCom) au nombre de 1 294 en 2016. Il existe d’autres structures de santé: parapubliques, confessionnelles, dispensaires, maternités rurales et établissements de santé privés, environ 1335 en 2015 qui complètent le premier échelon. Le deuxième échelon qui offre la première référence, est constitué par les 63 Centres de Santé de Référence (CSRéf).</w:t>
      </w:r>
    </w:p>
    <w:p w:rsidR="00942BA3" w:rsidRPr="00425A7F" w:rsidRDefault="00942BA3" w:rsidP="00942BA3">
      <w:pPr>
        <w:pStyle w:val="Paragraphedeliste"/>
        <w:widowControl w:val="0"/>
        <w:suppressAutoHyphens/>
        <w:spacing w:after="0" w:line="240" w:lineRule="auto"/>
        <w:ind w:left="0"/>
        <w:contextualSpacing w:val="0"/>
        <w:jc w:val="both"/>
        <w:rPr>
          <w:rFonts w:cs="Arial"/>
        </w:rPr>
      </w:pPr>
    </w:p>
    <w:p w:rsidR="001710F1" w:rsidRPr="00425A7F" w:rsidRDefault="001710F1" w:rsidP="001710F1">
      <w:pPr>
        <w:widowControl w:val="0"/>
        <w:suppressAutoHyphens/>
        <w:jc w:val="both"/>
        <w:rPr>
          <w:rFonts w:asciiTheme="minorHAnsi" w:hAnsiTheme="minorHAnsi" w:cs="Arial"/>
        </w:rPr>
      </w:pPr>
      <w:r w:rsidRPr="00425A7F">
        <w:rPr>
          <w:rFonts w:asciiTheme="minorHAnsi" w:hAnsiTheme="minorHAnsi" w:cs="Arial"/>
          <w:b/>
        </w:rPr>
        <w:t xml:space="preserve">Le niveau intermédiaire </w:t>
      </w:r>
      <w:r w:rsidRPr="00425A7F">
        <w:rPr>
          <w:rFonts w:asciiTheme="minorHAnsi" w:hAnsiTheme="minorHAnsi" w:cs="Arial"/>
        </w:rPr>
        <w:t>regroupe 7 Établissements Publics Hospitaliers (EPH) assurant la 2</w:t>
      </w:r>
      <w:r w:rsidRPr="00425A7F">
        <w:rPr>
          <w:rFonts w:asciiTheme="minorHAnsi" w:hAnsiTheme="minorHAnsi" w:cs="Arial"/>
          <w:vertAlign w:val="superscript"/>
        </w:rPr>
        <w:t>ème</w:t>
      </w:r>
      <w:r w:rsidRPr="00425A7F">
        <w:rPr>
          <w:rFonts w:asciiTheme="minorHAnsi" w:hAnsiTheme="minorHAnsi" w:cs="Arial"/>
        </w:rPr>
        <w:t xml:space="preserve"> référence à vocation générale et situés dans les </w:t>
      </w:r>
      <w:r w:rsidR="008F1066" w:rsidRPr="00425A7F">
        <w:rPr>
          <w:rFonts w:asciiTheme="minorHAnsi" w:hAnsiTheme="minorHAnsi" w:cs="Arial"/>
        </w:rPr>
        <w:t>chefs-lieux</w:t>
      </w:r>
      <w:r w:rsidRPr="00425A7F">
        <w:rPr>
          <w:rFonts w:asciiTheme="minorHAnsi" w:hAnsiTheme="minorHAnsi" w:cs="Arial"/>
        </w:rPr>
        <w:t xml:space="preserve"> des différentes régions. A ceux-ci s’ajoute l’Hôpital « Mère-enfant » le Luxembourg, un hôpital privé associé à la mission du service public hospitalier. </w:t>
      </w:r>
    </w:p>
    <w:p w:rsidR="001710F1" w:rsidRPr="00425A7F" w:rsidRDefault="001710F1" w:rsidP="00942BA3">
      <w:pPr>
        <w:pStyle w:val="Paragraphedeliste"/>
        <w:widowControl w:val="0"/>
        <w:suppressAutoHyphens/>
        <w:spacing w:after="0" w:line="240" w:lineRule="auto"/>
        <w:ind w:left="0"/>
        <w:contextualSpacing w:val="0"/>
        <w:jc w:val="both"/>
        <w:rPr>
          <w:rFonts w:cs="Arial"/>
        </w:rPr>
      </w:pPr>
    </w:p>
    <w:p w:rsidR="005547B6" w:rsidRPr="00425A7F" w:rsidRDefault="00942BA3" w:rsidP="002A698C">
      <w:pPr>
        <w:widowControl w:val="0"/>
        <w:suppressAutoHyphens/>
        <w:jc w:val="both"/>
        <w:rPr>
          <w:rFonts w:asciiTheme="minorHAnsi" w:hAnsiTheme="minorHAnsi" w:cs="Arial"/>
        </w:rPr>
      </w:pPr>
      <w:r w:rsidRPr="00425A7F">
        <w:rPr>
          <w:rFonts w:asciiTheme="minorHAnsi" w:hAnsiTheme="minorHAnsi" w:cs="Arial"/>
        </w:rPr>
        <w:t>L</w:t>
      </w:r>
      <w:r w:rsidR="00EC21AA" w:rsidRPr="00425A7F">
        <w:rPr>
          <w:rFonts w:asciiTheme="minorHAnsi" w:hAnsiTheme="minorHAnsi" w:cs="Arial"/>
          <w:b/>
        </w:rPr>
        <w:t xml:space="preserve">e niveau central </w:t>
      </w:r>
      <w:r w:rsidRPr="00425A7F">
        <w:rPr>
          <w:rFonts w:asciiTheme="minorHAnsi" w:hAnsiTheme="minorHAnsi" w:cs="Arial"/>
        </w:rPr>
        <w:t>comprend</w:t>
      </w:r>
      <w:r w:rsidR="00EC21AA" w:rsidRPr="00425A7F">
        <w:rPr>
          <w:rFonts w:asciiTheme="minorHAnsi" w:hAnsiTheme="minorHAnsi" w:cs="Arial"/>
        </w:rPr>
        <w:t xml:space="preserve"> 5 Etablissements Publics Hospitaliers</w:t>
      </w:r>
      <w:r w:rsidR="002A698C" w:rsidRPr="00425A7F">
        <w:rPr>
          <w:rFonts w:asciiTheme="minorHAnsi" w:hAnsiTheme="minorHAnsi" w:cs="Arial"/>
        </w:rPr>
        <w:t xml:space="preserve"> qui prennent en charge la 3ème référence et</w:t>
      </w:r>
      <w:r w:rsidR="00EC21AA" w:rsidRPr="00425A7F">
        <w:rPr>
          <w:rFonts w:asciiTheme="minorHAnsi" w:hAnsiTheme="minorHAnsi" w:cs="Arial"/>
        </w:rPr>
        <w:t xml:space="preserve"> constituent</w:t>
      </w:r>
      <w:r w:rsidR="002A698C" w:rsidRPr="00425A7F">
        <w:rPr>
          <w:rFonts w:asciiTheme="minorHAnsi" w:hAnsiTheme="minorHAnsi" w:cs="Arial"/>
        </w:rPr>
        <w:t xml:space="preserve"> le sommet de la pyramide</w:t>
      </w:r>
      <w:r w:rsidR="00EC21AA" w:rsidRPr="00425A7F">
        <w:rPr>
          <w:rFonts w:asciiTheme="minorHAnsi" w:hAnsiTheme="minorHAnsi" w:cs="Arial"/>
        </w:rPr>
        <w:t>.</w:t>
      </w:r>
    </w:p>
    <w:p w:rsidR="005547B6" w:rsidRPr="00425A7F" w:rsidRDefault="005547B6" w:rsidP="002A698C">
      <w:pPr>
        <w:widowControl w:val="0"/>
        <w:suppressAutoHyphens/>
        <w:jc w:val="both"/>
        <w:rPr>
          <w:rFonts w:asciiTheme="minorHAnsi" w:hAnsiTheme="minorHAnsi" w:cs="Arial"/>
        </w:rPr>
      </w:pPr>
    </w:p>
    <w:p w:rsidR="005547B6" w:rsidRPr="00425A7F" w:rsidRDefault="00EC21AA" w:rsidP="00F24E98">
      <w:pPr>
        <w:pStyle w:val="Paragraphedeliste"/>
        <w:widowControl w:val="0"/>
        <w:suppressAutoHyphens/>
        <w:spacing w:after="0" w:line="240" w:lineRule="auto"/>
        <w:ind w:left="0"/>
        <w:contextualSpacing w:val="0"/>
        <w:jc w:val="both"/>
        <w:rPr>
          <w:rFonts w:cs="Arial"/>
        </w:rPr>
      </w:pPr>
      <w:r w:rsidRPr="00425A7F">
        <w:rPr>
          <w:rFonts w:cs="Arial"/>
        </w:rPr>
        <w:t>La loi d’orientation sur la Santé indique que l’extension de la couverture sanitaire est un objectif essentiel du PDDSS. A cet effet, elle institue une carte sanitaire, adoptée par décret pris en Conseil de Ministres et révisée tous les cinq ans, qui repose sur le découpage du territoire national en districts sanitaires et en aires de santé</w:t>
      </w:r>
      <w:r w:rsidRPr="00425A7F">
        <w:rPr>
          <w:rFonts w:cs="Arial"/>
          <w:b/>
          <w:bCs/>
        </w:rPr>
        <w:t xml:space="preserve"> </w:t>
      </w:r>
      <w:r w:rsidRPr="00425A7F">
        <w:rPr>
          <w:rFonts w:cs="Arial"/>
        </w:rPr>
        <w:t>complété par la carte hospitalière.</w:t>
      </w:r>
    </w:p>
    <w:p w:rsidR="005547B6" w:rsidRPr="00425A7F" w:rsidRDefault="005547B6" w:rsidP="00F24E98">
      <w:pPr>
        <w:pStyle w:val="Paragraphedeliste"/>
        <w:widowControl w:val="0"/>
        <w:suppressAutoHyphens/>
        <w:spacing w:after="0" w:line="240" w:lineRule="auto"/>
        <w:ind w:left="0"/>
        <w:contextualSpacing w:val="0"/>
        <w:jc w:val="both"/>
        <w:rPr>
          <w:rFonts w:cs="Arial"/>
        </w:rPr>
      </w:pPr>
    </w:p>
    <w:p w:rsidR="005547B6" w:rsidRPr="00425A7F" w:rsidRDefault="00EC21AA" w:rsidP="002E277D">
      <w:pPr>
        <w:pStyle w:val="Paragraphedeliste"/>
        <w:widowControl w:val="0"/>
        <w:suppressAutoHyphens/>
        <w:spacing w:after="0" w:line="240" w:lineRule="auto"/>
        <w:ind w:left="0"/>
        <w:contextualSpacing w:val="0"/>
        <w:jc w:val="both"/>
        <w:rPr>
          <w:rFonts w:cs="Arial"/>
        </w:rPr>
      </w:pPr>
      <w:r w:rsidRPr="00425A7F">
        <w:rPr>
          <w:rFonts w:cs="Arial"/>
        </w:rPr>
        <w:t>Ce dispositif est complété par le secteur privé, les services de santé de l’Armée et les struct</w:t>
      </w:r>
      <w:r w:rsidR="000B4DC9" w:rsidRPr="00425A7F">
        <w:rPr>
          <w:rFonts w:cs="Arial"/>
        </w:rPr>
        <w:t>ures de santé confessionnelles.</w:t>
      </w:r>
      <w:r w:rsidR="007A66B7" w:rsidRPr="00425A7F">
        <w:rPr>
          <w:rFonts w:cs="Arial"/>
        </w:rPr>
        <w:t xml:space="preserve"> </w:t>
      </w:r>
      <w:r w:rsidRPr="00425A7F">
        <w:rPr>
          <w:rFonts w:cs="Arial"/>
        </w:rPr>
        <w:t>Les établissements du secteur privé</w:t>
      </w:r>
      <w:r w:rsidR="002A698C" w:rsidRPr="00425A7F">
        <w:rPr>
          <w:rFonts w:cs="Arial"/>
        </w:rPr>
        <w:t xml:space="preserve"> </w:t>
      </w:r>
      <w:r w:rsidRPr="00425A7F">
        <w:rPr>
          <w:rFonts w:cs="Arial"/>
        </w:rPr>
        <w:t>sont de plusieurs catégories, notamment médical, paramédical, pharmaceutique et traditionnel. Le</w:t>
      </w:r>
      <w:r w:rsidR="002A698C" w:rsidRPr="00425A7F">
        <w:rPr>
          <w:rFonts w:cs="Arial"/>
        </w:rPr>
        <w:t>ur</w:t>
      </w:r>
      <w:r w:rsidRPr="00425A7F">
        <w:rPr>
          <w:rFonts w:cs="Arial"/>
        </w:rPr>
        <w:t xml:space="preserve"> nombre a fortement augmenté au cours des deux dernières décennies</w:t>
      </w:r>
      <w:r w:rsidR="002A698C" w:rsidRPr="00425A7F">
        <w:rPr>
          <w:rFonts w:cs="Arial"/>
        </w:rPr>
        <w:t> ; e</w:t>
      </w:r>
      <w:r w:rsidRPr="00425A7F">
        <w:rPr>
          <w:rFonts w:cs="Arial"/>
        </w:rPr>
        <w:t>n 2011 on a dénombré 1038 structures privées</w:t>
      </w:r>
      <w:r w:rsidR="002A698C" w:rsidRPr="00425A7F">
        <w:rPr>
          <w:rFonts w:cs="Arial"/>
        </w:rPr>
        <w:t xml:space="preserve"> selon les statistiques de la Direction Nationale de la Santé</w:t>
      </w:r>
      <w:r w:rsidRPr="00425A7F">
        <w:rPr>
          <w:rFonts w:cs="Arial"/>
        </w:rPr>
        <w:t>. Malgré son développement, surtout dans les grandes villes, le secteur privé suit une évolution moins maîtrisée et ses données sont insuffisamment prises en compte par le système d’information sanitaire.</w:t>
      </w:r>
      <w:r w:rsidR="002E277D" w:rsidRPr="00425A7F">
        <w:rPr>
          <w:rFonts w:cs="Arial"/>
        </w:rPr>
        <w:t xml:space="preserve"> </w:t>
      </w:r>
      <w:r w:rsidR="002A698C" w:rsidRPr="00425A7F">
        <w:rPr>
          <w:rFonts w:cs="Arial"/>
        </w:rPr>
        <w:t>Quant aux services de santé de l’Armée, i</w:t>
      </w:r>
      <w:r w:rsidRPr="00425A7F">
        <w:rPr>
          <w:rFonts w:cs="Arial"/>
        </w:rPr>
        <w:t xml:space="preserve">ls </w:t>
      </w:r>
      <w:r w:rsidR="002A698C" w:rsidRPr="00425A7F">
        <w:rPr>
          <w:rFonts w:cs="Arial"/>
        </w:rPr>
        <w:t xml:space="preserve">étaient au nombre de 19 en 2011 et </w:t>
      </w:r>
      <w:r w:rsidRPr="00425A7F">
        <w:rPr>
          <w:rFonts w:cs="Arial"/>
        </w:rPr>
        <w:t>se composent de postes médicaux, d’infirmeries, de maternités de garnison et d’infirmer</w:t>
      </w:r>
      <w:r w:rsidR="002A698C" w:rsidRPr="00425A7F">
        <w:rPr>
          <w:rFonts w:cs="Arial"/>
        </w:rPr>
        <w:t>ies-hôpitaux.</w:t>
      </w:r>
      <w:r w:rsidR="002E277D" w:rsidRPr="00425A7F">
        <w:rPr>
          <w:rFonts w:cs="Arial"/>
        </w:rPr>
        <w:t xml:space="preserve"> Enfin o</w:t>
      </w:r>
      <w:r w:rsidR="002E277D" w:rsidRPr="00425A7F">
        <w:rPr>
          <w:rFonts w:cs="Arial"/>
          <w:lang w:eastAsia="fr-FR"/>
        </w:rPr>
        <w:t xml:space="preserve">n dénombrait 25 </w:t>
      </w:r>
      <w:r w:rsidRPr="00425A7F">
        <w:rPr>
          <w:rFonts w:cs="Arial"/>
          <w:lang w:eastAsia="fr-FR"/>
        </w:rPr>
        <w:t xml:space="preserve">structures de prestation de services </w:t>
      </w:r>
      <w:r w:rsidR="002E277D" w:rsidRPr="00425A7F">
        <w:rPr>
          <w:rFonts w:cs="Arial"/>
          <w:lang w:eastAsia="fr-FR"/>
        </w:rPr>
        <w:t>appartenant aux o</w:t>
      </w:r>
      <w:r w:rsidRPr="00425A7F">
        <w:rPr>
          <w:rFonts w:cs="Arial"/>
          <w:lang w:eastAsia="fr-FR"/>
        </w:rPr>
        <w:t xml:space="preserve">rganisations religieuses </w:t>
      </w:r>
      <w:r w:rsidR="002E277D" w:rsidRPr="00425A7F">
        <w:rPr>
          <w:rFonts w:cs="Arial"/>
          <w:lang w:eastAsia="fr-FR"/>
        </w:rPr>
        <w:t>en 2011</w:t>
      </w:r>
      <w:r w:rsidRPr="00425A7F">
        <w:rPr>
          <w:rFonts w:cs="Arial"/>
        </w:rPr>
        <w:t>.</w:t>
      </w:r>
    </w:p>
    <w:p w:rsidR="005547B6" w:rsidRPr="00425A7F" w:rsidRDefault="005547B6" w:rsidP="00F24E98">
      <w:pPr>
        <w:pStyle w:val="Paragraphedeliste"/>
        <w:widowControl w:val="0"/>
        <w:suppressAutoHyphens/>
        <w:spacing w:after="0" w:line="240" w:lineRule="auto"/>
        <w:ind w:left="0"/>
        <w:contextualSpacing w:val="0"/>
        <w:jc w:val="both"/>
        <w:rPr>
          <w:rFonts w:cs="Arial"/>
        </w:rPr>
      </w:pPr>
    </w:p>
    <w:p w:rsidR="005547B6" w:rsidRPr="00425A7F" w:rsidRDefault="00EC21AA" w:rsidP="00F24E98">
      <w:pPr>
        <w:pStyle w:val="Paragraphedeliste"/>
        <w:widowControl w:val="0"/>
        <w:suppressAutoHyphens/>
        <w:spacing w:after="0" w:line="240" w:lineRule="auto"/>
        <w:ind w:left="0"/>
        <w:contextualSpacing w:val="0"/>
        <w:jc w:val="both"/>
        <w:rPr>
          <w:rFonts w:cs="Arial"/>
        </w:rPr>
      </w:pPr>
      <w:r w:rsidRPr="00425A7F">
        <w:rPr>
          <w:rFonts w:cs="Arial"/>
        </w:rPr>
        <w:t xml:space="preserve">A côté du système moderne de santé, il existe au Mali </w:t>
      </w:r>
      <w:r w:rsidRPr="00425A7F">
        <w:rPr>
          <w:rFonts w:cs="Arial"/>
          <w:b/>
        </w:rPr>
        <w:t>une médecine traditionnelle riche et variée</w:t>
      </w:r>
      <w:r w:rsidRPr="00425A7F">
        <w:rPr>
          <w:rFonts w:cs="Arial"/>
        </w:rPr>
        <w:t>, qui est présente dans tous les quartiers des villes et dans tous les villages et qui constitue le premier recours aux soins pour la majorité de la population.</w:t>
      </w:r>
    </w:p>
    <w:p w:rsidR="00341F9A" w:rsidRPr="00425A7F" w:rsidRDefault="00341F9A" w:rsidP="00F24E98">
      <w:pPr>
        <w:widowControl w:val="0"/>
        <w:suppressAutoHyphens/>
        <w:jc w:val="both"/>
      </w:pPr>
    </w:p>
    <w:p w:rsidR="001B7333" w:rsidRPr="00425A7F" w:rsidRDefault="00F24E98" w:rsidP="00C52415">
      <w:pPr>
        <w:pStyle w:val="Titre2"/>
        <w:numPr>
          <w:ilvl w:val="0"/>
          <w:numId w:val="10"/>
        </w:numPr>
      </w:pPr>
      <w:bookmarkStart w:id="14" w:name="_Toc497294475"/>
      <w:r w:rsidRPr="00425A7F">
        <w:t>Situation sociale</w:t>
      </w:r>
      <w:bookmarkEnd w:id="14"/>
    </w:p>
    <w:p w:rsidR="001B7333" w:rsidRPr="00425A7F" w:rsidRDefault="001B7333" w:rsidP="001B7333">
      <w:pPr>
        <w:autoSpaceDE w:val="0"/>
        <w:autoSpaceDN w:val="0"/>
        <w:adjustRightInd w:val="0"/>
        <w:spacing w:after="181"/>
        <w:rPr>
          <w:rFonts w:eastAsia="Calibri"/>
          <w:szCs w:val="28"/>
        </w:rPr>
      </w:pPr>
      <w:r w:rsidRPr="00425A7F">
        <w:rPr>
          <w:rFonts w:eastAsia="Calibri"/>
          <w:szCs w:val="28"/>
        </w:rPr>
        <w:t xml:space="preserve">La pauvreté a connu une diminution au cours de la première moitié de la précédente décennie, principalement liée à une réduction en milieu rural, suivie par une tendance à l’augmentation depuis 2009. En effet, le taux de pauvreté a diminué de 12 points de pourcentage passant de 55,6 % à 43,7 % entre 2001 et 2009. Cette diminution est surtout imputable à une diminution de la pauvreté dans le milieu rural (66,8 % à 51,2 %) et à une diminution de la pauvreté à Bamako (17,6 % à 9,6 %). </w:t>
      </w:r>
    </w:p>
    <w:p w:rsidR="001B7333" w:rsidRPr="00425A7F" w:rsidRDefault="001B7333" w:rsidP="001B7333">
      <w:pPr>
        <w:autoSpaceDE w:val="0"/>
        <w:autoSpaceDN w:val="0"/>
        <w:adjustRightInd w:val="0"/>
        <w:spacing w:after="181"/>
        <w:rPr>
          <w:rFonts w:eastAsia="Calibri"/>
          <w:szCs w:val="28"/>
        </w:rPr>
      </w:pPr>
      <w:r w:rsidRPr="00425A7F">
        <w:rPr>
          <w:rFonts w:eastAsia="Calibri"/>
          <w:szCs w:val="28"/>
        </w:rPr>
        <w:t xml:space="preserve">Durant la même période, le taux de pauvreté a suivi une évolution contraire dans les villes autres que Bamako passant de 28,6 % à 32 %. </w:t>
      </w:r>
    </w:p>
    <w:p w:rsidR="001B7333" w:rsidRPr="00425A7F" w:rsidRDefault="001B7333" w:rsidP="001B7333">
      <w:pPr>
        <w:autoSpaceDE w:val="0"/>
        <w:autoSpaceDN w:val="0"/>
        <w:adjustRightInd w:val="0"/>
        <w:spacing w:after="181"/>
        <w:rPr>
          <w:rFonts w:eastAsia="Calibri"/>
          <w:szCs w:val="28"/>
        </w:rPr>
      </w:pPr>
      <w:r w:rsidRPr="00425A7F">
        <w:rPr>
          <w:rFonts w:eastAsia="Calibri"/>
          <w:szCs w:val="28"/>
        </w:rPr>
        <w:t xml:space="preserve">A partir de 2009, le taux de pauvreté affiche une tendance à la hausse. Il est passé de 43,7 % à 47,2 % entre 2009 et 2015. Cette tendance à l’augmentation est surtout perceptible dans les villes autres que Bamako puisque dans ces milieux, le taux de pauvreté est passé de 32 % à 47,7 %. </w:t>
      </w:r>
    </w:p>
    <w:p w:rsidR="005D3FAE" w:rsidRPr="00425A7F" w:rsidRDefault="001B7333" w:rsidP="005D3FAE">
      <w:pPr>
        <w:autoSpaceDE w:val="0"/>
        <w:autoSpaceDN w:val="0"/>
        <w:adjustRightInd w:val="0"/>
        <w:rPr>
          <w:rFonts w:eastAsia="Calibri"/>
          <w:szCs w:val="28"/>
        </w:rPr>
      </w:pPr>
      <w:r w:rsidRPr="00425A7F">
        <w:rPr>
          <w:rFonts w:eastAsia="Calibri"/>
          <w:szCs w:val="28"/>
        </w:rPr>
        <w:t>Si la reprise économique en 2014 marquée par un rebond du taux de croissance à 7 % avait contribué à une réduction timide (-0,2 points de pourcentage) de la pauvreté entre 2013 et 2014, cette tendance à la baisse ne semble pas s’être poursuivie en 2015, puisque la pauvreté affiche une légère augmentation de 46,9 % en 2014 à 47,2 % en 2015. Cette augmentation est perceptible dans les différents milieux : urbain hors Bamako (+0,8%), rural (+0,3%), Bamako (+0,1%). La situation sécuritaire dans le pays depuis 2012 continue d’impacter de manière très significative sur la lutte contre la pauvreté</w:t>
      </w:r>
      <w:r w:rsidRPr="00425A7F">
        <w:rPr>
          <w:rStyle w:val="Appelnotedebasdep"/>
          <w:rFonts w:eastAsia="Calibri"/>
          <w:szCs w:val="28"/>
        </w:rPr>
        <w:footnoteReference w:id="9"/>
      </w:r>
      <w:r w:rsidR="005D3FAE" w:rsidRPr="00425A7F">
        <w:rPr>
          <w:rFonts w:eastAsia="Calibri"/>
          <w:szCs w:val="28"/>
        </w:rPr>
        <w:t>.</w:t>
      </w:r>
    </w:p>
    <w:p w:rsidR="005D3FAE" w:rsidRPr="00425A7F" w:rsidRDefault="005D3FAE" w:rsidP="005D3FAE">
      <w:pPr>
        <w:autoSpaceDE w:val="0"/>
        <w:autoSpaceDN w:val="0"/>
        <w:adjustRightInd w:val="0"/>
        <w:rPr>
          <w:rFonts w:eastAsia="Calibri"/>
          <w:szCs w:val="28"/>
        </w:rPr>
      </w:pPr>
    </w:p>
    <w:p w:rsidR="005D3FAE" w:rsidRPr="00425A7F" w:rsidRDefault="005D3FAE" w:rsidP="005D3FAE">
      <w:pPr>
        <w:autoSpaceDE w:val="0"/>
        <w:autoSpaceDN w:val="0"/>
        <w:adjustRightInd w:val="0"/>
        <w:rPr>
          <w:rFonts w:eastAsia="Calibri"/>
          <w:szCs w:val="28"/>
        </w:rPr>
      </w:pPr>
      <w:r w:rsidRPr="00425A7F">
        <w:rPr>
          <w:rFonts w:eastAsia="Calibri"/>
          <w:szCs w:val="28"/>
        </w:rPr>
        <w:t>Avec un IDH de 0.442, le Mali se situe au 181</w:t>
      </w:r>
      <w:r w:rsidRPr="00425A7F">
        <w:rPr>
          <w:rFonts w:eastAsia="Calibri"/>
          <w:szCs w:val="28"/>
          <w:vertAlign w:val="superscript"/>
        </w:rPr>
        <w:t>ème</w:t>
      </w:r>
      <w:r w:rsidRPr="00425A7F">
        <w:rPr>
          <w:rFonts w:eastAsia="Calibri"/>
          <w:szCs w:val="28"/>
        </w:rPr>
        <w:t xml:space="preserve"> rang sur 194</w:t>
      </w:r>
      <w:r w:rsidRPr="00425A7F">
        <w:rPr>
          <w:rStyle w:val="Appelnotedebasdep"/>
          <w:rFonts w:eastAsia="Calibri"/>
          <w:szCs w:val="28"/>
        </w:rPr>
        <w:footnoteReference w:id="10"/>
      </w:r>
      <w:r w:rsidRPr="00425A7F">
        <w:rPr>
          <w:rFonts w:eastAsia="Calibri"/>
          <w:szCs w:val="28"/>
        </w:rPr>
        <w:t>.</w:t>
      </w:r>
    </w:p>
    <w:p w:rsidR="005D3FAE" w:rsidRPr="00425A7F" w:rsidRDefault="005D3FAE" w:rsidP="001B7333">
      <w:pPr>
        <w:autoSpaceDE w:val="0"/>
        <w:autoSpaceDN w:val="0"/>
        <w:adjustRightInd w:val="0"/>
        <w:rPr>
          <w:rFonts w:eastAsia="Calibri"/>
          <w:szCs w:val="28"/>
        </w:rPr>
      </w:pPr>
    </w:p>
    <w:p w:rsidR="001B7333" w:rsidRPr="00425A7F" w:rsidRDefault="001B7333" w:rsidP="001B7333">
      <w:pPr>
        <w:autoSpaceDE w:val="0"/>
        <w:autoSpaceDN w:val="0"/>
        <w:adjustRightInd w:val="0"/>
        <w:rPr>
          <w:rFonts w:eastAsia="Calibri"/>
          <w:szCs w:val="28"/>
        </w:rPr>
      </w:pPr>
      <w:r w:rsidRPr="00425A7F">
        <w:rPr>
          <w:rFonts w:eastAsia="Calibri"/>
          <w:szCs w:val="28"/>
        </w:rPr>
        <w:t xml:space="preserve">S’agissant de l’Inégalité, il ressort que sur la période 2001-2015 </w:t>
      </w:r>
      <w:r w:rsidRPr="00425A7F">
        <w:rPr>
          <w:rFonts w:eastAsia="Calibri"/>
          <w:b/>
          <w:szCs w:val="28"/>
        </w:rPr>
        <w:t>l’indice de Gini</w:t>
      </w:r>
      <w:r w:rsidRPr="00425A7F">
        <w:rPr>
          <w:rFonts w:eastAsia="Calibri"/>
          <w:szCs w:val="28"/>
        </w:rPr>
        <w:t xml:space="preserve"> est passé de 0,39 à 0,32 entre 2001 et 2009, traduisant ainsi une réduction substantielle des disparités, alors qu’il est passé entre 2011 et 2015 de 0,42 à 0,34 marquant la très grande variabilité du phénomène d’une année à une autre.</w:t>
      </w:r>
      <w:r w:rsidRPr="00425A7F">
        <w:rPr>
          <w:rStyle w:val="Appelnotedebasdep"/>
          <w:rFonts w:eastAsia="Calibri"/>
          <w:szCs w:val="28"/>
        </w:rPr>
        <w:footnoteReference w:id="11"/>
      </w:r>
      <w:r w:rsidRPr="00425A7F">
        <w:rPr>
          <w:rFonts w:eastAsia="Calibri"/>
          <w:szCs w:val="28"/>
        </w:rPr>
        <w:t xml:space="preserve"> </w:t>
      </w:r>
    </w:p>
    <w:p w:rsidR="002E277D" w:rsidRPr="00425A7F" w:rsidRDefault="002E277D" w:rsidP="002E277D">
      <w:pPr>
        <w:contextualSpacing/>
        <w:mirrorIndents/>
        <w:jc w:val="both"/>
      </w:pPr>
    </w:p>
    <w:p w:rsidR="002E277D" w:rsidRPr="00425A7F" w:rsidRDefault="002E277D" w:rsidP="00F24E98">
      <w:pPr>
        <w:pStyle w:val="Corpsdetexte2"/>
        <w:widowControl w:val="0"/>
        <w:suppressAutoHyphens/>
        <w:spacing w:after="0" w:line="240" w:lineRule="auto"/>
        <w:jc w:val="both"/>
        <w:rPr>
          <w:rFonts w:cs="Arial"/>
        </w:rPr>
      </w:pPr>
    </w:p>
    <w:p w:rsidR="0002595D" w:rsidRPr="00425A7F" w:rsidRDefault="00BF7533" w:rsidP="00C52415">
      <w:pPr>
        <w:pStyle w:val="Titre2"/>
        <w:numPr>
          <w:ilvl w:val="0"/>
          <w:numId w:val="10"/>
        </w:numPr>
        <w:rPr>
          <w:rFonts w:asciiTheme="majorHAnsi" w:eastAsiaTheme="majorEastAsia" w:hAnsiTheme="majorHAnsi" w:cstheme="majorBidi"/>
          <w:bCs/>
          <w:color w:val="4F81BD" w:themeColor="accent1"/>
          <w:sz w:val="26"/>
        </w:rPr>
      </w:pPr>
      <w:bookmarkStart w:id="15" w:name="_Toc497294476"/>
      <w:r w:rsidRPr="00425A7F">
        <w:t>Justification</w:t>
      </w:r>
      <w:r w:rsidR="009F2488" w:rsidRPr="00425A7F">
        <w:t xml:space="preserve"> de la </w:t>
      </w:r>
      <w:r w:rsidRPr="00425A7F">
        <w:t>stratégie</w:t>
      </w:r>
      <w:r w:rsidR="00F82CF7" w:rsidRPr="00425A7F">
        <w:t xml:space="preserve"> de</w:t>
      </w:r>
      <w:r w:rsidR="0002595D" w:rsidRPr="00425A7F">
        <w:t xml:space="preserve"> </w:t>
      </w:r>
      <w:r w:rsidR="001314B5" w:rsidRPr="00425A7F">
        <w:t>financement de la santé</w:t>
      </w:r>
      <w:r w:rsidR="0002595D" w:rsidRPr="00425A7F">
        <w:t xml:space="preserve"> pour l</w:t>
      </w:r>
      <w:r w:rsidR="00F82CF7" w:rsidRPr="00425A7F">
        <w:t>e développement de l</w:t>
      </w:r>
      <w:r w:rsidR="0002595D" w:rsidRPr="00425A7F">
        <w:t xml:space="preserve">a </w:t>
      </w:r>
      <w:r w:rsidR="002C37D7" w:rsidRPr="00425A7F">
        <w:t>couverture sanitaire universelle</w:t>
      </w:r>
      <w:bookmarkEnd w:id="15"/>
    </w:p>
    <w:p w:rsidR="00893C9B" w:rsidRPr="00425A7F" w:rsidRDefault="00893C9B" w:rsidP="00F24E98">
      <w:pPr>
        <w:widowControl w:val="0"/>
        <w:suppressAutoHyphens/>
        <w:jc w:val="both"/>
      </w:pPr>
      <w:r w:rsidRPr="00425A7F">
        <w:t xml:space="preserve">Le financement de la santé est un des blocs du système de santé, mais il est aussi une dimension transversale de ce système : l’argent est le nerf de son fonctionnement. En somme une </w:t>
      </w:r>
      <w:r w:rsidR="00BF7533" w:rsidRPr="00425A7F">
        <w:t>stratégie</w:t>
      </w:r>
      <w:r w:rsidRPr="00425A7F">
        <w:t xml:space="preserve"> nationale de financement de la santé est connexe à l’ensemble des blocs du système et prend en considération les conditions financières permettant la performance de chaque bloc et de l’ensemble.</w:t>
      </w:r>
    </w:p>
    <w:p w:rsidR="00893C9B" w:rsidRPr="00425A7F" w:rsidRDefault="00893C9B" w:rsidP="00F24E98">
      <w:pPr>
        <w:widowControl w:val="0"/>
        <w:suppressAutoHyphens/>
        <w:jc w:val="both"/>
        <w:rPr>
          <w:sz w:val="20"/>
          <w:szCs w:val="20"/>
        </w:rPr>
      </w:pPr>
    </w:p>
    <w:p w:rsidR="00893C9B" w:rsidRPr="00425A7F" w:rsidRDefault="00893C9B" w:rsidP="00F24E98">
      <w:pPr>
        <w:widowControl w:val="0"/>
        <w:suppressAutoHyphens/>
        <w:jc w:val="both"/>
      </w:pPr>
      <w:r w:rsidRPr="00425A7F">
        <w:t>Le financement de la santé est un aspect primordial de l’accès aux soins puisque la barrière financière est la plus importante pour les populations lorsqu’elles cherchent à se soigner. Par conséquent</w:t>
      </w:r>
      <w:r w:rsidR="00462B0F" w:rsidRPr="00425A7F">
        <w:t>,</w:t>
      </w:r>
      <w:r w:rsidRPr="00425A7F">
        <w:t xml:space="preserve"> le financement de la santé englobe les conditions de satisfaction d’une demande formulée et non formulée pour la couverture des besoins en soins de santé de la population.</w:t>
      </w:r>
    </w:p>
    <w:p w:rsidR="00893C9B" w:rsidRPr="00425A7F" w:rsidRDefault="00893C9B" w:rsidP="00F24E98">
      <w:pPr>
        <w:widowControl w:val="0"/>
        <w:suppressAutoHyphens/>
        <w:jc w:val="both"/>
        <w:rPr>
          <w:sz w:val="20"/>
          <w:szCs w:val="20"/>
        </w:rPr>
      </w:pPr>
    </w:p>
    <w:p w:rsidR="00893C9B" w:rsidRPr="00425A7F" w:rsidRDefault="00893C9B" w:rsidP="00F24E98">
      <w:pPr>
        <w:widowControl w:val="0"/>
        <w:suppressAutoHyphens/>
        <w:jc w:val="both"/>
      </w:pPr>
      <w:r w:rsidRPr="00425A7F">
        <w:t xml:space="preserve">Concevoir une </w:t>
      </w:r>
      <w:r w:rsidR="00BF7533" w:rsidRPr="00425A7F">
        <w:t>stratégie</w:t>
      </w:r>
      <w:r w:rsidRPr="00425A7F">
        <w:t xml:space="preserve"> de financement de la santé pour la </w:t>
      </w:r>
      <w:r w:rsidR="002C37D7" w:rsidRPr="00425A7F">
        <w:t>Couverture sanitaire universelle</w:t>
      </w:r>
      <w:r w:rsidRPr="00425A7F">
        <w:t xml:space="preserve">, c’est donner une direction générale et élaborer les grandes lignes stratégiques nationales pour mettre en place un système de financement performant, qui concourt à la fois à la réalisation d’un système de santé adéquat et à la réalisation des besoins en soins de santé de la population. Plus généralement, il s’agit </w:t>
      </w:r>
      <w:r w:rsidR="00C86A23" w:rsidRPr="00425A7F">
        <w:t>d’une trajectoire essentielle de</w:t>
      </w:r>
      <w:r w:rsidRPr="00425A7F">
        <w:t xml:space="preserve"> la couverture </w:t>
      </w:r>
      <w:r w:rsidR="009B2F0A" w:rsidRPr="00425A7F">
        <w:t xml:space="preserve">sanitaire </w:t>
      </w:r>
      <w:r w:rsidRPr="00425A7F">
        <w:t>universelle.</w:t>
      </w:r>
    </w:p>
    <w:p w:rsidR="00893C9B" w:rsidRPr="00425A7F" w:rsidRDefault="00893C9B" w:rsidP="00F24E98">
      <w:pPr>
        <w:widowControl w:val="0"/>
        <w:suppressAutoHyphens/>
        <w:jc w:val="both"/>
        <w:rPr>
          <w:sz w:val="20"/>
          <w:szCs w:val="20"/>
        </w:rPr>
      </w:pPr>
    </w:p>
    <w:p w:rsidR="00893C9B" w:rsidRPr="00425A7F" w:rsidRDefault="00893C9B" w:rsidP="00F24E98">
      <w:pPr>
        <w:widowControl w:val="0"/>
        <w:suppressAutoHyphens/>
        <w:jc w:val="both"/>
        <w:rPr>
          <w:sz w:val="20"/>
          <w:szCs w:val="20"/>
        </w:rPr>
      </w:pPr>
      <w:r w:rsidRPr="00425A7F">
        <w:t xml:space="preserve">Le financement de la santé peut être analysé au travers ses trois fonctions : la mobilisation des ressources, la mutualisation des ressources et l’achat de services. Ce cadre analytique </w:t>
      </w:r>
      <w:r w:rsidR="000867D2" w:rsidRPr="00425A7F">
        <w:t>est apparu adéquat pour</w:t>
      </w:r>
      <w:r w:rsidRPr="00425A7F">
        <w:t xml:space="preserve"> saisir les limites systémiques du financement et proposer des améliorations. </w:t>
      </w:r>
    </w:p>
    <w:p w:rsidR="00893C9B" w:rsidRPr="00425A7F" w:rsidRDefault="00893C9B" w:rsidP="00F24E98">
      <w:pPr>
        <w:widowControl w:val="0"/>
        <w:suppressAutoHyphens/>
        <w:jc w:val="both"/>
      </w:pPr>
      <w:r w:rsidRPr="00425A7F">
        <w:t xml:space="preserve">Les engagements et l’expérience donnent des indications sur des normes de volumes financiers que le pays doit tenter de mobiliser pour aller vers la couverture </w:t>
      </w:r>
      <w:r w:rsidR="009B2F0A" w:rsidRPr="00425A7F">
        <w:t xml:space="preserve">sanitaire </w:t>
      </w:r>
      <w:r w:rsidRPr="00425A7F">
        <w:t>universelle et obtenir des résultats dans des délais raisonnables. Ces volumes concernent notamment la part des paiements directs des ménages dans le total des dépenses en santé (</w:t>
      </w:r>
      <w:r w:rsidR="009B2F0A" w:rsidRPr="00425A7F">
        <w:t>idéalement</w:t>
      </w:r>
      <w:r w:rsidRPr="00425A7F">
        <w:t xml:space="preserve"> &lt;20%), la part du budget d’Etat consacré à la santé (</w:t>
      </w:r>
      <w:r w:rsidR="009B2F0A" w:rsidRPr="00425A7F">
        <w:t xml:space="preserve">au moins </w:t>
      </w:r>
      <w:r w:rsidRPr="00425A7F">
        <w:t xml:space="preserve">15%, engagement d’Abuja), et les dépenses nationales en santé par personne et par an </w:t>
      </w:r>
      <w:r w:rsidR="009B2F0A" w:rsidRPr="00425A7F">
        <w:t>(idéalement 112$ selon OMS 2017)</w:t>
      </w:r>
      <w:r w:rsidR="009B2F0A" w:rsidRPr="00425A7F">
        <w:rPr>
          <w:rStyle w:val="Appelnotedebasdep"/>
        </w:rPr>
        <w:footnoteReference w:id="12"/>
      </w:r>
      <w:r w:rsidRPr="00425A7F">
        <w:t xml:space="preserve">. Ces volumes sont donc liés au PNB, à l’assiette fiscale ou encore à l’aide extérieure. On appréciera par conséquent le développement de la couverture </w:t>
      </w:r>
      <w:r w:rsidR="009B2F0A" w:rsidRPr="00425A7F">
        <w:t xml:space="preserve">sanitaire </w:t>
      </w:r>
      <w:r w:rsidRPr="00425A7F">
        <w:t>universelle notamment du point de vue des moyens à mobiliser – source et montants - ainsi que de leur allocation.</w:t>
      </w:r>
    </w:p>
    <w:p w:rsidR="00893C9B" w:rsidRPr="00425A7F" w:rsidRDefault="00893C9B" w:rsidP="00F24E98">
      <w:pPr>
        <w:widowControl w:val="0"/>
        <w:suppressAutoHyphens/>
        <w:jc w:val="both"/>
        <w:rPr>
          <w:sz w:val="20"/>
          <w:szCs w:val="20"/>
        </w:rPr>
      </w:pPr>
    </w:p>
    <w:p w:rsidR="00893C9B" w:rsidRPr="00425A7F" w:rsidRDefault="00893C9B" w:rsidP="00F24E98">
      <w:pPr>
        <w:widowControl w:val="0"/>
        <w:suppressAutoHyphens/>
        <w:jc w:val="both"/>
      </w:pPr>
      <w:r w:rsidRPr="00425A7F">
        <w:t xml:space="preserve">De manière particulièrement éloquente, un empilement de dispositifs visant chacun à améliorer l’accès aux soins de qualité de la population peut s’avérer néfaste, d’autant </w:t>
      </w:r>
      <w:r w:rsidR="000867D2" w:rsidRPr="00425A7F">
        <w:t xml:space="preserve">plus </w:t>
      </w:r>
      <w:r w:rsidRPr="00425A7F">
        <w:t xml:space="preserve">si ces dispositifs ne sont pas coordonnés. Il s’agit ici </w:t>
      </w:r>
      <w:r w:rsidR="000867D2" w:rsidRPr="00425A7F">
        <w:t xml:space="preserve">du fractionnement (ou </w:t>
      </w:r>
      <w:r w:rsidRPr="00425A7F">
        <w:t>de la « fragmentation »</w:t>
      </w:r>
      <w:r w:rsidR="000867D2" w:rsidRPr="00425A7F">
        <w:t>)</w:t>
      </w:r>
      <w:r w:rsidRPr="00425A7F">
        <w:t xml:space="preserve">, qui pénalise le développement de la </w:t>
      </w:r>
      <w:r w:rsidR="002C37D7" w:rsidRPr="00425A7F">
        <w:t>couverture sanitaire universelle</w:t>
      </w:r>
      <w:r w:rsidRPr="00425A7F">
        <w:t xml:space="preserve"> à plusieurs titres : éparpillement des ressources humaines, multiplication des dispositions administratives, absence de mutualisation des ressources financières, manque d’analyse critique transversale sur les cibles et sur les moyens mis à disposition, </w:t>
      </w:r>
      <w:r w:rsidRPr="00425A7F">
        <w:lastRenderedPageBreak/>
        <w:t xml:space="preserve">compétition sous-sectorielle contreproductive au lieu de priorisations, errance du dialogue sectoriel, incohérence de la règlementation et de la </w:t>
      </w:r>
      <w:r w:rsidR="00BF7533" w:rsidRPr="00425A7F">
        <w:t>stratégie</w:t>
      </w:r>
      <w:r w:rsidRPr="00425A7F">
        <w:t xml:space="preserve">. Cet enjeu, qui est des plus cruciaux et des moins évidents, invite à une analyse critique </w:t>
      </w:r>
      <w:r w:rsidR="00C86A23" w:rsidRPr="00425A7F">
        <w:t xml:space="preserve">et </w:t>
      </w:r>
      <w:r w:rsidR="000867D2" w:rsidRPr="00425A7F">
        <w:t xml:space="preserve">à </w:t>
      </w:r>
      <w:r w:rsidR="00C86A23" w:rsidRPr="00425A7F">
        <w:t xml:space="preserve">un travail spécifique pour </w:t>
      </w:r>
      <w:r w:rsidRPr="00425A7F">
        <w:t xml:space="preserve">la </w:t>
      </w:r>
      <w:r w:rsidR="000B4DC9" w:rsidRPr="00425A7F">
        <w:t>mutualisation des ressources («pooling</w:t>
      </w:r>
      <w:r w:rsidRPr="00425A7F">
        <w:t>»).</w:t>
      </w:r>
    </w:p>
    <w:p w:rsidR="00893C9B" w:rsidRPr="00425A7F" w:rsidRDefault="00893C9B" w:rsidP="00F24E98">
      <w:pPr>
        <w:widowControl w:val="0"/>
        <w:suppressAutoHyphens/>
        <w:jc w:val="both"/>
        <w:rPr>
          <w:sz w:val="20"/>
          <w:szCs w:val="20"/>
        </w:rPr>
      </w:pPr>
    </w:p>
    <w:p w:rsidR="00893C9B" w:rsidRPr="00425A7F" w:rsidRDefault="00893C9B" w:rsidP="00F24E98">
      <w:pPr>
        <w:widowControl w:val="0"/>
        <w:suppressAutoHyphens/>
        <w:jc w:val="both"/>
      </w:pPr>
      <w:r w:rsidRPr="00425A7F">
        <w:t>En aval, les financements de la santé sont les sources de l’achat de services qui doivent répondre aux besoins en soin</w:t>
      </w:r>
      <w:r w:rsidR="000867D2" w:rsidRPr="00425A7F">
        <w:t>s</w:t>
      </w:r>
      <w:r w:rsidRPr="00425A7F">
        <w:t xml:space="preserve"> de santé. Cette fonction d’achat permet d’envisager la pertinence des services donnés ou disponibles eu égard à leur coût, et de porter une analyse critique sur les échanges économiques qu’ils convoquent. L’efficience des dépenses de soins, leur modalité ou encore la rationalité de ceux-ci, sont autant d’interrogations que pose la fonction d’achat.</w:t>
      </w:r>
    </w:p>
    <w:p w:rsidR="00BF7533" w:rsidRPr="00425A7F" w:rsidRDefault="00BF7533" w:rsidP="00F24E98">
      <w:pPr>
        <w:widowControl w:val="0"/>
        <w:suppressAutoHyphens/>
        <w:jc w:val="both"/>
      </w:pPr>
    </w:p>
    <w:p w:rsidR="00EA65F3" w:rsidRPr="00425A7F" w:rsidRDefault="00EA65F3">
      <w:pPr>
        <w:spacing w:after="200" w:line="276" w:lineRule="auto"/>
        <w:rPr>
          <w:rFonts w:eastAsiaTheme="majorEastAsia" w:cstheme="majorBidi"/>
          <w:b/>
          <w:bCs/>
          <w:sz w:val="32"/>
          <w:szCs w:val="28"/>
          <w:lang w:val="fr-CH"/>
        </w:rPr>
      </w:pPr>
      <w:r w:rsidRPr="00425A7F">
        <w:br w:type="page"/>
      </w:r>
    </w:p>
    <w:p w:rsidR="0002595D" w:rsidRPr="00425A7F" w:rsidRDefault="00EA65F3" w:rsidP="00EA65F3">
      <w:pPr>
        <w:pStyle w:val="Titre1"/>
      </w:pPr>
      <w:bookmarkStart w:id="16" w:name="_Toc497294477"/>
      <w:r w:rsidRPr="00425A7F">
        <w:lastRenderedPageBreak/>
        <w:t>ANALYSE DIAGNOSTIQUE</w:t>
      </w:r>
      <w:bookmarkEnd w:id="16"/>
    </w:p>
    <w:p w:rsidR="0002595D" w:rsidRPr="00425A7F" w:rsidRDefault="0002595D" w:rsidP="00C52415">
      <w:pPr>
        <w:pStyle w:val="Titre2"/>
        <w:numPr>
          <w:ilvl w:val="0"/>
          <w:numId w:val="5"/>
        </w:numPr>
      </w:pPr>
      <w:bookmarkStart w:id="17" w:name="_Toc497294478"/>
      <w:r w:rsidRPr="00425A7F">
        <w:t xml:space="preserve">Analyse du système de </w:t>
      </w:r>
      <w:r w:rsidR="001314B5" w:rsidRPr="00425A7F">
        <w:t>financement de la santé</w:t>
      </w:r>
      <w:bookmarkEnd w:id="17"/>
    </w:p>
    <w:p w:rsidR="0002595D" w:rsidRPr="00425A7F" w:rsidRDefault="0002595D" w:rsidP="00BF7533">
      <w:pPr>
        <w:pStyle w:val="Titre3"/>
      </w:pPr>
      <w:bookmarkStart w:id="18" w:name="_Toc497294479"/>
      <w:r w:rsidRPr="00425A7F">
        <w:t>Architecture</w:t>
      </w:r>
      <w:bookmarkEnd w:id="18"/>
      <w:r w:rsidR="006239D2" w:rsidRPr="00425A7F">
        <w:t xml:space="preserve"> </w:t>
      </w:r>
    </w:p>
    <w:p w:rsidR="00230666" w:rsidRPr="00425A7F" w:rsidRDefault="00230666" w:rsidP="00F24E98">
      <w:pPr>
        <w:widowControl w:val="0"/>
        <w:suppressAutoHyphens/>
        <w:jc w:val="both"/>
        <w:rPr>
          <w:lang w:val="fr-CH"/>
        </w:rPr>
      </w:pPr>
      <w:r w:rsidRPr="00425A7F">
        <w:rPr>
          <w:lang w:val="fr-CH"/>
        </w:rPr>
        <w:t xml:space="preserve">L’architecture du financement de la santé au Mali se caractérise par </w:t>
      </w:r>
      <w:r w:rsidR="009847B0" w:rsidRPr="00425A7F">
        <w:rPr>
          <w:lang w:val="fr-CH"/>
        </w:rPr>
        <w:t>un grand fractionnement</w:t>
      </w:r>
      <w:r w:rsidRPr="00425A7F">
        <w:rPr>
          <w:lang w:val="fr-CH"/>
        </w:rPr>
        <w:t>. Le schéma d’ensemble est d’autant pl</w:t>
      </w:r>
      <w:r w:rsidR="000B4DC9" w:rsidRPr="00425A7F">
        <w:rPr>
          <w:lang w:val="fr-CH"/>
        </w:rPr>
        <w:t xml:space="preserve">us complexe que le pays dispose </w:t>
      </w:r>
      <w:r w:rsidRPr="00425A7F">
        <w:rPr>
          <w:lang w:val="fr-CH"/>
        </w:rPr>
        <w:t>d’un très grand nombre de dispositifs de prise en charge</w:t>
      </w:r>
      <w:r w:rsidR="00264B94" w:rsidRPr="00425A7F">
        <w:rPr>
          <w:lang w:val="fr-CH"/>
        </w:rPr>
        <w:t xml:space="preserve"> des soins de santé de la population</w:t>
      </w:r>
      <w:r w:rsidRPr="00425A7F">
        <w:rPr>
          <w:lang w:val="fr-CH"/>
        </w:rPr>
        <w:t>.</w:t>
      </w:r>
    </w:p>
    <w:p w:rsidR="006F051E" w:rsidRPr="00425A7F" w:rsidRDefault="006F051E" w:rsidP="00F24E98">
      <w:pPr>
        <w:widowControl w:val="0"/>
        <w:suppressAutoHyphens/>
        <w:jc w:val="both"/>
        <w:rPr>
          <w:lang w:val="fr-CH"/>
        </w:rPr>
      </w:pPr>
    </w:p>
    <w:p w:rsidR="006F051E" w:rsidRPr="00425A7F" w:rsidRDefault="006F051E" w:rsidP="006F051E">
      <w:pPr>
        <w:jc w:val="both"/>
      </w:pPr>
      <w:r w:rsidRPr="00425A7F">
        <w:t xml:space="preserve">Le financement de la santé est assuré par divers acteurs que sont l’Etat, le recouvrement auprès des ménages et des institutions de protection sociale, les collectivités territoriales, les PTF. Le budget d’Etat fournit la contribution de la puissance publique pour la production des services de santé. Les ressources dégagées sont largement utilisées pour établir l’offre de services de santé. Elles sont consommées dans la construction et l’équipement des centres de santé, la mise à disposition des ressources humaines en santé, la fourniture des services de prévention et de promotion de la santé, mais également au fonctionnement de l’administration sanitaire. </w:t>
      </w:r>
    </w:p>
    <w:p w:rsidR="006B3079" w:rsidRPr="00425A7F" w:rsidRDefault="006B3079" w:rsidP="006B3079">
      <w:pPr>
        <w:widowControl w:val="0"/>
        <w:suppressAutoHyphens/>
        <w:jc w:val="both"/>
        <w:rPr>
          <w:lang w:val="fr-CH"/>
        </w:rPr>
      </w:pPr>
    </w:p>
    <w:p w:rsidR="008F06AF" w:rsidRPr="00425A7F" w:rsidRDefault="006F051E" w:rsidP="008F06AF">
      <w:pPr>
        <w:jc w:val="both"/>
      </w:pPr>
      <w:r w:rsidRPr="00425A7F">
        <w:t>Une</w:t>
      </w:r>
      <w:r w:rsidR="008F06AF" w:rsidRPr="00425A7F">
        <w:t xml:space="preserve"> partie des ressources de l’Etat est également utilisée pour soutenir la demande par la mise en place de dispositifs visant à réduire le coût des services de santé pour la population, particulièrement pour les couches les plus vulnérables (enfants de moins de 5 ans, femmes enceintes, indigents, etc.). Il s’agit de la mise en place d’exemptions totale ou partielle pour lesquelles l’Etat se substitue aux usagers pour payer aux prestataires le coût des services qui leur sont donnés.</w:t>
      </w:r>
    </w:p>
    <w:p w:rsidR="008F06AF" w:rsidRPr="00425A7F" w:rsidRDefault="008F06AF" w:rsidP="008F06AF">
      <w:pPr>
        <w:jc w:val="both"/>
      </w:pPr>
    </w:p>
    <w:p w:rsidR="00246D00" w:rsidRPr="00425A7F" w:rsidRDefault="00246D00" w:rsidP="00246D00">
      <w:pPr>
        <w:jc w:val="both"/>
        <w:rPr>
          <w:rFonts w:asciiTheme="minorHAnsi" w:hAnsiTheme="minorHAnsi"/>
        </w:rPr>
      </w:pPr>
      <w:r w:rsidRPr="00425A7F">
        <w:rPr>
          <w:rFonts w:asciiTheme="minorHAnsi" w:hAnsiTheme="minorHAnsi"/>
        </w:rPr>
        <w:t xml:space="preserve">Pour ce qui concerne les collectivités aux différents niveaux (conseil régional, conseil de cercle, conseil communal), elles doivent mobiliser les ressources nécessaires à injecter pour le financement des plans locaux de développement sanitaire. Jusqu’à présent, l’essentiel du financement des collectivités va à la réalisation d’infrastructure presqu’exclusivement au niveau périphérique telle que la construction de CSCom. Concrètement les sommes mobilisées par les collectivités territoriales dans la santé demeurent très faibles : selon les Comptes de la Santé 2014, les dépenses effectuées par les collectivités  s’élèvent à 657 millions FCFA soit 0,16% des dépenses totales de santé (401 924 000 000 FCFA de dépenses courantes). </w:t>
      </w:r>
    </w:p>
    <w:p w:rsidR="008F06AF" w:rsidRPr="00D0233B" w:rsidRDefault="008F06AF" w:rsidP="008F06AF">
      <w:pPr>
        <w:jc w:val="both"/>
        <w:rPr>
          <w:sz w:val="12"/>
        </w:rPr>
      </w:pPr>
    </w:p>
    <w:p w:rsidR="008F06AF" w:rsidRPr="00425A7F" w:rsidRDefault="008F06AF" w:rsidP="008F06AF">
      <w:pPr>
        <w:jc w:val="both"/>
      </w:pPr>
      <w:r w:rsidRPr="00425A7F">
        <w:t>Les partenaires en coopération bi ou multilatérale passent des accords de financement octroyés suivant diverses modalités (appui direct, appui budgétaire général ou sectoriel). Certains partenaires utilisent leurs propres procédures pour financer la santé au niveau central et/ou opérationnel. Il va sans dire qu’en fonction du niveau d’intervention, certains flux échappent au contrôle des Ministères et donc aux comptes globaux du financement de la santé. Néanmoins à partir de 2008 à la suite à la Réunion interrégionale des équipes du secteur national de la santé tenue à Lusaka dans le cadre de l’International Health Partnership (IHP+) et suite à l’initiative Harmonization for Health in Africa (HHA), le Mali avait entamé un processus de dialogue actif avec les partenaires intervenant dans la santé qui a abouti en 2009 à un accord appelé « COMPACT</w:t>
      </w:r>
      <w:r w:rsidRPr="00425A7F">
        <w:rPr>
          <w:rStyle w:val="Appelnotedebasdep"/>
        </w:rPr>
        <w:footnoteReference w:id="13"/>
      </w:r>
      <w:r w:rsidRPr="00425A7F">
        <w:t> ».</w:t>
      </w:r>
    </w:p>
    <w:p w:rsidR="008F06AF" w:rsidRPr="00D0233B" w:rsidRDefault="008F06AF" w:rsidP="008F06AF">
      <w:pPr>
        <w:jc w:val="both"/>
        <w:rPr>
          <w:sz w:val="12"/>
        </w:rPr>
      </w:pPr>
    </w:p>
    <w:p w:rsidR="008F06AF" w:rsidRPr="00425A7F" w:rsidRDefault="00647CFC" w:rsidP="008F06AF">
      <w:pPr>
        <w:jc w:val="both"/>
      </w:pPr>
      <w:r w:rsidRPr="00425A7F">
        <w:t>Il</w:t>
      </w:r>
      <w:r w:rsidR="008F06AF" w:rsidRPr="00425A7F">
        <w:t xml:space="preserve"> existe </w:t>
      </w:r>
      <w:r w:rsidRPr="00425A7F">
        <w:t xml:space="preserve">donc en particulier </w:t>
      </w:r>
      <w:r w:rsidR="008F06AF" w:rsidRPr="00425A7F">
        <w:t>un ensemble de mécanismes qui ont vocation à faciliter l’accès de</w:t>
      </w:r>
      <w:r w:rsidRPr="00425A7F">
        <w:t>s</w:t>
      </w:r>
      <w:r w:rsidR="00CF7F33" w:rsidRPr="00425A7F">
        <w:t xml:space="preserve"> usagers aux services de santé.</w:t>
      </w:r>
    </w:p>
    <w:p w:rsidR="008F06AF" w:rsidRPr="00D0233B" w:rsidRDefault="008F06AF" w:rsidP="006B3079">
      <w:pPr>
        <w:widowControl w:val="0"/>
        <w:suppressAutoHyphens/>
        <w:jc w:val="both"/>
        <w:rPr>
          <w:sz w:val="14"/>
          <w:lang w:val="fr-CH"/>
        </w:rPr>
      </w:pPr>
    </w:p>
    <w:p w:rsidR="0062321F" w:rsidRPr="00425A7F" w:rsidRDefault="0062321F" w:rsidP="00F24E98">
      <w:pPr>
        <w:widowControl w:val="0"/>
        <w:suppressAutoHyphens/>
        <w:jc w:val="both"/>
        <w:rPr>
          <w:lang w:val="fr-CH"/>
        </w:rPr>
      </w:pPr>
      <w:r w:rsidRPr="00425A7F">
        <w:rPr>
          <w:b/>
          <w:lang w:val="fr-CH"/>
        </w:rPr>
        <w:t>L’assurance maladie</w:t>
      </w:r>
      <w:r w:rsidRPr="00425A7F">
        <w:rPr>
          <w:lang w:val="fr-CH"/>
        </w:rPr>
        <w:t xml:space="preserve"> est gérée par des dispositifs différents, créés pour des cibles particulières, et</w:t>
      </w:r>
      <w:r w:rsidR="00543259" w:rsidRPr="00425A7F">
        <w:rPr>
          <w:lang w:val="fr-CH"/>
        </w:rPr>
        <w:t xml:space="preserve"> </w:t>
      </w:r>
      <w:r w:rsidR="00CF7F33" w:rsidRPr="00425A7F">
        <w:rPr>
          <w:lang w:val="fr-CH"/>
        </w:rPr>
        <w:t xml:space="preserve">sans véritable articulation : </w:t>
      </w:r>
      <w:r w:rsidRPr="00425A7F">
        <w:rPr>
          <w:lang w:val="fr-CH"/>
        </w:rPr>
        <w:t>l’A</w:t>
      </w:r>
      <w:r w:rsidR="00D142E2" w:rsidRPr="00425A7F">
        <w:rPr>
          <w:lang w:val="fr-CH"/>
        </w:rPr>
        <w:t xml:space="preserve">gence </w:t>
      </w:r>
      <w:r w:rsidRPr="00425A7F">
        <w:rPr>
          <w:lang w:val="fr-CH"/>
        </w:rPr>
        <w:t>N</w:t>
      </w:r>
      <w:r w:rsidR="00D142E2" w:rsidRPr="00425A7F">
        <w:rPr>
          <w:lang w:val="fr-CH"/>
        </w:rPr>
        <w:t>ationale d’</w:t>
      </w:r>
      <w:r w:rsidRPr="00425A7F">
        <w:rPr>
          <w:lang w:val="fr-CH"/>
        </w:rPr>
        <w:t>A</w:t>
      </w:r>
      <w:r w:rsidR="00D142E2" w:rsidRPr="00425A7F">
        <w:rPr>
          <w:lang w:val="fr-CH"/>
        </w:rPr>
        <w:t xml:space="preserve">ssistance </w:t>
      </w:r>
      <w:r w:rsidRPr="00425A7F">
        <w:rPr>
          <w:lang w:val="fr-CH"/>
        </w:rPr>
        <w:t>M</w:t>
      </w:r>
      <w:r w:rsidR="00D142E2" w:rsidRPr="00425A7F">
        <w:rPr>
          <w:lang w:val="fr-CH"/>
        </w:rPr>
        <w:t>édicale ANAM</w:t>
      </w:r>
      <w:r w:rsidRPr="00425A7F">
        <w:rPr>
          <w:lang w:val="fr-CH"/>
        </w:rPr>
        <w:t xml:space="preserve"> gère le </w:t>
      </w:r>
      <w:r w:rsidR="00D142E2" w:rsidRPr="00425A7F">
        <w:rPr>
          <w:lang w:val="fr-CH"/>
        </w:rPr>
        <w:t xml:space="preserve">régime d’assistance médicale </w:t>
      </w:r>
      <w:r w:rsidRPr="00425A7F">
        <w:rPr>
          <w:lang w:val="fr-CH"/>
        </w:rPr>
        <w:t>RAMED pour les indigents, la C</w:t>
      </w:r>
      <w:r w:rsidR="00D142E2" w:rsidRPr="00425A7F">
        <w:rPr>
          <w:lang w:val="fr-CH"/>
        </w:rPr>
        <w:t xml:space="preserve">aisse </w:t>
      </w:r>
      <w:r w:rsidRPr="00425A7F">
        <w:rPr>
          <w:lang w:val="fr-CH"/>
        </w:rPr>
        <w:t>N</w:t>
      </w:r>
      <w:r w:rsidR="00D142E2" w:rsidRPr="00425A7F">
        <w:rPr>
          <w:lang w:val="fr-CH"/>
        </w:rPr>
        <w:t>ationale d’</w:t>
      </w:r>
      <w:r w:rsidRPr="00425A7F">
        <w:rPr>
          <w:lang w:val="fr-CH"/>
        </w:rPr>
        <w:t>A</w:t>
      </w:r>
      <w:r w:rsidR="00D142E2" w:rsidRPr="00425A7F">
        <w:rPr>
          <w:lang w:val="fr-CH"/>
        </w:rPr>
        <w:t xml:space="preserve">ssurance </w:t>
      </w:r>
      <w:r w:rsidRPr="00425A7F">
        <w:rPr>
          <w:lang w:val="fr-CH"/>
        </w:rPr>
        <w:t>M</w:t>
      </w:r>
      <w:r w:rsidR="00D142E2" w:rsidRPr="00425A7F">
        <w:rPr>
          <w:lang w:val="fr-CH"/>
        </w:rPr>
        <w:t>aladie CANAM</w:t>
      </w:r>
      <w:r w:rsidRPr="00425A7F">
        <w:rPr>
          <w:lang w:val="fr-CH"/>
        </w:rPr>
        <w:t xml:space="preserve"> gère l’</w:t>
      </w:r>
      <w:r w:rsidR="00D142E2" w:rsidRPr="00425A7F">
        <w:rPr>
          <w:lang w:val="fr-CH"/>
        </w:rPr>
        <w:t>assurance maladie obligatoire A</w:t>
      </w:r>
      <w:r w:rsidRPr="00425A7F">
        <w:rPr>
          <w:lang w:val="fr-CH"/>
        </w:rPr>
        <w:t xml:space="preserve">MO pour le secteur formel, et les mutuelles de santé sont attendues pour couvrir le secteur informel non pauvre. </w:t>
      </w:r>
    </w:p>
    <w:p w:rsidR="0062321F" w:rsidRPr="00425A7F" w:rsidRDefault="0062321F" w:rsidP="00F24E98">
      <w:pPr>
        <w:widowControl w:val="0"/>
        <w:suppressAutoHyphens/>
        <w:jc w:val="both"/>
        <w:rPr>
          <w:lang w:val="fr-CH"/>
        </w:rPr>
      </w:pPr>
    </w:p>
    <w:p w:rsidR="00246D00" w:rsidRPr="00425A7F" w:rsidRDefault="00246D00" w:rsidP="00246D00">
      <w:pPr>
        <w:widowControl w:val="0"/>
        <w:suppressAutoHyphens/>
        <w:jc w:val="both"/>
        <w:rPr>
          <w:rFonts w:asciiTheme="minorHAnsi" w:hAnsiTheme="minorHAnsi"/>
        </w:rPr>
      </w:pPr>
      <w:r w:rsidRPr="00425A7F">
        <w:rPr>
          <w:rFonts w:asciiTheme="minorHAnsi" w:hAnsiTheme="minorHAnsi"/>
        </w:rPr>
        <w:t xml:space="preserve">Bien qu’elle constitue une des plus grandes réformes introduites dans le secteur, l’Assurance Maladie Obligatoire a été confrontée à d’énormes difficultés au moment de son lancement. Les populations qui étaient censées bénéficier de ses services ont manifesté beaucoup de réticences à son introduction sans doute à cause de la faible communication sur les avantages pour eux-mêmes et pour les membres de leur famille, la méfiance vis-à-vis d’une part des capacités gestionnaires de la CANAM et d’autre part de la qualité des prestations servies dans les formations sanitaires. Pour faire face aux constations nées de l’introduction de l’AMO, des décisions ont été prises qui ont porté un moment donné, un flou sur le caractère obligatoire de cette assurance maladie. </w:t>
      </w:r>
      <w:r w:rsidR="00394648" w:rsidRPr="00425A7F">
        <w:rPr>
          <w:rFonts w:asciiTheme="minorHAnsi" w:hAnsiTheme="minorHAnsi"/>
        </w:rPr>
        <w:t xml:space="preserve">Désormais ce sont 1 143 437 </w:t>
      </w:r>
      <w:r w:rsidRPr="00425A7F">
        <w:rPr>
          <w:rFonts w:asciiTheme="minorHAnsi" w:hAnsiTheme="minorHAnsi"/>
        </w:rPr>
        <w:t>personnes</w:t>
      </w:r>
      <w:r w:rsidR="00394648" w:rsidRPr="00425A7F">
        <w:rPr>
          <w:rFonts w:asciiTheme="minorHAnsi" w:hAnsiTheme="minorHAnsi"/>
        </w:rPr>
        <w:t xml:space="preserve"> qui</w:t>
      </w:r>
      <w:r w:rsidRPr="00425A7F">
        <w:rPr>
          <w:rFonts w:asciiTheme="minorHAnsi" w:hAnsiTheme="minorHAnsi"/>
        </w:rPr>
        <w:t xml:space="preserve"> ont été enregistrées à l’AMO </w:t>
      </w:r>
      <w:r w:rsidR="00394648" w:rsidRPr="00425A7F">
        <w:rPr>
          <w:rFonts w:asciiTheme="minorHAnsi" w:hAnsiTheme="minorHAnsi"/>
        </w:rPr>
        <w:t xml:space="preserve">(fin </w:t>
      </w:r>
      <w:r w:rsidRPr="00425A7F">
        <w:rPr>
          <w:rFonts w:asciiTheme="minorHAnsi" w:hAnsiTheme="minorHAnsi"/>
        </w:rPr>
        <w:t>2016</w:t>
      </w:r>
      <w:r w:rsidR="00394648" w:rsidRPr="00425A7F">
        <w:rPr>
          <w:rFonts w:asciiTheme="minorHAnsi" w:hAnsiTheme="minorHAnsi"/>
        </w:rPr>
        <w:t>)</w:t>
      </w:r>
      <w:r w:rsidRPr="00425A7F">
        <w:rPr>
          <w:rFonts w:asciiTheme="minorHAnsi" w:hAnsiTheme="minorHAnsi"/>
        </w:rPr>
        <w:t>, soit 6</w:t>
      </w:r>
      <w:r w:rsidR="00394648" w:rsidRPr="00425A7F">
        <w:rPr>
          <w:rFonts w:asciiTheme="minorHAnsi" w:hAnsiTheme="minorHAnsi"/>
        </w:rPr>
        <w:t>,4</w:t>
      </w:r>
      <w:r w:rsidRPr="00425A7F">
        <w:rPr>
          <w:rFonts w:asciiTheme="minorHAnsi" w:hAnsiTheme="minorHAnsi"/>
        </w:rPr>
        <w:t xml:space="preserve">% de la population totale et environ </w:t>
      </w:r>
      <w:r w:rsidR="006E4231" w:rsidRPr="00425A7F">
        <w:rPr>
          <w:rFonts w:asciiTheme="minorHAnsi" w:hAnsiTheme="minorHAnsi"/>
        </w:rPr>
        <w:t>un tiers</w:t>
      </w:r>
      <w:r w:rsidRPr="00425A7F">
        <w:rPr>
          <w:rFonts w:asciiTheme="minorHAnsi" w:hAnsiTheme="minorHAnsi"/>
        </w:rPr>
        <w:t xml:space="preserve"> de sa population cible.</w:t>
      </w:r>
    </w:p>
    <w:p w:rsidR="00246D00" w:rsidRPr="00425A7F" w:rsidRDefault="00246D00" w:rsidP="00246D00">
      <w:pPr>
        <w:widowControl w:val="0"/>
        <w:suppressAutoHyphens/>
        <w:jc w:val="both"/>
        <w:rPr>
          <w:rFonts w:asciiTheme="minorHAnsi" w:hAnsiTheme="minorHAnsi"/>
          <w:lang w:val="fr-CH"/>
        </w:rPr>
      </w:pPr>
    </w:p>
    <w:p w:rsidR="00B502CB" w:rsidRPr="00425A7F" w:rsidRDefault="00246D00" w:rsidP="00246D00">
      <w:pPr>
        <w:widowControl w:val="0"/>
        <w:suppressAutoHyphens/>
        <w:jc w:val="both"/>
        <w:rPr>
          <w:rFonts w:asciiTheme="minorHAnsi" w:hAnsiTheme="minorHAnsi"/>
        </w:rPr>
      </w:pPr>
      <w:r w:rsidRPr="00425A7F">
        <w:rPr>
          <w:rFonts w:asciiTheme="minorHAnsi" w:hAnsiTheme="minorHAnsi"/>
          <w:shd w:val="clear" w:color="auto" w:fill="FFFFFF" w:themeFill="background1"/>
        </w:rPr>
        <w:t>Depuis son lancement en même temps que l’AMO, le RAMED est confronté à d’autres types de difficultés qui sont d’ordre organisationnel. L’ANAM qui est l’organisme gestionnaire, a été créée ex nihilo. Ses services ne sont pas disponibles au niveau où les bénéficiaires potentiels en ont le plus besoin à cause entre autres, du fait que les structures déconcentrées qui s'occupent de l'indigence, ne sont pas impliquées dans la gestion du régime.</w:t>
      </w:r>
      <w:r w:rsidRPr="00425A7F">
        <w:rPr>
          <w:rFonts w:asciiTheme="minorHAnsi" w:hAnsiTheme="minorHAnsi"/>
        </w:rPr>
        <w:t xml:space="preserve"> En 2016, </w:t>
      </w:r>
      <w:r w:rsidR="006E4231" w:rsidRPr="00425A7F">
        <w:rPr>
          <w:rFonts w:asciiTheme="minorHAnsi" w:hAnsiTheme="minorHAnsi"/>
        </w:rPr>
        <w:t>134 875</w:t>
      </w:r>
      <w:r w:rsidRPr="00425A7F">
        <w:rPr>
          <w:rFonts w:asciiTheme="minorHAnsi" w:hAnsiTheme="minorHAnsi"/>
        </w:rPr>
        <w:t xml:space="preserve"> personnes seulement sont inscrites dans le répertoire du RAMED alors que le dispositif a été conçu pour financer les dépenses de santé d’environ 5% de la population totale soit environ </w:t>
      </w:r>
      <w:r w:rsidR="00B502CB" w:rsidRPr="00425A7F">
        <w:rPr>
          <w:rFonts w:asciiTheme="minorHAnsi" w:hAnsiTheme="minorHAnsi"/>
        </w:rPr>
        <w:t>917.150</w:t>
      </w:r>
      <w:r w:rsidRPr="00425A7F">
        <w:rPr>
          <w:rFonts w:asciiTheme="minorHAnsi" w:hAnsiTheme="minorHAnsi"/>
        </w:rPr>
        <w:t xml:space="preserve"> personnes. Avec ces résultats, le RAMED aurait donc couvert 1</w:t>
      </w:r>
      <w:r w:rsidR="006E4231" w:rsidRPr="00425A7F">
        <w:rPr>
          <w:rFonts w:asciiTheme="minorHAnsi" w:hAnsiTheme="minorHAnsi"/>
        </w:rPr>
        <w:t>5</w:t>
      </w:r>
      <w:r w:rsidRPr="00425A7F">
        <w:rPr>
          <w:rFonts w:asciiTheme="minorHAnsi" w:hAnsiTheme="minorHAnsi"/>
        </w:rPr>
        <w:t xml:space="preserve">% de sa population cible. </w:t>
      </w:r>
    </w:p>
    <w:p w:rsidR="00E254BE" w:rsidRPr="00425A7F" w:rsidRDefault="00E254BE" w:rsidP="00F24E98">
      <w:pPr>
        <w:widowControl w:val="0"/>
        <w:suppressAutoHyphens/>
        <w:jc w:val="both"/>
        <w:rPr>
          <w:lang w:val="fr-CH"/>
        </w:rPr>
      </w:pPr>
    </w:p>
    <w:p w:rsidR="00944F04" w:rsidRPr="00425A7F" w:rsidRDefault="0062321F" w:rsidP="00F24E98">
      <w:pPr>
        <w:widowControl w:val="0"/>
        <w:suppressAutoHyphens/>
        <w:jc w:val="both"/>
        <w:rPr>
          <w:lang w:val="fr-CH"/>
        </w:rPr>
      </w:pPr>
      <w:r w:rsidRPr="00425A7F">
        <w:rPr>
          <w:lang w:val="fr-CH"/>
        </w:rPr>
        <w:t xml:space="preserve">Les mutuelles de santé sont aujourd’hui </w:t>
      </w:r>
      <w:r w:rsidR="008C0968" w:rsidRPr="00425A7F">
        <w:rPr>
          <w:lang w:val="fr-CH"/>
        </w:rPr>
        <w:t xml:space="preserve">au nombre de </w:t>
      </w:r>
      <w:r w:rsidR="002516D7" w:rsidRPr="00425A7F">
        <w:rPr>
          <w:lang w:val="fr-CH"/>
        </w:rPr>
        <w:t>193</w:t>
      </w:r>
      <w:r w:rsidRPr="00425A7F">
        <w:rPr>
          <w:lang w:val="fr-CH"/>
        </w:rPr>
        <w:t xml:space="preserve"> et couvrent moins de </w:t>
      </w:r>
      <w:r w:rsidR="00902139" w:rsidRPr="00425A7F">
        <w:rPr>
          <w:lang w:val="fr-CH"/>
        </w:rPr>
        <w:t>4</w:t>
      </w:r>
      <w:r w:rsidR="002516D7" w:rsidRPr="00425A7F">
        <w:rPr>
          <w:lang w:val="fr-CH"/>
        </w:rPr>
        <w:t>,95</w:t>
      </w:r>
      <w:r w:rsidRPr="00425A7F">
        <w:rPr>
          <w:lang w:val="fr-CH"/>
        </w:rPr>
        <w:t>% de la population</w:t>
      </w:r>
      <w:r w:rsidR="008C0968" w:rsidRPr="00425A7F">
        <w:rPr>
          <w:lang w:val="fr-CH"/>
        </w:rPr>
        <w:t xml:space="preserve"> totale</w:t>
      </w:r>
      <w:r w:rsidR="00B502CB" w:rsidRPr="00425A7F">
        <w:rPr>
          <w:lang w:val="fr-CH"/>
        </w:rPr>
        <w:t xml:space="preserve"> et 6,3% de leur cible</w:t>
      </w:r>
      <w:r w:rsidRPr="00425A7F">
        <w:rPr>
          <w:lang w:val="fr-CH"/>
        </w:rPr>
        <w:t xml:space="preserve">. </w:t>
      </w:r>
      <w:r w:rsidR="00264B94" w:rsidRPr="00425A7F">
        <w:rPr>
          <w:lang w:val="fr-CH"/>
        </w:rPr>
        <w:t xml:space="preserve">Une </w:t>
      </w:r>
      <w:r w:rsidR="006365BE" w:rsidRPr="00425A7F">
        <w:rPr>
          <w:lang w:val="fr-CH"/>
        </w:rPr>
        <w:t xml:space="preserve">stratégie </w:t>
      </w:r>
      <w:r w:rsidR="00264B94" w:rsidRPr="00425A7F">
        <w:rPr>
          <w:lang w:val="fr-CH"/>
        </w:rPr>
        <w:t xml:space="preserve">en cours vise </w:t>
      </w:r>
      <w:r w:rsidRPr="00425A7F">
        <w:rPr>
          <w:lang w:val="fr-CH"/>
        </w:rPr>
        <w:t xml:space="preserve">à harmoniser leur paquet de soins et à subventionner </w:t>
      </w:r>
      <w:r w:rsidR="00264B94" w:rsidRPr="00425A7F">
        <w:rPr>
          <w:lang w:val="fr-CH"/>
        </w:rPr>
        <w:t>la</w:t>
      </w:r>
      <w:r w:rsidRPr="00425A7F">
        <w:rPr>
          <w:lang w:val="fr-CH"/>
        </w:rPr>
        <w:t xml:space="preserve"> cotisation</w:t>
      </w:r>
      <w:r w:rsidR="00264B94" w:rsidRPr="00425A7F">
        <w:rPr>
          <w:lang w:val="fr-CH"/>
        </w:rPr>
        <w:t xml:space="preserve"> de leurs adhérents</w:t>
      </w:r>
      <w:r w:rsidRPr="00425A7F">
        <w:rPr>
          <w:lang w:val="fr-CH"/>
        </w:rPr>
        <w:t xml:space="preserve">. La mutualisation de leurs fonds </w:t>
      </w:r>
      <w:r w:rsidR="00264B94" w:rsidRPr="00425A7F">
        <w:rPr>
          <w:lang w:val="fr-CH"/>
        </w:rPr>
        <w:t>n’est pas abordée de manière systémique, mais une trentaine d’entre elles la réalise</w:t>
      </w:r>
      <w:r w:rsidR="00614B71" w:rsidRPr="00425A7F">
        <w:rPr>
          <w:lang w:val="fr-CH"/>
        </w:rPr>
        <w:t xml:space="preserve"> déjà </w:t>
      </w:r>
      <w:r w:rsidR="00264B94" w:rsidRPr="00425A7F">
        <w:rPr>
          <w:lang w:val="fr-CH"/>
        </w:rPr>
        <w:t>au sein de l’U</w:t>
      </w:r>
      <w:r w:rsidR="00614B71" w:rsidRPr="00425A7F">
        <w:rPr>
          <w:lang w:val="fr-CH"/>
        </w:rPr>
        <w:t xml:space="preserve">nion </w:t>
      </w:r>
      <w:r w:rsidR="00AE495D" w:rsidRPr="00425A7F">
        <w:rPr>
          <w:lang w:val="fr-CH"/>
        </w:rPr>
        <w:t>Technique de la Mutualité UTM.</w:t>
      </w:r>
    </w:p>
    <w:p w:rsidR="00944F04" w:rsidRPr="00425A7F" w:rsidRDefault="00944F04" w:rsidP="00F24E98">
      <w:pPr>
        <w:widowControl w:val="0"/>
        <w:suppressAutoHyphens/>
        <w:jc w:val="both"/>
        <w:rPr>
          <w:lang w:val="fr-CH"/>
        </w:rPr>
      </w:pPr>
    </w:p>
    <w:p w:rsidR="0062321F" w:rsidRPr="00425A7F" w:rsidRDefault="00264B94" w:rsidP="00F24E98">
      <w:pPr>
        <w:widowControl w:val="0"/>
        <w:suppressAutoHyphens/>
        <w:jc w:val="both"/>
        <w:rPr>
          <w:lang w:val="fr-CH"/>
        </w:rPr>
      </w:pPr>
      <w:r w:rsidRPr="00425A7F">
        <w:rPr>
          <w:lang w:val="fr-CH"/>
        </w:rPr>
        <w:t xml:space="preserve">L’UTM est un organisme d’appui technique aux mutuelles créé de longue date par l’Etat qui tient aujourd’hui partiellement </w:t>
      </w:r>
      <w:r w:rsidR="009847B0" w:rsidRPr="00425A7F">
        <w:rPr>
          <w:lang w:val="fr-CH"/>
        </w:rPr>
        <w:t>trois</w:t>
      </w:r>
      <w:r w:rsidRPr="00425A7F">
        <w:rPr>
          <w:lang w:val="fr-CH"/>
        </w:rPr>
        <w:t xml:space="preserve"> rôles distincts : celui d’organisme d’appui technique à un certain nombre de mutuelles, parfois jusqu’à la gestion du « régime » d’assurance maladie volontaire, celui de représentation de certaines mutuelles</w:t>
      </w:r>
      <w:r w:rsidR="009847B0" w:rsidRPr="00425A7F">
        <w:rPr>
          <w:lang w:val="fr-CH"/>
        </w:rPr>
        <w:t>, mais aussi celui de mandataire du développement du secteur informel</w:t>
      </w:r>
      <w:r w:rsidRPr="00425A7F">
        <w:rPr>
          <w:lang w:val="fr-CH"/>
        </w:rPr>
        <w:t xml:space="preserve">. </w:t>
      </w:r>
      <w:r w:rsidR="009847B0" w:rsidRPr="00425A7F">
        <w:rPr>
          <w:lang w:val="fr-CH"/>
        </w:rPr>
        <w:t xml:space="preserve">Pourtant le développement de la protection sociale </w:t>
      </w:r>
      <w:r w:rsidR="00E94EE8" w:rsidRPr="00425A7F">
        <w:rPr>
          <w:lang w:val="fr-CH"/>
        </w:rPr>
        <w:t xml:space="preserve">en </w:t>
      </w:r>
      <w:r w:rsidR="009847B0" w:rsidRPr="00425A7F">
        <w:rPr>
          <w:lang w:val="fr-CH"/>
        </w:rPr>
        <w:t>santé doit être pleinement assumé comme une responsabilité de l’Etat.</w:t>
      </w:r>
    </w:p>
    <w:p w:rsidR="001E1668" w:rsidRPr="00425A7F" w:rsidRDefault="001E1668" w:rsidP="00F24E98">
      <w:pPr>
        <w:widowControl w:val="0"/>
        <w:suppressAutoHyphens/>
        <w:jc w:val="both"/>
        <w:rPr>
          <w:lang w:val="fr-CH"/>
        </w:rPr>
      </w:pPr>
    </w:p>
    <w:p w:rsidR="00AC041E" w:rsidRPr="00425A7F" w:rsidRDefault="00264B94" w:rsidP="00F24E98">
      <w:pPr>
        <w:widowControl w:val="0"/>
        <w:suppressAutoHyphens/>
        <w:jc w:val="both"/>
        <w:rPr>
          <w:lang w:val="fr-CH"/>
        </w:rPr>
      </w:pPr>
      <w:r w:rsidRPr="00425A7F">
        <w:rPr>
          <w:lang w:val="fr-CH"/>
        </w:rPr>
        <w:t xml:space="preserve">Outre les </w:t>
      </w:r>
      <w:r w:rsidR="00AC041E" w:rsidRPr="00425A7F">
        <w:rPr>
          <w:lang w:val="fr-CH"/>
        </w:rPr>
        <w:t>mécanismes</w:t>
      </w:r>
      <w:r w:rsidRPr="00425A7F">
        <w:rPr>
          <w:lang w:val="fr-CH"/>
        </w:rPr>
        <w:t xml:space="preserve"> de prépaiements, les disposit</w:t>
      </w:r>
      <w:r w:rsidR="00AC041E" w:rsidRPr="00425A7F">
        <w:rPr>
          <w:lang w:val="fr-CH"/>
        </w:rPr>
        <w:t xml:space="preserve">ifs de prise en charge comptent un nombre très important de </w:t>
      </w:r>
      <w:r w:rsidR="00072DDD" w:rsidRPr="00425A7F">
        <w:rPr>
          <w:lang w:val="fr-CH"/>
        </w:rPr>
        <w:t xml:space="preserve">systèmes de </w:t>
      </w:r>
      <w:r w:rsidR="00AC041E" w:rsidRPr="00425A7F">
        <w:rPr>
          <w:lang w:val="fr-CH"/>
        </w:rPr>
        <w:t xml:space="preserve">« gratuité », </w:t>
      </w:r>
      <w:r w:rsidR="005C374E" w:rsidRPr="00425A7F">
        <w:rPr>
          <w:lang w:val="fr-CH"/>
        </w:rPr>
        <w:t>ou plus exactement</w:t>
      </w:r>
      <w:r w:rsidR="00AC041E" w:rsidRPr="00425A7F">
        <w:rPr>
          <w:lang w:val="fr-CH"/>
        </w:rPr>
        <w:t xml:space="preserve"> </w:t>
      </w:r>
      <w:r w:rsidR="00AC041E" w:rsidRPr="00425A7F">
        <w:rPr>
          <w:b/>
          <w:lang w:val="fr-CH"/>
        </w:rPr>
        <w:t>d’exemptions de paiement</w:t>
      </w:r>
      <w:r w:rsidR="00307694" w:rsidRPr="00425A7F">
        <w:rPr>
          <w:rStyle w:val="Appelnotedebasdep"/>
          <w:b/>
          <w:lang w:val="fr-CH"/>
        </w:rPr>
        <w:footnoteReference w:id="14"/>
      </w:r>
      <w:r w:rsidR="00AC041E" w:rsidRPr="00425A7F">
        <w:rPr>
          <w:lang w:val="fr-CH"/>
        </w:rPr>
        <w:t>. S’il s’agit à chaque fois de lever la barrière financière pour le malade</w:t>
      </w:r>
      <w:r w:rsidR="00822796" w:rsidRPr="00425A7F">
        <w:rPr>
          <w:lang w:val="fr-CH"/>
        </w:rPr>
        <w:t xml:space="preserve">. Les </w:t>
      </w:r>
      <w:r w:rsidR="00AC041E" w:rsidRPr="00425A7F">
        <w:rPr>
          <w:lang w:val="fr-CH"/>
        </w:rPr>
        <w:t>mécanismes sont d’une très grande variété pour ce qui concerne leur cible, la source de leur financement</w:t>
      </w:r>
      <w:r w:rsidR="00944F04" w:rsidRPr="00425A7F">
        <w:rPr>
          <w:lang w:val="fr-CH"/>
        </w:rPr>
        <w:t xml:space="preserve"> (éventuel)</w:t>
      </w:r>
      <w:r w:rsidR="00AC041E" w:rsidRPr="00425A7F">
        <w:rPr>
          <w:lang w:val="fr-CH"/>
        </w:rPr>
        <w:t>, ou encore leur gestion et</w:t>
      </w:r>
      <w:r w:rsidR="009847B0" w:rsidRPr="00425A7F">
        <w:rPr>
          <w:lang w:val="fr-CH"/>
        </w:rPr>
        <w:t xml:space="preserve"> le</w:t>
      </w:r>
      <w:r w:rsidR="00AC041E" w:rsidRPr="00425A7F">
        <w:rPr>
          <w:lang w:val="fr-CH"/>
        </w:rPr>
        <w:t xml:space="preserve"> paiement éventuels aux prestataires.</w:t>
      </w:r>
      <w:r w:rsidR="00072DDD" w:rsidRPr="00425A7F">
        <w:rPr>
          <w:lang w:val="fr-CH"/>
        </w:rPr>
        <w:t xml:space="preserve"> </w:t>
      </w:r>
    </w:p>
    <w:p w:rsidR="00072DDD" w:rsidRPr="00425A7F" w:rsidRDefault="00072DDD" w:rsidP="00F24E98">
      <w:pPr>
        <w:widowControl w:val="0"/>
        <w:suppressAutoHyphens/>
        <w:jc w:val="both"/>
        <w:rPr>
          <w:lang w:val="fr-CH"/>
        </w:rPr>
      </w:pPr>
    </w:p>
    <w:p w:rsidR="005C374E" w:rsidRPr="00425A7F" w:rsidRDefault="005C374E" w:rsidP="00F24E98">
      <w:pPr>
        <w:widowControl w:val="0"/>
        <w:suppressAutoHyphens/>
        <w:jc w:val="both"/>
        <w:rPr>
          <w:lang w:val="fr-CH"/>
        </w:rPr>
      </w:pPr>
      <w:r w:rsidRPr="00425A7F">
        <w:rPr>
          <w:lang w:val="fr-CH"/>
        </w:rPr>
        <w:t>Le système de financement de</w:t>
      </w:r>
      <w:r w:rsidR="009847B0" w:rsidRPr="00425A7F">
        <w:rPr>
          <w:lang w:val="fr-CH"/>
        </w:rPr>
        <w:t xml:space="preserve"> la</w:t>
      </w:r>
      <w:r w:rsidRPr="00425A7F">
        <w:rPr>
          <w:lang w:val="fr-CH"/>
        </w:rPr>
        <w:t xml:space="preserve"> santé est donc caractérisé par </w:t>
      </w:r>
      <w:r w:rsidR="009847B0" w:rsidRPr="00425A7F">
        <w:rPr>
          <w:lang w:val="fr-CH"/>
        </w:rPr>
        <w:t>un fort fractionnement, dû</w:t>
      </w:r>
      <w:r w:rsidRPr="00425A7F">
        <w:rPr>
          <w:lang w:val="fr-CH"/>
        </w:rPr>
        <w:t xml:space="preserve"> au fait que ces dispositifs ne sont pas liés. Il est vrai que l’on trouve parmi les membres d'une même mutuelle de santé</w:t>
      </w:r>
      <w:r w:rsidR="00822796" w:rsidRPr="00425A7F">
        <w:rPr>
          <w:lang w:val="fr-CH"/>
        </w:rPr>
        <w:t>,</w:t>
      </w:r>
      <w:r w:rsidRPr="00425A7F">
        <w:rPr>
          <w:lang w:val="fr-CH"/>
        </w:rPr>
        <w:t xml:space="preserve"> un certain degré de partage du risque financier lié à la maladie, mais la taille de ces organismes reste extrêmement modeste. Cette situation implique une faible solidarité et une absence de redistribution des ressources entre </w:t>
      </w:r>
      <w:r w:rsidR="00B1337E" w:rsidRPr="00425A7F">
        <w:rPr>
          <w:lang w:val="fr-CH"/>
        </w:rPr>
        <w:t xml:space="preserve">les </w:t>
      </w:r>
      <w:r w:rsidRPr="00425A7F">
        <w:rPr>
          <w:lang w:val="fr-CH"/>
        </w:rPr>
        <w:t xml:space="preserve">mécanismes et entre les couches sociales. </w:t>
      </w:r>
      <w:r w:rsidR="00B1337E" w:rsidRPr="00425A7F">
        <w:rPr>
          <w:lang w:val="fr-CH"/>
        </w:rPr>
        <w:t>Elle</w:t>
      </w:r>
      <w:r w:rsidRPr="00425A7F">
        <w:rPr>
          <w:lang w:val="fr-CH"/>
        </w:rPr>
        <w:t xml:space="preserve"> implique aussi une forte duplication des fonctions administratives et un besoin de coordination, avec comme conséquence des coûts de transaction et des frais administratifs élevés. </w:t>
      </w:r>
    </w:p>
    <w:p w:rsidR="005C374E" w:rsidRPr="00425A7F" w:rsidRDefault="005C374E" w:rsidP="00F24E98">
      <w:pPr>
        <w:widowControl w:val="0"/>
        <w:suppressAutoHyphens/>
        <w:jc w:val="both"/>
        <w:rPr>
          <w:lang w:val="fr-CH"/>
        </w:rPr>
      </w:pPr>
    </w:p>
    <w:p w:rsidR="00AC041E" w:rsidRPr="00425A7F" w:rsidRDefault="005C374E" w:rsidP="00F24E98">
      <w:pPr>
        <w:widowControl w:val="0"/>
        <w:suppressAutoHyphens/>
        <w:jc w:val="both"/>
        <w:rPr>
          <w:lang w:val="fr-CH"/>
        </w:rPr>
      </w:pPr>
      <w:r w:rsidRPr="00425A7F">
        <w:rPr>
          <w:lang w:val="fr-CH"/>
        </w:rPr>
        <w:t>In fine, le « système » génère par lui-même beaucoup d’inefficience</w:t>
      </w:r>
      <w:r w:rsidR="00FD6D1E" w:rsidRPr="00425A7F">
        <w:rPr>
          <w:lang w:val="fr-CH"/>
        </w:rPr>
        <w:t>s</w:t>
      </w:r>
      <w:r w:rsidRPr="00425A7F">
        <w:rPr>
          <w:lang w:val="fr-CH"/>
        </w:rPr>
        <w:t xml:space="preserve"> dans l’utilisation des ressources et favorise l’iniquité à la fois dans le financement et dans l’accès aux soins de santé. </w:t>
      </w:r>
      <w:r w:rsidR="008D7C5F" w:rsidRPr="00425A7F">
        <w:rPr>
          <w:lang w:val="fr-CH"/>
        </w:rPr>
        <w:t xml:space="preserve">Sur ce dernier </w:t>
      </w:r>
      <w:r w:rsidR="008D7C5F" w:rsidRPr="00425A7F">
        <w:rPr>
          <w:lang w:val="fr-CH"/>
        </w:rPr>
        <w:lastRenderedPageBreak/>
        <w:t xml:space="preserve">point en effet, la contribution des ménages au </w:t>
      </w:r>
      <w:r w:rsidR="00021570" w:rsidRPr="00425A7F">
        <w:rPr>
          <w:lang w:val="fr-CH"/>
        </w:rPr>
        <w:t>financement de la santé</w:t>
      </w:r>
      <w:r w:rsidR="008D7C5F" w:rsidRPr="00425A7F">
        <w:rPr>
          <w:lang w:val="fr-CH"/>
        </w:rPr>
        <w:t>, qui est réalisée</w:t>
      </w:r>
      <w:r w:rsidRPr="00425A7F">
        <w:rPr>
          <w:lang w:val="fr-CH"/>
        </w:rPr>
        <w:t xml:space="preserve"> sur la base de paiements directs et de cotisations peu mutualisées</w:t>
      </w:r>
      <w:r w:rsidR="008D7C5F" w:rsidRPr="00425A7F">
        <w:rPr>
          <w:lang w:val="fr-CH"/>
        </w:rPr>
        <w:t>,</w:t>
      </w:r>
      <w:r w:rsidRPr="00425A7F">
        <w:rPr>
          <w:lang w:val="fr-CH"/>
        </w:rPr>
        <w:t xml:space="preserve"> ne se fait pas selon leur ca</w:t>
      </w:r>
      <w:r w:rsidR="008D7C5F" w:rsidRPr="00425A7F">
        <w:rPr>
          <w:lang w:val="fr-CH"/>
        </w:rPr>
        <w:t>pacité à payer.</w:t>
      </w:r>
    </w:p>
    <w:p w:rsidR="001E1668" w:rsidRPr="00425A7F" w:rsidRDefault="001E1668" w:rsidP="00F24E98">
      <w:pPr>
        <w:widowControl w:val="0"/>
        <w:suppressAutoHyphens/>
        <w:jc w:val="both"/>
        <w:rPr>
          <w:lang w:val="fr-CH"/>
        </w:rPr>
      </w:pPr>
    </w:p>
    <w:p w:rsidR="0002595D" w:rsidRPr="00425A7F" w:rsidRDefault="007D7A58" w:rsidP="00BF7533">
      <w:pPr>
        <w:pStyle w:val="Titre3"/>
      </w:pPr>
      <w:bookmarkStart w:id="19" w:name="_Toc497294480"/>
      <w:r w:rsidRPr="00425A7F">
        <w:t>Financement de la santé par l’Etat</w:t>
      </w:r>
      <w:bookmarkEnd w:id="19"/>
      <w:r w:rsidRPr="00425A7F">
        <w:t xml:space="preserve"> </w:t>
      </w:r>
    </w:p>
    <w:p w:rsidR="00754449" w:rsidRPr="00425A7F" w:rsidRDefault="00754449" w:rsidP="00754449">
      <w:pPr>
        <w:rPr>
          <w:lang w:val="fr-CH"/>
        </w:rPr>
      </w:pPr>
    </w:p>
    <w:p w:rsidR="00754449" w:rsidRPr="00425A7F" w:rsidRDefault="007D7A58" w:rsidP="00754449">
      <w:pPr>
        <w:pStyle w:val="Titre4"/>
      </w:pPr>
      <w:bookmarkStart w:id="20" w:name="_Toc497294481"/>
      <w:r w:rsidRPr="00425A7F">
        <w:t>Financement de l’ensemble des dépenses de</w:t>
      </w:r>
      <w:r w:rsidR="00754449" w:rsidRPr="00425A7F">
        <w:t xml:space="preserve"> santé :</w:t>
      </w:r>
      <w:bookmarkEnd w:id="20"/>
    </w:p>
    <w:p w:rsidR="00754449" w:rsidRPr="00425A7F" w:rsidRDefault="00754449" w:rsidP="00754449">
      <w:pPr>
        <w:rPr>
          <w:lang w:val="fr-CH"/>
        </w:rPr>
      </w:pPr>
    </w:p>
    <w:p w:rsidR="00E75695" w:rsidRPr="00425A7F" w:rsidRDefault="00754449" w:rsidP="00F24E98">
      <w:pPr>
        <w:pStyle w:val="Sansinterligne"/>
        <w:widowControl w:val="0"/>
        <w:suppressAutoHyphens/>
        <w:jc w:val="both"/>
      </w:pPr>
      <w:r w:rsidRPr="00425A7F">
        <w:t>D’après les Comptes de la Santé 2014, la dépense publique de santé représente 52% des dépenses totales de santé</w:t>
      </w:r>
      <w:r w:rsidR="00D1355A" w:rsidRPr="00425A7F">
        <w:t xml:space="preserve"> </w:t>
      </w:r>
      <w:r w:rsidRPr="00425A7F">
        <w:t xml:space="preserve">; la différence est surtout constituée des dépenses directes des ménages (44,95% du total). Les cotisations du secteur privé aux mécanismes d’assurance maladie sont estimées à 12,241 milliards (soit environ 3,05% du total des dépenses totales de santé). </w:t>
      </w:r>
      <w:r w:rsidR="00D10A21" w:rsidRPr="00425A7F">
        <w:t>Dans ces circonstances, il n’est pas étonnant que le Mali connaisse une incidence de dépenses catastrophiques parmi les plus élevées</w:t>
      </w:r>
      <w:r w:rsidR="008B08DE" w:rsidRPr="00425A7F">
        <w:t>,</w:t>
      </w:r>
      <w:r w:rsidR="00D10A21" w:rsidRPr="00425A7F">
        <w:t xml:space="preserve"> à 19</w:t>
      </w:r>
      <w:r w:rsidR="008B08DE" w:rsidRPr="00425A7F">
        <w:t>%</w:t>
      </w:r>
      <w:r w:rsidR="008B08DE" w:rsidRPr="00425A7F">
        <w:rPr>
          <w:rStyle w:val="Appelnotedebasdep"/>
          <w:rFonts w:ascii="Times New Roman" w:hAnsi="Times New Roman"/>
          <w:sz w:val="24"/>
          <w:szCs w:val="24"/>
        </w:rPr>
        <w:footnoteReference w:id="15"/>
      </w:r>
      <w:r w:rsidR="008B08DE" w:rsidRPr="00425A7F">
        <w:t>.</w:t>
      </w:r>
      <w:r w:rsidR="00543259" w:rsidRPr="00425A7F">
        <w:t xml:space="preserve"> </w:t>
      </w:r>
      <w:r w:rsidR="00D67DD3" w:rsidRPr="00425A7F">
        <w:t>Les</w:t>
      </w:r>
      <w:r w:rsidR="00E75695" w:rsidRPr="00425A7F">
        <w:t xml:space="preserve"> dépenses de santé par an et par habitant, sont, au Mali, </w:t>
      </w:r>
      <w:r w:rsidR="005424D1" w:rsidRPr="00425A7F">
        <w:t>d’environ</w:t>
      </w:r>
      <w:r w:rsidR="00E75695" w:rsidRPr="00425A7F">
        <w:t xml:space="preserve"> </w:t>
      </w:r>
      <w:r w:rsidRPr="00425A7F">
        <w:t>US$ 49 en 2014 contre US$ 42,7 en 2013</w:t>
      </w:r>
      <w:r w:rsidR="003F0AF9" w:rsidRPr="00425A7F">
        <w:t>.</w:t>
      </w:r>
      <w:r w:rsidRPr="00425A7F">
        <w:t xml:space="preserve"> On note également que les dépenses publiques en santé sont largement soutenues par l’aide internationale puisque le financement des PTF représente environ la moitié de celles-ci en 2014.</w:t>
      </w:r>
    </w:p>
    <w:p w:rsidR="00A967EF" w:rsidRPr="00425A7F" w:rsidRDefault="00A967EF" w:rsidP="00F24E98">
      <w:pPr>
        <w:pStyle w:val="Sansinterligne"/>
        <w:widowControl w:val="0"/>
        <w:suppressAutoHyphens/>
        <w:jc w:val="both"/>
      </w:pPr>
    </w:p>
    <w:p w:rsidR="00754449" w:rsidRPr="00425A7F" w:rsidRDefault="007D7A58" w:rsidP="00754449">
      <w:pPr>
        <w:pStyle w:val="Titre4"/>
      </w:pPr>
      <w:bookmarkStart w:id="21" w:name="_Toc497294482"/>
      <w:r w:rsidRPr="00425A7F">
        <w:t>Répartition des d</w:t>
      </w:r>
      <w:r w:rsidR="00754449" w:rsidRPr="00425A7F">
        <w:t>épenses publiques en santé :</w:t>
      </w:r>
      <w:bookmarkEnd w:id="21"/>
    </w:p>
    <w:p w:rsidR="007D7A58" w:rsidRPr="00425A7F" w:rsidRDefault="007D7A58" w:rsidP="00754449">
      <w:pPr>
        <w:rPr>
          <w:lang w:val="fr-CH" w:eastAsia="fr-FR"/>
        </w:rPr>
      </w:pPr>
    </w:p>
    <w:p w:rsidR="007D7A58" w:rsidRPr="00425A7F" w:rsidRDefault="007D7A58" w:rsidP="007D7A58">
      <w:pPr>
        <w:widowControl w:val="0"/>
        <w:suppressAutoHyphens/>
        <w:jc w:val="both"/>
      </w:pPr>
      <w:r w:rsidRPr="00425A7F">
        <w:t xml:space="preserve">Une question fondamentale concerne l’allocation des ressources domestiques au secteur de la santé. En effet la moitié des dépenses publiques de santé proviennent de l’aide internationale mais ceci n’est point pérenne et l’analyse doit se concentrer sur la part des dépenses récurrentes du budget consacrée à la santé ainsi que son allocation. </w:t>
      </w:r>
      <w:r w:rsidRPr="00425A7F">
        <w:rPr>
          <w:lang w:val="fr-CH" w:eastAsia="fr-FR"/>
        </w:rPr>
        <w:t>Le budget de l’Etat consacre près de 100 milliards à la Santé</w:t>
      </w:r>
      <w:r w:rsidRPr="00425A7F">
        <w:rPr>
          <w:rStyle w:val="Appelnotedebasdep"/>
          <w:lang w:val="fr-CH" w:eastAsia="fr-FR"/>
        </w:rPr>
        <w:footnoteReference w:id="16"/>
      </w:r>
      <w:r w:rsidRPr="00425A7F">
        <w:rPr>
          <w:lang w:val="fr-CH" w:eastAsia="fr-FR"/>
        </w:rPr>
        <w:t>. Ceci représente</w:t>
      </w:r>
      <w:r w:rsidRPr="00425A7F">
        <w:t xml:space="preserve"> 11% des dépenses récurrentes utilisé pour le secteur, de sorte que le Mali est encore loin de l’engagement d’Abuja. Mais en considération du contexte, on peut tout de même saluer cet effort, et l’on doit se réjouir des programmations à la hausse (cf. infra). Le second point concerne donc l’allocation de ces 11%. L’analyse relève que :</w:t>
      </w:r>
    </w:p>
    <w:p w:rsidR="007D7A58" w:rsidRPr="00425A7F" w:rsidRDefault="007D7A58" w:rsidP="007D7A58">
      <w:pPr>
        <w:widowControl w:val="0"/>
        <w:suppressAutoHyphens/>
        <w:jc w:val="both"/>
      </w:pPr>
    </w:p>
    <w:p w:rsidR="007D7A58" w:rsidRPr="00425A7F" w:rsidRDefault="007D7A58" w:rsidP="00C52415">
      <w:pPr>
        <w:pStyle w:val="Paragraphedeliste"/>
        <w:widowControl w:val="0"/>
        <w:numPr>
          <w:ilvl w:val="0"/>
          <w:numId w:val="6"/>
        </w:numPr>
        <w:suppressAutoHyphens/>
        <w:jc w:val="both"/>
      </w:pPr>
      <w:r w:rsidRPr="00425A7F">
        <w:t>Le Ministère de la Santé dispose des ¾ de ce budget (74%). Les besoins de financement sont très importants comme l’atteste les manquements à tous les niveaux du système de santé (infrastructure, ressources humaines, moyens de fonctionnement…). D’un autre côté l’efficience de ses dépenses actuelles peut également être améliorée ;*</w:t>
      </w:r>
    </w:p>
    <w:p w:rsidR="007D7A58" w:rsidRPr="00425A7F" w:rsidRDefault="007D7A58" w:rsidP="007D7A58">
      <w:pPr>
        <w:pStyle w:val="Paragraphedeliste"/>
        <w:widowControl w:val="0"/>
        <w:suppressAutoHyphens/>
        <w:jc w:val="both"/>
      </w:pPr>
    </w:p>
    <w:p w:rsidR="007D7A58" w:rsidRPr="00425A7F" w:rsidRDefault="007D7A58" w:rsidP="00C52415">
      <w:pPr>
        <w:pStyle w:val="Paragraphedeliste"/>
        <w:widowControl w:val="0"/>
        <w:numPr>
          <w:ilvl w:val="0"/>
          <w:numId w:val="6"/>
        </w:numPr>
        <w:suppressAutoHyphens/>
        <w:jc w:val="both"/>
      </w:pPr>
      <w:r w:rsidRPr="00425A7F">
        <w:t>La couverture du risque maladie profite à toute la population malienne, voire à des cibles vulnérables, grâce aux « gratuités » (exemptions de paiement). Il sera cependant important d’évaluer le fonctionnement de ces gratuités. Au niveau de l’assurance maladie les dépenses de l’Etat au contraire ne sont pas véritablement équitables. La grande majorité profite à la population du secteur public au travers l’AMO (63% de l’effort de l’Etat à l’assurance maladie concerne sa part d’employeur). Les subventions au secteur informel sont minimes (11% du totales de subventions de l’Etat à l’AM) et celles aux démunis sont d’une part relativement faible (1/4 du total) et d’autre part utilisées de manière sous-optimal (seul 19% de la subvention à l’ANAM ou 27,8% des dépenses de l’année 2016 a servi à payer des prestations maladies).</w:t>
      </w:r>
    </w:p>
    <w:p w:rsidR="007D7A58" w:rsidRDefault="007D7A58" w:rsidP="007D7A58">
      <w:pPr>
        <w:pStyle w:val="Paragraphedeliste"/>
      </w:pPr>
    </w:p>
    <w:p w:rsidR="00325837" w:rsidRPr="00425A7F" w:rsidRDefault="00325837" w:rsidP="007D7A58">
      <w:pPr>
        <w:pStyle w:val="Paragraphedeliste"/>
      </w:pPr>
    </w:p>
    <w:p w:rsidR="00B502CB" w:rsidRPr="00425A7F" w:rsidRDefault="007D7A58" w:rsidP="00C52415">
      <w:pPr>
        <w:pStyle w:val="Paragraphedeliste"/>
        <w:widowControl w:val="0"/>
        <w:numPr>
          <w:ilvl w:val="0"/>
          <w:numId w:val="6"/>
        </w:numPr>
        <w:suppressAutoHyphens/>
        <w:jc w:val="both"/>
        <w:rPr>
          <w:lang w:val="fr-CH" w:eastAsia="fr-FR"/>
        </w:rPr>
      </w:pPr>
      <w:r w:rsidRPr="00425A7F">
        <w:lastRenderedPageBreak/>
        <w:t>D’autres Ministères (Education, Armées) gèrent moins de 2% des dépenses du secteur. Il est néanmoins important que la Tutelle du secteur puisse suivre des dépenses pour en analyser la performance.</w:t>
      </w:r>
    </w:p>
    <w:p w:rsidR="00F423F9" w:rsidRPr="00425A7F" w:rsidRDefault="00F423F9" w:rsidP="00754449">
      <w:pPr>
        <w:rPr>
          <w:b/>
          <w:u w:val="single"/>
          <w:lang w:val="fr-CH" w:eastAsia="fr-FR"/>
        </w:rPr>
      </w:pPr>
      <w:r w:rsidRPr="00425A7F">
        <w:rPr>
          <w:b/>
          <w:u w:val="single"/>
          <w:lang w:val="fr-CH" w:eastAsia="fr-FR"/>
        </w:rPr>
        <w:t xml:space="preserve">Tableau n°5 : </w:t>
      </w:r>
      <w:r w:rsidR="0064768A" w:rsidRPr="00425A7F">
        <w:rPr>
          <w:b/>
          <w:u w:val="single"/>
          <w:lang w:val="fr-CH" w:eastAsia="fr-FR"/>
        </w:rPr>
        <w:t>répartition</w:t>
      </w:r>
      <w:r w:rsidRPr="00425A7F">
        <w:rPr>
          <w:b/>
          <w:u w:val="single"/>
          <w:lang w:val="fr-CH" w:eastAsia="fr-FR"/>
        </w:rPr>
        <w:t xml:space="preserve"> de</w:t>
      </w:r>
      <w:r w:rsidR="0064768A" w:rsidRPr="00425A7F">
        <w:rPr>
          <w:b/>
          <w:u w:val="single"/>
          <w:lang w:val="fr-CH" w:eastAsia="fr-FR"/>
        </w:rPr>
        <w:t>s</w:t>
      </w:r>
      <w:r w:rsidR="008A0F12" w:rsidRPr="00425A7F">
        <w:rPr>
          <w:b/>
          <w:u w:val="single"/>
          <w:lang w:val="fr-CH" w:eastAsia="fr-FR"/>
        </w:rPr>
        <w:t xml:space="preserve"> dépenses de l’Etat au secteur</w:t>
      </w:r>
      <w:r w:rsidRPr="00425A7F">
        <w:rPr>
          <w:b/>
          <w:u w:val="single"/>
          <w:lang w:val="fr-CH" w:eastAsia="fr-FR"/>
        </w:rPr>
        <w:t xml:space="preserve"> santé </w:t>
      </w:r>
    </w:p>
    <w:p w:rsidR="00754449" w:rsidRPr="00425A7F" w:rsidRDefault="00754449" w:rsidP="00F24E98">
      <w:pPr>
        <w:pStyle w:val="Sansinterligne"/>
        <w:widowControl w:val="0"/>
        <w:suppressAutoHyphens/>
        <w:jc w:val="both"/>
      </w:pPr>
    </w:p>
    <w:p w:rsidR="00C85933" w:rsidRPr="00425A7F" w:rsidRDefault="00C85933" w:rsidP="00C52D14">
      <w:pPr>
        <w:rPr>
          <w:sz w:val="16"/>
          <w:szCs w:val="16"/>
        </w:rPr>
      </w:pPr>
    </w:p>
    <w:p w:rsidR="00754449" w:rsidRPr="00425A7F" w:rsidRDefault="00D03180" w:rsidP="00C52D14">
      <w:pPr>
        <w:rPr>
          <w:sz w:val="16"/>
          <w:szCs w:val="16"/>
        </w:rPr>
      </w:pPr>
      <w:r w:rsidRPr="00425A7F">
        <w:rPr>
          <w:noProof/>
          <w:sz w:val="16"/>
          <w:szCs w:val="16"/>
          <w:lang w:eastAsia="fr-FR"/>
        </w:rPr>
        <w:drawing>
          <wp:inline distT="0" distB="0" distL="0" distR="0" wp14:anchorId="21F3A706">
            <wp:extent cx="5688330" cy="3084830"/>
            <wp:effectExtent l="0" t="0" r="7620" b="127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3084830"/>
                    </a:xfrm>
                    <a:prstGeom prst="rect">
                      <a:avLst/>
                    </a:prstGeom>
                    <a:noFill/>
                  </pic:spPr>
                </pic:pic>
              </a:graphicData>
            </a:graphic>
          </wp:inline>
        </w:drawing>
      </w:r>
    </w:p>
    <w:p w:rsidR="003C51E5" w:rsidRPr="00425A7F" w:rsidRDefault="003C51E5" w:rsidP="003C51E5">
      <w:pPr>
        <w:rPr>
          <w:lang w:val="fr-CH" w:eastAsia="fr-FR"/>
        </w:rPr>
      </w:pPr>
    </w:p>
    <w:p w:rsidR="003C51E5" w:rsidRPr="00425A7F" w:rsidRDefault="003C51E5" w:rsidP="003C51E5">
      <w:pPr>
        <w:rPr>
          <w:lang w:val="fr-CH" w:eastAsia="fr-FR"/>
        </w:rPr>
      </w:pPr>
    </w:p>
    <w:p w:rsidR="003C51E5" w:rsidRPr="00425A7F" w:rsidRDefault="003C51E5" w:rsidP="003C51E5">
      <w:pPr>
        <w:rPr>
          <w:b/>
          <w:u w:val="single"/>
          <w:lang w:val="fr-CH" w:eastAsia="fr-FR"/>
        </w:rPr>
      </w:pPr>
      <w:r w:rsidRPr="00425A7F">
        <w:rPr>
          <w:lang w:val="fr-CH" w:eastAsia="fr-FR"/>
        </w:rPr>
        <w:t>L’ensemble des dépenses de l’Etat à la couverture du risque maladie représente 11,1% du total</w:t>
      </w:r>
      <w:r w:rsidRPr="00425A7F">
        <w:rPr>
          <w:rStyle w:val="Appelnotedebasdep"/>
          <w:lang w:val="fr-CH" w:eastAsia="fr-FR"/>
        </w:rPr>
        <w:footnoteReference w:id="17"/>
      </w:r>
      <w:r w:rsidRPr="00425A7F">
        <w:rPr>
          <w:lang w:val="fr-CH" w:eastAsia="fr-FR"/>
        </w:rPr>
        <w:t>.</w:t>
      </w:r>
    </w:p>
    <w:p w:rsidR="003C51E5" w:rsidRPr="00425A7F" w:rsidRDefault="003C51E5" w:rsidP="00D67DD3">
      <w:pPr>
        <w:rPr>
          <w:b/>
          <w:u w:val="single"/>
          <w:lang w:val="fr-CH" w:eastAsia="fr-FR"/>
        </w:rPr>
      </w:pPr>
    </w:p>
    <w:p w:rsidR="00D67DD3" w:rsidRPr="00425A7F" w:rsidRDefault="00D67DD3" w:rsidP="00D67DD3">
      <w:pPr>
        <w:rPr>
          <w:b/>
          <w:u w:val="single"/>
          <w:lang w:val="fr-CH" w:eastAsia="fr-FR"/>
        </w:rPr>
      </w:pPr>
      <w:r w:rsidRPr="00425A7F">
        <w:rPr>
          <w:b/>
          <w:u w:val="single"/>
          <w:lang w:val="fr-CH" w:eastAsia="fr-FR"/>
        </w:rPr>
        <w:t>Tableau n°6 : montants des subventions et % sur le total des subventions à la couverture du risque maladie :</w:t>
      </w:r>
    </w:p>
    <w:p w:rsidR="00D67DD3" w:rsidRPr="00425A7F" w:rsidRDefault="00D67DD3" w:rsidP="00D67DD3">
      <w:pPr>
        <w:rPr>
          <w:lang w:val="fr-CH" w:eastAsia="fr-FR"/>
        </w:rPr>
      </w:pPr>
    </w:p>
    <w:p w:rsidR="00D67DD3" w:rsidRPr="00425A7F" w:rsidRDefault="00D67DD3" w:rsidP="00D67DD3">
      <w:pPr>
        <w:rPr>
          <w:lang w:val="fr-CH" w:eastAsia="fr-FR"/>
        </w:rPr>
      </w:pPr>
      <w:r w:rsidRPr="00425A7F">
        <w:rPr>
          <w:noProof/>
          <w:lang w:eastAsia="fr-FR"/>
        </w:rPr>
        <w:drawing>
          <wp:inline distT="0" distB="0" distL="0" distR="0" wp14:anchorId="7A026E22" wp14:editId="4A4819F1">
            <wp:extent cx="4762500" cy="581025"/>
            <wp:effectExtent l="0" t="0" r="0" b="9525"/>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62500" cy="581025"/>
                    </a:xfrm>
                    <a:prstGeom prst="rect">
                      <a:avLst/>
                    </a:prstGeom>
                    <a:noFill/>
                    <a:ln>
                      <a:noFill/>
                    </a:ln>
                  </pic:spPr>
                </pic:pic>
              </a:graphicData>
            </a:graphic>
          </wp:inline>
        </w:drawing>
      </w:r>
    </w:p>
    <w:p w:rsidR="00456837" w:rsidRPr="00425A7F" w:rsidRDefault="008A0F12">
      <w:pPr>
        <w:spacing w:after="200" w:line="276" w:lineRule="auto"/>
        <w:rPr>
          <w:b/>
          <w:u w:val="single"/>
          <w:lang w:val="fr-CH" w:eastAsia="fr-FR"/>
        </w:rPr>
      </w:pPr>
      <w:r w:rsidRPr="00425A7F">
        <w:rPr>
          <w:b/>
          <w:noProof/>
          <w:u w:val="single"/>
          <w:lang w:eastAsia="fr-FR"/>
        </w:rPr>
        <w:lastRenderedPageBreak/>
        <w:drawing>
          <wp:inline distT="0" distB="0" distL="0" distR="0" wp14:anchorId="63B718E2">
            <wp:extent cx="5614889" cy="2260120"/>
            <wp:effectExtent l="0" t="0" r="5080" b="6985"/>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11541" cy="2258772"/>
                    </a:xfrm>
                    <a:prstGeom prst="rect">
                      <a:avLst/>
                    </a:prstGeom>
                    <a:noFill/>
                  </pic:spPr>
                </pic:pic>
              </a:graphicData>
            </a:graphic>
          </wp:inline>
        </w:drawing>
      </w:r>
      <w:r w:rsidR="002826EC" w:rsidRPr="00425A7F">
        <w:rPr>
          <w:b/>
          <w:u w:val="single"/>
          <w:lang w:val="fr-CH" w:eastAsia="fr-FR"/>
        </w:rPr>
        <w:t xml:space="preserve"> </w:t>
      </w:r>
    </w:p>
    <w:p w:rsidR="00DD3D84" w:rsidRPr="00425A7F" w:rsidRDefault="00DD3D84" w:rsidP="00DD3D84">
      <w:pPr>
        <w:pStyle w:val="Titre4"/>
      </w:pPr>
      <w:bookmarkStart w:id="22" w:name="_Toc497294483"/>
      <w:r w:rsidRPr="00425A7F">
        <w:t xml:space="preserve">Effort public </w:t>
      </w:r>
      <w:r w:rsidR="00D67DD3" w:rsidRPr="00425A7F">
        <w:t>spécifique à</w:t>
      </w:r>
      <w:r w:rsidRPr="00425A7F">
        <w:t xml:space="preserve"> la santé :</w:t>
      </w:r>
      <w:bookmarkEnd w:id="22"/>
    </w:p>
    <w:p w:rsidR="00DD3D84" w:rsidRPr="00425A7F" w:rsidRDefault="00DD3D84" w:rsidP="00DD3D84">
      <w:pPr>
        <w:rPr>
          <w:lang w:val="fr-CH" w:eastAsia="fr-FR"/>
        </w:rPr>
      </w:pPr>
      <w:r w:rsidRPr="00425A7F">
        <w:rPr>
          <w:lang w:val="fr-CH" w:eastAsia="fr-FR"/>
        </w:rPr>
        <w:t>Avec près de 100 milliards de FCFA les dépenses publiques dans le secteur de la santé représentent environ 11% des dépenses courantes de l’Etat. Rapporté au budget total de l’Etat, la part évolue ainsi :</w:t>
      </w:r>
    </w:p>
    <w:p w:rsidR="00F423F9" w:rsidRPr="00425A7F" w:rsidRDefault="00F423F9" w:rsidP="00DD3D84">
      <w:pPr>
        <w:rPr>
          <w:lang w:val="fr-CH" w:eastAsia="fr-FR"/>
        </w:rPr>
      </w:pPr>
    </w:p>
    <w:p w:rsidR="00F423F9" w:rsidRPr="00425A7F" w:rsidRDefault="00F423F9" w:rsidP="00DD3D84">
      <w:pPr>
        <w:rPr>
          <w:b/>
          <w:u w:val="single"/>
          <w:lang w:val="fr-CH" w:eastAsia="fr-FR"/>
        </w:rPr>
      </w:pPr>
      <w:r w:rsidRPr="00425A7F">
        <w:rPr>
          <w:b/>
          <w:u w:val="single"/>
          <w:lang w:val="fr-CH" w:eastAsia="fr-FR"/>
        </w:rPr>
        <w:t>Tableau n°7 : évolution de la part de la fonction santé dans le budget global de l’Etat</w:t>
      </w:r>
    </w:p>
    <w:p w:rsidR="00DD3D84" w:rsidRPr="00425A7F" w:rsidRDefault="00DD3D84" w:rsidP="00DD3D84">
      <w:pPr>
        <w:rPr>
          <w:lang w:val="fr-CH" w:eastAsia="fr-FR"/>
        </w:rPr>
      </w:pPr>
    </w:p>
    <w:p w:rsidR="00DD3D84" w:rsidRPr="00425A7F" w:rsidRDefault="00DD3D84" w:rsidP="00DD3D84">
      <w:pPr>
        <w:rPr>
          <w:lang w:val="fr-CH" w:eastAsia="fr-FR"/>
        </w:rPr>
      </w:pPr>
      <w:r w:rsidRPr="00425A7F">
        <w:rPr>
          <w:noProof/>
          <w:lang w:eastAsia="fr-FR"/>
        </w:rPr>
        <w:drawing>
          <wp:inline distT="0" distB="0" distL="0" distR="0" wp14:anchorId="24C4B677" wp14:editId="2998AA14">
            <wp:extent cx="5759450" cy="1525128"/>
            <wp:effectExtent l="0" t="0" r="0" b="0"/>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59450" cy="1525128"/>
                    </a:xfrm>
                    <a:prstGeom prst="rect">
                      <a:avLst/>
                    </a:prstGeom>
                    <a:noFill/>
                    <a:ln>
                      <a:noFill/>
                    </a:ln>
                  </pic:spPr>
                </pic:pic>
              </a:graphicData>
            </a:graphic>
          </wp:inline>
        </w:drawing>
      </w:r>
    </w:p>
    <w:p w:rsidR="007E686C" w:rsidRPr="00425A7F" w:rsidRDefault="007E686C" w:rsidP="00F24E98">
      <w:pPr>
        <w:pStyle w:val="Sansinterligne"/>
        <w:widowControl w:val="0"/>
        <w:suppressAutoHyphens/>
        <w:jc w:val="both"/>
        <w:rPr>
          <w:lang w:val="fr-CH" w:eastAsia="fr-FR"/>
        </w:rPr>
      </w:pPr>
    </w:p>
    <w:p w:rsidR="00DD3D84" w:rsidRPr="00425A7F" w:rsidRDefault="00DD3D84" w:rsidP="007D7A58">
      <w:pPr>
        <w:spacing w:after="200" w:line="276" w:lineRule="auto"/>
        <w:rPr>
          <w:lang w:val="fr-CH" w:eastAsia="fr-FR"/>
        </w:rPr>
      </w:pPr>
      <w:r w:rsidRPr="00425A7F">
        <w:rPr>
          <w:lang w:val="fr-CH" w:eastAsia="fr-FR"/>
        </w:rPr>
        <w:t>Le graphique suivant montre l’évolution de l’allocation du secteur santé sur le budget exécuté (2012-2016), avec une tendance plutôt à la baisse.</w:t>
      </w:r>
    </w:p>
    <w:p w:rsidR="00F423F9" w:rsidRPr="00425A7F" w:rsidRDefault="00F423F9" w:rsidP="00F24E98">
      <w:pPr>
        <w:pStyle w:val="Sansinterligne"/>
        <w:widowControl w:val="0"/>
        <w:suppressAutoHyphens/>
        <w:jc w:val="both"/>
        <w:rPr>
          <w:lang w:val="fr-CH" w:eastAsia="fr-FR"/>
        </w:rPr>
      </w:pPr>
    </w:p>
    <w:p w:rsidR="00F423F9" w:rsidRPr="00425A7F" w:rsidRDefault="00F423F9" w:rsidP="00F24E98">
      <w:pPr>
        <w:pStyle w:val="Sansinterligne"/>
        <w:widowControl w:val="0"/>
        <w:suppressAutoHyphens/>
        <w:jc w:val="both"/>
        <w:rPr>
          <w:b/>
          <w:u w:val="single"/>
          <w:lang w:val="fr-CH" w:eastAsia="fr-FR"/>
        </w:rPr>
      </w:pPr>
      <w:r w:rsidRPr="00425A7F">
        <w:rPr>
          <w:b/>
          <w:u w:val="single"/>
          <w:lang w:val="fr-CH" w:eastAsia="fr-FR"/>
        </w:rPr>
        <w:t>Tableau n°8 : évolution de la part du secteur santé dans le total du budget (allocation)</w:t>
      </w:r>
    </w:p>
    <w:p w:rsidR="00DD3D84" w:rsidRPr="00425A7F" w:rsidRDefault="00DD3D84" w:rsidP="00F24E98">
      <w:pPr>
        <w:pStyle w:val="Sansinterligne"/>
        <w:widowControl w:val="0"/>
        <w:suppressAutoHyphens/>
        <w:jc w:val="both"/>
        <w:rPr>
          <w:lang w:val="fr-CH" w:eastAsia="fr-FR"/>
        </w:rPr>
      </w:pPr>
    </w:p>
    <w:p w:rsidR="00F423F9" w:rsidRPr="00425A7F" w:rsidRDefault="00DD3D84" w:rsidP="00456837">
      <w:pPr>
        <w:pStyle w:val="Sansinterligne"/>
        <w:widowControl w:val="0"/>
        <w:suppressAutoHyphens/>
        <w:jc w:val="both"/>
        <w:rPr>
          <w:rFonts w:eastAsiaTheme="majorEastAsia" w:cstheme="majorBidi"/>
          <w:b/>
          <w:bCs/>
          <w:sz w:val="24"/>
          <w:lang w:val="fr-CH"/>
        </w:rPr>
      </w:pPr>
      <w:r w:rsidRPr="00425A7F">
        <w:rPr>
          <w:noProof/>
          <w:lang w:eastAsia="fr-FR"/>
        </w:rPr>
        <w:drawing>
          <wp:inline distT="0" distB="0" distL="0" distR="0" wp14:anchorId="49871409" wp14:editId="5E1883B2">
            <wp:extent cx="4779034" cy="1292493"/>
            <wp:effectExtent l="0" t="0" r="2540" b="3175"/>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807004" cy="1300058"/>
                    </a:xfrm>
                    <a:prstGeom prst="rect">
                      <a:avLst/>
                    </a:prstGeom>
                    <a:noFill/>
                  </pic:spPr>
                </pic:pic>
              </a:graphicData>
            </a:graphic>
          </wp:inline>
        </w:drawing>
      </w:r>
    </w:p>
    <w:p w:rsidR="007D7A58" w:rsidRPr="00425A7F" w:rsidRDefault="007D7A58" w:rsidP="00456837">
      <w:pPr>
        <w:pStyle w:val="Sansinterligne"/>
        <w:widowControl w:val="0"/>
        <w:suppressAutoHyphens/>
        <w:jc w:val="both"/>
        <w:rPr>
          <w:rFonts w:eastAsiaTheme="majorEastAsia" w:cstheme="majorBidi"/>
          <w:b/>
          <w:bCs/>
          <w:sz w:val="24"/>
          <w:lang w:val="fr-CH"/>
        </w:rPr>
      </w:pPr>
    </w:p>
    <w:p w:rsidR="00C3515A" w:rsidRPr="00425A7F" w:rsidRDefault="00C3515A" w:rsidP="00456837">
      <w:pPr>
        <w:pStyle w:val="Sansinterligne"/>
        <w:widowControl w:val="0"/>
        <w:suppressAutoHyphens/>
        <w:jc w:val="both"/>
        <w:rPr>
          <w:rFonts w:eastAsiaTheme="majorEastAsia" w:cstheme="majorBidi"/>
          <w:b/>
          <w:bCs/>
          <w:sz w:val="24"/>
          <w:lang w:val="fr-CH"/>
        </w:rPr>
      </w:pPr>
    </w:p>
    <w:p w:rsidR="0002595D" w:rsidRPr="00425A7F" w:rsidRDefault="0002595D" w:rsidP="00BF7533">
      <w:pPr>
        <w:pStyle w:val="Titre3"/>
      </w:pPr>
      <w:bookmarkStart w:id="23" w:name="_Toc497294484"/>
      <w:r w:rsidRPr="00425A7F">
        <w:t>Analyse institutionnelle</w:t>
      </w:r>
      <w:r w:rsidR="000B4DC9" w:rsidRPr="00425A7F">
        <w:t xml:space="preserve"> et </w:t>
      </w:r>
      <w:r w:rsidRPr="00425A7F">
        <w:t>organisationnelle des fonctions et défis principaux</w:t>
      </w:r>
      <w:bookmarkEnd w:id="23"/>
    </w:p>
    <w:p w:rsidR="0002595D" w:rsidRPr="00425A7F" w:rsidRDefault="0002595D" w:rsidP="00BF7533">
      <w:pPr>
        <w:pStyle w:val="Titre4"/>
      </w:pPr>
      <w:bookmarkStart w:id="24" w:name="_Toc497294485"/>
      <w:r w:rsidRPr="00425A7F">
        <w:t>Mobilisation des ressources</w:t>
      </w:r>
      <w:bookmarkEnd w:id="24"/>
    </w:p>
    <w:p w:rsidR="005D3FAE" w:rsidRPr="00425A7F" w:rsidRDefault="005D3FAE" w:rsidP="005D3FAE">
      <w:pPr>
        <w:widowControl w:val="0"/>
        <w:suppressAutoHyphens/>
        <w:jc w:val="both"/>
      </w:pPr>
      <w:r w:rsidRPr="00425A7F">
        <w:t xml:space="preserve">Un point positif de la mobilisation des ressources concerne la capacité d’absorption. Les Taux </w:t>
      </w:r>
      <w:r w:rsidRPr="00425A7F">
        <w:lastRenderedPageBreak/>
        <w:t xml:space="preserve">d’exécution du budget récurrent du secteur santé, développement social et promotion de la famille en 2014, 2015 et 2016 sont respectivement de 99,03%, 97,91% et 99,42%. </w:t>
      </w:r>
    </w:p>
    <w:p w:rsidR="005D3FAE" w:rsidRPr="00425A7F" w:rsidRDefault="005D3FAE" w:rsidP="005D3FAE">
      <w:pPr>
        <w:widowControl w:val="0"/>
        <w:suppressAutoHyphens/>
        <w:jc w:val="both"/>
      </w:pPr>
    </w:p>
    <w:p w:rsidR="00485100" w:rsidRPr="00425A7F" w:rsidRDefault="005D3FAE" w:rsidP="005D3FAE">
      <w:pPr>
        <w:widowControl w:val="0"/>
        <w:suppressAutoHyphens/>
        <w:jc w:val="both"/>
      </w:pPr>
      <w:r w:rsidRPr="00425A7F">
        <w:t>Si le financement global a connu une baisse continue entre 2008 et 2011 due à la diminution de la contribution des PTF non compensée par l’accroissement des allocations du budget d’Etat , il est en augmentation depuis 2013.</w:t>
      </w:r>
      <w:r w:rsidRPr="00425A7F">
        <w:rPr>
          <w:rFonts w:ascii="Times New Roman" w:hAnsi="Times New Roman"/>
          <w:sz w:val="24"/>
          <w:szCs w:val="24"/>
        </w:rPr>
        <w:t xml:space="preserve"> </w:t>
      </w:r>
      <w:r w:rsidR="008D7C5F" w:rsidRPr="00425A7F">
        <w:t>La</w:t>
      </w:r>
      <w:r w:rsidR="00512DD6" w:rsidRPr="00425A7F">
        <w:t xml:space="preserve"> dépendance de l’Etat </w:t>
      </w:r>
      <w:r w:rsidR="00EF49B6" w:rsidRPr="00425A7F">
        <w:t xml:space="preserve">pour </w:t>
      </w:r>
      <w:r w:rsidR="00C57D03" w:rsidRPr="00425A7F">
        <w:t>le financement</w:t>
      </w:r>
      <w:r w:rsidR="00512DD6" w:rsidRPr="00425A7F">
        <w:t xml:space="preserve"> de la santé </w:t>
      </w:r>
      <w:r w:rsidR="00EF49B6" w:rsidRPr="00425A7F">
        <w:t>montre à l’évidence que l</w:t>
      </w:r>
      <w:r w:rsidR="00485100" w:rsidRPr="00425A7F">
        <w:t xml:space="preserve">a reprise des relations de coopération </w:t>
      </w:r>
      <w:r w:rsidR="00512DD6" w:rsidRPr="00425A7F">
        <w:t>doit</w:t>
      </w:r>
      <w:r w:rsidR="00485100" w:rsidRPr="00425A7F">
        <w:t xml:space="preserve"> s’accompagner d’une réaffirmation du leadership du gouvernement </w:t>
      </w:r>
      <w:r w:rsidR="00EF49B6" w:rsidRPr="00425A7F">
        <w:t>pour</w:t>
      </w:r>
      <w:r w:rsidR="00485100" w:rsidRPr="00425A7F">
        <w:t xml:space="preserve"> la maitrise des circuits de financement. </w:t>
      </w:r>
      <w:r w:rsidR="00512DD6" w:rsidRPr="00425A7F">
        <w:t>L’Etat</w:t>
      </w:r>
      <w:r w:rsidR="00485100" w:rsidRPr="00425A7F">
        <w:t xml:space="preserve"> </w:t>
      </w:r>
      <w:r w:rsidR="00512DD6" w:rsidRPr="00425A7F">
        <w:t>affirme</w:t>
      </w:r>
      <w:r w:rsidR="00485100" w:rsidRPr="00425A7F">
        <w:t xml:space="preserve"> </w:t>
      </w:r>
      <w:r w:rsidR="00EF49B6" w:rsidRPr="00425A7F">
        <w:t>une intention</w:t>
      </w:r>
      <w:r w:rsidR="00485100" w:rsidRPr="00425A7F">
        <w:t xml:space="preserve"> particulière à ce que les engagements pris pour l’alignement de l’aide soient respectés de toutes les parties</w:t>
      </w:r>
      <w:r w:rsidR="00512DD6" w:rsidRPr="00425A7F">
        <w:t>,</w:t>
      </w:r>
      <w:r w:rsidR="00485100" w:rsidRPr="00425A7F">
        <w:t xml:space="preserve"> notamment</w:t>
      </w:r>
      <w:r w:rsidR="00512DD6" w:rsidRPr="00425A7F">
        <w:t xml:space="preserve"> de</w:t>
      </w:r>
      <w:r w:rsidR="00485100" w:rsidRPr="00425A7F">
        <w:t xml:space="preserve"> celles qui ont</w:t>
      </w:r>
      <w:r w:rsidR="007350D8" w:rsidRPr="00425A7F">
        <w:t xml:space="preserve"> signé le document «COMPACT».</w:t>
      </w:r>
    </w:p>
    <w:p w:rsidR="00485100" w:rsidRPr="00425A7F" w:rsidRDefault="00485100" w:rsidP="00F24E98">
      <w:pPr>
        <w:widowControl w:val="0"/>
        <w:suppressAutoHyphens/>
        <w:jc w:val="both"/>
      </w:pPr>
    </w:p>
    <w:p w:rsidR="00C57D03" w:rsidRPr="00425A7F" w:rsidRDefault="00C57D03" w:rsidP="00F24E98">
      <w:pPr>
        <w:widowControl w:val="0"/>
        <w:suppressAutoHyphens/>
        <w:jc w:val="both"/>
      </w:pPr>
      <w:r w:rsidRPr="00425A7F">
        <w:t>La mobilisation des cotisations dans le cadre de l’Assurance Maladie rencontre plusieurs problèmes</w:t>
      </w:r>
      <w:r w:rsidR="00E91CA3" w:rsidRPr="00425A7F">
        <w:t xml:space="preserve"> institutionnels et organisationnels</w:t>
      </w:r>
      <w:r w:rsidRPr="00425A7F">
        <w:t xml:space="preserve">. Tout d’abord, le caractère obligatoire et donc universel n’est pas affirmé. Ensuite, l’assurance maladie se développe sur la base de </w:t>
      </w:r>
      <w:r w:rsidR="00822796" w:rsidRPr="00425A7F">
        <w:t xml:space="preserve">divers </w:t>
      </w:r>
      <w:r w:rsidRPr="00425A7F">
        <w:t xml:space="preserve">mécanismes mis en place pour des cibles différentes, avec </w:t>
      </w:r>
      <w:r w:rsidR="009B43A6" w:rsidRPr="00425A7F">
        <w:t>une vision stratégique selon laquelle</w:t>
      </w:r>
      <w:r w:rsidR="00E96A14" w:rsidRPr="00425A7F">
        <w:t xml:space="preserve"> différents régimes seront fixés et harmonisés. La mobilisation des ressources </w:t>
      </w:r>
      <w:r w:rsidR="009B43A6" w:rsidRPr="00425A7F">
        <w:t>est donc actuellement</w:t>
      </w:r>
      <w:r w:rsidR="00E96A14" w:rsidRPr="00425A7F">
        <w:t xml:space="preserve"> sous-optimale et d’un coût administratif élevé. Enfin la mobilisation des cotisations pour le secteur informel souf</w:t>
      </w:r>
      <w:r w:rsidR="009B43A6" w:rsidRPr="00425A7F">
        <w:t>f</w:t>
      </w:r>
      <w:r w:rsidR="00E96A14" w:rsidRPr="00425A7F">
        <w:t xml:space="preserve">re des limites de capacités contributives : les cotisations attendues des populations du secteur non pauvre </w:t>
      </w:r>
      <w:r w:rsidR="009B43A6" w:rsidRPr="00425A7F">
        <w:t>semblent</w:t>
      </w:r>
      <w:r w:rsidR="00E96A14" w:rsidRPr="00425A7F">
        <w:t xml:space="preserve"> au-dessus des possibilités d’une majorité d’entre elles, et </w:t>
      </w:r>
      <w:r w:rsidR="00295B07" w:rsidRPr="00425A7F">
        <w:t>encore les</w:t>
      </w:r>
      <w:r w:rsidR="00E96A14" w:rsidRPr="00425A7F">
        <w:t xml:space="preserve"> démunis </w:t>
      </w:r>
      <w:r w:rsidR="00295B07" w:rsidRPr="00425A7F">
        <w:t>ne seront couverts contre le risque maladie que si l’Etat couvre les prises en charge</w:t>
      </w:r>
      <w:r w:rsidR="00E96A14" w:rsidRPr="00425A7F">
        <w:t>.</w:t>
      </w:r>
      <w:r w:rsidR="00E91CA3" w:rsidRPr="00425A7F">
        <w:t xml:space="preserve"> </w:t>
      </w:r>
      <w:r w:rsidR="00295B07" w:rsidRPr="00425A7F">
        <w:t>L</w:t>
      </w:r>
      <w:r w:rsidR="00E91CA3" w:rsidRPr="00425A7F">
        <w:t xml:space="preserve">’organisation de la collecte </w:t>
      </w:r>
      <w:r w:rsidR="00295B07" w:rsidRPr="00425A7F">
        <w:t xml:space="preserve">est somme toute, </w:t>
      </w:r>
      <w:r w:rsidR="00E91CA3" w:rsidRPr="00425A7F">
        <w:t>à l’heure actuelle</w:t>
      </w:r>
      <w:r w:rsidR="00295B07" w:rsidRPr="00425A7F">
        <w:t>,</w:t>
      </w:r>
      <w:r w:rsidR="00E91CA3" w:rsidRPr="00425A7F">
        <w:t xml:space="preserve"> un obstacle </w:t>
      </w:r>
      <w:r w:rsidR="009B43A6" w:rsidRPr="00425A7F">
        <w:t>important</w:t>
      </w:r>
      <w:r w:rsidR="00E91CA3" w:rsidRPr="00425A7F">
        <w:t xml:space="preserve"> à l’efficience et au développement de la </w:t>
      </w:r>
      <w:r w:rsidR="002C37D7" w:rsidRPr="00425A7F">
        <w:t>couverture sanitaire universelle</w:t>
      </w:r>
      <w:r w:rsidR="00E91CA3" w:rsidRPr="00425A7F">
        <w:t>.</w:t>
      </w:r>
    </w:p>
    <w:p w:rsidR="00E96A14" w:rsidRPr="00425A7F" w:rsidRDefault="00E96A14" w:rsidP="00F24E98">
      <w:pPr>
        <w:widowControl w:val="0"/>
        <w:suppressAutoHyphens/>
        <w:jc w:val="both"/>
      </w:pPr>
    </w:p>
    <w:p w:rsidR="00E96A14" w:rsidRPr="00425A7F" w:rsidRDefault="009B43A6" w:rsidP="00F24E98">
      <w:pPr>
        <w:widowControl w:val="0"/>
        <w:suppressAutoHyphens/>
        <w:jc w:val="both"/>
      </w:pPr>
      <w:r w:rsidRPr="00425A7F">
        <w:t>L</w:t>
      </w:r>
      <w:r w:rsidR="00E91CA3" w:rsidRPr="00425A7F">
        <w:t>a mobilisation des ressources des ménages lorsque ceux-ci paient directement leurs soins de santé</w:t>
      </w:r>
      <w:r w:rsidR="008D7C5F" w:rsidRPr="00425A7F">
        <w:t xml:space="preserve"> ne pose pas de problème organisationnel, mais elle est reconnue comme la façon la moins équitable de mobiliser des fonds pour la santé. </w:t>
      </w:r>
      <w:r w:rsidR="008260D0" w:rsidRPr="00425A7F">
        <w:t>L</w:t>
      </w:r>
      <w:r w:rsidR="008D7C5F" w:rsidRPr="00425A7F">
        <w:t>es ressources ainsi mobilisées ne permettent pas non plus une distribution juste et équitable des fonds.</w:t>
      </w:r>
      <w:r w:rsidR="00295B07" w:rsidRPr="00425A7F">
        <w:t xml:space="preserve"> L</w:t>
      </w:r>
      <w:r w:rsidR="008D7C5F" w:rsidRPr="00425A7F">
        <w:t xml:space="preserve">es conséquences du paiement direct sont </w:t>
      </w:r>
      <w:r w:rsidR="00295B07" w:rsidRPr="00425A7F">
        <w:t xml:space="preserve">surtout </w:t>
      </w:r>
      <w:r w:rsidR="008D7C5F" w:rsidRPr="00425A7F">
        <w:t>énormes en termes d’accès aux soins et de paupérisation de la population.</w:t>
      </w:r>
    </w:p>
    <w:p w:rsidR="00767E16" w:rsidRPr="00425A7F" w:rsidRDefault="00767E16" w:rsidP="00F24E98">
      <w:pPr>
        <w:widowControl w:val="0"/>
        <w:suppressAutoHyphens/>
        <w:jc w:val="both"/>
      </w:pPr>
    </w:p>
    <w:p w:rsidR="0002595D" w:rsidRPr="00425A7F" w:rsidRDefault="0002595D" w:rsidP="00BF7533">
      <w:pPr>
        <w:pStyle w:val="Titre4"/>
      </w:pPr>
      <w:bookmarkStart w:id="25" w:name="_Toc497294486"/>
      <w:r w:rsidRPr="00425A7F">
        <w:t>Mise en commun</w:t>
      </w:r>
      <w:bookmarkEnd w:id="25"/>
    </w:p>
    <w:p w:rsidR="006F667B" w:rsidRPr="00425A7F" w:rsidRDefault="006F667B" w:rsidP="00F24E98">
      <w:pPr>
        <w:widowControl w:val="0"/>
        <w:suppressAutoHyphens/>
        <w:jc w:val="both"/>
      </w:pPr>
      <w:r w:rsidRPr="00425A7F">
        <w:t xml:space="preserve">Les régimes de protection sociale devraient jouer un grand rôle pour favoriser un accès plus équitable aux soins de santé. Malheureusement le « système » (assurance maladie, fonds d’aide, exemptions) est </w:t>
      </w:r>
      <w:r w:rsidR="00CB1C71" w:rsidRPr="00425A7F">
        <w:t>fractionné</w:t>
      </w:r>
      <w:r w:rsidRPr="00425A7F">
        <w:t xml:space="preserve"> entre plusieurs agences (CANAM, ANAM, Mutuelles, Directions centrales des Ministères). Il s’agit plutôt d’un</w:t>
      </w:r>
      <w:r w:rsidR="00693C9D" w:rsidRPr="00425A7F">
        <w:t>e</w:t>
      </w:r>
      <w:r w:rsidRPr="00425A7F">
        <w:t xml:space="preserve"> </w:t>
      </w:r>
      <w:r w:rsidR="00693C9D" w:rsidRPr="00425A7F">
        <w:t xml:space="preserve">juxtaposition </w:t>
      </w:r>
      <w:r w:rsidRPr="00425A7F">
        <w:t xml:space="preserve">de mécanismes que d’un système. Du coup, il existe beaucoup d’incohérences introduites à la faveur de l’émergence de nouvelles institutions sans pour autant que les dispositifs antérieurs soient revus ou supprimés. Les nouveaux </w:t>
      </w:r>
      <w:r w:rsidR="00CB1C71" w:rsidRPr="00425A7F">
        <w:t>dispositifs</w:t>
      </w:r>
      <w:r w:rsidRPr="00425A7F">
        <w:t xml:space="preserve"> cohabitent avec d’anciens </w:t>
      </w:r>
      <w:r w:rsidR="00CB1C71" w:rsidRPr="00425A7F">
        <w:t>et génèrent</w:t>
      </w:r>
      <w:r w:rsidR="009B43A6" w:rsidRPr="00425A7F">
        <w:t xml:space="preserve"> beaucoup de</w:t>
      </w:r>
      <w:r w:rsidRPr="00425A7F">
        <w:t xml:space="preserve"> confusion</w:t>
      </w:r>
      <w:r w:rsidR="00693C9D" w:rsidRPr="00425A7F">
        <w:t>s</w:t>
      </w:r>
      <w:r w:rsidRPr="00425A7F">
        <w:t>.</w:t>
      </w:r>
    </w:p>
    <w:p w:rsidR="00A72E23" w:rsidRPr="00425A7F" w:rsidRDefault="00A72E23" w:rsidP="00F24E98">
      <w:pPr>
        <w:widowControl w:val="0"/>
        <w:suppressAutoHyphens/>
        <w:autoSpaceDE w:val="0"/>
        <w:autoSpaceDN w:val="0"/>
        <w:adjustRightInd w:val="0"/>
        <w:jc w:val="both"/>
      </w:pPr>
    </w:p>
    <w:p w:rsidR="006D13B8" w:rsidRPr="00425A7F" w:rsidRDefault="006F667B" w:rsidP="00647CFC">
      <w:pPr>
        <w:widowControl w:val="0"/>
        <w:suppressAutoHyphens/>
        <w:autoSpaceDE w:val="0"/>
        <w:autoSpaceDN w:val="0"/>
        <w:adjustRightInd w:val="0"/>
        <w:jc w:val="both"/>
      </w:pPr>
      <w:r w:rsidRPr="00425A7F">
        <w:t>Pour ce qui concerne la constitution d’un pool efficace d’assurance maladie, la stratégie est claire. Elle est construite autour de trois régimes d’assurance maladie à savoir l’AMO, le RAMED et l’Assurance Maladie mutualiste, et une vision de pool à terme. Mais jusqu’alors n’ont pas été envisagés (a) l’institutionnalisation du régime d’assurance maladie volontaire, (b) le phasage pour la constitution d’un</w:t>
      </w:r>
      <w:r w:rsidR="006D13B8" w:rsidRPr="00425A7F">
        <w:t>e gestion unique et/ou d’un</w:t>
      </w:r>
      <w:r w:rsidRPr="00425A7F">
        <w:t xml:space="preserve"> pool unique à terme. En l’attente, chaque « régime » rencontre beaucoup de difficulté</w:t>
      </w:r>
      <w:r w:rsidR="004B4F90" w:rsidRPr="00425A7F">
        <w:t>s</w:t>
      </w:r>
      <w:r w:rsidRPr="00425A7F">
        <w:t xml:space="preserve"> pour se constituer</w:t>
      </w:r>
      <w:r w:rsidR="006D13B8" w:rsidRPr="00425A7F">
        <w:t xml:space="preserve"> et se développer</w:t>
      </w:r>
      <w:r w:rsidR="00D142E2" w:rsidRPr="00425A7F">
        <w:t>.</w:t>
      </w:r>
    </w:p>
    <w:p w:rsidR="001E1668" w:rsidRPr="00425A7F" w:rsidRDefault="001E1668" w:rsidP="00F24E98">
      <w:pPr>
        <w:widowControl w:val="0"/>
        <w:suppressAutoHyphens/>
        <w:autoSpaceDE w:val="0"/>
        <w:autoSpaceDN w:val="0"/>
        <w:adjustRightInd w:val="0"/>
        <w:jc w:val="both"/>
        <w:rPr>
          <w:rFonts w:cs="Helvetica"/>
        </w:rPr>
      </w:pPr>
    </w:p>
    <w:p w:rsidR="006D13B8" w:rsidRPr="00425A7F" w:rsidRDefault="006D13B8" w:rsidP="00F24E98">
      <w:pPr>
        <w:widowControl w:val="0"/>
        <w:suppressAutoHyphens/>
        <w:autoSpaceDE w:val="0"/>
        <w:autoSpaceDN w:val="0"/>
        <w:adjustRightInd w:val="0"/>
        <w:jc w:val="both"/>
        <w:rPr>
          <w:rFonts w:cs="Helvetica"/>
        </w:rPr>
      </w:pPr>
      <w:r w:rsidRPr="00425A7F">
        <w:rPr>
          <w:rFonts w:cs="Helvetica"/>
        </w:rPr>
        <w:t>De nombreuses exemptions de paiement ont été introduites pour essayer de réduire les barrières financières d’accès aux services de santé, qui à ce jour limite</w:t>
      </w:r>
      <w:r w:rsidR="00CB1C71" w:rsidRPr="00425A7F">
        <w:rPr>
          <w:rFonts w:cs="Helvetica"/>
        </w:rPr>
        <w:t>nt</w:t>
      </w:r>
      <w:r w:rsidRPr="00425A7F">
        <w:rPr>
          <w:rFonts w:cs="Helvetica"/>
        </w:rPr>
        <w:t xml:space="preserve"> d’autant la mutualisation des fonds et la mise en œuvre d’une </w:t>
      </w:r>
      <w:r w:rsidR="00BF7533" w:rsidRPr="00425A7F">
        <w:rPr>
          <w:rFonts w:cs="Helvetica"/>
        </w:rPr>
        <w:t>stratégie</w:t>
      </w:r>
      <w:r w:rsidRPr="00425A7F">
        <w:rPr>
          <w:rFonts w:cs="Helvetica"/>
        </w:rPr>
        <w:t xml:space="preserve"> claire pour la prise en charge des bénéfices et des bénéficiaires. </w:t>
      </w:r>
    </w:p>
    <w:p w:rsidR="006D13B8" w:rsidRPr="00425A7F" w:rsidRDefault="006D13B8" w:rsidP="00F24E98">
      <w:pPr>
        <w:widowControl w:val="0"/>
        <w:suppressAutoHyphens/>
        <w:autoSpaceDE w:val="0"/>
        <w:autoSpaceDN w:val="0"/>
        <w:adjustRightInd w:val="0"/>
        <w:jc w:val="both"/>
        <w:rPr>
          <w:rFonts w:cs="Helvetica"/>
        </w:rPr>
      </w:pPr>
    </w:p>
    <w:p w:rsidR="006D13B8" w:rsidRPr="00425A7F" w:rsidRDefault="006D13B8" w:rsidP="00F24E98">
      <w:pPr>
        <w:widowControl w:val="0"/>
        <w:suppressAutoHyphens/>
        <w:autoSpaceDE w:val="0"/>
        <w:autoSpaceDN w:val="0"/>
        <w:adjustRightInd w:val="0"/>
        <w:jc w:val="both"/>
      </w:pPr>
      <w:r w:rsidRPr="00425A7F">
        <w:t xml:space="preserve">L’harmonisation et la </w:t>
      </w:r>
      <w:r w:rsidR="00CB1C71" w:rsidRPr="00425A7F">
        <w:t>« </w:t>
      </w:r>
      <w:r w:rsidRPr="00425A7F">
        <w:t>dé-fragmentation</w:t>
      </w:r>
      <w:r w:rsidR="00CB1C71" w:rsidRPr="00425A7F">
        <w:t> »</w:t>
      </w:r>
      <w:r w:rsidRPr="00425A7F">
        <w:t xml:space="preserve"> du système </w:t>
      </w:r>
      <w:r w:rsidR="00CB1C71" w:rsidRPr="00425A7F">
        <w:t>– en tant qu’il réunit les régimes d’assurance maladie</w:t>
      </w:r>
      <w:r w:rsidRPr="00425A7F">
        <w:t xml:space="preserve"> et les exemptions </w:t>
      </w:r>
      <w:r w:rsidR="00CB1C71" w:rsidRPr="00425A7F">
        <w:t xml:space="preserve">- est un </w:t>
      </w:r>
      <w:r w:rsidRPr="00425A7F">
        <w:t xml:space="preserve">enjeu majeur de la présente </w:t>
      </w:r>
      <w:r w:rsidR="00BF7533" w:rsidRPr="00425A7F">
        <w:t>stratégie</w:t>
      </w:r>
      <w:r w:rsidRPr="00425A7F">
        <w:t xml:space="preserve"> de financement de la santé.</w:t>
      </w:r>
    </w:p>
    <w:p w:rsidR="0002595D" w:rsidRPr="00425A7F" w:rsidRDefault="0002595D" w:rsidP="00BF7533">
      <w:pPr>
        <w:pStyle w:val="Titre4"/>
      </w:pPr>
      <w:bookmarkStart w:id="26" w:name="_Toc497294487"/>
      <w:r w:rsidRPr="00425A7F">
        <w:lastRenderedPageBreak/>
        <w:t>Achat</w:t>
      </w:r>
      <w:bookmarkEnd w:id="26"/>
    </w:p>
    <w:p w:rsidR="006D13B8" w:rsidRPr="00425A7F" w:rsidRDefault="006D13B8" w:rsidP="00F24E98">
      <w:pPr>
        <w:widowControl w:val="0"/>
        <w:suppressAutoHyphens/>
        <w:jc w:val="both"/>
        <w:rPr>
          <w:lang w:val="fr-CH"/>
        </w:rPr>
      </w:pPr>
      <w:r w:rsidRPr="00425A7F">
        <w:rPr>
          <w:lang w:val="fr-CH"/>
        </w:rPr>
        <w:t xml:space="preserve">La fonction d’achat souffre </w:t>
      </w:r>
      <w:r w:rsidR="009B43A6" w:rsidRPr="00425A7F">
        <w:rPr>
          <w:lang w:val="fr-CH"/>
        </w:rPr>
        <w:t xml:space="preserve">elle aussi </w:t>
      </w:r>
      <w:r w:rsidR="005E6672" w:rsidRPr="00425A7F">
        <w:rPr>
          <w:lang w:val="fr-CH"/>
        </w:rPr>
        <w:t>du fractionnement</w:t>
      </w:r>
      <w:r w:rsidRPr="00425A7F">
        <w:rPr>
          <w:lang w:val="fr-CH"/>
        </w:rPr>
        <w:t xml:space="preserve"> du système de financement de la santé</w:t>
      </w:r>
      <w:r w:rsidR="00F82CF7" w:rsidRPr="00425A7F">
        <w:rPr>
          <w:lang w:val="fr-CH"/>
        </w:rPr>
        <w:t xml:space="preserve"> et </w:t>
      </w:r>
      <w:r w:rsidR="009B43A6" w:rsidRPr="00425A7F">
        <w:rPr>
          <w:lang w:val="fr-CH"/>
        </w:rPr>
        <w:t>du</w:t>
      </w:r>
      <w:r w:rsidR="00F82CF7" w:rsidRPr="00425A7F">
        <w:rPr>
          <w:lang w:val="fr-CH"/>
        </w:rPr>
        <w:t xml:space="preserve"> rôle limité du prépaiement</w:t>
      </w:r>
      <w:r w:rsidRPr="00425A7F">
        <w:rPr>
          <w:lang w:val="fr-CH"/>
        </w:rPr>
        <w:t>. L’achat stratégique est pratiquement inexistant au Mali, où la fonction se résume largement à la relation entre le prestataire et le patient (paiement direct</w:t>
      </w:r>
      <w:r w:rsidR="00F82CF7" w:rsidRPr="00425A7F">
        <w:rPr>
          <w:lang w:val="fr-CH"/>
        </w:rPr>
        <w:t>)</w:t>
      </w:r>
      <w:r w:rsidRPr="00425A7F">
        <w:rPr>
          <w:lang w:val="fr-CH"/>
        </w:rPr>
        <w:t>.</w:t>
      </w:r>
      <w:r w:rsidR="008260D0" w:rsidRPr="00425A7F">
        <w:rPr>
          <w:lang w:val="fr-CH"/>
        </w:rPr>
        <w:t xml:space="preserve"> On remarque encore que les allocations budgétaires se font largement sur des bases historiques plutôt que de besoins.</w:t>
      </w:r>
    </w:p>
    <w:p w:rsidR="00F82CF7" w:rsidRPr="00425A7F" w:rsidRDefault="00F82CF7" w:rsidP="00F24E98">
      <w:pPr>
        <w:widowControl w:val="0"/>
        <w:suppressAutoHyphens/>
        <w:jc w:val="both"/>
        <w:rPr>
          <w:lang w:val="fr-CH"/>
        </w:rPr>
      </w:pPr>
    </w:p>
    <w:p w:rsidR="00D1355A" w:rsidRPr="00425A7F" w:rsidRDefault="00F82CF7" w:rsidP="00456837">
      <w:pPr>
        <w:widowControl w:val="0"/>
        <w:suppressAutoHyphens/>
        <w:jc w:val="both"/>
        <w:rPr>
          <w:lang w:val="fr-CH"/>
        </w:rPr>
      </w:pPr>
      <w:r w:rsidRPr="00425A7F">
        <w:rPr>
          <w:lang w:val="fr-CH"/>
        </w:rPr>
        <w:t>Du coup la tarification se fait largement à l’acte, facteur d’inflation des consommations, d’irrationalité dans les prescriptions et autres dérives bien connues.</w:t>
      </w:r>
    </w:p>
    <w:p w:rsidR="00456837" w:rsidRPr="00425A7F" w:rsidRDefault="00456837" w:rsidP="00456837">
      <w:pPr>
        <w:widowControl w:val="0"/>
        <w:suppressAutoHyphens/>
        <w:jc w:val="both"/>
        <w:rPr>
          <w:lang w:val="fr-CH"/>
        </w:rPr>
      </w:pPr>
    </w:p>
    <w:p w:rsidR="0002595D" w:rsidRPr="00425A7F" w:rsidRDefault="0002595D" w:rsidP="00C52415">
      <w:pPr>
        <w:pStyle w:val="Titre2"/>
        <w:numPr>
          <w:ilvl w:val="0"/>
          <w:numId w:val="5"/>
        </w:numPr>
      </w:pPr>
      <w:bookmarkStart w:id="27" w:name="_Toc497294488"/>
      <w:r w:rsidRPr="00425A7F">
        <w:t xml:space="preserve">Analyse de la performance du système de </w:t>
      </w:r>
      <w:r w:rsidR="001314B5" w:rsidRPr="00425A7F">
        <w:t>financement de la santé</w:t>
      </w:r>
      <w:bookmarkEnd w:id="27"/>
    </w:p>
    <w:p w:rsidR="00A56F7F" w:rsidRPr="00425A7F" w:rsidRDefault="00BF7533" w:rsidP="00BF7533">
      <w:pPr>
        <w:pStyle w:val="Titre3"/>
      </w:pPr>
      <w:bookmarkStart w:id="28" w:name="_Toc362263549"/>
      <w:bookmarkStart w:id="29" w:name="_Toc497294489"/>
      <w:r w:rsidRPr="00425A7F">
        <w:t xml:space="preserve">a. </w:t>
      </w:r>
      <w:r w:rsidR="00A56F7F" w:rsidRPr="00425A7F">
        <w:t>Utilisation des services</w:t>
      </w:r>
      <w:bookmarkEnd w:id="28"/>
      <w:bookmarkEnd w:id="29"/>
    </w:p>
    <w:p w:rsidR="00246D00" w:rsidRPr="00425A7F" w:rsidRDefault="00246D00" w:rsidP="00246D00">
      <w:pPr>
        <w:widowControl w:val="0"/>
        <w:suppressAutoHyphens/>
        <w:jc w:val="both"/>
        <w:rPr>
          <w:lang w:val="fr-CH"/>
        </w:rPr>
      </w:pPr>
      <w:r w:rsidRPr="00425A7F">
        <w:rPr>
          <w:lang w:val="fr-CH"/>
        </w:rPr>
        <w:t>L’utilisation des services reste faible et ne progresse que très lentement. En effet, de 2010 à 2016 elle a passé de 0,33 nc/hbt/an à 0,40. On remarque même qu’elle a légèrement augmenté entre 2013 (0,35) et 2015 (0,41) Ce sont les enfants de moins de 5 ans qui utilisent le plus les services avec 0,69 nouveau contact/habitant/an en 2016 et 0,76 nouveau contact/habitant/an en 2015.</w:t>
      </w:r>
    </w:p>
    <w:p w:rsidR="00A56F7F" w:rsidRPr="00425A7F" w:rsidRDefault="00A56F7F" w:rsidP="00F24E98">
      <w:pPr>
        <w:widowControl w:val="0"/>
        <w:suppressAutoHyphens/>
        <w:jc w:val="both"/>
      </w:pPr>
    </w:p>
    <w:p w:rsidR="00A56F7F" w:rsidRPr="00425A7F" w:rsidRDefault="00FD2D00" w:rsidP="00F24E98">
      <w:pPr>
        <w:widowControl w:val="0"/>
        <w:suppressAutoHyphens/>
        <w:jc w:val="both"/>
      </w:pPr>
      <w:r w:rsidRPr="00425A7F">
        <w:t xml:space="preserve">Divers facteurs expliquent </w:t>
      </w:r>
      <w:r w:rsidR="00A56F7F" w:rsidRPr="00425A7F">
        <w:t>ce faible niveau de consommation des services de santé</w:t>
      </w:r>
      <w:r w:rsidRPr="00425A7F">
        <w:t xml:space="preserve">, notamment </w:t>
      </w:r>
      <w:r w:rsidR="00A56F7F" w:rsidRPr="00425A7F">
        <w:t>:</w:t>
      </w:r>
    </w:p>
    <w:p w:rsidR="009272EE" w:rsidRPr="00425A7F" w:rsidRDefault="009272EE" w:rsidP="00F24E98">
      <w:pPr>
        <w:widowControl w:val="0"/>
        <w:suppressAutoHyphens/>
        <w:jc w:val="both"/>
      </w:pPr>
    </w:p>
    <w:p w:rsidR="00A56F7F" w:rsidRPr="00425A7F" w:rsidRDefault="00A56F7F" w:rsidP="00487AB2">
      <w:pPr>
        <w:pStyle w:val="Paragraphedeliste"/>
        <w:widowControl w:val="0"/>
        <w:numPr>
          <w:ilvl w:val="0"/>
          <w:numId w:val="1"/>
        </w:numPr>
        <w:suppressAutoHyphens/>
        <w:spacing w:after="0" w:line="240" w:lineRule="auto"/>
        <w:contextualSpacing w:val="0"/>
        <w:jc w:val="both"/>
      </w:pPr>
      <w:r w:rsidRPr="00425A7F">
        <w:t>la discontinuité et la mauvaise qualité des soins en lien avec l’insuffisance de personnel qualifié à tous les niveaux (toutes les catégories confondues excepté dans le district de Bamako),</w:t>
      </w:r>
    </w:p>
    <w:p w:rsidR="00A56F7F" w:rsidRPr="00425A7F" w:rsidRDefault="00A56F7F" w:rsidP="00487AB2">
      <w:pPr>
        <w:pStyle w:val="Paragraphedeliste"/>
        <w:widowControl w:val="0"/>
        <w:numPr>
          <w:ilvl w:val="0"/>
          <w:numId w:val="1"/>
        </w:numPr>
        <w:suppressAutoHyphens/>
        <w:spacing w:after="0" w:line="240" w:lineRule="auto"/>
        <w:contextualSpacing w:val="0"/>
        <w:jc w:val="both"/>
      </w:pPr>
      <w:r w:rsidRPr="00425A7F">
        <w:t>la faiblesse du niveau d’instruction des communautés rurales entrainant leur faible participation ou adhésion à la mise en œuvre de certains programmes de santé,</w:t>
      </w:r>
    </w:p>
    <w:p w:rsidR="00A56F7F" w:rsidRPr="00425A7F" w:rsidRDefault="00A56F7F" w:rsidP="00487AB2">
      <w:pPr>
        <w:pStyle w:val="Paragraphedeliste"/>
        <w:widowControl w:val="0"/>
        <w:numPr>
          <w:ilvl w:val="0"/>
          <w:numId w:val="1"/>
        </w:numPr>
        <w:suppressAutoHyphens/>
        <w:spacing w:after="0" w:line="240" w:lineRule="auto"/>
        <w:contextualSpacing w:val="0"/>
        <w:jc w:val="both"/>
      </w:pPr>
      <w:r w:rsidRPr="00425A7F">
        <w:t>au sous-équipement de certains établissements de santé notamment au niveau opérationnel,</w:t>
      </w:r>
    </w:p>
    <w:p w:rsidR="00A56F7F" w:rsidRPr="00425A7F" w:rsidRDefault="00A56F7F" w:rsidP="00487AB2">
      <w:pPr>
        <w:pStyle w:val="Paragraphedeliste"/>
        <w:widowControl w:val="0"/>
        <w:numPr>
          <w:ilvl w:val="0"/>
          <w:numId w:val="1"/>
        </w:numPr>
        <w:suppressAutoHyphens/>
        <w:spacing w:after="0" w:line="240" w:lineRule="auto"/>
        <w:contextualSpacing w:val="0"/>
        <w:jc w:val="both"/>
      </w:pPr>
      <w:r w:rsidRPr="00425A7F">
        <w:t>l’inaccessibilité des zones enclavées</w:t>
      </w:r>
      <w:r w:rsidR="00C52D14" w:rsidRPr="00425A7F">
        <w:t>,</w:t>
      </w:r>
    </w:p>
    <w:p w:rsidR="00C3515A" w:rsidRPr="00425A7F" w:rsidRDefault="00A56F7F" w:rsidP="00487AB2">
      <w:pPr>
        <w:pStyle w:val="Paragraphedeliste"/>
        <w:widowControl w:val="0"/>
        <w:numPr>
          <w:ilvl w:val="0"/>
          <w:numId w:val="1"/>
        </w:numPr>
        <w:suppressAutoHyphens/>
        <w:spacing w:after="0" w:line="240" w:lineRule="auto"/>
        <w:contextualSpacing w:val="0"/>
        <w:jc w:val="both"/>
      </w:pPr>
      <w:r w:rsidRPr="00425A7F">
        <w:t xml:space="preserve">l’obstacle financier </w:t>
      </w:r>
      <w:r w:rsidR="00C1159C" w:rsidRPr="00425A7F">
        <w:t xml:space="preserve">bien entendu, </w:t>
      </w:r>
      <w:r w:rsidR="00FD2D00" w:rsidRPr="00425A7F">
        <w:t xml:space="preserve">établi comme </w:t>
      </w:r>
      <w:r w:rsidR="006B5DBE" w:rsidRPr="00425A7F">
        <w:t xml:space="preserve">principale </w:t>
      </w:r>
      <w:r w:rsidR="00FD2D00" w:rsidRPr="00425A7F">
        <w:t>cause de l’exclusion des soins</w:t>
      </w:r>
      <w:r w:rsidR="00C52D14" w:rsidRPr="00425A7F">
        <w:t>.</w:t>
      </w:r>
    </w:p>
    <w:p w:rsidR="007D7A58" w:rsidRPr="00425A7F" w:rsidRDefault="007D7A58" w:rsidP="00B23424">
      <w:pPr>
        <w:rPr>
          <w:b/>
          <w:u w:val="single"/>
        </w:rPr>
      </w:pPr>
    </w:p>
    <w:p w:rsidR="00B23424" w:rsidRPr="00E42382" w:rsidRDefault="00F423F9" w:rsidP="00B23424">
      <w:pPr>
        <w:rPr>
          <w:b/>
          <w:u w:val="single"/>
        </w:rPr>
      </w:pPr>
      <w:r w:rsidRPr="00E42382">
        <w:rPr>
          <w:b/>
          <w:u w:val="single"/>
        </w:rPr>
        <w:t>Tableau n°9 : q</w:t>
      </w:r>
      <w:r w:rsidR="00B23424" w:rsidRPr="00E42382">
        <w:rPr>
          <w:b/>
          <w:u w:val="single"/>
        </w:rPr>
        <w:t>uelques indicateurs clé d’accès aux services :</w:t>
      </w:r>
    </w:p>
    <w:p w:rsidR="00E42382" w:rsidRDefault="00E42382" w:rsidP="00B23424">
      <w:pPr>
        <w:rPr>
          <w:b/>
          <w:color w:val="FF0000"/>
          <w:u w:val="single"/>
        </w:rPr>
      </w:pPr>
    </w:p>
    <w:tbl>
      <w:tblPr>
        <w:tblStyle w:val="Grilledutableau"/>
        <w:tblW w:w="9923" w:type="dxa"/>
        <w:tblInd w:w="-289" w:type="dxa"/>
        <w:tblLook w:val="04A0" w:firstRow="1" w:lastRow="0" w:firstColumn="1" w:lastColumn="0" w:noHBand="0" w:noVBand="1"/>
      </w:tblPr>
      <w:tblGrid>
        <w:gridCol w:w="2411"/>
        <w:gridCol w:w="992"/>
        <w:gridCol w:w="6520"/>
      </w:tblGrid>
      <w:tr w:rsidR="00E42382" w:rsidRPr="00E42382" w:rsidTr="00E42382">
        <w:tc>
          <w:tcPr>
            <w:tcW w:w="2411" w:type="dxa"/>
            <w:shd w:val="clear" w:color="auto" w:fill="B6DDE8" w:themeFill="accent5" w:themeFillTint="66"/>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INDICATEURS CLE</w:t>
            </w:r>
          </w:p>
        </w:tc>
        <w:tc>
          <w:tcPr>
            <w:tcW w:w="992" w:type="dxa"/>
            <w:shd w:val="clear" w:color="auto" w:fill="B6DDE8" w:themeFill="accent5" w:themeFillTint="66"/>
          </w:tcPr>
          <w:p w:rsidR="00E42382" w:rsidRPr="00E42382" w:rsidRDefault="00E42382" w:rsidP="0052061B">
            <w:pPr>
              <w:widowControl w:val="0"/>
              <w:suppressAutoHyphens/>
              <w:jc w:val="center"/>
              <w:rPr>
                <w:rFonts w:asciiTheme="minorHAnsi" w:hAnsiTheme="minorHAnsi" w:cstheme="minorHAnsi"/>
              </w:rPr>
            </w:pPr>
            <w:r w:rsidRPr="00E42382">
              <w:rPr>
                <w:rFonts w:asciiTheme="minorHAnsi" w:hAnsiTheme="minorHAnsi" w:cstheme="minorHAnsi"/>
              </w:rPr>
              <w:t>%</w:t>
            </w:r>
          </w:p>
        </w:tc>
        <w:tc>
          <w:tcPr>
            <w:tcW w:w="6520" w:type="dxa"/>
            <w:shd w:val="clear" w:color="auto" w:fill="B6DDE8" w:themeFill="accent5" w:themeFillTint="66"/>
          </w:tcPr>
          <w:p w:rsidR="00E42382" w:rsidRPr="00E42382" w:rsidRDefault="00E42382" w:rsidP="0052061B">
            <w:pPr>
              <w:widowControl w:val="0"/>
              <w:suppressAutoHyphens/>
              <w:jc w:val="center"/>
              <w:rPr>
                <w:rFonts w:asciiTheme="minorHAnsi" w:hAnsiTheme="minorHAnsi" w:cstheme="minorHAnsi"/>
              </w:rPr>
            </w:pPr>
            <w:r w:rsidRPr="00E42382">
              <w:rPr>
                <w:rFonts w:asciiTheme="minorHAnsi" w:hAnsiTheme="minorHAnsi" w:cstheme="minorHAnsi"/>
              </w:rPr>
              <w:t>Remarque</w:t>
            </w:r>
          </w:p>
        </w:tc>
      </w:tr>
      <w:tr w:rsidR="00E42382" w:rsidRPr="00E42382" w:rsidTr="00E42382">
        <w:tc>
          <w:tcPr>
            <w:tcW w:w="2411" w:type="dxa"/>
            <w:shd w:val="clear" w:color="auto" w:fill="8DB3E2" w:themeFill="text2" w:themeFillTint="66"/>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6 indicateurs des soins préventifs</w:t>
            </w:r>
          </w:p>
        </w:tc>
        <w:tc>
          <w:tcPr>
            <w:tcW w:w="992" w:type="dxa"/>
            <w:shd w:val="clear" w:color="auto" w:fill="8DB3E2" w:themeFill="text2" w:themeFillTint="66"/>
          </w:tcPr>
          <w:p w:rsidR="00E42382" w:rsidRPr="00E42382" w:rsidRDefault="00E42382" w:rsidP="0052061B">
            <w:pPr>
              <w:widowControl w:val="0"/>
              <w:suppressAutoHyphens/>
              <w:jc w:val="both"/>
              <w:rPr>
                <w:rFonts w:asciiTheme="minorHAnsi" w:hAnsiTheme="minorHAnsi" w:cstheme="minorHAnsi"/>
              </w:rPr>
            </w:pPr>
          </w:p>
        </w:tc>
        <w:tc>
          <w:tcPr>
            <w:tcW w:w="6520" w:type="dxa"/>
            <w:shd w:val="clear" w:color="auto" w:fill="8DB3E2" w:themeFill="text2" w:themeFillTint="66"/>
          </w:tcPr>
          <w:p w:rsidR="00E42382" w:rsidRPr="00E42382" w:rsidRDefault="00E42382" w:rsidP="0052061B">
            <w:pPr>
              <w:widowControl w:val="0"/>
              <w:suppressAutoHyphens/>
              <w:jc w:val="both"/>
              <w:rPr>
                <w:rFonts w:asciiTheme="minorHAnsi" w:hAnsiTheme="minorHAnsi" w:cstheme="minorHAnsi"/>
              </w:rPr>
            </w:pPr>
          </w:p>
        </w:tc>
      </w:tr>
      <w:tr w:rsidR="00E42382" w:rsidRPr="00E42382" w:rsidTr="00E42382">
        <w:tc>
          <w:tcPr>
            <w:tcW w:w="2411" w:type="dxa"/>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Les besoins satisfaits en planification familiale</w:t>
            </w:r>
          </w:p>
        </w:tc>
        <w:tc>
          <w:tcPr>
            <w:tcW w:w="992" w:type="dxa"/>
            <w:shd w:val="clear" w:color="auto" w:fill="92D050"/>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eastAsia="Calibri" w:hAnsiTheme="minorHAnsi" w:cstheme="minorHAnsi"/>
              </w:rPr>
              <w:t xml:space="preserve">10,60%  </w:t>
            </w:r>
          </w:p>
        </w:tc>
        <w:tc>
          <w:tcPr>
            <w:tcW w:w="6520" w:type="dxa"/>
            <w:shd w:val="clear" w:color="auto" w:fill="92D050"/>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eastAsia="Calibri" w:hAnsiTheme="minorHAnsi" w:cstheme="minorHAnsi"/>
              </w:rPr>
              <w:t>Le SLIS fait ressortir le taux d’utilisation des services de PF et non la satisfaction des besoins</w:t>
            </w:r>
          </w:p>
        </w:tc>
      </w:tr>
      <w:tr w:rsidR="00E42382" w:rsidRPr="00E42382" w:rsidTr="00E42382">
        <w:tc>
          <w:tcPr>
            <w:tcW w:w="2411" w:type="dxa"/>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Le taux de couverture en CPN4</w:t>
            </w:r>
          </w:p>
        </w:tc>
        <w:tc>
          <w:tcPr>
            <w:tcW w:w="992" w:type="dxa"/>
            <w:shd w:val="clear" w:color="auto" w:fill="92D050"/>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color w:val="000000"/>
              </w:rPr>
              <w:t>25,54%</w:t>
            </w:r>
          </w:p>
        </w:tc>
        <w:tc>
          <w:tcPr>
            <w:tcW w:w="6520" w:type="dxa"/>
            <w:shd w:val="clear" w:color="auto" w:fill="92D050"/>
          </w:tcPr>
          <w:p w:rsidR="00E42382" w:rsidRPr="00E42382" w:rsidRDefault="00E42382" w:rsidP="0052061B">
            <w:pPr>
              <w:widowControl w:val="0"/>
              <w:suppressAutoHyphens/>
              <w:jc w:val="both"/>
              <w:rPr>
                <w:rFonts w:asciiTheme="minorHAnsi" w:hAnsiTheme="minorHAnsi" w:cstheme="minorHAnsi"/>
              </w:rPr>
            </w:pPr>
          </w:p>
        </w:tc>
      </w:tr>
      <w:tr w:rsidR="00E42382" w:rsidRPr="00E42382" w:rsidTr="00E42382">
        <w:tc>
          <w:tcPr>
            <w:tcW w:w="2411" w:type="dxa"/>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Le taux de couverture des enfants vaccinés contre la rougeole</w:t>
            </w:r>
          </w:p>
        </w:tc>
        <w:tc>
          <w:tcPr>
            <w:tcW w:w="992" w:type="dxa"/>
            <w:shd w:val="clear" w:color="auto" w:fill="92D050"/>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90%</w:t>
            </w:r>
          </w:p>
        </w:tc>
        <w:tc>
          <w:tcPr>
            <w:tcW w:w="6520" w:type="dxa"/>
            <w:shd w:val="clear" w:color="auto" w:fill="92D050"/>
          </w:tcPr>
          <w:p w:rsidR="00E42382" w:rsidRPr="00E42382" w:rsidRDefault="00E42382" w:rsidP="0052061B">
            <w:pPr>
              <w:snapToGrid w:val="0"/>
              <w:rPr>
                <w:rFonts w:asciiTheme="minorHAnsi" w:hAnsiTheme="minorHAnsi" w:cstheme="minorHAnsi"/>
              </w:rPr>
            </w:pPr>
            <w:r w:rsidRPr="00E42382">
              <w:rPr>
                <w:rFonts w:asciiTheme="minorHAnsi" w:hAnsiTheme="minorHAnsi" w:cstheme="minorHAnsi"/>
              </w:rPr>
              <w:t>La non atteinte de l’objectif du taux de couverture en VAR définit dans le PRODESS III soit 93%, pourrait s’expliquer par les difficultés liées au respect de la politique d’utilisation des flacons du VAR qui consiste à ouvrir un flacon pour 10 enfants. D’autres parts la mise en œuvre des activités de vaccination en stratégie avancée et mobile dans les régions d’insécurité a été beaucoup affectée</w:t>
            </w:r>
          </w:p>
        </w:tc>
      </w:tr>
      <w:tr w:rsidR="00E42382" w:rsidRPr="00E42382" w:rsidTr="00E42382">
        <w:tc>
          <w:tcPr>
            <w:tcW w:w="2411" w:type="dxa"/>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Le taux d’accès à l’eau potable</w:t>
            </w:r>
          </w:p>
        </w:tc>
        <w:tc>
          <w:tcPr>
            <w:tcW w:w="992" w:type="dxa"/>
            <w:shd w:val="clear" w:color="auto" w:fill="92D050"/>
          </w:tcPr>
          <w:p w:rsidR="00E42382" w:rsidRPr="00E42382" w:rsidRDefault="00E42382" w:rsidP="0052061B">
            <w:pPr>
              <w:widowControl w:val="0"/>
              <w:suppressAutoHyphens/>
              <w:jc w:val="both"/>
              <w:rPr>
                <w:rFonts w:asciiTheme="minorHAnsi" w:hAnsiTheme="minorHAnsi" w:cstheme="minorHAnsi"/>
              </w:rPr>
            </w:pPr>
          </w:p>
        </w:tc>
        <w:tc>
          <w:tcPr>
            <w:tcW w:w="6520" w:type="dxa"/>
            <w:shd w:val="clear" w:color="auto" w:fill="92D050"/>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Le SLIS donne la situation des points d’eau potable uniquement dans les formations sanitaires</w:t>
            </w:r>
          </w:p>
        </w:tc>
      </w:tr>
      <w:tr w:rsidR="00E42382" w:rsidRPr="00E42382" w:rsidTr="00E42382">
        <w:tc>
          <w:tcPr>
            <w:tcW w:w="2411" w:type="dxa"/>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Le taux d’accès à un assainissement satisfaisant</w:t>
            </w:r>
          </w:p>
        </w:tc>
        <w:tc>
          <w:tcPr>
            <w:tcW w:w="992" w:type="dxa"/>
            <w:shd w:val="clear" w:color="auto" w:fill="92D050"/>
          </w:tcPr>
          <w:p w:rsidR="00E42382" w:rsidRPr="00E42382" w:rsidRDefault="00E42382" w:rsidP="0052061B">
            <w:pPr>
              <w:widowControl w:val="0"/>
              <w:suppressAutoHyphens/>
              <w:jc w:val="both"/>
              <w:rPr>
                <w:rFonts w:asciiTheme="minorHAnsi" w:hAnsiTheme="minorHAnsi" w:cstheme="minorHAnsi"/>
              </w:rPr>
            </w:pPr>
          </w:p>
        </w:tc>
        <w:tc>
          <w:tcPr>
            <w:tcW w:w="6520" w:type="dxa"/>
            <w:shd w:val="clear" w:color="auto" w:fill="92D050"/>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Le SLIS donne le niveau d’assainissement uniquement dans les formations sanitaires</w:t>
            </w:r>
          </w:p>
        </w:tc>
      </w:tr>
      <w:tr w:rsidR="00E42382" w:rsidRPr="00E42382" w:rsidTr="00E42382">
        <w:tc>
          <w:tcPr>
            <w:tcW w:w="2411" w:type="dxa"/>
            <w:shd w:val="clear" w:color="auto" w:fill="8DB3E2" w:themeFill="text2" w:themeFillTint="66"/>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6 indicateurs des soins de traitement</w:t>
            </w:r>
          </w:p>
        </w:tc>
        <w:tc>
          <w:tcPr>
            <w:tcW w:w="992" w:type="dxa"/>
            <w:shd w:val="clear" w:color="auto" w:fill="8DB3E2" w:themeFill="text2" w:themeFillTint="66"/>
          </w:tcPr>
          <w:p w:rsidR="00E42382" w:rsidRPr="00E42382" w:rsidRDefault="00E42382" w:rsidP="0052061B">
            <w:pPr>
              <w:widowControl w:val="0"/>
              <w:suppressAutoHyphens/>
              <w:jc w:val="both"/>
              <w:rPr>
                <w:rFonts w:asciiTheme="minorHAnsi" w:hAnsiTheme="minorHAnsi" w:cstheme="minorHAnsi"/>
              </w:rPr>
            </w:pPr>
          </w:p>
        </w:tc>
        <w:tc>
          <w:tcPr>
            <w:tcW w:w="6520" w:type="dxa"/>
            <w:shd w:val="clear" w:color="auto" w:fill="8DB3E2" w:themeFill="text2" w:themeFillTint="66"/>
          </w:tcPr>
          <w:p w:rsidR="00E42382" w:rsidRPr="00E42382" w:rsidRDefault="00E42382" w:rsidP="0052061B">
            <w:pPr>
              <w:widowControl w:val="0"/>
              <w:suppressAutoHyphens/>
              <w:jc w:val="both"/>
              <w:rPr>
                <w:rFonts w:asciiTheme="minorHAnsi" w:hAnsiTheme="minorHAnsi" w:cstheme="minorHAnsi"/>
              </w:rPr>
            </w:pPr>
          </w:p>
        </w:tc>
      </w:tr>
      <w:tr w:rsidR="00E42382" w:rsidRPr="00E42382" w:rsidTr="00E42382">
        <w:tc>
          <w:tcPr>
            <w:tcW w:w="2411" w:type="dxa"/>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Taux d’accouchement assisté</w:t>
            </w:r>
          </w:p>
        </w:tc>
        <w:tc>
          <w:tcPr>
            <w:tcW w:w="992" w:type="dxa"/>
            <w:shd w:val="clear" w:color="auto" w:fill="92D050"/>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57%</w:t>
            </w:r>
          </w:p>
        </w:tc>
        <w:tc>
          <w:tcPr>
            <w:tcW w:w="6520" w:type="dxa"/>
            <w:shd w:val="clear" w:color="auto" w:fill="92D050"/>
          </w:tcPr>
          <w:p w:rsidR="00E42382" w:rsidRPr="00E42382" w:rsidRDefault="00E42382" w:rsidP="0052061B">
            <w:pPr>
              <w:widowControl w:val="0"/>
              <w:suppressAutoHyphens/>
              <w:jc w:val="both"/>
              <w:rPr>
                <w:rFonts w:asciiTheme="minorHAnsi" w:hAnsiTheme="minorHAnsi" w:cstheme="minorHAnsi"/>
              </w:rPr>
            </w:pPr>
          </w:p>
        </w:tc>
      </w:tr>
      <w:tr w:rsidR="00E42382" w:rsidRPr="00E42382" w:rsidTr="00E42382">
        <w:tc>
          <w:tcPr>
            <w:tcW w:w="2411" w:type="dxa"/>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lastRenderedPageBreak/>
              <w:t>Proportion des PvVIH sous ARV</w:t>
            </w:r>
          </w:p>
        </w:tc>
        <w:tc>
          <w:tcPr>
            <w:tcW w:w="992" w:type="dxa"/>
            <w:shd w:val="clear" w:color="auto" w:fill="92D050"/>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57,7%</w:t>
            </w:r>
          </w:p>
        </w:tc>
        <w:tc>
          <w:tcPr>
            <w:tcW w:w="6520" w:type="dxa"/>
            <w:shd w:val="clear" w:color="auto" w:fill="92D050"/>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Il s’agit de la proportion de ceux qui sont régulièrement suivi parmi l’ensemble qui est sous traitement ARV</w:t>
            </w:r>
          </w:p>
        </w:tc>
      </w:tr>
      <w:tr w:rsidR="00E42382" w:rsidRPr="00E42382" w:rsidTr="00E42382">
        <w:tc>
          <w:tcPr>
            <w:tcW w:w="2411" w:type="dxa"/>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Taux de détection de la TB</w:t>
            </w:r>
          </w:p>
        </w:tc>
        <w:tc>
          <w:tcPr>
            <w:tcW w:w="992" w:type="dxa"/>
            <w:shd w:val="clear" w:color="auto" w:fill="92D050"/>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67%</w:t>
            </w:r>
          </w:p>
        </w:tc>
        <w:tc>
          <w:tcPr>
            <w:tcW w:w="6520" w:type="dxa"/>
            <w:shd w:val="clear" w:color="auto" w:fill="92D050"/>
          </w:tcPr>
          <w:p w:rsidR="00E42382" w:rsidRPr="00E42382" w:rsidRDefault="00E42382" w:rsidP="0052061B">
            <w:pPr>
              <w:widowControl w:val="0"/>
              <w:suppressAutoHyphens/>
              <w:jc w:val="both"/>
              <w:rPr>
                <w:rFonts w:asciiTheme="minorHAnsi" w:hAnsiTheme="minorHAnsi" w:cstheme="minorHAnsi"/>
              </w:rPr>
            </w:pPr>
          </w:p>
        </w:tc>
      </w:tr>
      <w:tr w:rsidR="00E42382" w:rsidRPr="00E42382" w:rsidTr="00E42382">
        <w:tc>
          <w:tcPr>
            <w:tcW w:w="2411" w:type="dxa"/>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Taux de guérison des cas de TB</w:t>
            </w:r>
          </w:p>
        </w:tc>
        <w:tc>
          <w:tcPr>
            <w:tcW w:w="992" w:type="dxa"/>
            <w:shd w:val="clear" w:color="auto" w:fill="92D050"/>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76%</w:t>
            </w:r>
          </w:p>
        </w:tc>
        <w:tc>
          <w:tcPr>
            <w:tcW w:w="6520" w:type="dxa"/>
            <w:shd w:val="clear" w:color="auto" w:fill="92D050"/>
          </w:tcPr>
          <w:p w:rsidR="00E42382" w:rsidRPr="00E42382" w:rsidRDefault="00E42382" w:rsidP="0052061B">
            <w:pPr>
              <w:widowControl w:val="0"/>
              <w:suppressAutoHyphens/>
              <w:jc w:val="both"/>
              <w:rPr>
                <w:rFonts w:asciiTheme="minorHAnsi" w:hAnsiTheme="minorHAnsi" w:cstheme="minorHAnsi"/>
              </w:rPr>
            </w:pPr>
          </w:p>
        </w:tc>
      </w:tr>
      <w:tr w:rsidR="00E42382" w:rsidRPr="00E42382" w:rsidTr="00E42382">
        <w:tc>
          <w:tcPr>
            <w:tcW w:w="2411" w:type="dxa"/>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Proportion des hypertendus sous traitements anti HTA</w:t>
            </w:r>
          </w:p>
        </w:tc>
        <w:tc>
          <w:tcPr>
            <w:tcW w:w="992" w:type="dxa"/>
            <w:shd w:val="clear" w:color="auto" w:fill="92D050"/>
          </w:tcPr>
          <w:p w:rsidR="00E42382" w:rsidRPr="00E42382" w:rsidRDefault="00E42382" w:rsidP="0052061B">
            <w:pPr>
              <w:widowControl w:val="0"/>
              <w:suppressAutoHyphens/>
              <w:jc w:val="both"/>
              <w:rPr>
                <w:rFonts w:asciiTheme="minorHAnsi" w:hAnsiTheme="minorHAnsi" w:cstheme="minorHAnsi"/>
              </w:rPr>
            </w:pPr>
          </w:p>
        </w:tc>
        <w:tc>
          <w:tcPr>
            <w:tcW w:w="6520" w:type="dxa"/>
            <w:shd w:val="clear" w:color="auto" w:fill="92D050"/>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Cet indicateur n’est pas pris en compte dans le système d’information sanitaire</w:t>
            </w:r>
          </w:p>
        </w:tc>
      </w:tr>
      <w:tr w:rsidR="00E42382" w:rsidRPr="00E42382" w:rsidTr="00E42382">
        <w:tc>
          <w:tcPr>
            <w:tcW w:w="2411" w:type="dxa"/>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Proportion des diabétiques sous traitement contre le diabète</w:t>
            </w:r>
          </w:p>
        </w:tc>
        <w:tc>
          <w:tcPr>
            <w:tcW w:w="992" w:type="dxa"/>
            <w:shd w:val="clear" w:color="auto" w:fill="92D050"/>
          </w:tcPr>
          <w:p w:rsidR="00E42382" w:rsidRPr="00E42382" w:rsidRDefault="00E42382" w:rsidP="0052061B">
            <w:pPr>
              <w:widowControl w:val="0"/>
              <w:suppressAutoHyphens/>
              <w:jc w:val="both"/>
              <w:rPr>
                <w:rFonts w:asciiTheme="minorHAnsi" w:hAnsiTheme="minorHAnsi" w:cstheme="minorHAnsi"/>
              </w:rPr>
            </w:pPr>
          </w:p>
        </w:tc>
        <w:tc>
          <w:tcPr>
            <w:tcW w:w="6520" w:type="dxa"/>
            <w:shd w:val="clear" w:color="auto" w:fill="92D050"/>
          </w:tcPr>
          <w:p w:rsidR="00E42382" w:rsidRPr="00E42382" w:rsidRDefault="00E42382" w:rsidP="0052061B">
            <w:pPr>
              <w:widowControl w:val="0"/>
              <w:suppressAutoHyphens/>
              <w:jc w:val="both"/>
              <w:rPr>
                <w:rFonts w:asciiTheme="minorHAnsi" w:hAnsiTheme="minorHAnsi" w:cstheme="minorHAnsi"/>
              </w:rPr>
            </w:pPr>
            <w:r w:rsidRPr="00E42382">
              <w:rPr>
                <w:rFonts w:asciiTheme="minorHAnsi" w:hAnsiTheme="minorHAnsi" w:cstheme="minorHAnsi"/>
              </w:rPr>
              <w:t>Cet indicateur n’est pas pris en compte dans le système d’information sanitaire</w:t>
            </w:r>
          </w:p>
        </w:tc>
      </w:tr>
    </w:tbl>
    <w:p w:rsidR="00E42382" w:rsidRPr="00425A7F" w:rsidRDefault="00E42382" w:rsidP="00B23424">
      <w:pPr>
        <w:rPr>
          <w:b/>
          <w:color w:val="FF0000"/>
          <w:u w:val="single"/>
        </w:rPr>
      </w:pPr>
    </w:p>
    <w:p w:rsidR="00B23424" w:rsidRPr="00425A7F" w:rsidRDefault="00B23424" w:rsidP="00B23424">
      <w:pPr>
        <w:widowControl w:val="0"/>
        <w:suppressAutoHyphens/>
        <w:jc w:val="both"/>
      </w:pPr>
    </w:p>
    <w:p w:rsidR="00A56F7F" w:rsidRPr="00425A7F" w:rsidRDefault="00BF7533" w:rsidP="00BF7533">
      <w:pPr>
        <w:pStyle w:val="Titre3"/>
      </w:pPr>
      <w:bookmarkStart w:id="30" w:name="_Toc362263550"/>
      <w:bookmarkStart w:id="31" w:name="_Toc497294490"/>
      <w:r w:rsidRPr="00425A7F">
        <w:t xml:space="preserve">b. </w:t>
      </w:r>
      <w:r w:rsidR="00A56F7F" w:rsidRPr="00425A7F">
        <w:t>Equité</w:t>
      </w:r>
      <w:bookmarkEnd w:id="30"/>
      <w:bookmarkEnd w:id="31"/>
    </w:p>
    <w:p w:rsidR="005D3FAE" w:rsidRPr="00425A7F" w:rsidRDefault="005D3FAE" w:rsidP="005D3FAE">
      <w:pPr>
        <w:widowControl w:val="0"/>
        <w:suppressAutoHyphens/>
        <w:jc w:val="both"/>
      </w:pPr>
      <w:r w:rsidRPr="00425A7F">
        <w:t>En une décennie, le Mali a réalisé des progrès importants en matière de disponibilité d’infrastructures de santé. En témoigne l’évolution de l’accessibilité géographique qui s’est régulièrement améliorée au fil des ans. En 2016, 81% des maliens avaient accès au paquet minimum d’activités dans un CSCom à moins de 15Km de leur domicile ; 59% d’entre eux pourraient y accéder avec moins de 5Km à parcourir. Mais ces chiffres cachent des disparités.</w:t>
      </w:r>
      <w:r w:rsidR="006A37A0" w:rsidRPr="00425A7F">
        <w:t xml:space="preserve"> </w:t>
      </w:r>
      <w:r w:rsidRPr="00425A7F">
        <w:t xml:space="preserve">Les différences entre les zones rurales et la capitale sont criantes d’ailleurs dans les résultats, notamment en ce qui concerne la mortalité infanto juvénile (respectivement de 234‰ contre 108‰). </w:t>
      </w:r>
    </w:p>
    <w:p w:rsidR="005D3FAE" w:rsidRPr="00425A7F" w:rsidRDefault="005D3FAE" w:rsidP="005D3FAE">
      <w:pPr>
        <w:widowControl w:val="0"/>
        <w:suppressAutoHyphens/>
        <w:jc w:val="both"/>
        <w:rPr>
          <w:sz w:val="16"/>
        </w:rPr>
      </w:pPr>
    </w:p>
    <w:p w:rsidR="005D3FAE" w:rsidRPr="00425A7F" w:rsidRDefault="005D3FAE" w:rsidP="005D3FAE">
      <w:pPr>
        <w:widowControl w:val="0"/>
        <w:suppressAutoHyphens/>
        <w:jc w:val="both"/>
      </w:pPr>
      <w:r w:rsidRPr="00425A7F">
        <w:t>Il existe encore des iniquités en termes d’utilisation des services de santé : l’utilisation des services curatifs entre les deux régions où elle est la plus élevée (District de Bamako (0,58) et Tombouctou (0,53) et les deux régions dans lesquelles elle est la plus faible (Mopti (0,26) et Ségou (0,31)) est dans un rapport de simple au double.</w:t>
      </w:r>
    </w:p>
    <w:p w:rsidR="005D3FAE" w:rsidRPr="00425A7F" w:rsidRDefault="005D3FAE" w:rsidP="005D3FAE">
      <w:pPr>
        <w:widowControl w:val="0"/>
        <w:suppressAutoHyphens/>
        <w:jc w:val="both"/>
        <w:rPr>
          <w:sz w:val="18"/>
        </w:rPr>
      </w:pPr>
    </w:p>
    <w:p w:rsidR="005D3FAE" w:rsidRPr="00425A7F" w:rsidRDefault="005D3FAE" w:rsidP="005D3FAE">
      <w:pPr>
        <w:widowControl w:val="0"/>
        <w:suppressAutoHyphens/>
        <w:jc w:val="both"/>
        <w:rPr>
          <w:rFonts w:ascii="Times New Roman" w:hAnsi="Times New Roman"/>
          <w:sz w:val="24"/>
          <w:szCs w:val="24"/>
        </w:rPr>
      </w:pPr>
      <w:r w:rsidRPr="00425A7F">
        <w:t>Même les mesures d’exemption générale qui visent à abattre les barrières d’accès financier aux services de santé ne profitent pas équitablement aux différentes franges de la population.</w:t>
      </w:r>
      <w:r w:rsidRPr="00425A7F">
        <w:rPr>
          <w:rFonts w:ascii="Times New Roman" w:hAnsi="Times New Roman"/>
          <w:sz w:val="24"/>
          <w:szCs w:val="24"/>
        </w:rPr>
        <w:t xml:space="preserve"> « </w:t>
      </w:r>
      <w:r w:rsidRPr="00425A7F">
        <w:rPr>
          <w:rFonts w:ascii="Times New Roman" w:hAnsi="Times New Roman"/>
          <w:i/>
          <w:sz w:val="24"/>
          <w:szCs w:val="24"/>
        </w:rPr>
        <w:t>L’exemption de paiement pour la césarienne semble profiter plus au groupe socioéconomique le plus riche. On estime que 24% des femmes ayant accouché par césarienne appartiennent au groupe de bas niveau socioéconomique. Cela semble plus remarquable à Kayes, Sikasso, Koulikoro et les régions du Nord</w:t>
      </w:r>
      <w:r w:rsidRPr="00425A7F">
        <w:rPr>
          <w:rFonts w:ascii="Times New Roman" w:hAnsi="Times New Roman"/>
          <w:sz w:val="24"/>
          <w:szCs w:val="24"/>
        </w:rPr>
        <w:t> »</w:t>
      </w:r>
      <w:r w:rsidRPr="00425A7F">
        <w:rPr>
          <w:rStyle w:val="Appelnotedebasdep"/>
          <w:rFonts w:ascii="Times New Roman" w:hAnsi="Times New Roman"/>
          <w:sz w:val="24"/>
          <w:szCs w:val="24"/>
        </w:rPr>
        <w:footnoteReference w:id="18"/>
      </w:r>
      <w:r w:rsidRPr="00425A7F">
        <w:rPr>
          <w:rFonts w:ascii="Times New Roman" w:hAnsi="Times New Roman"/>
          <w:sz w:val="24"/>
          <w:szCs w:val="24"/>
        </w:rPr>
        <w:t xml:space="preserve">. </w:t>
      </w:r>
    </w:p>
    <w:p w:rsidR="00767E16" w:rsidRPr="00425A7F" w:rsidRDefault="00767E16" w:rsidP="00F24E98">
      <w:pPr>
        <w:widowControl w:val="0"/>
        <w:suppressAutoHyphens/>
        <w:jc w:val="both"/>
        <w:rPr>
          <w:sz w:val="16"/>
        </w:rPr>
      </w:pPr>
    </w:p>
    <w:p w:rsidR="00A56F7F" w:rsidRPr="00425A7F" w:rsidRDefault="00BF7533" w:rsidP="00BF7533">
      <w:pPr>
        <w:pStyle w:val="Titre3"/>
      </w:pPr>
      <w:bookmarkStart w:id="32" w:name="_Toc362263551"/>
      <w:bookmarkStart w:id="33" w:name="_Toc497294491"/>
      <w:r w:rsidRPr="00425A7F">
        <w:t xml:space="preserve">c. </w:t>
      </w:r>
      <w:r w:rsidR="00A56F7F" w:rsidRPr="00425A7F">
        <w:t>Efficience</w:t>
      </w:r>
      <w:bookmarkEnd w:id="32"/>
      <w:bookmarkEnd w:id="33"/>
      <w:r w:rsidR="00A56F7F" w:rsidRPr="00425A7F">
        <w:t xml:space="preserve"> </w:t>
      </w:r>
    </w:p>
    <w:p w:rsidR="000B4DC9" w:rsidRPr="00425A7F" w:rsidRDefault="00A56F7F" w:rsidP="00F24E98">
      <w:pPr>
        <w:widowControl w:val="0"/>
        <w:suppressAutoHyphens/>
        <w:jc w:val="both"/>
      </w:pPr>
      <w:r w:rsidRPr="00425A7F">
        <w:t xml:space="preserve">La question de l’efficience </w:t>
      </w:r>
      <w:r w:rsidR="00FF77AE" w:rsidRPr="00425A7F">
        <w:t>est la plus difficile à traiter</w:t>
      </w:r>
      <w:r w:rsidRPr="00425A7F">
        <w:t xml:space="preserve"> </w:t>
      </w:r>
      <w:r w:rsidR="00FF77AE" w:rsidRPr="00425A7F">
        <w:t>car</w:t>
      </w:r>
      <w:r w:rsidRPr="00425A7F">
        <w:t xml:space="preserve"> le suivi-évaluation du système de financement ne s’y penche pas</w:t>
      </w:r>
      <w:r w:rsidR="00FF77AE" w:rsidRPr="00425A7F">
        <w:t xml:space="preserve"> et</w:t>
      </w:r>
      <w:r w:rsidRPr="00425A7F">
        <w:t xml:space="preserve"> le rapport coût-efficacité est difficile à mesurer. Cependant, beaucoup d’éléments amènent à penser que l’efficience est très insatisfaisante, notamment l’efficacité elle-même des mécanismes et surtout la pluralité de ces mécanismes. L’efficience, en matière de financement de la santé, est notamment un effet de pool et le résultat de l’achat stratégique, qui se valide sur la base d’une gestion stratégique de l’information ; il s’agit ici de trois éléments insuffisamment consistant</w:t>
      </w:r>
      <w:r w:rsidR="00C52D14" w:rsidRPr="00425A7F">
        <w:t>s</w:t>
      </w:r>
      <w:r w:rsidRPr="00425A7F">
        <w:t xml:space="preserve"> dans le système de financement de la santé du Mali.</w:t>
      </w:r>
    </w:p>
    <w:p w:rsidR="00D1355A" w:rsidRPr="00425A7F" w:rsidRDefault="00D1355A" w:rsidP="00F24E98">
      <w:pPr>
        <w:widowControl w:val="0"/>
        <w:suppressAutoHyphens/>
        <w:jc w:val="both"/>
        <w:rPr>
          <w:sz w:val="18"/>
        </w:rPr>
      </w:pPr>
    </w:p>
    <w:p w:rsidR="00D3273D" w:rsidRPr="00425A7F" w:rsidRDefault="00B23424" w:rsidP="00BF7533">
      <w:pPr>
        <w:pStyle w:val="Titre3"/>
      </w:pPr>
      <w:bookmarkStart w:id="34" w:name="_Toc497294492"/>
      <w:r w:rsidRPr="00425A7F">
        <w:t>d.</w:t>
      </w:r>
      <w:r w:rsidR="00D1355A" w:rsidRPr="00425A7F">
        <w:t xml:space="preserve"> </w:t>
      </w:r>
      <w:r w:rsidR="00BF7533" w:rsidRPr="00425A7F">
        <w:t xml:space="preserve"> </w:t>
      </w:r>
      <w:r w:rsidR="00D3273D" w:rsidRPr="00425A7F">
        <w:t xml:space="preserve">Conclusion </w:t>
      </w:r>
      <w:r w:rsidR="009B43A6" w:rsidRPr="00425A7F">
        <w:t>sur la performance du système de financement de la santé</w:t>
      </w:r>
      <w:bookmarkEnd w:id="34"/>
    </w:p>
    <w:p w:rsidR="00A56F7F" w:rsidRPr="00425A7F" w:rsidRDefault="001B48E3" w:rsidP="00F24E98">
      <w:pPr>
        <w:widowControl w:val="0"/>
        <w:suppressAutoHyphens/>
        <w:jc w:val="both"/>
      </w:pPr>
      <w:r w:rsidRPr="00425A7F">
        <w:t>Une première évaluation de l</w:t>
      </w:r>
      <w:r w:rsidR="00D3273D" w:rsidRPr="00425A7F">
        <w:t>a performance du système de financement de la santé au Mali</w:t>
      </w:r>
      <w:r w:rsidRPr="00425A7F">
        <w:t xml:space="preserve"> peut se faire sur la base de critères objectifs et de manière générale. Les informations évoquées ci-dessus </w:t>
      </w:r>
      <w:r w:rsidRPr="00425A7F">
        <w:lastRenderedPageBreak/>
        <w:t xml:space="preserve">quant à l’utilisation des services et l’équité mesurée montrent que de meilleurs résultats doivent être </w:t>
      </w:r>
      <w:r w:rsidR="009B43A6" w:rsidRPr="00425A7F">
        <w:t>atteints</w:t>
      </w:r>
      <w:r w:rsidRPr="00425A7F">
        <w:t> : on mesure d’une part une importante exclusion des soins, et d’autre part une iniquité dans l’accès aux soins. De même, un certain nombre de données présentées plus haut montre les limites du système actuel dans l’absence de couverture du risque maladie : un faible de taux de couverture en assurance maladie, ou encore une incidence élevée pour ce qui est des dépenses catastrophiques.</w:t>
      </w:r>
    </w:p>
    <w:p w:rsidR="001B48E3" w:rsidRPr="00425A7F" w:rsidRDefault="001B48E3" w:rsidP="00F24E98">
      <w:pPr>
        <w:widowControl w:val="0"/>
        <w:suppressAutoHyphens/>
        <w:jc w:val="both"/>
        <w:rPr>
          <w:sz w:val="14"/>
        </w:rPr>
      </w:pPr>
    </w:p>
    <w:p w:rsidR="00155FE4" w:rsidRPr="00425A7F" w:rsidRDefault="001B48E3" w:rsidP="00F24E98">
      <w:pPr>
        <w:widowControl w:val="0"/>
        <w:suppressAutoHyphens/>
        <w:jc w:val="both"/>
      </w:pPr>
      <w:r w:rsidRPr="00425A7F">
        <w:t xml:space="preserve">Une autre approche de l’évaluation consiste </w:t>
      </w:r>
      <w:r w:rsidR="00FC3CE9" w:rsidRPr="00425A7F">
        <w:t>à utiliser des indicateurs qui révèlent une faiblesse systémique. Cette évaluation</w:t>
      </w:r>
      <w:r w:rsidRPr="00425A7F">
        <w:t xml:space="preserve"> n’est plus </w:t>
      </w:r>
      <w:r w:rsidR="00FC3CE9" w:rsidRPr="00425A7F">
        <w:t>la</w:t>
      </w:r>
      <w:r w:rsidRPr="00425A7F">
        <w:t xml:space="preserve"> mesure directe d’une </w:t>
      </w:r>
      <w:r w:rsidR="00FC3CE9" w:rsidRPr="00425A7F">
        <w:t>faillite</w:t>
      </w:r>
      <w:r w:rsidRPr="00425A7F">
        <w:t xml:space="preserve">, mais </w:t>
      </w:r>
      <w:r w:rsidR="00FC3CE9" w:rsidRPr="00425A7F">
        <w:t>la mesure d’un indicateur qu</w:t>
      </w:r>
      <w:r w:rsidRPr="00425A7F">
        <w:t>e l’expérience</w:t>
      </w:r>
      <w:r w:rsidR="00FC3CE9" w:rsidRPr="00425A7F">
        <w:t xml:space="preserve"> traduit en défi</w:t>
      </w:r>
      <w:r w:rsidR="009B43A6" w:rsidRPr="00425A7F">
        <w:t>s</w:t>
      </w:r>
      <w:r w:rsidR="00FC3CE9" w:rsidRPr="00425A7F">
        <w:t xml:space="preserve"> certain</w:t>
      </w:r>
      <w:r w:rsidR="009B43A6" w:rsidRPr="00425A7F">
        <w:t>s</w:t>
      </w:r>
      <w:r w:rsidRPr="00425A7F">
        <w:t>. En premier lieu, on retient que la part des paiements directs des ménages dans le total des dépenses en santé est très élevée</w:t>
      </w:r>
      <w:r w:rsidR="00187442" w:rsidRPr="00425A7F">
        <w:t xml:space="preserve"> (près de 45%)</w:t>
      </w:r>
      <w:r w:rsidRPr="00425A7F">
        <w:t xml:space="preserve">, et l’on sait par l’expérience </w:t>
      </w:r>
      <w:r w:rsidR="008167EF" w:rsidRPr="00425A7F">
        <w:t xml:space="preserve">internationale </w:t>
      </w:r>
      <w:r w:rsidRPr="00425A7F">
        <w:t xml:space="preserve">que le système de financement atteint d’autant moins ses objectifs que ce niveau est fort. </w:t>
      </w:r>
    </w:p>
    <w:p w:rsidR="00155FE4" w:rsidRPr="00425A7F" w:rsidRDefault="00155FE4" w:rsidP="00F24E98">
      <w:pPr>
        <w:widowControl w:val="0"/>
        <w:suppressAutoHyphens/>
        <w:jc w:val="both"/>
        <w:rPr>
          <w:sz w:val="18"/>
        </w:rPr>
      </w:pPr>
    </w:p>
    <w:p w:rsidR="00FC3CE9" w:rsidRPr="00425A7F" w:rsidRDefault="00025041" w:rsidP="00F24E98">
      <w:pPr>
        <w:widowControl w:val="0"/>
        <w:suppressAutoHyphens/>
        <w:jc w:val="both"/>
      </w:pPr>
      <w:r w:rsidRPr="00425A7F">
        <w:t>Par ailleurs</w:t>
      </w:r>
      <w:r w:rsidR="00FC3CE9" w:rsidRPr="00425A7F">
        <w:t>, l’évaluation de la performance du système de financement de la santé au Mali tire des conclusions de l’analyse systémique en termes de fonctions et résumée plus haut. La fragmentation du système, en tant que telle, nous assure que le système est sous-optimal en termes à la fois d’efficience et d’équité.</w:t>
      </w:r>
      <w:r w:rsidRPr="00425A7F">
        <w:t xml:space="preserve"> </w:t>
      </w:r>
    </w:p>
    <w:p w:rsidR="00025041" w:rsidRPr="00425A7F" w:rsidRDefault="00025041" w:rsidP="00F24E98">
      <w:pPr>
        <w:widowControl w:val="0"/>
        <w:suppressAutoHyphens/>
        <w:jc w:val="both"/>
        <w:rPr>
          <w:sz w:val="16"/>
        </w:rPr>
      </w:pPr>
    </w:p>
    <w:p w:rsidR="00FC3CE9" w:rsidRDefault="00025041" w:rsidP="00F24E98">
      <w:pPr>
        <w:widowControl w:val="0"/>
        <w:suppressAutoHyphens/>
        <w:jc w:val="both"/>
      </w:pPr>
      <w:r w:rsidRPr="00425A7F">
        <w:t>Tout ceci se mesure aussi à l’aune de la qualité des soins, et malheureusement l’objectif de production et de fourniture de soins de santé de qualité n’est sans doute pas atteint dans le cadre du système de financement actuel.</w:t>
      </w: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E42382" w:rsidRDefault="00E42382" w:rsidP="00F24E98">
      <w:pPr>
        <w:widowControl w:val="0"/>
        <w:suppressAutoHyphens/>
        <w:jc w:val="both"/>
      </w:pPr>
    </w:p>
    <w:p w:rsidR="0002595D" w:rsidRPr="00425A7F" w:rsidRDefault="00EA65F3" w:rsidP="00EA65F3">
      <w:pPr>
        <w:pStyle w:val="Titre1"/>
        <w:rPr>
          <w:rStyle w:val="Titre1Car"/>
          <w:b/>
        </w:rPr>
      </w:pPr>
      <w:bookmarkStart w:id="35" w:name="_Toc497294493"/>
      <w:r w:rsidRPr="00425A7F">
        <w:rPr>
          <w:rStyle w:val="Titre1Car"/>
          <w:b/>
        </w:rPr>
        <w:lastRenderedPageBreak/>
        <w:t>ESQUISSE DES PERSPECTIVES D’EVOLUTION</w:t>
      </w:r>
      <w:bookmarkEnd w:id="35"/>
    </w:p>
    <w:p w:rsidR="0002595D" w:rsidRPr="00425A7F" w:rsidRDefault="000B4DC9" w:rsidP="00C52415">
      <w:pPr>
        <w:pStyle w:val="Titre2"/>
        <w:numPr>
          <w:ilvl w:val="0"/>
          <w:numId w:val="12"/>
        </w:numPr>
      </w:pPr>
      <w:bookmarkStart w:id="36" w:name="_Toc497294494"/>
      <w:r w:rsidRPr="00425A7F">
        <w:t>Mobilisation des ressources efficace, équitable, soutenable</w:t>
      </w:r>
      <w:bookmarkEnd w:id="36"/>
    </w:p>
    <w:p w:rsidR="0029235C" w:rsidRPr="00425A7F" w:rsidRDefault="00341F9A" w:rsidP="00F24E98">
      <w:pPr>
        <w:widowControl w:val="0"/>
        <w:suppressAutoHyphens/>
        <w:jc w:val="both"/>
      </w:pPr>
      <w:r w:rsidRPr="00425A7F">
        <w:t xml:space="preserve">L’essentiel du financement de la santé </w:t>
      </w:r>
      <w:r w:rsidR="00222DE0" w:rsidRPr="00425A7F">
        <w:t>doit être</w:t>
      </w:r>
      <w:r w:rsidRPr="00425A7F">
        <w:t xml:space="preserve"> publ</w:t>
      </w:r>
      <w:r w:rsidR="00222DE0" w:rsidRPr="00425A7F">
        <w:t xml:space="preserve">ic, et </w:t>
      </w:r>
      <w:r w:rsidR="00A84EDE" w:rsidRPr="00425A7F">
        <w:t>interne</w:t>
      </w:r>
      <w:r w:rsidR="00222DE0" w:rsidRPr="00425A7F">
        <w:t>. Ceci promet</w:t>
      </w:r>
      <w:r w:rsidRPr="00425A7F">
        <w:t xml:space="preserve"> des ressources plus </w:t>
      </w:r>
      <w:r w:rsidR="00D67407" w:rsidRPr="00425A7F">
        <w:t>équitables et</w:t>
      </w:r>
      <w:r w:rsidRPr="00425A7F">
        <w:t xml:space="preserve"> plus soutenable</w:t>
      </w:r>
      <w:r w:rsidR="00D67407" w:rsidRPr="00425A7F">
        <w:t>s</w:t>
      </w:r>
      <w:r w:rsidRPr="00425A7F">
        <w:t xml:space="preserve">. Des objectifs ont été fixés quant à la part du budget de l’Etat consacré </w:t>
      </w:r>
      <w:r w:rsidR="00BA2227" w:rsidRPr="00425A7F">
        <w:t xml:space="preserve">au </w:t>
      </w:r>
      <w:r w:rsidR="00222DE0" w:rsidRPr="00425A7F">
        <w:t>secteur de la</w:t>
      </w:r>
      <w:r w:rsidRPr="00425A7F">
        <w:t xml:space="preserve"> santé, qui sont clairs et </w:t>
      </w:r>
      <w:r w:rsidR="0029235C" w:rsidRPr="00425A7F">
        <w:t>réalisables</w:t>
      </w:r>
      <w:r w:rsidR="00222DE0" w:rsidRPr="00425A7F">
        <w:t xml:space="preserve"> (1</w:t>
      </w:r>
      <w:r w:rsidR="003125B5" w:rsidRPr="00425A7F">
        <w:t>4</w:t>
      </w:r>
      <w:r w:rsidR="00222DE0" w:rsidRPr="00425A7F">
        <w:t>%</w:t>
      </w:r>
      <w:r w:rsidR="00EB67A7" w:rsidRPr="00425A7F">
        <w:t xml:space="preserve"> en 2023</w:t>
      </w:r>
      <w:r w:rsidR="00222DE0" w:rsidRPr="00425A7F">
        <w:t>)</w:t>
      </w:r>
      <w:r w:rsidR="00D67407" w:rsidRPr="00425A7F">
        <w:t xml:space="preserve">. </w:t>
      </w:r>
      <w:r w:rsidR="0029235C" w:rsidRPr="00425A7F">
        <w:t xml:space="preserve">Ils sont indispensables pour progresser vers la CSU en misant tout autant sur l’amélioration de l’offre de soins que sur la protection contre le risque financier. </w:t>
      </w:r>
    </w:p>
    <w:p w:rsidR="0029235C" w:rsidRPr="00425A7F" w:rsidRDefault="0029235C" w:rsidP="00F24E98">
      <w:pPr>
        <w:widowControl w:val="0"/>
        <w:suppressAutoHyphens/>
        <w:jc w:val="both"/>
      </w:pPr>
    </w:p>
    <w:p w:rsidR="00222DE0" w:rsidRPr="00425A7F" w:rsidRDefault="00222DE0" w:rsidP="00F24E98">
      <w:pPr>
        <w:widowControl w:val="0"/>
        <w:suppressAutoHyphens/>
        <w:jc w:val="both"/>
      </w:pPr>
      <w:r w:rsidRPr="00425A7F">
        <w:t>Il est entendu que si les départements entendent recevoir davantage de financements publics pour assurer la qualité de l’administration du secteur et de l’offre de soins publique, ils en sont également redevable</w:t>
      </w:r>
      <w:r w:rsidR="00DD1DA2" w:rsidRPr="00425A7F">
        <w:t>s ; aus</w:t>
      </w:r>
      <w:r w:rsidRPr="00425A7F">
        <w:t>si l’objectif de mobilisation de ressources publiques supplémentaires et celui de bonne gouvernance financière sont-ils intimement liés.</w:t>
      </w:r>
    </w:p>
    <w:p w:rsidR="00222DE0" w:rsidRPr="00425A7F" w:rsidRDefault="00222DE0" w:rsidP="00F24E98">
      <w:pPr>
        <w:widowControl w:val="0"/>
        <w:suppressAutoHyphens/>
        <w:jc w:val="both"/>
        <w:rPr>
          <w:sz w:val="18"/>
          <w:szCs w:val="18"/>
        </w:rPr>
      </w:pPr>
    </w:p>
    <w:p w:rsidR="00DD1DA2" w:rsidRPr="00425A7F" w:rsidRDefault="00EB67A7" w:rsidP="00F24E98">
      <w:pPr>
        <w:widowControl w:val="0"/>
        <w:suppressAutoHyphens/>
        <w:jc w:val="both"/>
      </w:pPr>
      <w:r w:rsidRPr="00425A7F">
        <w:t>Comme on le comprend</w:t>
      </w:r>
      <w:r w:rsidR="00222DE0" w:rsidRPr="00425A7F">
        <w:t xml:space="preserve">, il </w:t>
      </w:r>
      <w:r w:rsidR="001E1668" w:rsidRPr="00425A7F">
        <w:t xml:space="preserve">n’est pas </w:t>
      </w:r>
      <w:r w:rsidRPr="00425A7F">
        <w:t>acquis</w:t>
      </w:r>
      <w:r w:rsidR="001E1668" w:rsidRPr="00425A7F">
        <w:t xml:space="preserve"> </w:t>
      </w:r>
      <w:r w:rsidR="00222DE0" w:rsidRPr="00425A7F">
        <w:t xml:space="preserve">que la </w:t>
      </w:r>
      <w:r w:rsidR="002C37D7" w:rsidRPr="00425A7F">
        <w:t>couverture sanitaire universelle</w:t>
      </w:r>
      <w:r w:rsidR="00222DE0" w:rsidRPr="00425A7F">
        <w:t xml:space="preserve"> </w:t>
      </w:r>
      <w:r w:rsidR="001E1668" w:rsidRPr="00425A7F">
        <w:t>puisse être atteinte</w:t>
      </w:r>
      <w:r w:rsidR="00222DE0" w:rsidRPr="00425A7F">
        <w:t xml:space="preserve"> </w:t>
      </w:r>
      <w:r w:rsidRPr="00425A7F">
        <w:t>en atteignant ou en dépassant légèrement</w:t>
      </w:r>
      <w:r w:rsidR="00222DE0" w:rsidRPr="00425A7F">
        <w:t xml:space="preserve"> l’engagement d’Abuja</w:t>
      </w:r>
      <w:r w:rsidR="00BA2227" w:rsidRPr="00425A7F">
        <w:t xml:space="preserve"> (15%)</w:t>
      </w:r>
      <w:r w:rsidR="00222DE0" w:rsidRPr="00425A7F">
        <w:t>. En particulier la couverture du risque maladie requi</w:t>
      </w:r>
      <w:r w:rsidR="00C52D14" w:rsidRPr="00425A7F">
        <w:t xml:space="preserve">ert </w:t>
      </w:r>
      <w:r w:rsidR="00222DE0" w:rsidRPr="00425A7F">
        <w:t xml:space="preserve">de très importantes subventions d’Etat, qui joue ici son rôle social et s’engage dans une partie qui dépasse de très loin les enjeux de la santé. </w:t>
      </w:r>
      <w:r w:rsidR="00E478BC" w:rsidRPr="00425A7F">
        <w:t xml:space="preserve">Aussi la présente </w:t>
      </w:r>
      <w:r w:rsidR="00BF7533" w:rsidRPr="00425A7F">
        <w:t>stratégie</w:t>
      </w:r>
      <w:r w:rsidR="00E478BC" w:rsidRPr="00425A7F">
        <w:t xml:space="preserve"> fait état des ressources publiques nécessaires au développement de l’assurance maladie universelle dans les conditions imposées par la mise en œuvre, un chemin qui doit être considéré comme une </w:t>
      </w:r>
      <w:r w:rsidR="00BF7533" w:rsidRPr="00425A7F">
        <w:t>stratégie</w:t>
      </w:r>
      <w:r w:rsidR="00E478BC" w:rsidRPr="00425A7F">
        <w:t xml:space="preserve"> de développement, une </w:t>
      </w:r>
      <w:r w:rsidR="00BF7533" w:rsidRPr="00425A7F">
        <w:t>stratégie</w:t>
      </w:r>
      <w:r w:rsidR="00E478BC" w:rsidRPr="00425A7F">
        <w:t xml:space="preserve"> nationale correspondant à une vision de société solidaire et de cohésion solide, et non pas comme une </w:t>
      </w:r>
      <w:r w:rsidR="00BF7533" w:rsidRPr="00425A7F">
        <w:t>stratégie</w:t>
      </w:r>
      <w:r w:rsidR="00DD1DA2" w:rsidRPr="00425A7F">
        <w:t xml:space="preserve"> sanitaire uniquement. </w:t>
      </w:r>
      <w:r w:rsidR="005B25BF" w:rsidRPr="00425A7F">
        <w:t xml:space="preserve">En ce sens, certains éléments fondamentaux de la présente </w:t>
      </w:r>
      <w:r w:rsidR="00BF7533" w:rsidRPr="00425A7F">
        <w:t>stratégie</w:t>
      </w:r>
      <w:r w:rsidR="005B25BF" w:rsidRPr="00425A7F">
        <w:t xml:space="preserve"> </w:t>
      </w:r>
      <w:r w:rsidR="001E1668" w:rsidRPr="00425A7F">
        <w:t>prendront</w:t>
      </w:r>
      <w:r w:rsidR="005B25BF" w:rsidRPr="00425A7F">
        <w:t xml:space="preserve"> pleinement leur place dans les </w:t>
      </w:r>
      <w:r w:rsidR="00BF7533" w:rsidRPr="00425A7F">
        <w:t>stratégie</w:t>
      </w:r>
      <w:r w:rsidR="005B25BF" w:rsidRPr="00425A7F">
        <w:t xml:space="preserve">s générales de </w:t>
      </w:r>
      <w:r w:rsidR="005B25BF" w:rsidRPr="00425A7F">
        <w:rPr>
          <w:i/>
        </w:rPr>
        <w:t>développement</w:t>
      </w:r>
      <w:r w:rsidR="005B25BF" w:rsidRPr="00425A7F">
        <w:t xml:space="preserve"> du pays.</w:t>
      </w:r>
    </w:p>
    <w:p w:rsidR="004223E4" w:rsidRPr="00425A7F" w:rsidRDefault="004223E4" w:rsidP="00F24E98">
      <w:pPr>
        <w:widowControl w:val="0"/>
        <w:suppressAutoHyphens/>
        <w:jc w:val="both"/>
        <w:rPr>
          <w:sz w:val="18"/>
          <w:szCs w:val="18"/>
        </w:rPr>
      </w:pPr>
    </w:p>
    <w:p w:rsidR="004223E4" w:rsidRPr="00425A7F" w:rsidRDefault="00DD1DA2" w:rsidP="00F24E98">
      <w:pPr>
        <w:widowControl w:val="0"/>
        <w:suppressAutoHyphens/>
        <w:jc w:val="both"/>
      </w:pPr>
      <w:r w:rsidRPr="00425A7F">
        <w:t xml:space="preserve">La hausse importante du financement publique contribuera à la diminution de la part de paiement des ménages dans le total des </w:t>
      </w:r>
      <w:r w:rsidR="00B5091F" w:rsidRPr="00425A7F">
        <w:t xml:space="preserve">dépenses en </w:t>
      </w:r>
      <w:r w:rsidRPr="00425A7F">
        <w:t xml:space="preserve">santé. </w:t>
      </w:r>
      <w:r w:rsidR="004223E4" w:rsidRPr="00425A7F">
        <w:t xml:space="preserve">Grâce à un pooling maximal et des niveaux de contributions à l’assurance maladie adaptés aux catégories de revenu </w:t>
      </w:r>
      <w:r w:rsidR="001E1668" w:rsidRPr="00425A7F">
        <w:t>des</w:t>
      </w:r>
      <w:r w:rsidR="004223E4" w:rsidRPr="00425A7F">
        <w:t xml:space="preserve"> population</w:t>
      </w:r>
      <w:r w:rsidR="001E1668" w:rsidRPr="00425A7F">
        <w:t>s</w:t>
      </w:r>
      <w:r w:rsidR="004223E4" w:rsidRPr="00425A7F">
        <w:t xml:space="preserve">, </w:t>
      </w:r>
      <w:r w:rsidR="00D67407" w:rsidRPr="00425A7F">
        <w:t>la</w:t>
      </w:r>
      <w:r w:rsidR="004223E4" w:rsidRPr="00425A7F">
        <w:t xml:space="preserve"> mobilisation des ressources</w:t>
      </w:r>
      <w:r w:rsidR="00D67407" w:rsidRPr="00425A7F">
        <w:t xml:space="preserve"> par les cotisations</w:t>
      </w:r>
      <w:r w:rsidR="004223E4" w:rsidRPr="00425A7F">
        <w:t xml:space="preserve"> sera équitable. Comme elle sera automatique pour le secteur formel, </w:t>
      </w:r>
      <w:r w:rsidR="00D67407" w:rsidRPr="00425A7F">
        <w:t>inexistante</w:t>
      </w:r>
      <w:r w:rsidR="004223E4" w:rsidRPr="00425A7F">
        <w:t xml:space="preserve"> pour les démunis, et très limitée en montant pour le secteur informel non démuni, elle sera efficace</w:t>
      </w:r>
      <w:r w:rsidR="00D67407" w:rsidRPr="00425A7F">
        <w:t xml:space="preserve"> moyennant un dispositif de collecte et de gestion financière adapté</w:t>
      </w:r>
      <w:r w:rsidR="004223E4" w:rsidRPr="00425A7F">
        <w:t>.</w:t>
      </w:r>
      <w:r w:rsidR="00D67407" w:rsidRPr="00425A7F">
        <w:t xml:space="preserve"> </w:t>
      </w:r>
    </w:p>
    <w:p w:rsidR="00DD1DA2" w:rsidRPr="00425A7F" w:rsidRDefault="00DD1DA2" w:rsidP="00F24E98">
      <w:pPr>
        <w:widowControl w:val="0"/>
        <w:suppressAutoHyphens/>
        <w:jc w:val="both"/>
        <w:rPr>
          <w:sz w:val="18"/>
          <w:szCs w:val="18"/>
        </w:rPr>
      </w:pPr>
    </w:p>
    <w:p w:rsidR="004223E4" w:rsidRPr="00425A7F" w:rsidRDefault="004223E4" w:rsidP="00F24E98">
      <w:pPr>
        <w:widowControl w:val="0"/>
        <w:suppressAutoHyphens/>
        <w:jc w:val="both"/>
      </w:pPr>
      <w:r w:rsidRPr="00425A7F">
        <w:t xml:space="preserve">Un effort particulier du dialogue politique </w:t>
      </w:r>
      <w:r w:rsidR="00EB67A7" w:rsidRPr="00425A7F">
        <w:t xml:space="preserve">notamment </w:t>
      </w:r>
      <w:r w:rsidRPr="00425A7F">
        <w:t xml:space="preserve">dans le sens du COMPACT permettra également d’améliorer </w:t>
      </w:r>
      <w:r w:rsidR="005B25BF" w:rsidRPr="00425A7F">
        <w:t>le rôle de l’aide internationale dans la santé</w:t>
      </w:r>
      <w:r w:rsidRPr="00425A7F">
        <w:t>.</w:t>
      </w:r>
      <w:r w:rsidR="005B25BF" w:rsidRPr="00425A7F">
        <w:t xml:space="preserve"> Enjeu particulier du secteur, ce dialogue politique devra faire l’objet d’une véritable attention qui dépasse la présente </w:t>
      </w:r>
      <w:r w:rsidR="00BF7533" w:rsidRPr="00425A7F">
        <w:t>stratégie</w:t>
      </w:r>
      <w:r w:rsidR="005B25BF" w:rsidRPr="00425A7F">
        <w:t xml:space="preserve"> mais la servira fondamentalement. Notamment, il s’agira d’assurer le </w:t>
      </w:r>
      <w:r w:rsidR="005B25BF" w:rsidRPr="00425A7F">
        <w:rPr>
          <w:i/>
        </w:rPr>
        <w:t>contiguum</w:t>
      </w:r>
      <w:r w:rsidR="005B25BF" w:rsidRPr="00425A7F">
        <w:t xml:space="preserve"> entre la reconstruction du pays dans laquelle les partenaires sont fortement impliqués et le développement de long terme de l’</w:t>
      </w:r>
      <w:r w:rsidR="00C52D14" w:rsidRPr="00425A7F">
        <w:t xml:space="preserve">assurance maladie universelle </w:t>
      </w:r>
      <w:r w:rsidR="005B25BF" w:rsidRPr="00425A7F">
        <w:t>AMU ici affirmé, qui est envisagé très largement sur la base des ressources nationales.</w:t>
      </w:r>
    </w:p>
    <w:p w:rsidR="00767E16" w:rsidRPr="00E42382" w:rsidRDefault="00767E16" w:rsidP="00F24E98">
      <w:pPr>
        <w:widowControl w:val="0"/>
        <w:suppressAutoHyphens/>
        <w:jc w:val="both"/>
        <w:rPr>
          <w:sz w:val="12"/>
          <w:szCs w:val="18"/>
        </w:rPr>
      </w:pPr>
    </w:p>
    <w:p w:rsidR="0002595D" w:rsidRPr="00425A7F" w:rsidRDefault="00836588" w:rsidP="00C52415">
      <w:pPr>
        <w:pStyle w:val="Titre2"/>
        <w:numPr>
          <w:ilvl w:val="0"/>
          <w:numId w:val="12"/>
        </w:numPr>
      </w:pPr>
      <w:bookmarkStart w:id="37" w:name="_Toc497294495"/>
      <w:r w:rsidRPr="00425A7F">
        <w:t>Réduction</w:t>
      </w:r>
      <w:r w:rsidR="0002595D" w:rsidRPr="00425A7F">
        <w:t xml:space="preserve"> des barrières financières</w:t>
      </w:r>
      <w:bookmarkEnd w:id="37"/>
    </w:p>
    <w:p w:rsidR="00D67407" w:rsidRPr="00425A7F" w:rsidRDefault="009A4AB0" w:rsidP="00F24E98">
      <w:pPr>
        <w:widowControl w:val="0"/>
        <w:suppressAutoHyphens/>
        <w:jc w:val="both"/>
      </w:pPr>
      <w:r w:rsidRPr="00425A7F">
        <w:t xml:space="preserve">Le développement de l’assurance maladie au Mali, ainsi que de nombreuses initiatives d’exemption des soins, visent depuis très longtemps à alléger les ménages du poids financier des recours aux soins. Une grande partie de la présente </w:t>
      </w:r>
      <w:r w:rsidR="00BF7533" w:rsidRPr="00425A7F">
        <w:t>stratégie</w:t>
      </w:r>
      <w:r w:rsidRPr="00425A7F">
        <w:t xml:space="preserve"> prolonge ces efforts, en prenant acte de l’intérêt de créer un système à partir des différents mécanismes en place. </w:t>
      </w:r>
    </w:p>
    <w:p w:rsidR="009A4AB0" w:rsidRPr="00425A7F" w:rsidRDefault="009A4AB0" w:rsidP="00F24E98">
      <w:pPr>
        <w:widowControl w:val="0"/>
        <w:suppressAutoHyphens/>
        <w:jc w:val="both"/>
        <w:rPr>
          <w:sz w:val="18"/>
          <w:szCs w:val="18"/>
        </w:rPr>
      </w:pPr>
    </w:p>
    <w:p w:rsidR="009A4AB0" w:rsidRPr="00425A7F" w:rsidRDefault="009A4AB0" w:rsidP="00F24E98">
      <w:pPr>
        <w:widowControl w:val="0"/>
        <w:suppressAutoHyphens/>
        <w:jc w:val="both"/>
      </w:pPr>
      <w:r w:rsidRPr="00425A7F">
        <w:t>Sur la base d’un développement par étapes, la trajectoire pour la constitution d’une assurance maladie universelle au Mali trace les conditions pour systématiser la levée des barrières financières, en tenant compte des besoins spécifiques de populations et de soins particuliers, tout en mutualisant les fonctions et les ressources.</w:t>
      </w:r>
    </w:p>
    <w:p w:rsidR="00DD1DA2" w:rsidRPr="00425A7F" w:rsidRDefault="00DD1DA2" w:rsidP="00F24E98">
      <w:pPr>
        <w:widowControl w:val="0"/>
        <w:suppressAutoHyphens/>
        <w:jc w:val="both"/>
        <w:rPr>
          <w:sz w:val="18"/>
          <w:szCs w:val="18"/>
        </w:rPr>
      </w:pPr>
    </w:p>
    <w:p w:rsidR="00DD1DA2" w:rsidRPr="00425A7F" w:rsidRDefault="000B4DC9" w:rsidP="00F24E98">
      <w:pPr>
        <w:widowControl w:val="0"/>
        <w:suppressAutoHyphens/>
        <w:jc w:val="both"/>
      </w:pPr>
      <w:r w:rsidRPr="00425A7F">
        <w:t>Ainsi la part du pré</w:t>
      </w:r>
      <w:r w:rsidR="00DD1DA2" w:rsidRPr="00425A7F">
        <w:t>paiement dans la contribution des ménages à l’effort national sera important</w:t>
      </w:r>
      <w:r w:rsidR="001314B5" w:rsidRPr="00425A7F">
        <w:t>e</w:t>
      </w:r>
      <w:r w:rsidR="00DD1DA2" w:rsidRPr="00425A7F">
        <w:t>.</w:t>
      </w:r>
    </w:p>
    <w:p w:rsidR="005E70D2" w:rsidRPr="00425A7F" w:rsidRDefault="005E70D2" w:rsidP="00F24E98">
      <w:pPr>
        <w:pStyle w:val="Titre3"/>
      </w:pPr>
    </w:p>
    <w:p w:rsidR="0002595D" w:rsidRPr="00425A7F" w:rsidRDefault="0002595D" w:rsidP="00C52415">
      <w:pPr>
        <w:pStyle w:val="Titre2"/>
        <w:numPr>
          <w:ilvl w:val="0"/>
          <w:numId w:val="12"/>
        </w:numPr>
      </w:pPr>
      <w:bookmarkStart w:id="38" w:name="_Toc497294496"/>
      <w:r w:rsidRPr="00425A7F">
        <w:t>Utilisation judicieuse des ressources</w:t>
      </w:r>
      <w:bookmarkEnd w:id="38"/>
    </w:p>
    <w:p w:rsidR="009A4AB0" w:rsidRPr="00425A7F" w:rsidRDefault="009A4AB0" w:rsidP="00F24E98">
      <w:pPr>
        <w:widowControl w:val="0"/>
        <w:suppressAutoHyphens/>
        <w:jc w:val="both"/>
      </w:pPr>
      <w:r w:rsidRPr="00425A7F">
        <w:t xml:space="preserve">Les objectifs </w:t>
      </w:r>
      <w:r w:rsidR="009F2488" w:rsidRPr="00425A7F">
        <w:t>d’</w:t>
      </w:r>
      <w:r w:rsidRPr="00425A7F">
        <w:t xml:space="preserve">une meilleure allocation des ressources et </w:t>
      </w:r>
      <w:r w:rsidR="009F2488" w:rsidRPr="00425A7F">
        <w:t xml:space="preserve">d’une amélioration de </w:t>
      </w:r>
      <w:r w:rsidRPr="00425A7F">
        <w:t>la gouvernance financière sont pratiquement focalisés sur une utilisation judicieuse d</w:t>
      </w:r>
      <w:r w:rsidR="00CD22F5" w:rsidRPr="00425A7F">
        <w:t>es ressources. L</w:t>
      </w:r>
      <w:r w:rsidR="00633B25" w:rsidRPr="00425A7F">
        <w:t xml:space="preserve">a présente </w:t>
      </w:r>
      <w:r w:rsidR="00BF7533" w:rsidRPr="00425A7F">
        <w:t>stratégie</w:t>
      </w:r>
      <w:r w:rsidR="00633B25" w:rsidRPr="00425A7F">
        <w:t xml:space="preserve"> </w:t>
      </w:r>
      <w:r w:rsidR="00DD1DA2" w:rsidRPr="00425A7F">
        <w:t xml:space="preserve">entend certes accroître les ressources, mais </w:t>
      </w:r>
      <w:r w:rsidR="00CD22F5" w:rsidRPr="00425A7F">
        <w:t>encore</w:t>
      </w:r>
      <w:r w:rsidR="00DD1DA2" w:rsidRPr="00425A7F">
        <w:t xml:space="preserve"> mettre un accent particulier sur l’efficience de leur utilisation.</w:t>
      </w:r>
    </w:p>
    <w:p w:rsidR="00633B25" w:rsidRPr="00425A7F" w:rsidRDefault="00633B25" w:rsidP="00F24E98">
      <w:pPr>
        <w:widowControl w:val="0"/>
        <w:suppressAutoHyphens/>
        <w:jc w:val="both"/>
      </w:pPr>
    </w:p>
    <w:p w:rsidR="00633B25" w:rsidRPr="00425A7F" w:rsidRDefault="00633B25" w:rsidP="00F24E98">
      <w:pPr>
        <w:widowControl w:val="0"/>
        <w:suppressAutoHyphens/>
        <w:jc w:val="both"/>
      </w:pPr>
      <w:r w:rsidRPr="00425A7F">
        <w:t xml:space="preserve">Les objectifs d’allocations adéquates, de tarification rationnelle et maîtrisée, ou encore ceux </w:t>
      </w:r>
      <w:r w:rsidR="009F2488" w:rsidRPr="00425A7F">
        <w:t xml:space="preserve">du renforcement de </w:t>
      </w:r>
      <w:r w:rsidRPr="00425A7F">
        <w:t xml:space="preserve">la résilience, s’appuient sur </w:t>
      </w:r>
      <w:r w:rsidR="00B5091F" w:rsidRPr="00425A7F">
        <w:t xml:space="preserve">des leviers </w:t>
      </w:r>
      <w:r w:rsidRPr="00425A7F">
        <w:t xml:space="preserve">également inscrits, qui </w:t>
      </w:r>
      <w:r w:rsidR="00CD22F5" w:rsidRPr="00425A7F">
        <w:t>ont trait</w:t>
      </w:r>
      <w:r w:rsidRPr="00425A7F">
        <w:t xml:space="preserve"> à la maîtrise du dialogue politique (dialogue intersectoriel, dialogue avec les PTF, renforcement de la collaboration entre les trois Ministères) et à la gestion stratégique de l’information.</w:t>
      </w:r>
      <w:r w:rsidR="00EB67A7" w:rsidRPr="00425A7F">
        <w:t xml:space="preserve"> En amont des perspectives d’accréditation</w:t>
      </w:r>
      <w:r w:rsidR="00CD22F5" w:rsidRPr="00425A7F">
        <w:t>, concept clé et résultat attendu sur le plan de l’offre</w:t>
      </w:r>
      <w:r w:rsidR="00EB67A7" w:rsidRPr="00425A7F">
        <w:t>, un travail important devra être mené sur les conditions de l’offre de soins ; en aval ou dans le même temps, l’introduction et la généralisation de la tarification forfaitaire participera de la maîtrise des coûts dans le cadre de la nouvelle architecture du système de financement.</w:t>
      </w:r>
    </w:p>
    <w:p w:rsidR="00633B25" w:rsidRPr="00425A7F" w:rsidRDefault="00633B25" w:rsidP="00F24E98">
      <w:pPr>
        <w:widowControl w:val="0"/>
        <w:suppressAutoHyphens/>
        <w:jc w:val="both"/>
      </w:pPr>
    </w:p>
    <w:p w:rsidR="00633B25" w:rsidRPr="00425A7F" w:rsidRDefault="00633B25" w:rsidP="00F24E98">
      <w:pPr>
        <w:widowControl w:val="0"/>
        <w:suppressAutoHyphens/>
        <w:jc w:val="both"/>
      </w:pPr>
      <w:r w:rsidRPr="00425A7F">
        <w:t xml:space="preserve">Ensemble, mais encore avec le développement de l’assurance maladie en tant qu’elle porte une exigence particulière à la qualité et au coût des soins fournis aux populations, </w:t>
      </w:r>
      <w:r w:rsidR="00B5091F" w:rsidRPr="00425A7F">
        <w:t xml:space="preserve">les </w:t>
      </w:r>
      <w:r w:rsidRPr="00425A7F">
        <w:t>objectifs</w:t>
      </w:r>
      <w:r w:rsidR="00B5091F" w:rsidRPr="00425A7F">
        <w:t xml:space="preserve"> poursuivis</w:t>
      </w:r>
      <w:r w:rsidRPr="00425A7F">
        <w:t xml:space="preserve"> permettront d’améliorer tout à la fois la justesse des choix d’affectation des dépenses et l’efficience du financement de la santé.</w:t>
      </w:r>
    </w:p>
    <w:p w:rsidR="00E802F0" w:rsidRPr="00425A7F" w:rsidRDefault="00E802F0" w:rsidP="00F24E98">
      <w:pPr>
        <w:widowControl w:val="0"/>
        <w:suppressAutoHyphens/>
        <w:jc w:val="both"/>
      </w:pPr>
    </w:p>
    <w:p w:rsidR="00E802F0" w:rsidRPr="00425A7F" w:rsidRDefault="00E802F0" w:rsidP="00F24E98">
      <w:pPr>
        <w:widowControl w:val="0"/>
        <w:suppressAutoHyphens/>
        <w:jc w:val="both"/>
      </w:pPr>
    </w:p>
    <w:p w:rsidR="00E802F0" w:rsidRPr="00425A7F" w:rsidRDefault="00E802F0" w:rsidP="00F24E98">
      <w:pPr>
        <w:widowControl w:val="0"/>
        <w:suppressAutoHyphens/>
        <w:jc w:val="both"/>
      </w:pPr>
    </w:p>
    <w:p w:rsidR="00D1355A" w:rsidRPr="00425A7F" w:rsidRDefault="00F423F9" w:rsidP="00F24E98">
      <w:pPr>
        <w:widowControl w:val="0"/>
        <w:suppressAutoHyphens/>
        <w:jc w:val="both"/>
        <w:rPr>
          <w:b/>
          <w:u w:val="single"/>
        </w:rPr>
      </w:pPr>
      <w:r w:rsidRPr="00425A7F">
        <w:rPr>
          <w:b/>
          <w:u w:val="single"/>
        </w:rPr>
        <w:t>Tableau n°10 : i</w:t>
      </w:r>
      <w:r w:rsidR="00D1355A" w:rsidRPr="00425A7F">
        <w:rPr>
          <w:b/>
          <w:u w:val="single"/>
        </w:rPr>
        <w:t>ndicateurs clés de l’évolution induite par la stratégie :</w:t>
      </w:r>
    </w:p>
    <w:p w:rsidR="00767E16" w:rsidRPr="00425A7F" w:rsidRDefault="00767E16" w:rsidP="00F24E98">
      <w:pPr>
        <w:widowControl w:val="0"/>
        <w:suppressAutoHyphens/>
        <w:jc w:val="both"/>
      </w:pPr>
    </w:p>
    <w:tbl>
      <w:tblPr>
        <w:tblW w:w="0" w:type="auto"/>
        <w:tblCellMar>
          <w:left w:w="0" w:type="dxa"/>
          <w:right w:w="0" w:type="dxa"/>
        </w:tblCellMar>
        <w:tblLook w:val="04A0" w:firstRow="1" w:lastRow="0" w:firstColumn="1" w:lastColumn="0" w:noHBand="0" w:noVBand="1"/>
      </w:tblPr>
      <w:tblGrid>
        <w:gridCol w:w="6446"/>
        <w:gridCol w:w="1414"/>
        <w:gridCol w:w="1190"/>
      </w:tblGrid>
      <w:tr w:rsidR="003125B5" w:rsidRPr="00425A7F" w:rsidTr="0066504C">
        <w:trPr>
          <w:trHeight w:val="599"/>
        </w:trPr>
        <w:tc>
          <w:tcPr>
            <w:tcW w:w="0" w:type="auto"/>
            <w:tcBorders>
              <w:top w:val="single" w:sz="8" w:space="0" w:color="000000"/>
              <w:left w:val="single" w:sz="8" w:space="0" w:color="000000"/>
              <w:bottom w:val="single" w:sz="8" w:space="0" w:color="000000"/>
              <w:right w:val="single" w:sz="8" w:space="0" w:color="000000"/>
            </w:tcBorders>
            <w:shd w:val="clear" w:color="auto" w:fill="8DB3E2" w:themeFill="text2" w:themeFillTint="66"/>
            <w:tcMar>
              <w:top w:w="15" w:type="dxa"/>
              <w:left w:w="81" w:type="dxa"/>
              <w:bottom w:w="0" w:type="dxa"/>
              <w:right w:w="81" w:type="dxa"/>
            </w:tcMar>
            <w:vAlign w:val="center"/>
            <w:hideMark/>
          </w:tcPr>
          <w:p w:rsidR="003125B5" w:rsidRPr="00425A7F" w:rsidRDefault="003125B5" w:rsidP="0066504C">
            <w:pPr>
              <w:jc w:val="center"/>
            </w:pPr>
            <w:r w:rsidRPr="00425A7F">
              <w:rPr>
                <w:b/>
                <w:bCs/>
                <w:lang w:val="fr-CH"/>
              </w:rPr>
              <w:t>INDICATEURS CLES</w:t>
            </w:r>
          </w:p>
        </w:tc>
        <w:tc>
          <w:tcPr>
            <w:tcW w:w="0" w:type="auto"/>
            <w:tcBorders>
              <w:top w:val="single" w:sz="8" w:space="0" w:color="000000"/>
              <w:left w:val="single" w:sz="8" w:space="0" w:color="000000"/>
              <w:bottom w:val="single" w:sz="8" w:space="0" w:color="000000"/>
              <w:right w:val="single" w:sz="8" w:space="0" w:color="000000"/>
            </w:tcBorders>
            <w:shd w:val="clear" w:color="auto" w:fill="8DB3E2" w:themeFill="text2" w:themeFillTint="66"/>
            <w:tcMar>
              <w:top w:w="15" w:type="dxa"/>
              <w:left w:w="81" w:type="dxa"/>
              <w:bottom w:w="0" w:type="dxa"/>
              <w:right w:w="81" w:type="dxa"/>
            </w:tcMar>
            <w:vAlign w:val="center"/>
            <w:hideMark/>
          </w:tcPr>
          <w:p w:rsidR="003125B5" w:rsidRPr="00425A7F" w:rsidRDefault="003125B5" w:rsidP="0066504C">
            <w:pPr>
              <w:jc w:val="center"/>
            </w:pPr>
            <w:r w:rsidRPr="00425A7F">
              <w:rPr>
                <w:b/>
                <w:bCs/>
                <w:lang w:val="fr-CH"/>
              </w:rPr>
              <w:t>2016 ou indiqué</w:t>
            </w:r>
          </w:p>
        </w:tc>
        <w:tc>
          <w:tcPr>
            <w:tcW w:w="0" w:type="auto"/>
            <w:tcBorders>
              <w:top w:val="single" w:sz="8" w:space="0" w:color="000000"/>
              <w:left w:val="single" w:sz="8" w:space="0" w:color="000000"/>
              <w:bottom w:val="single" w:sz="8" w:space="0" w:color="000000"/>
              <w:right w:val="single" w:sz="8" w:space="0" w:color="000000"/>
            </w:tcBorders>
            <w:shd w:val="clear" w:color="auto" w:fill="8DB3E2" w:themeFill="text2" w:themeFillTint="66"/>
            <w:vAlign w:val="center"/>
          </w:tcPr>
          <w:p w:rsidR="003125B5" w:rsidRPr="00425A7F" w:rsidRDefault="003125B5" w:rsidP="0066504C">
            <w:pPr>
              <w:jc w:val="center"/>
              <w:rPr>
                <w:b/>
                <w:bCs/>
                <w:lang w:val="fr-CH"/>
              </w:rPr>
            </w:pPr>
            <w:r w:rsidRPr="00425A7F">
              <w:rPr>
                <w:b/>
                <w:bCs/>
                <w:lang w:val="fr-CH"/>
              </w:rPr>
              <w:t>Objectifs 2023</w:t>
            </w:r>
          </w:p>
        </w:tc>
      </w:tr>
      <w:tr w:rsidR="003125B5" w:rsidRPr="00425A7F" w:rsidTr="0066504C">
        <w:trPr>
          <w:trHeight w:val="245"/>
        </w:trPr>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tcMar>
              <w:top w:w="15" w:type="dxa"/>
              <w:left w:w="81" w:type="dxa"/>
              <w:bottom w:w="0" w:type="dxa"/>
              <w:right w:w="81" w:type="dxa"/>
            </w:tcMar>
            <w:vAlign w:val="center"/>
          </w:tcPr>
          <w:p w:rsidR="003125B5" w:rsidRPr="00425A7F" w:rsidRDefault="003125B5" w:rsidP="0066504C">
            <w:pPr>
              <w:jc w:val="both"/>
              <w:rPr>
                <w:b/>
                <w:bCs/>
                <w:sz w:val="20"/>
                <w:szCs w:val="20"/>
                <w:lang w:val="fr-CH"/>
              </w:rPr>
            </w:pPr>
            <w:r w:rsidRPr="00425A7F">
              <w:rPr>
                <w:b/>
                <w:bCs/>
                <w:sz w:val="20"/>
                <w:szCs w:val="20"/>
                <w:lang w:val="fr-CH"/>
              </w:rPr>
              <w:t>EFFORT DE L’ETAT</w:t>
            </w:r>
          </w:p>
        </w:tc>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tcMar>
              <w:top w:w="15" w:type="dxa"/>
              <w:left w:w="81" w:type="dxa"/>
              <w:bottom w:w="0" w:type="dxa"/>
              <w:right w:w="81" w:type="dxa"/>
            </w:tcMar>
            <w:vAlign w:val="center"/>
          </w:tcPr>
          <w:p w:rsidR="003125B5" w:rsidRPr="00425A7F" w:rsidRDefault="003125B5" w:rsidP="0066504C">
            <w:pPr>
              <w:jc w:val="center"/>
              <w:rPr>
                <w:sz w:val="20"/>
                <w:szCs w:val="20"/>
              </w:rPr>
            </w:pPr>
          </w:p>
        </w:tc>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vAlign w:val="center"/>
          </w:tcPr>
          <w:p w:rsidR="003125B5" w:rsidRPr="00425A7F" w:rsidRDefault="003125B5" w:rsidP="0066504C">
            <w:pPr>
              <w:jc w:val="center"/>
              <w:rPr>
                <w:sz w:val="20"/>
                <w:szCs w:val="20"/>
                <w:lang w:val="fr-CH"/>
              </w:rPr>
            </w:pPr>
          </w:p>
        </w:tc>
      </w:tr>
      <w:tr w:rsidR="003125B5" w:rsidRPr="00425A7F" w:rsidTr="0066504C">
        <w:trPr>
          <w:trHeight w:val="286"/>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hideMark/>
          </w:tcPr>
          <w:p w:rsidR="003125B5" w:rsidRPr="00425A7F" w:rsidRDefault="003125B5" w:rsidP="0066504C">
            <w:pPr>
              <w:jc w:val="both"/>
              <w:rPr>
                <w:sz w:val="20"/>
                <w:szCs w:val="20"/>
              </w:rPr>
            </w:pPr>
            <w:r w:rsidRPr="00425A7F">
              <w:rPr>
                <w:b/>
                <w:bCs/>
                <w:sz w:val="20"/>
                <w:szCs w:val="20"/>
                <w:lang w:val="fr-CH"/>
              </w:rPr>
              <w:t>Budget du secteur santé en % des dépenses courantes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tcPr>
          <w:p w:rsidR="003125B5" w:rsidRPr="00425A7F" w:rsidRDefault="003125B5" w:rsidP="0066504C">
            <w:pPr>
              <w:jc w:val="center"/>
              <w:rPr>
                <w:sz w:val="20"/>
                <w:szCs w:val="20"/>
              </w:rPr>
            </w:pPr>
            <w:r w:rsidRPr="00425A7F">
              <w:rPr>
                <w:sz w:val="20"/>
                <w:szCs w:val="20"/>
              </w:rPr>
              <w:t>11%</w:t>
            </w:r>
          </w:p>
        </w:tc>
        <w:tc>
          <w:tcPr>
            <w:tcW w:w="0" w:type="auto"/>
            <w:tcBorders>
              <w:top w:val="single" w:sz="8" w:space="0" w:color="000000"/>
              <w:left w:val="single" w:sz="8" w:space="0" w:color="000000"/>
              <w:bottom w:val="single" w:sz="8" w:space="0" w:color="000000"/>
              <w:right w:val="single" w:sz="8" w:space="0" w:color="000000"/>
            </w:tcBorders>
            <w:vAlign w:val="center"/>
          </w:tcPr>
          <w:p w:rsidR="003125B5" w:rsidRPr="00425A7F" w:rsidRDefault="003125B5" w:rsidP="0066504C">
            <w:pPr>
              <w:jc w:val="center"/>
              <w:rPr>
                <w:sz w:val="20"/>
                <w:szCs w:val="20"/>
                <w:lang w:val="fr-CH"/>
              </w:rPr>
            </w:pPr>
            <w:r w:rsidRPr="00425A7F">
              <w:rPr>
                <w:sz w:val="20"/>
                <w:szCs w:val="20"/>
                <w:lang w:val="fr-CH"/>
              </w:rPr>
              <w:t>14%</w:t>
            </w:r>
            <w:r w:rsidRPr="00425A7F">
              <w:rPr>
                <w:rStyle w:val="Appelnotedebasdep"/>
                <w:sz w:val="20"/>
                <w:szCs w:val="20"/>
                <w:lang w:val="fr-CH"/>
              </w:rPr>
              <w:footnoteReference w:id="19"/>
            </w:r>
          </w:p>
        </w:tc>
      </w:tr>
      <w:tr w:rsidR="003125B5" w:rsidRPr="00425A7F" w:rsidTr="0066504C">
        <w:trPr>
          <w:trHeight w:val="425"/>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hideMark/>
          </w:tcPr>
          <w:p w:rsidR="003125B5" w:rsidRPr="00425A7F" w:rsidRDefault="003125B5" w:rsidP="0066504C">
            <w:pPr>
              <w:jc w:val="both"/>
              <w:rPr>
                <w:sz w:val="20"/>
                <w:szCs w:val="20"/>
              </w:rPr>
            </w:pPr>
            <w:r w:rsidRPr="00425A7F">
              <w:rPr>
                <w:b/>
                <w:bCs/>
                <w:sz w:val="20"/>
                <w:szCs w:val="20"/>
                <w:lang w:val="fr-CH"/>
              </w:rPr>
              <w:t>Budget de l’Etat pour subventionner la couverture du risque maladie en % des dépenses courantes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tcPr>
          <w:p w:rsidR="003125B5" w:rsidRPr="00425A7F" w:rsidRDefault="003125B5" w:rsidP="0066504C">
            <w:pPr>
              <w:jc w:val="center"/>
              <w:rPr>
                <w:sz w:val="20"/>
                <w:szCs w:val="20"/>
              </w:rPr>
            </w:pPr>
            <w:r w:rsidRPr="00425A7F">
              <w:rPr>
                <w:sz w:val="20"/>
                <w:szCs w:val="20"/>
              </w:rPr>
              <w:t>0,5%</w:t>
            </w:r>
          </w:p>
        </w:tc>
        <w:tc>
          <w:tcPr>
            <w:tcW w:w="0" w:type="auto"/>
            <w:tcBorders>
              <w:top w:val="single" w:sz="8" w:space="0" w:color="000000"/>
              <w:left w:val="single" w:sz="8" w:space="0" w:color="000000"/>
              <w:bottom w:val="single" w:sz="8" w:space="0" w:color="000000"/>
              <w:right w:val="single" w:sz="8" w:space="0" w:color="000000"/>
            </w:tcBorders>
            <w:vAlign w:val="center"/>
          </w:tcPr>
          <w:p w:rsidR="003125B5" w:rsidRPr="00425A7F" w:rsidRDefault="003125B5" w:rsidP="0066504C">
            <w:pPr>
              <w:jc w:val="center"/>
              <w:rPr>
                <w:sz w:val="20"/>
                <w:szCs w:val="20"/>
                <w:lang w:val="fr-CH"/>
              </w:rPr>
            </w:pPr>
            <w:r w:rsidRPr="00425A7F">
              <w:rPr>
                <w:sz w:val="20"/>
                <w:szCs w:val="20"/>
                <w:lang w:val="fr-CH"/>
              </w:rPr>
              <w:t>4%</w:t>
            </w:r>
          </w:p>
        </w:tc>
      </w:tr>
      <w:tr w:rsidR="003125B5" w:rsidRPr="00425A7F" w:rsidTr="0066504C">
        <w:trPr>
          <w:trHeight w:val="218"/>
        </w:trPr>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tcMar>
              <w:top w:w="15" w:type="dxa"/>
              <w:left w:w="81" w:type="dxa"/>
              <w:bottom w:w="0" w:type="dxa"/>
              <w:right w:w="81" w:type="dxa"/>
            </w:tcMar>
            <w:vAlign w:val="center"/>
          </w:tcPr>
          <w:p w:rsidR="003125B5" w:rsidRPr="00425A7F" w:rsidRDefault="003125B5" w:rsidP="0066504C">
            <w:pPr>
              <w:jc w:val="both"/>
              <w:rPr>
                <w:b/>
                <w:bCs/>
                <w:sz w:val="20"/>
                <w:szCs w:val="20"/>
                <w:lang w:val="fr-CH"/>
              </w:rPr>
            </w:pPr>
            <w:r w:rsidRPr="00425A7F">
              <w:rPr>
                <w:b/>
                <w:bCs/>
                <w:sz w:val="20"/>
                <w:szCs w:val="20"/>
                <w:lang w:val="fr-CH"/>
              </w:rPr>
              <w:t>EFFET SUR LA POPULATION</w:t>
            </w:r>
          </w:p>
        </w:tc>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tcMar>
              <w:top w:w="15" w:type="dxa"/>
              <w:left w:w="81" w:type="dxa"/>
              <w:bottom w:w="0" w:type="dxa"/>
              <w:right w:w="81" w:type="dxa"/>
            </w:tcMar>
            <w:vAlign w:val="center"/>
          </w:tcPr>
          <w:p w:rsidR="003125B5" w:rsidRPr="00425A7F" w:rsidRDefault="003125B5" w:rsidP="0066504C">
            <w:pPr>
              <w:jc w:val="center"/>
              <w:rPr>
                <w:sz w:val="20"/>
                <w:szCs w:val="20"/>
              </w:rPr>
            </w:pPr>
          </w:p>
        </w:tc>
        <w:tc>
          <w:tcPr>
            <w:tcW w:w="0" w:type="auto"/>
            <w:tcBorders>
              <w:top w:val="single" w:sz="8" w:space="0" w:color="000000"/>
              <w:left w:val="single" w:sz="8" w:space="0" w:color="000000"/>
              <w:bottom w:val="single" w:sz="8" w:space="0" w:color="000000"/>
              <w:right w:val="single" w:sz="8" w:space="0" w:color="000000"/>
            </w:tcBorders>
            <w:shd w:val="clear" w:color="auto" w:fill="B6DDE8" w:themeFill="accent5" w:themeFillTint="66"/>
            <w:vAlign w:val="center"/>
          </w:tcPr>
          <w:p w:rsidR="003125B5" w:rsidRPr="00425A7F" w:rsidRDefault="003125B5" w:rsidP="0066504C">
            <w:pPr>
              <w:jc w:val="center"/>
              <w:rPr>
                <w:b/>
                <w:bCs/>
                <w:sz w:val="20"/>
                <w:szCs w:val="20"/>
                <w:lang w:val="fr-CH"/>
              </w:rPr>
            </w:pPr>
          </w:p>
        </w:tc>
      </w:tr>
      <w:tr w:rsidR="003125B5" w:rsidRPr="00425A7F" w:rsidTr="0066504C">
        <w:trPr>
          <w:trHeight w:val="302"/>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hideMark/>
          </w:tcPr>
          <w:p w:rsidR="003125B5" w:rsidRPr="00425A7F" w:rsidRDefault="003125B5" w:rsidP="0066504C">
            <w:pPr>
              <w:jc w:val="both"/>
              <w:rPr>
                <w:sz w:val="20"/>
                <w:szCs w:val="20"/>
              </w:rPr>
            </w:pPr>
            <w:r w:rsidRPr="00425A7F">
              <w:rPr>
                <w:b/>
                <w:bCs/>
                <w:sz w:val="20"/>
                <w:szCs w:val="20"/>
                <w:lang w:val="fr-CH"/>
              </w:rPr>
              <w:t>Paiement direct des ménages dans le total des dépenses de santé (2014)</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tcPr>
          <w:p w:rsidR="003125B5" w:rsidRPr="00425A7F" w:rsidRDefault="003125B5" w:rsidP="0066504C">
            <w:pPr>
              <w:jc w:val="center"/>
              <w:rPr>
                <w:sz w:val="20"/>
                <w:szCs w:val="20"/>
              </w:rPr>
            </w:pPr>
            <w:r w:rsidRPr="00425A7F">
              <w:rPr>
                <w:sz w:val="20"/>
                <w:szCs w:val="20"/>
              </w:rPr>
              <w:t>44,95%</w:t>
            </w:r>
          </w:p>
        </w:tc>
        <w:tc>
          <w:tcPr>
            <w:tcW w:w="0" w:type="auto"/>
            <w:tcBorders>
              <w:top w:val="single" w:sz="8" w:space="0" w:color="000000"/>
              <w:left w:val="single" w:sz="8" w:space="0" w:color="000000"/>
              <w:bottom w:val="single" w:sz="8" w:space="0" w:color="000000"/>
              <w:right w:val="single" w:sz="8" w:space="0" w:color="000000"/>
            </w:tcBorders>
            <w:vAlign w:val="center"/>
          </w:tcPr>
          <w:p w:rsidR="003125B5" w:rsidRPr="00425A7F" w:rsidRDefault="003125B5" w:rsidP="0066504C">
            <w:pPr>
              <w:jc w:val="center"/>
              <w:rPr>
                <w:bCs/>
                <w:sz w:val="20"/>
                <w:szCs w:val="20"/>
                <w:lang w:val="fr-CH"/>
              </w:rPr>
            </w:pPr>
            <w:r w:rsidRPr="00425A7F">
              <w:rPr>
                <w:bCs/>
                <w:sz w:val="20"/>
                <w:szCs w:val="20"/>
                <w:lang w:val="fr-CH"/>
              </w:rPr>
              <w:t>35%</w:t>
            </w:r>
          </w:p>
        </w:tc>
      </w:tr>
      <w:tr w:rsidR="003125B5" w:rsidRPr="00425A7F" w:rsidTr="0066504C">
        <w:trPr>
          <w:trHeight w:val="250"/>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hideMark/>
          </w:tcPr>
          <w:p w:rsidR="003125B5" w:rsidRPr="00425A7F" w:rsidRDefault="003125B5" w:rsidP="0066504C">
            <w:pPr>
              <w:jc w:val="both"/>
              <w:rPr>
                <w:sz w:val="20"/>
                <w:szCs w:val="20"/>
              </w:rPr>
            </w:pPr>
            <w:r w:rsidRPr="00425A7F">
              <w:rPr>
                <w:b/>
                <w:bCs/>
                <w:sz w:val="20"/>
                <w:szCs w:val="20"/>
                <w:lang w:val="fr-CH"/>
              </w:rPr>
              <w:t>Couverture de la population en assurance maladie</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tcPr>
          <w:p w:rsidR="003125B5" w:rsidRPr="00425A7F" w:rsidRDefault="00A87CD0" w:rsidP="0066504C">
            <w:pPr>
              <w:jc w:val="center"/>
              <w:rPr>
                <w:sz w:val="20"/>
                <w:szCs w:val="20"/>
              </w:rPr>
            </w:pPr>
            <w:r w:rsidRPr="00425A7F">
              <w:rPr>
                <w:sz w:val="20"/>
                <w:szCs w:val="20"/>
              </w:rPr>
              <w:t>11,92%</w:t>
            </w:r>
          </w:p>
        </w:tc>
        <w:tc>
          <w:tcPr>
            <w:tcW w:w="0" w:type="auto"/>
            <w:tcBorders>
              <w:top w:val="single" w:sz="8" w:space="0" w:color="000000"/>
              <w:left w:val="single" w:sz="8" w:space="0" w:color="000000"/>
              <w:bottom w:val="single" w:sz="8" w:space="0" w:color="000000"/>
              <w:right w:val="single" w:sz="8" w:space="0" w:color="000000"/>
            </w:tcBorders>
            <w:vAlign w:val="center"/>
          </w:tcPr>
          <w:p w:rsidR="003125B5" w:rsidRPr="00425A7F" w:rsidRDefault="007D7A58" w:rsidP="0066504C">
            <w:pPr>
              <w:jc w:val="center"/>
              <w:rPr>
                <w:bCs/>
                <w:sz w:val="20"/>
                <w:szCs w:val="20"/>
                <w:lang w:val="fr-CH"/>
              </w:rPr>
            </w:pPr>
            <w:r w:rsidRPr="00425A7F">
              <w:rPr>
                <w:bCs/>
                <w:sz w:val="20"/>
                <w:szCs w:val="20"/>
                <w:lang w:val="fr-CH"/>
              </w:rPr>
              <w:t>31</w:t>
            </w:r>
            <w:r w:rsidR="003125B5" w:rsidRPr="00425A7F">
              <w:rPr>
                <w:bCs/>
                <w:sz w:val="20"/>
                <w:szCs w:val="20"/>
                <w:lang w:val="fr-CH"/>
              </w:rPr>
              <w:t>%</w:t>
            </w:r>
          </w:p>
        </w:tc>
      </w:tr>
      <w:tr w:rsidR="003125B5" w:rsidRPr="00425A7F" w:rsidTr="0066504C">
        <w:trPr>
          <w:trHeight w:val="240"/>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hideMark/>
          </w:tcPr>
          <w:p w:rsidR="003125B5" w:rsidRPr="00425A7F" w:rsidRDefault="003125B5" w:rsidP="0066504C">
            <w:pPr>
              <w:jc w:val="both"/>
              <w:rPr>
                <w:sz w:val="20"/>
                <w:szCs w:val="20"/>
              </w:rPr>
            </w:pPr>
            <w:r w:rsidRPr="00425A7F">
              <w:rPr>
                <w:b/>
                <w:bCs/>
                <w:sz w:val="20"/>
                <w:szCs w:val="20"/>
                <w:lang w:val="fr-CH"/>
              </w:rPr>
              <w:t>Incidence des dépenses catastrophiques</w:t>
            </w:r>
            <w:r w:rsidRPr="00425A7F">
              <w:rPr>
                <w:rStyle w:val="Appelnotedebasdep"/>
                <w:b/>
                <w:bCs/>
                <w:sz w:val="20"/>
                <w:szCs w:val="20"/>
                <w:lang w:val="fr-CH"/>
              </w:rPr>
              <w:footnoteReference w:id="20"/>
            </w:r>
            <w:r w:rsidRPr="00425A7F">
              <w:rPr>
                <w:b/>
                <w:bCs/>
                <w:sz w:val="20"/>
                <w:szCs w:val="20"/>
                <w:lang w:val="fr-CH"/>
              </w:rPr>
              <w:t xml:space="preserve"> (2011)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81" w:type="dxa"/>
              <w:bottom w:w="0" w:type="dxa"/>
              <w:right w:w="81" w:type="dxa"/>
            </w:tcMar>
            <w:vAlign w:val="center"/>
          </w:tcPr>
          <w:p w:rsidR="003125B5" w:rsidRPr="00425A7F" w:rsidRDefault="003125B5" w:rsidP="0066504C">
            <w:pPr>
              <w:jc w:val="center"/>
              <w:rPr>
                <w:sz w:val="20"/>
                <w:szCs w:val="20"/>
              </w:rPr>
            </w:pPr>
            <w:r w:rsidRPr="00425A7F">
              <w:rPr>
                <w:sz w:val="20"/>
                <w:szCs w:val="20"/>
              </w:rPr>
              <w:t>19%</w:t>
            </w:r>
          </w:p>
        </w:tc>
        <w:tc>
          <w:tcPr>
            <w:tcW w:w="0" w:type="auto"/>
            <w:tcBorders>
              <w:top w:val="single" w:sz="8" w:space="0" w:color="000000"/>
              <w:left w:val="single" w:sz="8" w:space="0" w:color="000000"/>
              <w:bottom w:val="single" w:sz="8" w:space="0" w:color="000000"/>
              <w:right w:val="single" w:sz="8" w:space="0" w:color="000000"/>
            </w:tcBorders>
            <w:vAlign w:val="center"/>
          </w:tcPr>
          <w:p w:rsidR="003125B5" w:rsidRPr="00425A7F" w:rsidRDefault="003125B5" w:rsidP="0066504C">
            <w:pPr>
              <w:jc w:val="center"/>
              <w:rPr>
                <w:bCs/>
                <w:sz w:val="20"/>
                <w:szCs w:val="20"/>
                <w:lang w:val="fr-CH"/>
              </w:rPr>
            </w:pPr>
            <w:r w:rsidRPr="00425A7F">
              <w:rPr>
                <w:bCs/>
                <w:sz w:val="20"/>
                <w:szCs w:val="20"/>
                <w:lang w:val="fr-CH"/>
              </w:rPr>
              <w:t>10%</w:t>
            </w:r>
          </w:p>
        </w:tc>
      </w:tr>
    </w:tbl>
    <w:p w:rsidR="009272EE" w:rsidRPr="00425A7F" w:rsidRDefault="009272EE">
      <w:pPr>
        <w:spacing w:after="200" w:line="276" w:lineRule="auto"/>
        <w:rPr>
          <w:rFonts w:eastAsiaTheme="majorEastAsia" w:cstheme="majorBidi"/>
          <w:b/>
          <w:bCs/>
          <w:sz w:val="32"/>
          <w:szCs w:val="28"/>
          <w:lang w:val="fr-CH"/>
        </w:rPr>
      </w:pPr>
    </w:p>
    <w:p w:rsidR="00C75ED0" w:rsidRPr="00425A7F" w:rsidRDefault="00C75ED0" w:rsidP="00C52415">
      <w:pPr>
        <w:pStyle w:val="Paragraphedeliste"/>
        <w:numPr>
          <w:ilvl w:val="0"/>
          <w:numId w:val="15"/>
        </w:numPr>
        <w:rPr>
          <w:lang w:val="fr-CH"/>
        </w:rPr>
      </w:pPr>
      <w:r w:rsidRPr="00425A7F">
        <w:rPr>
          <w:lang w:val="fr-CH"/>
        </w:rPr>
        <w:t>Augmentation de la part de l’Etat consacrée à la santé</w:t>
      </w:r>
    </w:p>
    <w:p w:rsidR="00C75ED0" w:rsidRPr="00425A7F" w:rsidRDefault="00C75ED0" w:rsidP="00C52415">
      <w:pPr>
        <w:pStyle w:val="Paragraphedeliste"/>
        <w:numPr>
          <w:ilvl w:val="0"/>
          <w:numId w:val="15"/>
        </w:numPr>
        <w:rPr>
          <w:lang w:val="fr-CH"/>
        </w:rPr>
      </w:pPr>
      <w:r w:rsidRPr="00425A7F">
        <w:rPr>
          <w:lang w:val="fr-CH"/>
        </w:rPr>
        <w:t>Augmentation de la part du financement de la santé de l’Etat consacrée à la couverture du risque maladie</w:t>
      </w:r>
    </w:p>
    <w:p w:rsidR="00C75ED0" w:rsidRPr="00425A7F" w:rsidRDefault="00C75ED0" w:rsidP="00C52415">
      <w:pPr>
        <w:pStyle w:val="Paragraphedeliste"/>
        <w:numPr>
          <w:ilvl w:val="0"/>
          <w:numId w:val="15"/>
        </w:numPr>
        <w:rPr>
          <w:lang w:val="fr-CH"/>
        </w:rPr>
      </w:pPr>
      <w:r w:rsidRPr="00425A7F">
        <w:rPr>
          <w:lang w:val="fr-CH"/>
        </w:rPr>
        <w:t>Diminution de la part des paiements directs des ménages dans le total des dépenses de santé</w:t>
      </w:r>
    </w:p>
    <w:p w:rsidR="00C75ED0" w:rsidRPr="00425A7F" w:rsidRDefault="00C75ED0" w:rsidP="00C52415">
      <w:pPr>
        <w:pStyle w:val="Paragraphedeliste"/>
        <w:numPr>
          <w:ilvl w:val="0"/>
          <w:numId w:val="15"/>
        </w:numPr>
        <w:rPr>
          <w:lang w:val="fr-CH"/>
        </w:rPr>
      </w:pPr>
      <w:r w:rsidRPr="00425A7F">
        <w:rPr>
          <w:lang w:val="fr-CH"/>
        </w:rPr>
        <w:t>Développement de la couverture de la population en assurance maladie</w:t>
      </w:r>
    </w:p>
    <w:p w:rsidR="00C75ED0" w:rsidRPr="00425A7F" w:rsidRDefault="00C75ED0" w:rsidP="00C52415">
      <w:pPr>
        <w:pStyle w:val="Paragraphedeliste"/>
        <w:numPr>
          <w:ilvl w:val="0"/>
          <w:numId w:val="15"/>
        </w:numPr>
        <w:rPr>
          <w:lang w:val="fr-CH"/>
        </w:rPr>
      </w:pPr>
      <w:r w:rsidRPr="00425A7F">
        <w:rPr>
          <w:lang w:val="fr-CH"/>
        </w:rPr>
        <w:t>Diminution des dépenses catastrophiques</w:t>
      </w:r>
      <w:r w:rsidRPr="00425A7F">
        <w:rPr>
          <w:rStyle w:val="Appelnotedebasdep"/>
          <w:lang w:val="fr-CH"/>
        </w:rPr>
        <w:footnoteReference w:id="21"/>
      </w:r>
    </w:p>
    <w:p w:rsidR="00C75ED0" w:rsidRPr="00425A7F" w:rsidRDefault="00C75ED0" w:rsidP="00C75ED0">
      <w:pPr>
        <w:rPr>
          <w:lang w:val="fr-CH"/>
        </w:rPr>
      </w:pPr>
    </w:p>
    <w:p w:rsidR="00C75ED0" w:rsidRPr="00425A7F" w:rsidRDefault="00F423F9" w:rsidP="00C75ED0">
      <w:pPr>
        <w:widowControl w:val="0"/>
        <w:suppressAutoHyphens/>
        <w:jc w:val="both"/>
        <w:rPr>
          <w:b/>
          <w:u w:val="single"/>
        </w:rPr>
      </w:pPr>
      <w:r w:rsidRPr="00425A7F">
        <w:rPr>
          <w:b/>
          <w:u w:val="single"/>
        </w:rPr>
        <w:lastRenderedPageBreak/>
        <w:t>Tableau n°11 : p</w:t>
      </w:r>
      <w:r w:rsidR="00C75ED0" w:rsidRPr="00425A7F">
        <w:rPr>
          <w:b/>
          <w:u w:val="single"/>
        </w:rPr>
        <w:t>erspective d’évolution de la structure du financement de la santé :</w:t>
      </w:r>
    </w:p>
    <w:p w:rsidR="00C75ED0" w:rsidRPr="00425A7F" w:rsidRDefault="00C75ED0" w:rsidP="00C75ED0">
      <w:pPr>
        <w:widowControl w:val="0"/>
        <w:suppressAutoHyphens/>
        <w:jc w:val="both"/>
        <w:rPr>
          <w:b/>
          <w:u w:val="single"/>
        </w:rPr>
      </w:pPr>
    </w:p>
    <w:p w:rsidR="00C75ED0" w:rsidRPr="00425A7F" w:rsidRDefault="007D7A58" w:rsidP="00C75ED0">
      <w:pPr>
        <w:widowControl w:val="0"/>
        <w:suppressAutoHyphens/>
        <w:jc w:val="both"/>
        <w:rPr>
          <w:b/>
          <w:u w:val="single"/>
        </w:rPr>
      </w:pPr>
      <w:r w:rsidRPr="00425A7F">
        <w:rPr>
          <w:b/>
          <w:noProof/>
          <w:u w:val="single"/>
          <w:lang w:eastAsia="fr-FR"/>
        </w:rPr>
        <w:drawing>
          <wp:inline distT="0" distB="0" distL="0" distR="0" wp14:anchorId="3D8DC82A">
            <wp:extent cx="5316220" cy="4669790"/>
            <wp:effectExtent l="0" t="0" r="0" b="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16220" cy="4669790"/>
                    </a:xfrm>
                    <a:prstGeom prst="rect">
                      <a:avLst/>
                    </a:prstGeom>
                    <a:noFill/>
                  </pic:spPr>
                </pic:pic>
              </a:graphicData>
            </a:graphic>
          </wp:inline>
        </w:drawing>
      </w:r>
    </w:p>
    <w:p w:rsidR="00C75ED0" w:rsidRPr="00425A7F" w:rsidRDefault="00C75ED0">
      <w:pPr>
        <w:spacing w:after="200" w:line="276" w:lineRule="auto"/>
        <w:rPr>
          <w:rFonts w:eastAsiaTheme="majorEastAsia" w:cstheme="majorBidi"/>
          <w:b/>
          <w:bCs/>
          <w:sz w:val="32"/>
          <w:szCs w:val="28"/>
          <w:lang w:val="fr-CH"/>
        </w:rPr>
      </w:pPr>
    </w:p>
    <w:p w:rsidR="00836C5A" w:rsidRPr="00425A7F" w:rsidRDefault="00836C5A" w:rsidP="00C52415">
      <w:pPr>
        <w:pStyle w:val="Paragraphedeliste"/>
        <w:numPr>
          <w:ilvl w:val="0"/>
          <w:numId w:val="15"/>
        </w:numPr>
        <w:rPr>
          <w:lang w:val="fr-CH"/>
        </w:rPr>
      </w:pPr>
      <w:r w:rsidRPr="00425A7F">
        <w:rPr>
          <w:lang w:val="fr-CH"/>
        </w:rPr>
        <w:t>Part « paiement des ménages » en diminution</w:t>
      </w:r>
      <w:r w:rsidR="007D7A58" w:rsidRPr="00425A7F">
        <w:rPr>
          <w:lang w:val="fr-CH"/>
        </w:rPr>
        <w:t xml:space="preserve"> (vert)</w:t>
      </w:r>
    </w:p>
    <w:p w:rsidR="00836C5A" w:rsidRPr="00425A7F" w:rsidRDefault="00836C5A" w:rsidP="00836C5A">
      <w:pPr>
        <w:rPr>
          <w:lang w:val="fr-CH"/>
        </w:rPr>
      </w:pPr>
    </w:p>
    <w:p w:rsidR="00836C5A" w:rsidRPr="00425A7F" w:rsidRDefault="00836C5A" w:rsidP="00C52415">
      <w:pPr>
        <w:pStyle w:val="Paragraphedeliste"/>
        <w:numPr>
          <w:ilvl w:val="0"/>
          <w:numId w:val="15"/>
        </w:numPr>
        <w:rPr>
          <w:lang w:val="fr-CH"/>
        </w:rPr>
      </w:pPr>
      <w:r w:rsidRPr="00425A7F">
        <w:rPr>
          <w:lang w:val="fr-CH"/>
        </w:rPr>
        <w:t>Part Etat en augmentation</w:t>
      </w:r>
      <w:r w:rsidR="007D7A58" w:rsidRPr="00425A7F">
        <w:rPr>
          <w:lang w:val="fr-CH"/>
        </w:rPr>
        <w:t xml:space="preserve"> (bleu + rouge)</w:t>
      </w:r>
    </w:p>
    <w:p w:rsidR="00836C5A" w:rsidRPr="00425A7F" w:rsidRDefault="00836C5A" w:rsidP="00836C5A">
      <w:pPr>
        <w:rPr>
          <w:lang w:val="fr-CH"/>
        </w:rPr>
      </w:pPr>
    </w:p>
    <w:p w:rsidR="00836C5A" w:rsidRPr="00425A7F" w:rsidRDefault="00836C5A" w:rsidP="00C52415">
      <w:pPr>
        <w:pStyle w:val="Paragraphedeliste"/>
        <w:numPr>
          <w:ilvl w:val="0"/>
          <w:numId w:val="15"/>
        </w:numPr>
        <w:rPr>
          <w:lang w:val="fr-CH"/>
        </w:rPr>
      </w:pPr>
      <w:r w:rsidRPr="00425A7F">
        <w:rPr>
          <w:lang w:val="fr-CH"/>
        </w:rPr>
        <w:t xml:space="preserve">Part mise en commun pour le tiers payant en augmentation (rouge + </w:t>
      </w:r>
      <w:r w:rsidR="007D7A58" w:rsidRPr="00425A7F">
        <w:rPr>
          <w:lang w:val="fr-CH"/>
        </w:rPr>
        <w:t>violet</w:t>
      </w:r>
      <w:r w:rsidRPr="00425A7F">
        <w:rPr>
          <w:lang w:val="fr-CH"/>
        </w:rPr>
        <w:t>)</w:t>
      </w:r>
    </w:p>
    <w:p w:rsidR="00836C5A" w:rsidRPr="00425A7F" w:rsidRDefault="00836C5A" w:rsidP="00836C5A">
      <w:pPr>
        <w:rPr>
          <w:lang w:val="fr-CH"/>
        </w:rPr>
      </w:pPr>
    </w:p>
    <w:p w:rsidR="00836C5A" w:rsidRPr="00425A7F" w:rsidRDefault="00836C5A" w:rsidP="00C52415">
      <w:pPr>
        <w:pStyle w:val="Paragraphedeliste"/>
        <w:numPr>
          <w:ilvl w:val="0"/>
          <w:numId w:val="15"/>
        </w:numPr>
        <w:rPr>
          <w:lang w:val="fr-CH"/>
        </w:rPr>
      </w:pPr>
      <w:r w:rsidRPr="00425A7F">
        <w:rPr>
          <w:lang w:val="fr-CH"/>
        </w:rPr>
        <w:t>Financement mix de l’assurance maladie avec davantage d’impôts (rouge) que de cotisation (</w:t>
      </w:r>
      <w:r w:rsidR="007D7A58" w:rsidRPr="00425A7F">
        <w:rPr>
          <w:lang w:val="fr-CH"/>
        </w:rPr>
        <w:t>violet</w:t>
      </w:r>
      <w:r w:rsidRPr="00425A7F">
        <w:rPr>
          <w:lang w:val="fr-CH"/>
        </w:rPr>
        <w:t>)</w:t>
      </w:r>
    </w:p>
    <w:p w:rsidR="00836C5A" w:rsidRPr="00425A7F" w:rsidRDefault="00836C5A">
      <w:pPr>
        <w:spacing w:after="200" w:line="276" w:lineRule="auto"/>
        <w:rPr>
          <w:rFonts w:eastAsiaTheme="majorEastAsia" w:cstheme="majorBidi"/>
          <w:b/>
          <w:bCs/>
          <w:sz w:val="32"/>
          <w:szCs w:val="28"/>
          <w:lang w:val="fr-CH"/>
        </w:rPr>
      </w:pPr>
    </w:p>
    <w:p w:rsidR="00456837" w:rsidRPr="00425A7F" w:rsidRDefault="00456837">
      <w:pPr>
        <w:spacing w:after="200" w:line="276" w:lineRule="auto"/>
        <w:rPr>
          <w:rFonts w:eastAsiaTheme="majorEastAsia" w:cstheme="majorBidi"/>
          <w:b/>
          <w:bCs/>
          <w:sz w:val="32"/>
          <w:szCs w:val="28"/>
          <w:lang w:val="fr-CH"/>
        </w:rPr>
      </w:pPr>
      <w:r w:rsidRPr="00425A7F">
        <w:br w:type="page"/>
      </w:r>
    </w:p>
    <w:p w:rsidR="0019726B" w:rsidRPr="00425A7F" w:rsidRDefault="00EA65F3" w:rsidP="00EA65F3">
      <w:pPr>
        <w:pStyle w:val="Titre1"/>
      </w:pPr>
      <w:bookmarkStart w:id="39" w:name="_Toc497294497"/>
      <w:r w:rsidRPr="00425A7F">
        <w:lastRenderedPageBreak/>
        <w:t>FORMULATION DES LA VISION ET DEFINITION DES OBJECTIFS ET DES AXES STRATEGIQUES</w:t>
      </w:r>
      <w:bookmarkEnd w:id="39"/>
    </w:p>
    <w:p w:rsidR="00194A77" w:rsidRPr="00425A7F" w:rsidRDefault="00194A77" w:rsidP="00194A77">
      <w:pPr>
        <w:rPr>
          <w:lang w:val="fr-CH"/>
        </w:rPr>
      </w:pPr>
    </w:p>
    <w:p w:rsidR="00DB2B9F" w:rsidRPr="00425A7F" w:rsidRDefault="00DB2B9F" w:rsidP="00C52415">
      <w:pPr>
        <w:pStyle w:val="Titre2"/>
        <w:numPr>
          <w:ilvl w:val="0"/>
          <w:numId w:val="11"/>
        </w:numPr>
      </w:pPr>
      <w:bookmarkStart w:id="40" w:name="_Toc497294498"/>
      <w:r w:rsidRPr="00425A7F">
        <w:t>Vision</w:t>
      </w:r>
      <w:bookmarkEnd w:id="40"/>
    </w:p>
    <w:p w:rsidR="000F4A2B" w:rsidRPr="00425A7F" w:rsidRDefault="00EE7B79" w:rsidP="00F24E98">
      <w:pPr>
        <w:widowControl w:val="0"/>
        <w:suppressAutoHyphens/>
        <w:jc w:val="both"/>
        <w:rPr>
          <w:b/>
        </w:rPr>
      </w:pPr>
      <w:r w:rsidRPr="00425A7F">
        <w:rPr>
          <w:b/>
        </w:rPr>
        <w:t xml:space="preserve">La vision </w:t>
      </w:r>
      <w:r w:rsidR="0019726B" w:rsidRPr="00425A7F">
        <w:rPr>
          <w:b/>
        </w:rPr>
        <w:t>portée par le présent document est la suivante :</w:t>
      </w:r>
    </w:p>
    <w:p w:rsidR="0019726B" w:rsidRPr="00425A7F" w:rsidRDefault="0019726B" w:rsidP="00F24E98">
      <w:pPr>
        <w:widowControl w:val="0"/>
        <w:suppressAutoHyphens/>
        <w:jc w:val="both"/>
        <w:rPr>
          <w:i/>
        </w:rPr>
      </w:pPr>
      <w:r w:rsidRPr="00425A7F">
        <w:rPr>
          <w:i/>
        </w:rPr>
        <w:t>« Une société offrant un accès équitable aux services de santé de qualité à tous ses citoyens par la mobilisation de ressources suffisantes et pérennes, utilisées de façon optimale avec la pleine participation de tous les acteurs »</w:t>
      </w:r>
    </w:p>
    <w:p w:rsidR="00EE7B79" w:rsidRPr="00425A7F" w:rsidRDefault="00EE7B79" w:rsidP="00F24E98">
      <w:pPr>
        <w:widowControl w:val="0"/>
        <w:suppressAutoHyphens/>
        <w:jc w:val="both"/>
        <w:rPr>
          <w:i/>
        </w:rPr>
      </w:pPr>
    </w:p>
    <w:p w:rsidR="00DB2B9F" w:rsidRPr="00425A7F" w:rsidRDefault="00DB2B9F" w:rsidP="00C52415">
      <w:pPr>
        <w:pStyle w:val="Titre2"/>
        <w:numPr>
          <w:ilvl w:val="0"/>
          <w:numId w:val="11"/>
        </w:numPr>
      </w:pPr>
      <w:bookmarkStart w:id="41" w:name="_Toc497294499"/>
      <w:r w:rsidRPr="00425A7F">
        <w:t>Objectifs :</w:t>
      </w:r>
      <w:bookmarkEnd w:id="41"/>
    </w:p>
    <w:p w:rsidR="00EE7B79" w:rsidRPr="00425A7F" w:rsidRDefault="00F81804" w:rsidP="00DB2B9F">
      <w:pPr>
        <w:widowControl w:val="0"/>
        <w:suppressAutoHyphens/>
        <w:jc w:val="both"/>
        <w:rPr>
          <w:b/>
        </w:rPr>
      </w:pPr>
      <w:r w:rsidRPr="00425A7F">
        <w:rPr>
          <w:b/>
        </w:rPr>
        <w:t>L’objectif général visé</w:t>
      </w:r>
      <w:r w:rsidR="0019726B" w:rsidRPr="00425A7F">
        <w:rPr>
          <w:b/>
        </w:rPr>
        <w:t xml:space="preserve"> par la </w:t>
      </w:r>
      <w:r w:rsidR="00BF7533" w:rsidRPr="00425A7F">
        <w:rPr>
          <w:b/>
        </w:rPr>
        <w:t>stratégie</w:t>
      </w:r>
      <w:r w:rsidR="0019726B" w:rsidRPr="00425A7F">
        <w:rPr>
          <w:b/>
        </w:rPr>
        <w:t xml:space="preserve"> est le suivant :</w:t>
      </w:r>
    </w:p>
    <w:p w:rsidR="0019726B" w:rsidRPr="00425A7F" w:rsidRDefault="0019726B" w:rsidP="00F24E98">
      <w:pPr>
        <w:widowControl w:val="0"/>
        <w:suppressAutoHyphens/>
        <w:jc w:val="both"/>
        <w:rPr>
          <w:i/>
        </w:rPr>
      </w:pPr>
      <w:r w:rsidRPr="00425A7F">
        <w:rPr>
          <w:i/>
        </w:rPr>
        <w:t>« Contribuer à l’amélioration de l’état de santé de la population malienne et au développement durable du Mali »</w:t>
      </w:r>
    </w:p>
    <w:p w:rsidR="00EE7B79" w:rsidRPr="00425A7F" w:rsidRDefault="00EE7B79" w:rsidP="00F24E98">
      <w:pPr>
        <w:widowControl w:val="0"/>
        <w:suppressAutoHyphens/>
        <w:jc w:val="both"/>
      </w:pPr>
    </w:p>
    <w:p w:rsidR="00EE7B79" w:rsidRPr="00425A7F" w:rsidRDefault="00EE7B79" w:rsidP="00F24E98">
      <w:pPr>
        <w:widowControl w:val="0"/>
        <w:suppressAutoHyphens/>
        <w:jc w:val="both"/>
      </w:pPr>
      <w:r w:rsidRPr="00425A7F">
        <w:rPr>
          <w:b/>
        </w:rPr>
        <w:t>Les principes</w:t>
      </w:r>
      <w:r w:rsidR="0019726B" w:rsidRPr="00425A7F">
        <w:rPr>
          <w:b/>
        </w:rPr>
        <w:t xml:space="preserve"> fondamentaux</w:t>
      </w:r>
      <w:r w:rsidRPr="00425A7F">
        <w:rPr>
          <w:b/>
        </w:rPr>
        <w:t xml:space="preserve"> </w:t>
      </w:r>
      <w:r w:rsidR="0019726B" w:rsidRPr="00425A7F">
        <w:rPr>
          <w:b/>
        </w:rPr>
        <w:t>sur la base desquels sont proposés les choix</w:t>
      </w:r>
      <w:r w:rsidR="00C86A23" w:rsidRPr="00425A7F">
        <w:rPr>
          <w:b/>
        </w:rPr>
        <w:t xml:space="preserve"> et </w:t>
      </w:r>
      <w:r w:rsidR="0019726B" w:rsidRPr="00425A7F">
        <w:rPr>
          <w:b/>
        </w:rPr>
        <w:t xml:space="preserve">devra se réaliser leur </w:t>
      </w:r>
      <w:r w:rsidR="00C86A23" w:rsidRPr="00425A7F">
        <w:rPr>
          <w:b/>
        </w:rPr>
        <w:t xml:space="preserve">mise en </w:t>
      </w:r>
      <w:r w:rsidRPr="00425A7F">
        <w:rPr>
          <w:b/>
        </w:rPr>
        <w:t>œuvre sont les suivants :</w:t>
      </w:r>
    </w:p>
    <w:p w:rsidR="00EE7B79" w:rsidRPr="00425A7F" w:rsidRDefault="00EE7B79" w:rsidP="00487AB2">
      <w:pPr>
        <w:pStyle w:val="Paragraphedeliste"/>
        <w:widowControl w:val="0"/>
        <w:numPr>
          <w:ilvl w:val="0"/>
          <w:numId w:val="2"/>
        </w:numPr>
        <w:suppressAutoHyphens/>
        <w:spacing w:after="0" w:line="240" w:lineRule="auto"/>
        <w:contextualSpacing w:val="0"/>
        <w:jc w:val="both"/>
      </w:pPr>
      <w:r w:rsidRPr="00425A7F">
        <w:t>Solidarité</w:t>
      </w:r>
    </w:p>
    <w:p w:rsidR="00EE7B79" w:rsidRPr="00425A7F" w:rsidRDefault="00EE7B79" w:rsidP="00487AB2">
      <w:pPr>
        <w:pStyle w:val="Paragraphedeliste"/>
        <w:widowControl w:val="0"/>
        <w:numPr>
          <w:ilvl w:val="0"/>
          <w:numId w:val="2"/>
        </w:numPr>
        <w:suppressAutoHyphens/>
        <w:spacing w:after="0" w:line="240" w:lineRule="auto"/>
        <w:contextualSpacing w:val="0"/>
        <w:jc w:val="both"/>
      </w:pPr>
      <w:r w:rsidRPr="00425A7F">
        <w:t>Equité</w:t>
      </w:r>
    </w:p>
    <w:p w:rsidR="00EE7B79" w:rsidRPr="00425A7F" w:rsidRDefault="00EE7B79" w:rsidP="00487AB2">
      <w:pPr>
        <w:pStyle w:val="Paragraphedeliste"/>
        <w:widowControl w:val="0"/>
        <w:numPr>
          <w:ilvl w:val="0"/>
          <w:numId w:val="2"/>
        </w:numPr>
        <w:suppressAutoHyphens/>
        <w:spacing w:after="0" w:line="240" w:lineRule="auto"/>
        <w:contextualSpacing w:val="0"/>
        <w:jc w:val="both"/>
      </w:pPr>
      <w:r w:rsidRPr="00425A7F">
        <w:t>Responsabilité</w:t>
      </w:r>
    </w:p>
    <w:p w:rsidR="00EE7B79" w:rsidRPr="00425A7F" w:rsidRDefault="00C86A23" w:rsidP="00487AB2">
      <w:pPr>
        <w:pStyle w:val="Paragraphedeliste"/>
        <w:widowControl w:val="0"/>
        <w:numPr>
          <w:ilvl w:val="0"/>
          <w:numId w:val="2"/>
        </w:numPr>
        <w:suppressAutoHyphens/>
        <w:spacing w:after="0" w:line="240" w:lineRule="auto"/>
        <w:contextualSpacing w:val="0"/>
        <w:jc w:val="both"/>
      </w:pPr>
      <w:r w:rsidRPr="00425A7F">
        <w:t>Transparence et r</w:t>
      </w:r>
      <w:r w:rsidR="00EE7B79" w:rsidRPr="00425A7F">
        <w:t>edevabilité</w:t>
      </w:r>
    </w:p>
    <w:p w:rsidR="00C86A23" w:rsidRPr="00425A7F" w:rsidRDefault="00C86A23" w:rsidP="00487AB2">
      <w:pPr>
        <w:pStyle w:val="Paragraphedeliste"/>
        <w:widowControl w:val="0"/>
        <w:numPr>
          <w:ilvl w:val="0"/>
          <w:numId w:val="2"/>
        </w:numPr>
        <w:suppressAutoHyphens/>
        <w:spacing w:after="0" w:line="240" w:lineRule="auto"/>
        <w:contextualSpacing w:val="0"/>
        <w:jc w:val="both"/>
      </w:pPr>
      <w:r w:rsidRPr="00425A7F">
        <w:t xml:space="preserve">Efficacité et </w:t>
      </w:r>
      <w:r w:rsidR="0019726B" w:rsidRPr="00425A7F">
        <w:t>efficience</w:t>
      </w:r>
    </w:p>
    <w:p w:rsidR="0019726B" w:rsidRPr="00425A7F" w:rsidRDefault="0019726B" w:rsidP="00487AB2">
      <w:pPr>
        <w:pStyle w:val="Paragraphedeliste"/>
        <w:widowControl w:val="0"/>
        <w:numPr>
          <w:ilvl w:val="0"/>
          <w:numId w:val="2"/>
        </w:numPr>
        <w:suppressAutoHyphens/>
        <w:spacing w:after="0" w:line="240" w:lineRule="auto"/>
        <w:contextualSpacing w:val="0"/>
        <w:jc w:val="both"/>
      </w:pPr>
      <w:r w:rsidRPr="00425A7F">
        <w:t>Pérennité</w:t>
      </w:r>
    </w:p>
    <w:p w:rsidR="0019726B" w:rsidRPr="00425A7F" w:rsidRDefault="0019726B" w:rsidP="00F24E98">
      <w:pPr>
        <w:widowControl w:val="0"/>
        <w:suppressAutoHyphens/>
        <w:jc w:val="both"/>
      </w:pPr>
    </w:p>
    <w:p w:rsidR="0019726B" w:rsidRPr="00425A7F" w:rsidRDefault="0019726B" w:rsidP="00F24E98">
      <w:pPr>
        <w:widowControl w:val="0"/>
        <w:suppressAutoHyphens/>
        <w:jc w:val="both"/>
        <w:rPr>
          <w:b/>
        </w:rPr>
      </w:pPr>
      <w:r w:rsidRPr="00425A7F">
        <w:rPr>
          <w:b/>
        </w:rPr>
        <w:t xml:space="preserve">L’objet du présent document </w:t>
      </w:r>
      <w:r w:rsidR="00E42E41" w:rsidRPr="00425A7F">
        <w:rPr>
          <w:b/>
        </w:rPr>
        <w:t xml:space="preserve">porte sur </w:t>
      </w:r>
      <w:r w:rsidRPr="00425A7F">
        <w:rPr>
          <w:b/>
        </w:rPr>
        <w:t>:</w:t>
      </w:r>
    </w:p>
    <w:p w:rsidR="0019726B" w:rsidRPr="00425A7F" w:rsidRDefault="0019726B" w:rsidP="00F24E98">
      <w:pPr>
        <w:widowControl w:val="0"/>
        <w:suppressAutoHyphens/>
        <w:jc w:val="both"/>
      </w:pPr>
    </w:p>
    <w:p w:rsidR="00194A77" w:rsidRPr="00425A7F" w:rsidRDefault="0019726B" w:rsidP="00F24E98">
      <w:pPr>
        <w:widowControl w:val="0"/>
        <w:suppressAutoHyphens/>
        <w:jc w:val="both"/>
        <w:rPr>
          <w:i/>
        </w:rPr>
      </w:pPr>
      <w:r w:rsidRPr="00425A7F">
        <w:rPr>
          <w:i/>
        </w:rPr>
        <w:t>« </w:t>
      </w:r>
      <w:r w:rsidR="00E42E41" w:rsidRPr="00425A7F">
        <w:rPr>
          <w:i/>
        </w:rPr>
        <w:t xml:space="preserve">la définition des </w:t>
      </w:r>
      <w:r w:rsidRPr="00425A7F">
        <w:rPr>
          <w:i/>
        </w:rPr>
        <w:t xml:space="preserve">orientations du système de financement de la santé pour le développement de la </w:t>
      </w:r>
      <w:r w:rsidR="002C37D7" w:rsidRPr="00425A7F">
        <w:rPr>
          <w:i/>
        </w:rPr>
        <w:t>couverture sanitaire universelle</w:t>
      </w:r>
      <w:r w:rsidRPr="00425A7F">
        <w:rPr>
          <w:i/>
        </w:rPr>
        <w:t> »</w:t>
      </w:r>
      <w:r w:rsidR="00647CFC" w:rsidRPr="00425A7F">
        <w:rPr>
          <w:i/>
        </w:rPr>
        <w:t>.</w:t>
      </w:r>
    </w:p>
    <w:p w:rsidR="00194A77" w:rsidRPr="00425A7F" w:rsidRDefault="00194A77">
      <w:pPr>
        <w:spacing w:after="200" w:line="276" w:lineRule="auto"/>
        <w:rPr>
          <w:i/>
        </w:rPr>
      </w:pPr>
      <w:r w:rsidRPr="00425A7F">
        <w:rPr>
          <w:i/>
        </w:rPr>
        <w:br w:type="page"/>
      </w:r>
    </w:p>
    <w:p w:rsidR="0002595D" w:rsidRPr="00425A7F" w:rsidRDefault="0002595D" w:rsidP="00C52415">
      <w:pPr>
        <w:pStyle w:val="Titre2"/>
        <w:numPr>
          <w:ilvl w:val="0"/>
          <w:numId w:val="11"/>
        </w:numPr>
      </w:pPr>
      <w:bookmarkStart w:id="42" w:name="_Toc497294500"/>
      <w:r w:rsidRPr="00425A7F">
        <w:lastRenderedPageBreak/>
        <w:t>Axes stratégiques</w:t>
      </w:r>
      <w:r w:rsidR="0022076B" w:rsidRPr="00425A7F">
        <w:rPr>
          <w:rStyle w:val="Appelnotedebasdep"/>
          <w:b w:val="0"/>
          <w:sz w:val="22"/>
          <w:szCs w:val="22"/>
          <w:lang w:val="fr-FR"/>
        </w:rPr>
        <w:footnoteReference w:id="22"/>
      </w:r>
      <w:bookmarkEnd w:id="42"/>
    </w:p>
    <w:p w:rsidR="00194A77" w:rsidRPr="00425A7F" w:rsidRDefault="00194A77" w:rsidP="00194A77">
      <w:pPr>
        <w:rPr>
          <w:lang w:val="fr-CH"/>
        </w:rPr>
      </w:pPr>
    </w:p>
    <w:p w:rsidR="00194A77" w:rsidRPr="00425A7F" w:rsidRDefault="00194A77" w:rsidP="00194A77">
      <w:pPr>
        <w:rPr>
          <w:lang w:val="fr-CH"/>
        </w:rPr>
      </w:pPr>
    </w:p>
    <w:p w:rsidR="00C959CC" w:rsidRPr="00425A7F" w:rsidRDefault="00C959CC" w:rsidP="00AA5B02">
      <w:pPr>
        <w:rPr>
          <w:b/>
        </w:rPr>
      </w:pPr>
      <w:r w:rsidRPr="00425A7F">
        <w:rPr>
          <w:b/>
        </w:rPr>
        <w:t>Améliorer le</w:t>
      </w:r>
      <w:r w:rsidR="00543259" w:rsidRPr="00425A7F">
        <w:rPr>
          <w:b/>
        </w:rPr>
        <w:t xml:space="preserve"> </w:t>
      </w:r>
      <w:r w:rsidRPr="00425A7F">
        <w:rPr>
          <w:b/>
        </w:rPr>
        <w:t>niveau de financement public pour le développeme</w:t>
      </w:r>
      <w:r w:rsidR="000B4DC9" w:rsidRPr="00425A7F">
        <w:rPr>
          <w:b/>
        </w:rPr>
        <w:t xml:space="preserve">nt de la </w:t>
      </w:r>
      <w:r w:rsidR="00AA5B02" w:rsidRPr="00425A7F">
        <w:rPr>
          <w:b/>
        </w:rPr>
        <w:t>CSU</w:t>
      </w:r>
    </w:p>
    <w:p w:rsidR="00194A77" w:rsidRPr="00425A7F" w:rsidRDefault="00194A77" w:rsidP="00194A77">
      <w:pPr>
        <w:rPr>
          <w:lang w:val="fr-CH"/>
        </w:rPr>
      </w:pPr>
    </w:p>
    <w:p w:rsidR="00AA5B02" w:rsidRPr="00425A7F" w:rsidRDefault="00C959CC" w:rsidP="00C52415">
      <w:pPr>
        <w:pStyle w:val="Paragraphedeliste"/>
        <w:numPr>
          <w:ilvl w:val="0"/>
          <w:numId w:val="13"/>
        </w:numPr>
      </w:pPr>
      <w:r w:rsidRPr="00425A7F">
        <w:t>Augmenter le niveau des financements publics dédiés au secteur de la sant</w:t>
      </w:r>
      <w:r w:rsidR="00AA5B02" w:rsidRPr="00425A7F">
        <w:t>é</w:t>
      </w:r>
    </w:p>
    <w:p w:rsidR="00AA5B02" w:rsidRPr="00425A7F" w:rsidRDefault="00C959CC" w:rsidP="00C52415">
      <w:pPr>
        <w:pStyle w:val="Paragraphedeliste"/>
        <w:numPr>
          <w:ilvl w:val="0"/>
          <w:numId w:val="13"/>
        </w:numPr>
      </w:pPr>
      <w:r w:rsidRPr="00425A7F">
        <w:t>Mobiliser des ressources spécifiques pour subventionner l’assurance maladie universelle</w:t>
      </w:r>
    </w:p>
    <w:p w:rsidR="00C959CC" w:rsidRPr="00425A7F" w:rsidRDefault="00C959CC" w:rsidP="00C52415">
      <w:pPr>
        <w:pStyle w:val="Paragraphedeliste"/>
        <w:numPr>
          <w:ilvl w:val="0"/>
          <w:numId w:val="13"/>
        </w:numPr>
      </w:pPr>
      <w:r w:rsidRPr="00425A7F">
        <w:t>Augmenter le volume des financements extérieurs prévisibles et maîtrisables</w:t>
      </w:r>
    </w:p>
    <w:p w:rsidR="00194A77" w:rsidRPr="00425A7F" w:rsidRDefault="00194A77" w:rsidP="00194A77">
      <w:pPr>
        <w:rPr>
          <w:lang w:val="fr-CH"/>
        </w:rPr>
      </w:pPr>
    </w:p>
    <w:p w:rsidR="00194A77" w:rsidRPr="00425A7F" w:rsidRDefault="00C959CC" w:rsidP="00AA5B02">
      <w:pPr>
        <w:rPr>
          <w:b/>
        </w:rPr>
      </w:pPr>
      <w:r w:rsidRPr="00425A7F">
        <w:rPr>
          <w:b/>
        </w:rPr>
        <w:t>Garantir une meilleure allocation des ressources</w:t>
      </w:r>
    </w:p>
    <w:p w:rsidR="00194A77" w:rsidRPr="00425A7F" w:rsidRDefault="00194A77" w:rsidP="00194A77">
      <w:pPr>
        <w:rPr>
          <w:lang w:val="fr-CH"/>
        </w:rPr>
      </w:pPr>
    </w:p>
    <w:p w:rsidR="00194A77" w:rsidRPr="00425A7F" w:rsidRDefault="00C959CC" w:rsidP="00C52415">
      <w:pPr>
        <w:pStyle w:val="Paragraphedeliste"/>
        <w:numPr>
          <w:ilvl w:val="0"/>
          <w:numId w:val="13"/>
        </w:numPr>
      </w:pPr>
      <w:r w:rsidRPr="00425A7F">
        <w:t>Mettre en place un système d'allocation des financements sur la base d'objectifs d'efficience et d'équité</w:t>
      </w:r>
    </w:p>
    <w:p w:rsidR="00194A77" w:rsidRPr="00425A7F" w:rsidRDefault="00C959CC" w:rsidP="00C52415">
      <w:pPr>
        <w:pStyle w:val="Paragraphedeliste"/>
        <w:numPr>
          <w:ilvl w:val="0"/>
          <w:numId w:val="13"/>
        </w:numPr>
      </w:pPr>
      <w:r w:rsidRPr="00425A7F">
        <w:t>Développer la certification &amp; la mise en place de modalités de tarification adéquates</w:t>
      </w:r>
    </w:p>
    <w:p w:rsidR="00194A77" w:rsidRPr="00425A7F" w:rsidRDefault="00C959CC" w:rsidP="00C52415">
      <w:pPr>
        <w:pStyle w:val="Paragraphedeliste"/>
        <w:numPr>
          <w:ilvl w:val="0"/>
          <w:numId w:val="13"/>
        </w:numPr>
      </w:pPr>
      <w:r w:rsidRPr="00425A7F">
        <w:t>Prendre en considération les priorités du secteur et le contexte national dans l’allocation des ressources</w:t>
      </w:r>
    </w:p>
    <w:p w:rsidR="00767E16" w:rsidRPr="00425A7F" w:rsidRDefault="00C959CC" w:rsidP="00C52415">
      <w:pPr>
        <w:pStyle w:val="Paragraphedeliste"/>
        <w:numPr>
          <w:ilvl w:val="0"/>
          <w:numId w:val="13"/>
        </w:numPr>
      </w:pPr>
      <w:r w:rsidRPr="00425A7F">
        <w:t xml:space="preserve">Développer une </w:t>
      </w:r>
      <w:r w:rsidR="00BF7533" w:rsidRPr="00425A7F">
        <w:t>stratégie</w:t>
      </w:r>
      <w:r w:rsidRPr="00425A7F">
        <w:t xml:space="preserve"> avec le secteur privé dans le sens de l’intérêt des populations</w:t>
      </w:r>
    </w:p>
    <w:p w:rsidR="00194A77" w:rsidRPr="00425A7F" w:rsidRDefault="00194A77" w:rsidP="00194A77">
      <w:pPr>
        <w:rPr>
          <w:lang w:val="fr-CH"/>
        </w:rPr>
      </w:pPr>
    </w:p>
    <w:p w:rsidR="00C959CC" w:rsidRPr="00425A7F" w:rsidRDefault="00C959CC" w:rsidP="00AA5B02">
      <w:pPr>
        <w:rPr>
          <w:b/>
        </w:rPr>
      </w:pPr>
      <w:r w:rsidRPr="00425A7F">
        <w:rPr>
          <w:b/>
        </w:rPr>
        <w:t>Mettre en place l’Assurance Maladie Universelle au moyen d’un dispositif adapté, cohérent et</w:t>
      </w:r>
      <w:r w:rsidR="000B4DC9" w:rsidRPr="00425A7F">
        <w:rPr>
          <w:b/>
        </w:rPr>
        <w:t xml:space="preserve"> complet</w:t>
      </w:r>
    </w:p>
    <w:p w:rsidR="00194A77" w:rsidRPr="00425A7F" w:rsidRDefault="00194A77" w:rsidP="00194A77">
      <w:pPr>
        <w:rPr>
          <w:lang w:val="fr-CH"/>
        </w:rPr>
      </w:pPr>
    </w:p>
    <w:p w:rsidR="00C959CC" w:rsidRPr="00425A7F" w:rsidRDefault="00C959CC" w:rsidP="00C52415">
      <w:pPr>
        <w:pStyle w:val="Paragraphedeliste"/>
        <w:numPr>
          <w:ilvl w:val="0"/>
          <w:numId w:val="13"/>
        </w:numPr>
      </w:pPr>
      <w:r w:rsidRPr="00425A7F">
        <w:t>Organiser l’institutionnalisation de l’Assurance Maladie Universelle</w:t>
      </w:r>
    </w:p>
    <w:p w:rsidR="00C959CC" w:rsidRPr="00425A7F" w:rsidRDefault="00E61420" w:rsidP="00C52415">
      <w:pPr>
        <w:pStyle w:val="Paragraphedeliste"/>
        <w:numPr>
          <w:ilvl w:val="0"/>
          <w:numId w:val="13"/>
        </w:numPr>
      </w:pPr>
      <w:r w:rsidRPr="00425A7F">
        <w:t xml:space="preserve">Instaurer un paquet de base de </w:t>
      </w:r>
      <w:r w:rsidR="002C37D7" w:rsidRPr="00425A7F">
        <w:t>couverture sanitaire universelle</w:t>
      </w:r>
      <w:r w:rsidRPr="00425A7F">
        <w:t xml:space="preserve"> pour tous</w:t>
      </w:r>
    </w:p>
    <w:p w:rsidR="00637141" w:rsidRPr="00425A7F" w:rsidRDefault="00C959CC" w:rsidP="00C52415">
      <w:pPr>
        <w:pStyle w:val="Paragraphedeliste"/>
        <w:numPr>
          <w:ilvl w:val="0"/>
          <w:numId w:val="13"/>
        </w:numPr>
      </w:pPr>
      <w:r w:rsidRPr="00425A7F">
        <w:t>Intégrer progressivement les gratuités à l’Assurance Maladie</w:t>
      </w:r>
    </w:p>
    <w:p w:rsidR="00194A77" w:rsidRPr="00425A7F" w:rsidRDefault="00194A77" w:rsidP="00194A77">
      <w:pPr>
        <w:rPr>
          <w:lang w:val="fr-CH"/>
        </w:rPr>
      </w:pPr>
    </w:p>
    <w:p w:rsidR="00C959CC" w:rsidRPr="00425A7F" w:rsidRDefault="00C959CC" w:rsidP="00AA5B02">
      <w:pPr>
        <w:rPr>
          <w:b/>
        </w:rPr>
      </w:pPr>
      <w:r w:rsidRPr="00425A7F">
        <w:rPr>
          <w:b/>
        </w:rPr>
        <w:t>Améliorer la gouvernance financière</w:t>
      </w:r>
    </w:p>
    <w:p w:rsidR="00194A77" w:rsidRPr="00425A7F" w:rsidRDefault="00194A77" w:rsidP="00194A77">
      <w:pPr>
        <w:rPr>
          <w:lang w:val="fr-CH"/>
        </w:rPr>
      </w:pPr>
    </w:p>
    <w:p w:rsidR="00C959CC" w:rsidRPr="00425A7F" w:rsidRDefault="00C959CC" w:rsidP="00C52415">
      <w:pPr>
        <w:pStyle w:val="Paragraphedeliste"/>
        <w:numPr>
          <w:ilvl w:val="0"/>
          <w:numId w:val="13"/>
        </w:numPr>
      </w:pPr>
      <w:r w:rsidRPr="00425A7F">
        <w:t>Mettre en place un dispositif de gestion stratégique de l’information</w:t>
      </w:r>
      <w:r w:rsidR="00543259" w:rsidRPr="00425A7F">
        <w:t xml:space="preserve"> </w:t>
      </w:r>
      <w:r w:rsidRPr="00425A7F">
        <w:t>financière</w:t>
      </w:r>
    </w:p>
    <w:p w:rsidR="00C959CC" w:rsidRPr="00425A7F" w:rsidRDefault="00C959CC" w:rsidP="00C52415">
      <w:pPr>
        <w:pStyle w:val="Paragraphedeliste"/>
        <w:numPr>
          <w:ilvl w:val="0"/>
          <w:numId w:val="13"/>
        </w:numPr>
      </w:pPr>
      <w:r w:rsidRPr="00425A7F">
        <w:t>Améliorer l’efficience dans la gestion des financements</w:t>
      </w:r>
    </w:p>
    <w:p w:rsidR="00C959CC" w:rsidRPr="00425A7F" w:rsidRDefault="00C959CC" w:rsidP="00C52415">
      <w:pPr>
        <w:pStyle w:val="Paragraphedeliste"/>
        <w:numPr>
          <w:ilvl w:val="0"/>
          <w:numId w:val="13"/>
        </w:numPr>
      </w:pPr>
      <w:r w:rsidRPr="00425A7F">
        <w:t>Améliorer la redevabilité</w:t>
      </w:r>
    </w:p>
    <w:p w:rsidR="00C959CC" w:rsidRPr="00425A7F" w:rsidRDefault="00C959CC" w:rsidP="00C52415">
      <w:pPr>
        <w:pStyle w:val="Paragraphedeliste"/>
        <w:numPr>
          <w:ilvl w:val="0"/>
          <w:numId w:val="13"/>
        </w:numPr>
      </w:pPr>
      <w:r w:rsidRPr="00425A7F">
        <w:t>Renforcer l’environnement institutionnel pour un financement durable</w:t>
      </w:r>
    </w:p>
    <w:p w:rsidR="00194A77" w:rsidRPr="00425A7F" w:rsidRDefault="00194A77" w:rsidP="00AA5B02">
      <w:pPr>
        <w:rPr>
          <w:rFonts w:eastAsia="Times New Roman" w:cstheme="majorBidi"/>
          <w:b/>
          <w:bCs/>
          <w:sz w:val="32"/>
          <w:szCs w:val="28"/>
          <w:lang w:val="fr-CH" w:eastAsia="fr-FR"/>
        </w:rPr>
      </w:pPr>
      <w:r w:rsidRPr="00425A7F">
        <w:rPr>
          <w:rFonts w:eastAsia="Times New Roman"/>
          <w:lang w:eastAsia="fr-FR"/>
        </w:rPr>
        <w:br w:type="page"/>
      </w:r>
    </w:p>
    <w:p w:rsidR="001A03D9" w:rsidRPr="00425A7F" w:rsidRDefault="005D3FAE" w:rsidP="00EA65F3">
      <w:pPr>
        <w:pStyle w:val="Titre1"/>
        <w:rPr>
          <w:rFonts w:eastAsia="Times New Roman"/>
          <w:lang w:eastAsia="fr-FR"/>
        </w:rPr>
      </w:pPr>
      <w:bookmarkStart w:id="43" w:name="_Toc497294501"/>
      <w:r w:rsidRPr="00425A7F">
        <w:rPr>
          <w:rFonts w:eastAsia="Times New Roman"/>
          <w:lang w:eastAsia="fr-FR"/>
        </w:rPr>
        <w:lastRenderedPageBreak/>
        <w:t>STRATEGIE DE MISE EN ŒUVRE ET PLAN D’ACTIONS</w:t>
      </w:r>
      <w:bookmarkEnd w:id="43"/>
      <w:r w:rsidRPr="00425A7F">
        <w:rPr>
          <w:rFonts w:eastAsia="Times New Roman"/>
          <w:lang w:eastAsia="fr-FR"/>
        </w:rPr>
        <w:t xml:space="preserve"> </w:t>
      </w:r>
    </w:p>
    <w:p w:rsidR="001A03D9" w:rsidRPr="00425A7F" w:rsidRDefault="001A03D9" w:rsidP="00C52415">
      <w:pPr>
        <w:pStyle w:val="Titre2"/>
        <w:numPr>
          <w:ilvl w:val="0"/>
          <w:numId w:val="8"/>
        </w:numPr>
        <w:rPr>
          <w:lang w:eastAsia="fr-FR"/>
        </w:rPr>
      </w:pPr>
      <w:bookmarkStart w:id="44" w:name="_Toc497294502"/>
      <w:r w:rsidRPr="00425A7F">
        <w:rPr>
          <w:lang w:eastAsia="fr-FR"/>
        </w:rPr>
        <w:t>Stratégie de mise en œuvre</w:t>
      </w:r>
      <w:bookmarkEnd w:id="44"/>
    </w:p>
    <w:p w:rsidR="001A03D9" w:rsidRPr="00425A7F" w:rsidRDefault="001A03D9" w:rsidP="00EA65F3">
      <w:pPr>
        <w:pStyle w:val="Titre3"/>
      </w:pPr>
      <w:bookmarkStart w:id="45" w:name="_Toc497294503"/>
      <w:r w:rsidRPr="00425A7F">
        <w:t>a. Augmenter le niveau des financements publics dédiés au secteur de la santé</w:t>
      </w:r>
      <w:bookmarkEnd w:id="45"/>
    </w:p>
    <w:p w:rsidR="003B6F88" w:rsidRPr="00425A7F" w:rsidRDefault="001A03D9" w:rsidP="001A03D9">
      <w:pPr>
        <w:widowControl w:val="0"/>
        <w:suppressAutoHyphens/>
        <w:jc w:val="both"/>
        <w:rPr>
          <w:rFonts w:asciiTheme="minorHAnsi" w:eastAsia="Times New Roman" w:hAnsiTheme="minorHAnsi"/>
          <w:iCs/>
          <w:lang w:eastAsia="fr-FR"/>
        </w:rPr>
      </w:pPr>
      <w:r w:rsidRPr="00425A7F">
        <w:rPr>
          <w:rFonts w:asciiTheme="minorHAnsi" w:eastAsia="Times New Roman" w:hAnsiTheme="minorHAnsi"/>
          <w:iCs/>
          <w:lang w:eastAsia="fr-FR"/>
        </w:rPr>
        <w:t xml:space="preserve">Il est entendu que d’autres Ministères que ceux du secteur, couvrent certaines activités santé, tels le Ministère de l’Education ou celui des Armées. Dans le cadre de la stratégie de financement pour la </w:t>
      </w:r>
      <w:r w:rsidR="002C37D7" w:rsidRPr="00425A7F">
        <w:rPr>
          <w:rFonts w:asciiTheme="minorHAnsi" w:eastAsia="Times New Roman" w:hAnsiTheme="minorHAnsi"/>
          <w:iCs/>
          <w:lang w:eastAsia="fr-FR"/>
        </w:rPr>
        <w:t>couverture sanitaire universelle</w:t>
      </w:r>
      <w:r w:rsidRPr="00425A7F">
        <w:rPr>
          <w:rFonts w:asciiTheme="minorHAnsi" w:eastAsia="Times New Roman" w:hAnsiTheme="minorHAnsi"/>
          <w:iCs/>
          <w:lang w:eastAsia="fr-FR"/>
        </w:rPr>
        <w:t>, il s’agit de s’assurer que la part du budget de l’Etat consacrée au secteur santé, y compris l</w:t>
      </w:r>
      <w:r w:rsidRPr="00425A7F">
        <w:rPr>
          <w:rFonts w:asciiTheme="minorHAnsi" w:eastAsia="Times New Roman" w:hAnsiTheme="minorHAnsi"/>
          <w:i/>
          <w:iCs/>
          <w:lang w:eastAsia="fr-FR"/>
        </w:rPr>
        <w:t>es subventions à la couverture du risque maladie</w:t>
      </w:r>
      <w:r w:rsidR="00B931F1" w:rsidRPr="00425A7F">
        <w:rPr>
          <w:rFonts w:asciiTheme="minorHAnsi" w:eastAsia="Times New Roman" w:hAnsiTheme="minorHAnsi"/>
          <w:i/>
          <w:iCs/>
          <w:lang w:eastAsia="fr-FR"/>
        </w:rPr>
        <w:t>,</w:t>
      </w:r>
      <w:r w:rsidRPr="00425A7F">
        <w:rPr>
          <w:rFonts w:asciiTheme="minorHAnsi" w:eastAsia="Times New Roman" w:hAnsiTheme="minorHAnsi"/>
          <w:iCs/>
          <w:lang w:eastAsia="fr-FR"/>
        </w:rPr>
        <w:t xml:space="preserve"> </w:t>
      </w:r>
      <w:r w:rsidR="003B6F88" w:rsidRPr="00425A7F">
        <w:rPr>
          <w:rFonts w:asciiTheme="minorHAnsi" w:eastAsia="Times New Roman" w:hAnsiTheme="minorHAnsi"/>
          <w:iCs/>
          <w:lang w:eastAsia="fr-FR"/>
        </w:rPr>
        <w:t xml:space="preserve">sera en progression significative, suffisante </w:t>
      </w:r>
      <w:r w:rsidR="003B6F88" w:rsidRPr="00425A7F">
        <w:rPr>
          <w:rFonts w:asciiTheme="minorHAnsi" w:eastAsia="Times New Roman" w:hAnsiTheme="minorHAnsi"/>
          <w:b/>
          <w:iCs/>
          <w:lang w:eastAsia="fr-FR"/>
        </w:rPr>
        <w:t>pour améliorer l’offre de soins</w:t>
      </w:r>
      <w:r w:rsidR="003B6F88" w:rsidRPr="00425A7F">
        <w:rPr>
          <w:rFonts w:asciiTheme="minorHAnsi" w:eastAsia="Times New Roman" w:hAnsiTheme="minorHAnsi"/>
          <w:iCs/>
          <w:lang w:eastAsia="fr-FR"/>
        </w:rPr>
        <w:t xml:space="preserve"> et </w:t>
      </w:r>
      <w:r w:rsidR="003B6F88" w:rsidRPr="00425A7F">
        <w:rPr>
          <w:rFonts w:asciiTheme="minorHAnsi" w:eastAsia="Times New Roman" w:hAnsiTheme="minorHAnsi"/>
          <w:b/>
          <w:iCs/>
          <w:lang w:eastAsia="fr-FR"/>
        </w:rPr>
        <w:t xml:space="preserve">pour assurer une protection contre le risque financier </w:t>
      </w:r>
      <w:r w:rsidR="003B6F88" w:rsidRPr="00425A7F">
        <w:rPr>
          <w:rFonts w:asciiTheme="minorHAnsi" w:eastAsia="Times New Roman" w:hAnsiTheme="minorHAnsi"/>
          <w:iCs/>
          <w:lang w:eastAsia="fr-FR"/>
        </w:rPr>
        <w:t>dans un contexte de croissance démographique élevée</w:t>
      </w:r>
      <w:r w:rsidRPr="00425A7F">
        <w:rPr>
          <w:rFonts w:asciiTheme="minorHAnsi" w:eastAsia="Times New Roman" w:hAnsiTheme="minorHAnsi"/>
          <w:iCs/>
          <w:lang w:eastAsia="fr-FR"/>
        </w:rPr>
        <w:t xml:space="preserve">. </w:t>
      </w:r>
    </w:p>
    <w:p w:rsidR="003B6F88" w:rsidRPr="00425A7F" w:rsidRDefault="003B6F88" w:rsidP="001A03D9">
      <w:pPr>
        <w:widowControl w:val="0"/>
        <w:suppressAutoHyphens/>
        <w:jc w:val="both"/>
        <w:rPr>
          <w:rFonts w:asciiTheme="minorHAnsi" w:eastAsia="Times New Roman" w:hAnsiTheme="minorHAnsi"/>
          <w:iCs/>
          <w:lang w:eastAsia="fr-FR"/>
        </w:rPr>
      </w:pPr>
    </w:p>
    <w:p w:rsidR="001A03D9" w:rsidRPr="00425A7F" w:rsidRDefault="001A03D9" w:rsidP="001A03D9">
      <w:pPr>
        <w:widowControl w:val="0"/>
        <w:suppressAutoHyphens/>
        <w:jc w:val="both"/>
        <w:rPr>
          <w:rFonts w:asciiTheme="minorHAnsi" w:hAnsiTheme="minorHAnsi"/>
        </w:rPr>
      </w:pPr>
      <w:r w:rsidRPr="00425A7F">
        <w:rPr>
          <w:rFonts w:asciiTheme="minorHAnsi" w:eastAsia="Times New Roman" w:hAnsiTheme="minorHAnsi"/>
          <w:iCs/>
          <w:lang w:eastAsia="fr-FR"/>
        </w:rPr>
        <w:t>Ce montant acquis, de CFA 1</w:t>
      </w:r>
      <w:r w:rsidR="00B931F1" w:rsidRPr="00425A7F">
        <w:rPr>
          <w:rFonts w:asciiTheme="minorHAnsi" w:eastAsia="Times New Roman" w:hAnsiTheme="minorHAnsi"/>
          <w:iCs/>
          <w:lang w:eastAsia="fr-FR"/>
        </w:rPr>
        <w:t>00</w:t>
      </w:r>
      <w:r w:rsidRPr="00425A7F">
        <w:rPr>
          <w:rFonts w:asciiTheme="minorHAnsi" w:eastAsia="Times New Roman" w:hAnsiTheme="minorHAnsi"/>
          <w:iCs/>
          <w:lang w:eastAsia="fr-FR"/>
        </w:rPr>
        <w:t xml:space="preserve"> milliards </w:t>
      </w:r>
      <w:r w:rsidR="003B6F88" w:rsidRPr="00425A7F">
        <w:rPr>
          <w:rFonts w:asciiTheme="minorHAnsi" w:eastAsia="Times New Roman" w:hAnsiTheme="minorHAnsi"/>
          <w:iCs/>
          <w:lang w:eastAsia="fr-FR"/>
        </w:rPr>
        <w:t xml:space="preserve">environ </w:t>
      </w:r>
      <w:r w:rsidRPr="00425A7F">
        <w:rPr>
          <w:rFonts w:asciiTheme="minorHAnsi" w:eastAsia="Times New Roman" w:hAnsiTheme="minorHAnsi"/>
          <w:iCs/>
          <w:lang w:eastAsia="fr-FR"/>
        </w:rPr>
        <w:t>en 201</w:t>
      </w:r>
      <w:r w:rsidR="003B6F88" w:rsidRPr="00425A7F">
        <w:rPr>
          <w:rFonts w:asciiTheme="minorHAnsi" w:eastAsia="Times New Roman" w:hAnsiTheme="minorHAnsi"/>
          <w:iCs/>
          <w:lang w:eastAsia="fr-FR"/>
        </w:rPr>
        <w:t>6</w:t>
      </w:r>
      <w:r w:rsidRPr="00425A7F">
        <w:rPr>
          <w:rFonts w:asciiTheme="minorHAnsi" w:eastAsia="Times New Roman" w:hAnsiTheme="minorHAnsi"/>
          <w:iCs/>
          <w:lang w:eastAsia="fr-FR"/>
        </w:rPr>
        <w:t xml:space="preserve"> (</w:t>
      </w:r>
      <w:r w:rsidR="003B6F88" w:rsidRPr="00425A7F">
        <w:rPr>
          <w:rFonts w:asciiTheme="minorHAnsi" w:eastAsia="Times New Roman" w:hAnsiTheme="minorHAnsi"/>
          <w:iCs/>
          <w:lang w:eastAsia="fr-FR"/>
        </w:rPr>
        <w:t xml:space="preserve">environ </w:t>
      </w:r>
      <w:r w:rsidRPr="00425A7F">
        <w:rPr>
          <w:rFonts w:asciiTheme="minorHAnsi" w:eastAsia="Times New Roman" w:hAnsiTheme="minorHAnsi"/>
          <w:iCs/>
          <w:lang w:eastAsia="fr-FR"/>
        </w:rPr>
        <w:t xml:space="preserve">11% </w:t>
      </w:r>
      <w:r w:rsidR="003B6F88" w:rsidRPr="00425A7F">
        <w:rPr>
          <w:rFonts w:asciiTheme="minorHAnsi" w:eastAsia="Times New Roman" w:hAnsiTheme="minorHAnsi"/>
          <w:iCs/>
          <w:lang w:eastAsia="fr-FR"/>
        </w:rPr>
        <w:t>des dépenses récurrentes</w:t>
      </w:r>
      <w:r w:rsidRPr="00425A7F">
        <w:rPr>
          <w:rFonts w:asciiTheme="minorHAnsi" w:eastAsia="Times New Roman" w:hAnsiTheme="minorHAnsi"/>
          <w:iCs/>
          <w:lang w:eastAsia="fr-FR"/>
        </w:rPr>
        <w:t xml:space="preserve">), </w:t>
      </w:r>
      <w:r w:rsidR="001F462C" w:rsidRPr="00425A7F">
        <w:rPr>
          <w:rFonts w:asciiTheme="minorHAnsi" w:eastAsia="Times New Roman" w:hAnsiTheme="minorHAnsi"/>
          <w:iCs/>
          <w:lang w:eastAsia="fr-FR"/>
        </w:rPr>
        <w:t xml:space="preserve">est </w:t>
      </w:r>
      <w:r w:rsidR="000B0BBC" w:rsidRPr="00425A7F">
        <w:rPr>
          <w:rFonts w:asciiTheme="minorHAnsi" w:eastAsia="Times New Roman" w:hAnsiTheme="minorHAnsi"/>
          <w:iCs/>
          <w:lang w:eastAsia="fr-FR"/>
        </w:rPr>
        <w:t xml:space="preserve">déjà </w:t>
      </w:r>
      <w:r w:rsidR="001F462C" w:rsidRPr="00425A7F">
        <w:rPr>
          <w:rFonts w:asciiTheme="minorHAnsi" w:eastAsia="Times New Roman" w:hAnsiTheme="minorHAnsi"/>
          <w:iCs/>
          <w:lang w:eastAsia="fr-FR"/>
        </w:rPr>
        <w:t xml:space="preserve">promis à une croissance relative dans le budget </w:t>
      </w:r>
      <w:r w:rsidR="000B0BBC" w:rsidRPr="00425A7F">
        <w:rPr>
          <w:rFonts w:asciiTheme="minorHAnsi" w:eastAsia="Times New Roman" w:hAnsiTheme="minorHAnsi"/>
          <w:iCs/>
          <w:lang w:eastAsia="fr-FR"/>
        </w:rPr>
        <w:t xml:space="preserve">- </w:t>
      </w:r>
      <w:r w:rsidR="001F462C" w:rsidRPr="00425A7F">
        <w:rPr>
          <w:rFonts w:asciiTheme="minorHAnsi" w:eastAsia="Times New Roman" w:hAnsiTheme="minorHAnsi"/>
          <w:iCs/>
          <w:lang w:eastAsia="fr-FR"/>
        </w:rPr>
        <w:t>mais une croissance qui reste très minime :</w:t>
      </w:r>
    </w:p>
    <w:p w:rsidR="003B6F88" w:rsidRPr="00425A7F" w:rsidRDefault="003B6F88" w:rsidP="001A03D9">
      <w:pPr>
        <w:widowControl w:val="0"/>
        <w:suppressAutoHyphens/>
        <w:jc w:val="both"/>
        <w:rPr>
          <w:rFonts w:asciiTheme="minorHAnsi" w:hAnsiTheme="minorHAnsi"/>
        </w:rPr>
      </w:pPr>
    </w:p>
    <w:p w:rsidR="003B6F88" w:rsidRPr="00425A7F" w:rsidRDefault="00F423F9" w:rsidP="001A03D9">
      <w:pPr>
        <w:widowControl w:val="0"/>
        <w:suppressAutoHyphens/>
        <w:jc w:val="both"/>
        <w:rPr>
          <w:b/>
          <w:bCs/>
          <w:u w:val="single"/>
        </w:rPr>
      </w:pPr>
      <w:r w:rsidRPr="00425A7F">
        <w:rPr>
          <w:b/>
          <w:bCs/>
          <w:u w:val="single"/>
        </w:rPr>
        <w:t>Tableau n°12 : p</w:t>
      </w:r>
      <w:r w:rsidR="003B6F88" w:rsidRPr="00425A7F">
        <w:rPr>
          <w:b/>
          <w:bCs/>
          <w:u w:val="single"/>
        </w:rPr>
        <w:t>art des secteurs de l’axe 2 dans les dépenses récurrentes 2017-2020</w:t>
      </w:r>
      <w:r w:rsidR="001F462C" w:rsidRPr="00425A7F">
        <w:rPr>
          <w:rStyle w:val="Appelnotedebasdep"/>
          <w:b/>
          <w:bCs/>
          <w:u w:val="single"/>
        </w:rPr>
        <w:footnoteReference w:id="23"/>
      </w:r>
    </w:p>
    <w:p w:rsidR="003B6F88" w:rsidRPr="00425A7F" w:rsidRDefault="003B6F88" w:rsidP="001A03D9">
      <w:pPr>
        <w:widowControl w:val="0"/>
        <w:suppressAutoHyphens/>
        <w:jc w:val="both"/>
        <w:rPr>
          <w:b/>
          <w:bCs/>
          <w:sz w:val="20"/>
          <w:szCs w:val="20"/>
        </w:rPr>
      </w:pPr>
    </w:p>
    <w:tbl>
      <w:tblPr>
        <w:tblW w:w="9033" w:type="dxa"/>
        <w:tblInd w:w="65" w:type="dxa"/>
        <w:tblCellMar>
          <w:left w:w="70" w:type="dxa"/>
          <w:right w:w="70" w:type="dxa"/>
        </w:tblCellMar>
        <w:tblLook w:val="04A0" w:firstRow="1" w:lastRow="0" w:firstColumn="1" w:lastColumn="0" w:noHBand="0" w:noVBand="1"/>
      </w:tblPr>
      <w:tblGrid>
        <w:gridCol w:w="3353"/>
        <w:gridCol w:w="1340"/>
        <w:gridCol w:w="1600"/>
        <w:gridCol w:w="1440"/>
        <w:gridCol w:w="1300"/>
      </w:tblGrid>
      <w:tr w:rsidR="003B6F88" w:rsidRPr="00425A7F" w:rsidTr="003B6F88">
        <w:trPr>
          <w:trHeight w:val="300"/>
        </w:trPr>
        <w:tc>
          <w:tcPr>
            <w:tcW w:w="335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6F88" w:rsidRPr="00425A7F" w:rsidRDefault="003B6F88" w:rsidP="003B6F88">
            <w:pPr>
              <w:rPr>
                <w:rFonts w:eastAsia="Times New Roman"/>
                <w:color w:val="000000"/>
                <w:lang w:eastAsia="fr-FR"/>
              </w:rPr>
            </w:pPr>
            <w:r w:rsidRPr="00425A7F">
              <w:rPr>
                <w:rFonts w:eastAsia="Times New Roman"/>
                <w:color w:val="000000"/>
                <w:lang w:eastAsia="fr-FR"/>
              </w:rPr>
              <w:t> </w:t>
            </w:r>
          </w:p>
        </w:tc>
        <w:tc>
          <w:tcPr>
            <w:tcW w:w="1340" w:type="dxa"/>
            <w:tcBorders>
              <w:top w:val="single" w:sz="4" w:space="0" w:color="auto"/>
              <w:left w:val="nil"/>
              <w:bottom w:val="single" w:sz="4" w:space="0" w:color="auto"/>
              <w:right w:val="single" w:sz="4" w:space="0" w:color="auto"/>
            </w:tcBorders>
            <w:shd w:val="clear" w:color="auto" w:fill="auto"/>
            <w:noWrap/>
            <w:vAlign w:val="bottom"/>
            <w:hideMark/>
          </w:tcPr>
          <w:p w:rsidR="003B6F88" w:rsidRPr="00425A7F" w:rsidRDefault="003B6F88" w:rsidP="003B6F88">
            <w:pPr>
              <w:rPr>
                <w:rFonts w:eastAsia="Times New Roman"/>
                <w:color w:val="000000"/>
                <w:lang w:eastAsia="fr-FR"/>
              </w:rPr>
            </w:pPr>
            <w:r w:rsidRPr="00425A7F">
              <w:rPr>
                <w:rFonts w:eastAsia="Times New Roman"/>
                <w:color w:val="000000"/>
                <w:lang w:eastAsia="fr-FR"/>
              </w:rPr>
              <w:t>2017</w:t>
            </w:r>
          </w:p>
        </w:tc>
        <w:tc>
          <w:tcPr>
            <w:tcW w:w="1600" w:type="dxa"/>
            <w:tcBorders>
              <w:top w:val="single" w:sz="4" w:space="0" w:color="auto"/>
              <w:left w:val="nil"/>
              <w:bottom w:val="single" w:sz="4" w:space="0" w:color="auto"/>
              <w:right w:val="single" w:sz="4" w:space="0" w:color="auto"/>
            </w:tcBorders>
            <w:shd w:val="clear" w:color="auto" w:fill="auto"/>
            <w:noWrap/>
            <w:vAlign w:val="bottom"/>
            <w:hideMark/>
          </w:tcPr>
          <w:p w:rsidR="003B6F88" w:rsidRPr="00425A7F" w:rsidRDefault="003B6F88" w:rsidP="003B6F88">
            <w:pPr>
              <w:rPr>
                <w:rFonts w:eastAsia="Times New Roman"/>
                <w:color w:val="000000"/>
                <w:lang w:eastAsia="fr-FR"/>
              </w:rPr>
            </w:pPr>
            <w:r w:rsidRPr="00425A7F">
              <w:rPr>
                <w:rFonts w:eastAsia="Times New Roman"/>
                <w:color w:val="000000"/>
                <w:lang w:eastAsia="fr-FR"/>
              </w:rPr>
              <w:t>2018</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rsidR="003B6F88" w:rsidRPr="00425A7F" w:rsidRDefault="003B6F88" w:rsidP="003B6F88">
            <w:pPr>
              <w:rPr>
                <w:rFonts w:eastAsia="Times New Roman"/>
                <w:color w:val="000000"/>
                <w:lang w:eastAsia="fr-FR"/>
              </w:rPr>
            </w:pPr>
            <w:r w:rsidRPr="00425A7F">
              <w:rPr>
                <w:rFonts w:eastAsia="Times New Roman"/>
                <w:color w:val="000000"/>
                <w:lang w:eastAsia="fr-FR"/>
              </w:rPr>
              <w:t>2019</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rsidR="003B6F88" w:rsidRPr="00425A7F" w:rsidRDefault="003B6F88" w:rsidP="003B6F88">
            <w:pPr>
              <w:rPr>
                <w:rFonts w:eastAsia="Times New Roman"/>
                <w:color w:val="000000"/>
                <w:lang w:eastAsia="fr-FR"/>
              </w:rPr>
            </w:pPr>
            <w:r w:rsidRPr="00425A7F">
              <w:rPr>
                <w:rFonts w:eastAsia="Times New Roman"/>
                <w:color w:val="000000"/>
                <w:lang w:eastAsia="fr-FR"/>
              </w:rPr>
              <w:t>2020</w:t>
            </w:r>
          </w:p>
        </w:tc>
      </w:tr>
      <w:tr w:rsidR="003B6F88" w:rsidRPr="00425A7F" w:rsidTr="003B6F88">
        <w:trPr>
          <w:trHeight w:val="300"/>
        </w:trPr>
        <w:tc>
          <w:tcPr>
            <w:tcW w:w="3353" w:type="dxa"/>
            <w:tcBorders>
              <w:top w:val="nil"/>
              <w:left w:val="single" w:sz="4" w:space="0" w:color="auto"/>
              <w:bottom w:val="single" w:sz="4" w:space="0" w:color="auto"/>
              <w:right w:val="single" w:sz="4" w:space="0" w:color="auto"/>
            </w:tcBorders>
            <w:shd w:val="clear" w:color="auto" w:fill="auto"/>
            <w:noWrap/>
            <w:vAlign w:val="bottom"/>
            <w:hideMark/>
          </w:tcPr>
          <w:p w:rsidR="003B6F88" w:rsidRPr="00425A7F" w:rsidRDefault="003B6F88" w:rsidP="003B6F88">
            <w:pPr>
              <w:rPr>
                <w:rFonts w:eastAsia="Times New Roman"/>
                <w:color w:val="000000"/>
                <w:lang w:eastAsia="fr-FR"/>
              </w:rPr>
            </w:pPr>
            <w:r w:rsidRPr="00425A7F">
              <w:rPr>
                <w:rFonts w:eastAsia="Times New Roman"/>
                <w:color w:val="000000"/>
                <w:lang w:eastAsia="fr-FR"/>
              </w:rPr>
              <w:t>Secteur santé / dépenses récurrentes</w:t>
            </w:r>
          </w:p>
        </w:tc>
        <w:tc>
          <w:tcPr>
            <w:tcW w:w="1340" w:type="dxa"/>
            <w:tcBorders>
              <w:top w:val="nil"/>
              <w:left w:val="nil"/>
              <w:bottom w:val="single" w:sz="4" w:space="0" w:color="auto"/>
              <w:right w:val="single" w:sz="4" w:space="0" w:color="auto"/>
            </w:tcBorders>
            <w:shd w:val="clear" w:color="auto" w:fill="auto"/>
            <w:noWrap/>
            <w:vAlign w:val="bottom"/>
            <w:hideMark/>
          </w:tcPr>
          <w:p w:rsidR="003B6F88" w:rsidRPr="00425A7F" w:rsidRDefault="003B6F88" w:rsidP="003B6F88">
            <w:pPr>
              <w:jc w:val="right"/>
              <w:rPr>
                <w:rFonts w:eastAsia="Times New Roman"/>
                <w:color w:val="000000"/>
                <w:lang w:eastAsia="fr-FR"/>
              </w:rPr>
            </w:pPr>
            <w:r w:rsidRPr="00425A7F">
              <w:rPr>
                <w:rFonts w:eastAsia="Times New Roman"/>
                <w:color w:val="000000"/>
                <w:lang w:eastAsia="fr-FR"/>
              </w:rPr>
              <w:t>11,18%</w:t>
            </w:r>
          </w:p>
        </w:tc>
        <w:tc>
          <w:tcPr>
            <w:tcW w:w="1600" w:type="dxa"/>
            <w:tcBorders>
              <w:top w:val="nil"/>
              <w:left w:val="nil"/>
              <w:bottom w:val="single" w:sz="4" w:space="0" w:color="auto"/>
              <w:right w:val="single" w:sz="4" w:space="0" w:color="auto"/>
            </w:tcBorders>
            <w:shd w:val="clear" w:color="auto" w:fill="auto"/>
            <w:noWrap/>
            <w:vAlign w:val="bottom"/>
            <w:hideMark/>
          </w:tcPr>
          <w:p w:rsidR="003B6F88" w:rsidRPr="00425A7F" w:rsidRDefault="003B6F88" w:rsidP="003B6F88">
            <w:pPr>
              <w:jc w:val="right"/>
              <w:rPr>
                <w:rFonts w:eastAsia="Times New Roman"/>
                <w:color w:val="000000"/>
                <w:lang w:eastAsia="fr-FR"/>
              </w:rPr>
            </w:pPr>
            <w:r w:rsidRPr="00425A7F">
              <w:rPr>
                <w:rFonts w:eastAsia="Times New Roman"/>
                <w:color w:val="000000"/>
                <w:lang w:eastAsia="fr-FR"/>
              </w:rPr>
              <w:t>11,61%</w:t>
            </w:r>
          </w:p>
        </w:tc>
        <w:tc>
          <w:tcPr>
            <w:tcW w:w="1440" w:type="dxa"/>
            <w:tcBorders>
              <w:top w:val="nil"/>
              <w:left w:val="nil"/>
              <w:bottom w:val="single" w:sz="4" w:space="0" w:color="auto"/>
              <w:right w:val="single" w:sz="4" w:space="0" w:color="auto"/>
            </w:tcBorders>
            <w:shd w:val="clear" w:color="auto" w:fill="auto"/>
            <w:noWrap/>
            <w:vAlign w:val="bottom"/>
            <w:hideMark/>
          </w:tcPr>
          <w:p w:rsidR="003B6F88" w:rsidRPr="00425A7F" w:rsidRDefault="003B6F88" w:rsidP="003B6F88">
            <w:pPr>
              <w:jc w:val="right"/>
              <w:rPr>
                <w:rFonts w:eastAsia="Times New Roman"/>
                <w:color w:val="000000"/>
                <w:lang w:eastAsia="fr-FR"/>
              </w:rPr>
            </w:pPr>
            <w:r w:rsidRPr="00425A7F">
              <w:rPr>
                <w:rFonts w:eastAsia="Times New Roman"/>
                <w:color w:val="000000"/>
                <w:lang w:eastAsia="fr-FR"/>
              </w:rPr>
              <w:t>11,87%</w:t>
            </w:r>
          </w:p>
        </w:tc>
        <w:tc>
          <w:tcPr>
            <w:tcW w:w="1300" w:type="dxa"/>
            <w:tcBorders>
              <w:top w:val="nil"/>
              <w:left w:val="nil"/>
              <w:bottom w:val="single" w:sz="4" w:space="0" w:color="auto"/>
              <w:right w:val="single" w:sz="4" w:space="0" w:color="auto"/>
            </w:tcBorders>
            <w:shd w:val="clear" w:color="auto" w:fill="auto"/>
            <w:noWrap/>
            <w:vAlign w:val="bottom"/>
            <w:hideMark/>
          </w:tcPr>
          <w:p w:rsidR="003B6F88" w:rsidRPr="00425A7F" w:rsidRDefault="003B6F88" w:rsidP="003B6F88">
            <w:pPr>
              <w:jc w:val="right"/>
              <w:rPr>
                <w:rFonts w:eastAsia="Times New Roman"/>
                <w:color w:val="000000"/>
                <w:lang w:eastAsia="fr-FR"/>
              </w:rPr>
            </w:pPr>
            <w:r w:rsidRPr="00425A7F">
              <w:rPr>
                <w:rFonts w:eastAsia="Times New Roman"/>
                <w:color w:val="000000"/>
                <w:lang w:eastAsia="fr-FR"/>
              </w:rPr>
              <w:t>11,95%</w:t>
            </w:r>
          </w:p>
        </w:tc>
      </w:tr>
    </w:tbl>
    <w:p w:rsidR="003B6F88" w:rsidRPr="00425A7F" w:rsidRDefault="003B6F88" w:rsidP="001A03D9">
      <w:pPr>
        <w:widowControl w:val="0"/>
        <w:suppressAutoHyphens/>
        <w:jc w:val="both"/>
        <w:rPr>
          <w:rFonts w:asciiTheme="minorHAnsi" w:eastAsia="Times New Roman" w:hAnsiTheme="minorHAnsi"/>
          <w:lang w:eastAsia="fr-FR"/>
        </w:rPr>
      </w:pPr>
    </w:p>
    <w:p w:rsidR="001F462C" w:rsidRPr="00425A7F" w:rsidRDefault="001F462C" w:rsidP="001F462C">
      <w:pPr>
        <w:rPr>
          <w:lang w:eastAsia="fr-FR"/>
        </w:rPr>
      </w:pPr>
      <w:r w:rsidRPr="00425A7F">
        <w:rPr>
          <w:lang w:eastAsia="fr-FR"/>
        </w:rPr>
        <w:t>La programmation budgétaire (2018-2020) prévoit également que :</w:t>
      </w:r>
    </w:p>
    <w:p w:rsidR="001F462C" w:rsidRPr="00425A7F" w:rsidRDefault="001F462C" w:rsidP="001F462C">
      <w:pPr>
        <w:autoSpaceDE w:val="0"/>
        <w:autoSpaceDN w:val="0"/>
        <w:adjustRightInd w:val="0"/>
        <w:rPr>
          <w:rFonts w:ascii="Arial" w:hAnsi="Arial" w:cs="Arial"/>
          <w:color w:val="000000"/>
          <w:sz w:val="24"/>
          <w:szCs w:val="24"/>
        </w:rPr>
      </w:pPr>
    </w:p>
    <w:p w:rsidR="001F462C" w:rsidRPr="00425A7F" w:rsidRDefault="001F462C" w:rsidP="001F462C">
      <w:pPr>
        <w:autoSpaceDE w:val="0"/>
        <w:autoSpaceDN w:val="0"/>
        <w:adjustRightInd w:val="0"/>
        <w:rPr>
          <w:rFonts w:asciiTheme="minorHAnsi" w:hAnsiTheme="minorHAnsi" w:cstheme="minorBidi"/>
          <w:i/>
          <w:lang w:eastAsia="fr-FR"/>
        </w:rPr>
      </w:pPr>
      <w:r w:rsidRPr="00425A7F">
        <w:rPr>
          <w:rFonts w:asciiTheme="minorHAnsi" w:hAnsiTheme="minorHAnsi" w:cstheme="minorBidi"/>
          <w:i/>
          <w:lang w:eastAsia="fr-FR"/>
        </w:rPr>
        <w:t>« Les allocations budgétaires du secteur de la santé passeront de 139,52 milliards en 2017 à 158,38 en milliards en moyenne sur 2018-2020 ; ce qui représente une croissance moyenne de 6,7 % et une part moyenne de 6,1 % sur la période de cadrage</w:t>
      </w:r>
      <w:r w:rsidRPr="00425A7F">
        <w:rPr>
          <w:rStyle w:val="Appelnotedebasdep"/>
          <w:i/>
        </w:rPr>
        <w:footnoteReference w:id="24"/>
      </w:r>
      <w:r w:rsidRPr="00425A7F">
        <w:rPr>
          <w:rFonts w:asciiTheme="minorHAnsi" w:hAnsiTheme="minorHAnsi" w:cstheme="minorBidi"/>
          <w:i/>
          <w:lang w:eastAsia="fr-FR"/>
        </w:rPr>
        <w:t xml:space="preserve">. » </w:t>
      </w:r>
    </w:p>
    <w:p w:rsidR="001F462C" w:rsidRPr="00425A7F" w:rsidRDefault="001F462C" w:rsidP="001F462C">
      <w:pPr>
        <w:rPr>
          <w:lang w:eastAsia="fr-FR"/>
        </w:rPr>
      </w:pPr>
    </w:p>
    <w:p w:rsidR="001F462C" w:rsidRPr="00425A7F" w:rsidRDefault="001F462C" w:rsidP="001F462C">
      <w:pPr>
        <w:rPr>
          <w:lang w:eastAsia="fr-FR"/>
        </w:rPr>
      </w:pPr>
      <w:r w:rsidRPr="00425A7F">
        <w:rPr>
          <w:lang w:eastAsia="fr-FR"/>
        </w:rPr>
        <w:t xml:space="preserve">Ainsi </w:t>
      </w:r>
      <w:r w:rsidR="0029235C" w:rsidRPr="00425A7F">
        <w:rPr>
          <w:lang w:eastAsia="fr-FR"/>
        </w:rPr>
        <w:t>la part du secteur</w:t>
      </w:r>
      <w:r w:rsidRPr="00425A7F">
        <w:rPr>
          <w:lang w:eastAsia="fr-FR"/>
        </w:rPr>
        <w:t xml:space="preserve"> de la Santé dans le budget total serait de 6,1% alors qu’elle a été en moyenne de 5,25% entre 2013 et 2016</w:t>
      </w:r>
      <w:r w:rsidRPr="00425A7F">
        <w:rPr>
          <w:rStyle w:val="Appelnotedebasdep"/>
          <w:lang w:eastAsia="fr-FR"/>
        </w:rPr>
        <w:footnoteReference w:id="25"/>
      </w:r>
      <w:r w:rsidRPr="00425A7F">
        <w:rPr>
          <w:lang w:eastAsia="fr-FR"/>
        </w:rPr>
        <w:t xml:space="preserve">. </w:t>
      </w:r>
    </w:p>
    <w:p w:rsidR="0029235C" w:rsidRPr="00425A7F" w:rsidRDefault="0029235C" w:rsidP="001F462C">
      <w:pPr>
        <w:rPr>
          <w:lang w:eastAsia="fr-FR"/>
        </w:rPr>
      </w:pPr>
    </w:p>
    <w:p w:rsidR="0029235C" w:rsidRPr="00425A7F" w:rsidRDefault="0029235C" w:rsidP="001F462C">
      <w:pPr>
        <w:rPr>
          <w:lang w:eastAsia="fr-FR"/>
        </w:rPr>
      </w:pPr>
      <w:r w:rsidRPr="00425A7F">
        <w:rPr>
          <w:lang w:eastAsia="fr-FR"/>
        </w:rPr>
        <w:t>Il y a lieu de louer ces efforts. Pourtant l’effort doit être redoublé pour progresser vers la CSU en améliorant l’offre de soins tout en protégeant la population contre le risque financier. Le cadrage du secteur (</w:t>
      </w:r>
      <w:r w:rsidRPr="00425A7F">
        <w:rPr>
          <w:rFonts w:eastAsia="Times New Roman"/>
          <w:color w:val="000000"/>
          <w:lang w:eastAsia="fr-FR"/>
        </w:rPr>
        <w:t>Secteur santé / dépenses récurrentes)</w:t>
      </w:r>
      <w:r w:rsidRPr="00425A7F">
        <w:rPr>
          <w:lang w:eastAsia="fr-FR"/>
        </w:rPr>
        <w:t xml:space="preserve"> doit être de </w:t>
      </w:r>
      <w:r w:rsidRPr="00425A7F">
        <w:rPr>
          <w:b/>
          <w:lang w:eastAsia="fr-FR"/>
        </w:rPr>
        <w:t>1</w:t>
      </w:r>
      <w:r w:rsidR="000B0BBC" w:rsidRPr="00425A7F">
        <w:rPr>
          <w:b/>
          <w:lang w:eastAsia="fr-FR"/>
        </w:rPr>
        <w:t>4</w:t>
      </w:r>
      <w:r w:rsidRPr="00425A7F">
        <w:rPr>
          <w:b/>
          <w:lang w:eastAsia="fr-FR"/>
        </w:rPr>
        <w:t>% en 2023</w:t>
      </w:r>
      <w:r w:rsidRPr="00425A7F">
        <w:rPr>
          <w:lang w:eastAsia="fr-FR"/>
        </w:rPr>
        <w:t xml:space="preserve"> si l’</w:t>
      </w:r>
      <w:r w:rsidR="00BA2227" w:rsidRPr="00425A7F">
        <w:rPr>
          <w:lang w:eastAsia="fr-FR"/>
        </w:rPr>
        <w:t xml:space="preserve">on veut atteindre progresser dans l’Assurance Maladie pour tous tout en maintenant un minimum d’effort sur l’offre de soins. </w:t>
      </w:r>
      <w:r w:rsidR="000B0BBC" w:rsidRPr="00425A7F">
        <w:rPr>
          <w:lang w:eastAsia="fr-FR"/>
        </w:rPr>
        <w:t>L’effort (2017-2020)</w:t>
      </w:r>
      <w:r w:rsidR="00BA2227" w:rsidRPr="00425A7F">
        <w:rPr>
          <w:lang w:eastAsia="fr-FR"/>
        </w:rPr>
        <w:t xml:space="preserve"> </w:t>
      </w:r>
      <w:r w:rsidR="000B0BBC" w:rsidRPr="00425A7F">
        <w:rPr>
          <w:lang w:eastAsia="fr-FR"/>
        </w:rPr>
        <w:t>devra donc être littéralement redoublé sur la période (2020-2023)</w:t>
      </w:r>
      <w:r w:rsidR="00BA2227" w:rsidRPr="00425A7F">
        <w:rPr>
          <w:lang w:eastAsia="fr-FR"/>
        </w:rPr>
        <w:t xml:space="preserve"> </w:t>
      </w:r>
      <w:r w:rsidR="000B0BBC" w:rsidRPr="00425A7F">
        <w:rPr>
          <w:lang w:eastAsia="fr-FR"/>
        </w:rPr>
        <w:t xml:space="preserve">pour poursuivre l’effort nécessaire à l’amélioration des services de santé et </w:t>
      </w:r>
      <w:r w:rsidR="00BA2227" w:rsidRPr="00425A7F">
        <w:rPr>
          <w:lang w:eastAsia="fr-FR"/>
        </w:rPr>
        <w:t>l’accès à la protec</w:t>
      </w:r>
      <w:r w:rsidR="000B0BBC" w:rsidRPr="00425A7F">
        <w:rPr>
          <w:lang w:eastAsia="fr-FR"/>
        </w:rPr>
        <w:t xml:space="preserve">tion financière des populations </w:t>
      </w:r>
      <w:r w:rsidR="00BA2227" w:rsidRPr="00425A7F">
        <w:rPr>
          <w:lang w:eastAsia="fr-FR"/>
        </w:rPr>
        <w:t>du secteur informel pauvre et non pauvre.</w:t>
      </w:r>
    </w:p>
    <w:p w:rsidR="00BA2227" w:rsidRPr="00425A7F" w:rsidRDefault="00BA2227" w:rsidP="001F462C">
      <w:pPr>
        <w:rPr>
          <w:lang w:eastAsia="fr-FR"/>
        </w:rPr>
      </w:pPr>
    </w:p>
    <w:p w:rsidR="00BA2227" w:rsidRPr="00425A7F" w:rsidRDefault="00BA2227" w:rsidP="001F462C">
      <w:pPr>
        <w:rPr>
          <w:lang w:eastAsia="fr-FR"/>
        </w:rPr>
      </w:pPr>
      <w:r w:rsidRPr="00425A7F">
        <w:rPr>
          <w:lang w:eastAsia="fr-FR"/>
        </w:rPr>
        <w:t>Pour cela le second axe stratégique est indispensable.</w:t>
      </w:r>
    </w:p>
    <w:p w:rsidR="001F462C" w:rsidRPr="00425A7F" w:rsidRDefault="001F462C" w:rsidP="001A03D9">
      <w:pPr>
        <w:widowControl w:val="0"/>
        <w:suppressAutoHyphens/>
        <w:jc w:val="both"/>
        <w:rPr>
          <w:rFonts w:asciiTheme="minorHAnsi" w:eastAsia="Times New Roman" w:hAnsiTheme="minorHAnsi"/>
          <w:lang w:eastAsia="fr-FR"/>
        </w:rPr>
      </w:pPr>
    </w:p>
    <w:p w:rsidR="001A03D9" w:rsidRPr="00425A7F" w:rsidRDefault="001A03D9" w:rsidP="001A03D9">
      <w:pPr>
        <w:widowControl w:val="0"/>
        <w:suppressAutoHyphens/>
        <w:jc w:val="both"/>
        <w:rPr>
          <w:rFonts w:asciiTheme="minorHAnsi" w:eastAsia="Times New Roman" w:hAnsiTheme="minorHAnsi"/>
          <w:i/>
          <w:u w:val="single"/>
          <w:lang w:eastAsia="fr-FR"/>
        </w:rPr>
      </w:pPr>
    </w:p>
    <w:p w:rsidR="001A03D9" w:rsidRPr="00425A7F" w:rsidRDefault="001A03D9" w:rsidP="00EA65F3">
      <w:pPr>
        <w:pStyle w:val="Titre3"/>
      </w:pPr>
      <w:bookmarkStart w:id="46" w:name="_Toc497294504"/>
      <w:r w:rsidRPr="00425A7F">
        <w:t xml:space="preserve">b. </w:t>
      </w:r>
      <w:r w:rsidRPr="00425A7F">
        <w:rPr>
          <w:vertAlign w:val="superscript"/>
        </w:rPr>
        <w:t xml:space="preserve"> </w:t>
      </w:r>
      <w:r w:rsidRPr="00425A7F">
        <w:t>Mobiliser des ressources spécifiques pour subventionner l’assurance maladie universelle</w:t>
      </w:r>
      <w:bookmarkEnd w:id="46"/>
    </w:p>
    <w:p w:rsidR="001A03D9" w:rsidRPr="00425A7F" w:rsidRDefault="001A03D9" w:rsidP="001A03D9">
      <w:pPr>
        <w:widowControl w:val="0"/>
        <w:suppressAutoHyphens/>
        <w:jc w:val="both"/>
        <w:rPr>
          <w:rFonts w:asciiTheme="minorHAnsi" w:hAnsiTheme="minorHAnsi"/>
        </w:rPr>
      </w:pPr>
      <w:r w:rsidRPr="00425A7F">
        <w:rPr>
          <w:rFonts w:asciiTheme="minorHAnsi" w:eastAsia="Times New Roman" w:hAnsiTheme="minorHAnsi"/>
          <w:lang w:eastAsia="fr-FR"/>
        </w:rPr>
        <w:t>Il s’agit de promouvoir l’assurance maladie universelle comme un projet national de développement et de solidarité. Il faudra pour ce faire i</w:t>
      </w:r>
      <w:r w:rsidRPr="00425A7F">
        <w:rPr>
          <w:rFonts w:asciiTheme="minorHAnsi" w:eastAsia="Times New Roman" w:hAnsiTheme="minorHAnsi"/>
          <w:iCs/>
          <w:lang w:eastAsia="fr-FR"/>
        </w:rPr>
        <w:t xml:space="preserve">nstaurer une taxation spécifique dédiée au financement de l’AMU qui rende son développement pérenne. Une telle mesure prendra en compte la situation économique des populations maliennes : elle est envisagée dans le cadre du renouveau économique, </w:t>
      </w:r>
      <w:r w:rsidRPr="00425A7F">
        <w:rPr>
          <w:rFonts w:asciiTheme="minorHAnsi" w:eastAsia="Times New Roman" w:hAnsiTheme="minorHAnsi"/>
          <w:iCs/>
          <w:lang w:eastAsia="fr-FR"/>
        </w:rPr>
        <w:lastRenderedPageBreak/>
        <w:t xml:space="preserve">et dans le sens d’une justice fiscale. </w:t>
      </w:r>
      <w:r w:rsidRPr="00425A7F">
        <w:rPr>
          <w:rFonts w:asciiTheme="minorHAnsi" w:hAnsiTheme="minorHAnsi"/>
        </w:rPr>
        <w:t xml:space="preserve">L’atteinte d’une couverture de </w:t>
      </w:r>
      <w:r w:rsidR="007D7A58" w:rsidRPr="00425A7F">
        <w:rPr>
          <w:rFonts w:asciiTheme="minorHAnsi" w:hAnsiTheme="minorHAnsi"/>
        </w:rPr>
        <w:t>31</w:t>
      </w:r>
      <w:r w:rsidRPr="00425A7F">
        <w:rPr>
          <w:rFonts w:asciiTheme="minorHAnsi" w:hAnsiTheme="minorHAnsi"/>
        </w:rPr>
        <w:t>% de la population par un paquet de soins de base en 2023 requiert un appui de l’Etat progressif</w:t>
      </w:r>
      <w:r w:rsidR="00BA2227" w:rsidRPr="00425A7F">
        <w:rPr>
          <w:rFonts w:asciiTheme="minorHAnsi" w:hAnsiTheme="minorHAnsi"/>
        </w:rPr>
        <w:t xml:space="preserve"> destiné à subventionner la prime d’assurance pour le secteur informel pauvre et non pauvre</w:t>
      </w:r>
      <w:r w:rsidRPr="00425A7F">
        <w:rPr>
          <w:rFonts w:asciiTheme="minorHAnsi" w:hAnsiTheme="minorHAnsi"/>
        </w:rPr>
        <w:t xml:space="preserve">, estimé à FCFA </w:t>
      </w:r>
      <w:r w:rsidR="00BA2227" w:rsidRPr="00425A7F">
        <w:rPr>
          <w:rFonts w:asciiTheme="minorHAnsi" w:hAnsiTheme="minorHAnsi"/>
        </w:rPr>
        <w:t>1</w:t>
      </w:r>
      <w:r w:rsidR="007D7A58" w:rsidRPr="00425A7F">
        <w:rPr>
          <w:rFonts w:asciiTheme="minorHAnsi" w:hAnsiTheme="minorHAnsi"/>
        </w:rPr>
        <w:t>3,56</w:t>
      </w:r>
      <w:r w:rsidRPr="00425A7F">
        <w:rPr>
          <w:rFonts w:asciiTheme="minorHAnsi" w:hAnsiTheme="minorHAnsi"/>
        </w:rPr>
        <w:t xml:space="preserve"> milliards en 201</w:t>
      </w:r>
      <w:r w:rsidR="00BA2227" w:rsidRPr="00425A7F">
        <w:rPr>
          <w:rFonts w:asciiTheme="minorHAnsi" w:hAnsiTheme="minorHAnsi"/>
        </w:rPr>
        <w:t>8</w:t>
      </w:r>
      <w:r w:rsidR="007D7A58" w:rsidRPr="00425A7F">
        <w:rPr>
          <w:rFonts w:asciiTheme="minorHAnsi" w:hAnsiTheme="minorHAnsi"/>
        </w:rPr>
        <w:t>, 24,82</w:t>
      </w:r>
      <w:r w:rsidRPr="00425A7F">
        <w:rPr>
          <w:rFonts w:asciiTheme="minorHAnsi" w:hAnsiTheme="minorHAnsi"/>
        </w:rPr>
        <w:t xml:space="preserve"> milliards en 2020, </w:t>
      </w:r>
      <w:r w:rsidR="007D7A58" w:rsidRPr="00425A7F">
        <w:rPr>
          <w:rFonts w:asciiTheme="minorHAnsi" w:hAnsiTheme="minorHAnsi"/>
        </w:rPr>
        <w:t>50,09</w:t>
      </w:r>
      <w:r w:rsidRPr="00425A7F">
        <w:rPr>
          <w:rFonts w:asciiTheme="minorHAnsi" w:hAnsiTheme="minorHAnsi"/>
        </w:rPr>
        <w:t xml:space="preserve"> milliards en 202</w:t>
      </w:r>
      <w:r w:rsidR="00BA2227" w:rsidRPr="00425A7F">
        <w:rPr>
          <w:rFonts w:asciiTheme="minorHAnsi" w:hAnsiTheme="minorHAnsi"/>
        </w:rPr>
        <w:t>3</w:t>
      </w:r>
      <w:r w:rsidRPr="00425A7F">
        <w:rPr>
          <w:rFonts w:asciiTheme="minorHAnsi" w:hAnsiTheme="minorHAnsi"/>
        </w:rPr>
        <w:t xml:space="preserve"> (</w:t>
      </w:r>
      <w:r w:rsidR="007D7A58" w:rsidRPr="00425A7F">
        <w:rPr>
          <w:rFonts w:asciiTheme="minorHAnsi" w:hAnsiTheme="minorHAnsi"/>
        </w:rPr>
        <w:t>3,61</w:t>
      </w:r>
      <w:r w:rsidR="00BA2227" w:rsidRPr="00425A7F">
        <w:rPr>
          <w:rFonts w:asciiTheme="minorHAnsi" w:hAnsiTheme="minorHAnsi"/>
        </w:rPr>
        <w:t xml:space="preserve">% des dépenses courantes du budget </w:t>
      </w:r>
      <w:r w:rsidRPr="00425A7F">
        <w:rPr>
          <w:rFonts w:asciiTheme="minorHAnsi" w:hAnsiTheme="minorHAnsi"/>
        </w:rPr>
        <w:t>à cette date)</w:t>
      </w:r>
      <w:r w:rsidRPr="00425A7F">
        <w:rPr>
          <w:rStyle w:val="Appelnotedebasdep"/>
          <w:rFonts w:asciiTheme="minorHAnsi" w:hAnsiTheme="minorHAnsi"/>
        </w:rPr>
        <w:footnoteReference w:id="26"/>
      </w:r>
      <w:r w:rsidRPr="00425A7F">
        <w:rPr>
          <w:rFonts w:asciiTheme="minorHAnsi" w:hAnsiTheme="minorHAnsi"/>
        </w:rPr>
        <w:t>.</w:t>
      </w:r>
    </w:p>
    <w:p w:rsidR="001A03D9" w:rsidRPr="00425A7F" w:rsidRDefault="001A03D9" w:rsidP="001A03D9">
      <w:pPr>
        <w:widowControl w:val="0"/>
        <w:suppressAutoHyphens/>
        <w:jc w:val="both"/>
        <w:rPr>
          <w:rFonts w:asciiTheme="minorHAnsi" w:hAnsiTheme="minorHAnsi"/>
        </w:rPr>
      </w:pPr>
    </w:p>
    <w:p w:rsidR="001A03D9" w:rsidRPr="00425A7F" w:rsidRDefault="001A03D9" w:rsidP="001A03D9">
      <w:pPr>
        <w:widowControl w:val="0"/>
        <w:suppressAutoHyphens/>
        <w:jc w:val="both"/>
        <w:rPr>
          <w:rFonts w:asciiTheme="minorHAnsi" w:hAnsiTheme="minorHAnsi"/>
        </w:rPr>
      </w:pPr>
      <w:r w:rsidRPr="00425A7F">
        <w:rPr>
          <w:rFonts w:asciiTheme="minorHAnsi" w:hAnsiTheme="minorHAnsi"/>
        </w:rPr>
        <w:t xml:space="preserve">Ce montant servira à subventionner totalement le paquet de soins de base pour 5% de la population considérée comme démunie, et à 80% ce même paquet pour </w:t>
      </w:r>
      <w:r w:rsidR="00BA2227" w:rsidRPr="00425A7F">
        <w:rPr>
          <w:rFonts w:asciiTheme="minorHAnsi" w:hAnsiTheme="minorHAnsi"/>
        </w:rPr>
        <w:t>21</w:t>
      </w:r>
      <w:r w:rsidRPr="00425A7F">
        <w:rPr>
          <w:rFonts w:asciiTheme="minorHAnsi" w:hAnsiTheme="minorHAnsi"/>
        </w:rPr>
        <w:t>% de la population issue du secteur informel non pauvre.</w:t>
      </w:r>
    </w:p>
    <w:p w:rsidR="007D7A58" w:rsidRPr="00425A7F" w:rsidRDefault="007D7A58" w:rsidP="001A03D9">
      <w:pPr>
        <w:widowControl w:val="0"/>
        <w:suppressAutoHyphens/>
        <w:jc w:val="both"/>
        <w:rPr>
          <w:rFonts w:asciiTheme="minorHAnsi" w:hAnsiTheme="minorHAnsi"/>
        </w:rPr>
      </w:pPr>
    </w:p>
    <w:p w:rsidR="007D7A58" w:rsidRPr="00425A7F" w:rsidRDefault="007D7A58" w:rsidP="001A03D9">
      <w:pPr>
        <w:widowControl w:val="0"/>
        <w:suppressAutoHyphens/>
        <w:jc w:val="both"/>
        <w:rPr>
          <w:rFonts w:asciiTheme="minorHAnsi" w:hAnsiTheme="minorHAnsi"/>
        </w:rPr>
      </w:pPr>
      <w:r w:rsidRPr="00425A7F">
        <w:rPr>
          <w:rFonts w:asciiTheme="minorHAnsi" w:hAnsiTheme="minorHAnsi"/>
        </w:rPr>
        <w:t xml:space="preserve">La progression de la couverture du secteur formelle est établie selon la programmation 2018-2020, soit avec +200.000 </w:t>
      </w:r>
      <w:r w:rsidR="003E6645" w:rsidRPr="00425A7F">
        <w:rPr>
          <w:rFonts w:asciiTheme="minorHAnsi" w:hAnsiTheme="minorHAnsi"/>
        </w:rPr>
        <w:t>individus par année</w:t>
      </w:r>
      <w:r w:rsidR="003E6645" w:rsidRPr="00425A7F">
        <w:rPr>
          <w:rStyle w:val="Appelnotedebasdep"/>
          <w:rFonts w:asciiTheme="minorHAnsi" w:hAnsiTheme="minorHAnsi"/>
        </w:rPr>
        <w:footnoteReference w:id="27"/>
      </w:r>
      <w:r w:rsidR="003E6645" w:rsidRPr="00425A7F">
        <w:rPr>
          <w:rFonts w:asciiTheme="minorHAnsi" w:hAnsiTheme="minorHAnsi"/>
        </w:rPr>
        <w:t>.</w:t>
      </w:r>
    </w:p>
    <w:p w:rsidR="001A03D9" w:rsidRPr="00425A7F" w:rsidRDefault="001A03D9" w:rsidP="001A03D9">
      <w:pPr>
        <w:widowControl w:val="0"/>
        <w:suppressAutoHyphens/>
        <w:jc w:val="both"/>
        <w:rPr>
          <w:rFonts w:asciiTheme="minorHAnsi" w:hAnsiTheme="minorHAnsi"/>
        </w:rPr>
      </w:pPr>
    </w:p>
    <w:p w:rsidR="001A03D9" w:rsidRPr="00425A7F" w:rsidRDefault="00F423F9" w:rsidP="001A03D9">
      <w:pPr>
        <w:pStyle w:val="Lgende"/>
        <w:spacing w:after="0"/>
        <w:rPr>
          <w:color w:val="auto"/>
          <w:sz w:val="22"/>
          <w:szCs w:val="22"/>
          <w:u w:val="single"/>
        </w:rPr>
      </w:pPr>
      <w:r w:rsidRPr="00425A7F">
        <w:rPr>
          <w:color w:val="auto"/>
          <w:sz w:val="22"/>
          <w:szCs w:val="22"/>
          <w:u w:val="single"/>
        </w:rPr>
        <w:t>Tableau n°13 : p</w:t>
      </w:r>
      <w:r w:rsidR="001A03D9" w:rsidRPr="00425A7F">
        <w:rPr>
          <w:color w:val="auto"/>
          <w:sz w:val="22"/>
          <w:szCs w:val="22"/>
          <w:u w:val="single"/>
        </w:rPr>
        <w:t>révision d'évolution de la couverture maladie</w:t>
      </w:r>
    </w:p>
    <w:p w:rsidR="001A03D9" w:rsidRPr="00425A7F" w:rsidRDefault="001A03D9" w:rsidP="001A03D9"/>
    <w:p w:rsidR="001A03D9" w:rsidRPr="00425A7F" w:rsidRDefault="001A03D9" w:rsidP="001A03D9">
      <w:pPr>
        <w:widowControl w:val="0"/>
        <w:suppressAutoHyphens/>
        <w:jc w:val="both"/>
        <w:rPr>
          <w:rFonts w:asciiTheme="minorHAnsi" w:eastAsia="Times New Roman" w:hAnsiTheme="minorHAnsi"/>
          <w:i/>
          <w:u w:val="single"/>
          <w:lang w:eastAsia="fr-FR"/>
        </w:rPr>
      </w:pPr>
    </w:p>
    <w:p w:rsidR="001A03D9" w:rsidRPr="00425A7F" w:rsidRDefault="007D7A58" w:rsidP="003D3912">
      <w:r w:rsidRPr="00425A7F">
        <w:rPr>
          <w:noProof/>
          <w:lang w:eastAsia="fr-FR"/>
        </w:rPr>
        <w:drawing>
          <wp:inline distT="0" distB="0" distL="0" distR="0" wp14:anchorId="3ABA9473" wp14:editId="22DDE1EF">
            <wp:extent cx="5759450" cy="1204180"/>
            <wp:effectExtent l="0" t="0" r="0" b="0"/>
            <wp:docPr id="46" name="Imag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59450" cy="1204180"/>
                    </a:xfrm>
                    <a:prstGeom prst="rect">
                      <a:avLst/>
                    </a:prstGeom>
                    <a:noFill/>
                    <a:ln>
                      <a:noFill/>
                    </a:ln>
                  </pic:spPr>
                </pic:pic>
              </a:graphicData>
            </a:graphic>
          </wp:inline>
        </w:drawing>
      </w:r>
    </w:p>
    <w:p w:rsidR="003D3912" w:rsidRPr="00425A7F" w:rsidRDefault="003D3912" w:rsidP="001D7D54">
      <w:pPr>
        <w:jc w:val="right"/>
        <w:rPr>
          <w:rFonts w:asciiTheme="minorHAnsi" w:eastAsia="Times New Roman" w:hAnsiTheme="minorHAnsi"/>
          <w:i/>
          <w:u w:val="single"/>
          <w:lang w:eastAsia="fr-FR"/>
        </w:rPr>
      </w:pPr>
    </w:p>
    <w:p w:rsidR="001A03D9" w:rsidRPr="00425A7F" w:rsidRDefault="001A03D9" w:rsidP="001A03D9">
      <w:pPr>
        <w:widowControl w:val="0"/>
        <w:suppressAutoHyphens/>
        <w:jc w:val="both"/>
        <w:rPr>
          <w:rFonts w:asciiTheme="minorHAnsi" w:eastAsia="Times New Roman" w:hAnsiTheme="minorHAnsi"/>
          <w:i/>
          <w:u w:val="single"/>
          <w:lang w:eastAsia="fr-FR"/>
        </w:rPr>
      </w:pPr>
    </w:p>
    <w:p w:rsidR="001A03D9" w:rsidRPr="00425A7F" w:rsidRDefault="001A03D9" w:rsidP="00EA65F3">
      <w:pPr>
        <w:pStyle w:val="Titre3"/>
      </w:pPr>
      <w:bookmarkStart w:id="47" w:name="_Toc497294505"/>
      <w:r w:rsidRPr="00425A7F">
        <w:t>c. Augmenter le volume des financements extérieurs prévisibles et maîtrisables</w:t>
      </w:r>
      <w:bookmarkEnd w:id="47"/>
    </w:p>
    <w:p w:rsidR="001A03D9" w:rsidRPr="00425A7F" w:rsidRDefault="001A03D9" w:rsidP="001A03D9">
      <w:pPr>
        <w:widowControl w:val="0"/>
        <w:suppressAutoHyphens/>
        <w:jc w:val="both"/>
        <w:rPr>
          <w:rFonts w:asciiTheme="minorHAnsi" w:hAnsiTheme="minorHAnsi"/>
        </w:rPr>
      </w:pPr>
      <w:r w:rsidRPr="00425A7F">
        <w:rPr>
          <w:rFonts w:asciiTheme="minorHAnsi" w:hAnsiTheme="minorHAnsi"/>
        </w:rPr>
        <w:t>Le secteur est très largement financé par l’aide extérieure, une situation qui ne facilite pas le pilotage national. La crise politique récente, qui a amené la plupart des PTF à suspendre leur aide, a même démontré que ce déséquilibre pouvait considérablement fragiliser la continuité de la politique nationale. En tout état de cause, la présente stratégie veut affirmer la direction qu’il est nécessaire de prendre vers davantage de maîtrise et de prévisibilité des financements de l’aide extérieure.</w:t>
      </w:r>
    </w:p>
    <w:p w:rsidR="001A03D9" w:rsidRPr="00425A7F" w:rsidRDefault="001A03D9" w:rsidP="001A03D9">
      <w:pPr>
        <w:widowControl w:val="0"/>
        <w:suppressAutoHyphens/>
        <w:jc w:val="both"/>
        <w:rPr>
          <w:rFonts w:asciiTheme="minorHAnsi" w:hAnsiTheme="minorHAnsi"/>
        </w:rPr>
      </w:pPr>
    </w:p>
    <w:p w:rsidR="001A03D9" w:rsidRPr="00425A7F" w:rsidRDefault="001A03D9" w:rsidP="001A03D9">
      <w:pPr>
        <w:widowControl w:val="0"/>
        <w:suppressAutoHyphens/>
        <w:jc w:val="both"/>
        <w:rPr>
          <w:rFonts w:asciiTheme="minorHAnsi" w:hAnsiTheme="minorHAnsi"/>
        </w:rPr>
      </w:pPr>
      <w:r w:rsidRPr="00425A7F">
        <w:rPr>
          <w:rFonts w:asciiTheme="minorHAnsi" w:hAnsiTheme="minorHAnsi"/>
        </w:rPr>
        <w:t>Concrètement, il s’agira pour le secteur de développer un dialogue sectoriel de qualité et améliorer sa redevabilité pour que les financements des PTF s’orientent de manière cohérente et complémentaire dans le sens d’une direction souveraine. En complément de la présente stratégie, d’autres stratégies relatives au dialogue politique et à la gestion financière devront donc être mises en œuvre.</w:t>
      </w:r>
    </w:p>
    <w:p w:rsidR="001A03D9" w:rsidRPr="00425A7F" w:rsidRDefault="001A03D9" w:rsidP="00EA65F3">
      <w:pPr>
        <w:pStyle w:val="Titre3"/>
      </w:pPr>
    </w:p>
    <w:p w:rsidR="001A03D9" w:rsidRPr="00425A7F" w:rsidRDefault="001A03D9" w:rsidP="00EA65F3">
      <w:pPr>
        <w:pStyle w:val="Titre3"/>
      </w:pPr>
      <w:bookmarkStart w:id="48" w:name="_Toc497294506"/>
      <w:r w:rsidRPr="00425A7F">
        <w:t>d. Mettre en place un système d'allocation des financements sur la base d'objectifs d'efficience et d'équité</w:t>
      </w:r>
      <w:bookmarkEnd w:id="48"/>
    </w:p>
    <w:p w:rsidR="001A03D9" w:rsidRPr="00425A7F" w:rsidRDefault="001A03D9" w:rsidP="001A03D9">
      <w:pPr>
        <w:widowControl w:val="0"/>
        <w:suppressAutoHyphens/>
        <w:jc w:val="both"/>
        <w:rPr>
          <w:rFonts w:asciiTheme="minorHAnsi" w:eastAsia="Times New Roman" w:hAnsiTheme="minorHAnsi"/>
          <w:i/>
          <w:iCs/>
          <w:color w:val="000000"/>
          <w:lang w:eastAsia="fr-FR"/>
        </w:rPr>
      </w:pPr>
    </w:p>
    <w:p w:rsidR="001A03D9" w:rsidRPr="00425A7F" w:rsidRDefault="001A03D9" w:rsidP="001A03D9">
      <w:pPr>
        <w:widowControl w:val="0"/>
        <w:suppressAutoHyphens/>
        <w:jc w:val="both"/>
        <w:rPr>
          <w:rFonts w:asciiTheme="minorHAnsi" w:hAnsiTheme="minorHAnsi"/>
        </w:rPr>
      </w:pPr>
      <w:r w:rsidRPr="00425A7F">
        <w:rPr>
          <w:rFonts w:asciiTheme="minorHAnsi" w:hAnsiTheme="minorHAnsi"/>
        </w:rPr>
        <w:t>Il est important d’élaborer des outils de planification stratégique comme le plan décennal, le programme quinquennal et le cadre de dépenses à moyen terme (CDMT) qui soient véritablement ascendants. Le système d'allocations sera règlementé sur la base des résultats et des besoins et en étendant la couverture aux zones insuffisamment pourvues. Enfin on pensera à assurer la disponibilité de ressources humaines notamment en favorisant leur déploiement dans des zones reculées à l’aide de mesures incitatives. Leurs compétences en gestion seront aussi améliorées.</w:t>
      </w:r>
    </w:p>
    <w:p w:rsidR="001A03D9" w:rsidRPr="00425A7F" w:rsidRDefault="001A03D9" w:rsidP="001A03D9">
      <w:pPr>
        <w:widowControl w:val="0"/>
        <w:suppressAutoHyphens/>
        <w:jc w:val="both"/>
        <w:rPr>
          <w:rFonts w:asciiTheme="minorHAnsi" w:eastAsia="Times New Roman" w:hAnsiTheme="minorHAnsi"/>
          <w:i/>
          <w:iCs/>
          <w:color w:val="000000"/>
          <w:lang w:eastAsia="fr-FR"/>
        </w:rPr>
      </w:pPr>
    </w:p>
    <w:p w:rsidR="001A03D9" w:rsidRPr="00425A7F" w:rsidRDefault="001A03D9" w:rsidP="00EA65F3">
      <w:pPr>
        <w:pStyle w:val="Titre3"/>
      </w:pPr>
      <w:bookmarkStart w:id="49" w:name="_Toc497294507"/>
      <w:r w:rsidRPr="00425A7F">
        <w:lastRenderedPageBreak/>
        <w:t>e. Développer la certification &amp; la mise en place de modalités de tarification adéquates</w:t>
      </w:r>
      <w:bookmarkEnd w:id="49"/>
    </w:p>
    <w:p w:rsidR="001A03D9" w:rsidRPr="00425A7F" w:rsidRDefault="001A03D9" w:rsidP="001A03D9">
      <w:pPr>
        <w:widowControl w:val="0"/>
        <w:suppressAutoHyphens/>
        <w:jc w:val="both"/>
        <w:rPr>
          <w:rFonts w:asciiTheme="minorHAnsi" w:eastAsia="Times New Roman" w:hAnsiTheme="minorHAnsi"/>
          <w:i/>
          <w:iCs/>
          <w:color w:val="000000"/>
          <w:lang w:eastAsia="fr-FR"/>
        </w:rPr>
      </w:pPr>
    </w:p>
    <w:p w:rsidR="001A03D9" w:rsidRPr="00425A7F" w:rsidRDefault="001A03D9" w:rsidP="001A03D9">
      <w:pPr>
        <w:widowControl w:val="0"/>
        <w:suppressAutoHyphens/>
        <w:jc w:val="both"/>
        <w:rPr>
          <w:rFonts w:asciiTheme="minorHAnsi" w:hAnsiTheme="minorHAnsi"/>
        </w:rPr>
      </w:pPr>
      <w:r w:rsidRPr="00425A7F">
        <w:rPr>
          <w:rFonts w:asciiTheme="minorHAnsi" w:hAnsiTheme="minorHAnsi"/>
        </w:rPr>
        <w:t>Le rapport de l’offre à la demande sera amélioré par un effort particulier sur les conditions de l’offre et de la tarification. Pour ce faire, une intervention stratégique consistera à réviser les missions de l’ANEH pour prendre en compte l'accréditation de l’ensemble du système de santé. En général, on visera à l’amélioration de la gestion hospitalière et des prestataires de services de santé publics notamment au niveau du recouvrement, du système d’information, de la transparence, et de l’efficience. L’effort devra se déployer jusqu’à l’amélioration des conditions de tarification des actes et médicaments, notamment celles assurant la transparence, l’harmonisation, la visibilité, et la redevabilité. Les tarifications au forfait seront largement promues, en lien avec la rationalisation des prescriptions. Autant que nécessaire, des formations en management devront être assurées pour le personnel de santé.</w:t>
      </w:r>
    </w:p>
    <w:p w:rsidR="001A03D9" w:rsidRPr="00425A7F" w:rsidRDefault="001A03D9" w:rsidP="001A03D9">
      <w:pPr>
        <w:widowControl w:val="0"/>
        <w:suppressAutoHyphens/>
        <w:jc w:val="both"/>
        <w:rPr>
          <w:rFonts w:asciiTheme="minorHAnsi" w:hAnsiTheme="minorHAnsi"/>
        </w:rPr>
      </w:pPr>
    </w:p>
    <w:p w:rsidR="001A03D9" w:rsidRPr="00425A7F" w:rsidRDefault="001A03D9" w:rsidP="001A03D9">
      <w:pPr>
        <w:widowControl w:val="0"/>
        <w:suppressAutoHyphens/>
        <w:jc w:val="both"/>
        <w:rPr>
          <w:rFonts w:asciiTheme="minorHAnsi" w:hAnsiTheme="minorHAnsi"/>
        </w:rPr>
      </w:pPr>
      <w:r w:rsidRPr="00425A7F">
        <w:rPr>
          <w:rFonts w:asciiTheme="minorHAnsi" w:hAnsiTheme="minorHAnsi"/>
        </w:rPr>
        <w:t xml:space="preserve">Ce travail se fera en accompagnement de l’ensemble des stratégies sanitaires dans le sens où l’offre est affaire de l’ensemble des piliers du système de santé. Il tiendra à l’ensemble des stratégies d’assurer la disponibilité et la qualité au niveau des infrastructures, du matériel, des ressources humaines, ou encore de la gestion et de l'approvisionnement des médicaments et intrants. </w:t>
      </w:r>
    </w:p>
    <w:p w:rsidR="001A03D9" w:rsidRPr="00425A7F" w:rsidRDefault="001A03D9" w:rsidP="001A03D9">
      <w:pPr>
        <w:widowControl w:val="0"/>
        <w:suppressAutoHyphens/>
        <w:jc w:val="both"/>
        <w:rPr>
          <w:rFonts w:eastAsia="Times New Roman"/>
          <w:lang w:eastAsia="fr-FR"/>
        </w:rPr>
      </w:pPr>
    </w:p>
    <w:p w:rsidR="001A03D9" w:rsidRPr="00425A7F" w:rsidRDefault="001A03D9" w:rsidP="00EA65F3">
      <w:pPr>
        <w:pStyle w:val="Titre3"/>
        <w:rPr>
          <w:rFonts w:eastAsia="Times New Roman"/>
        </w:rPr>
      </w:pPr>
      <w:bookmarkStart w:id="50" w:name="_Toc497294508"/>
      <w:r w:rsidRPr="00425A7F">
        <w:t xml:space="preserve">f. </w:t>
      </w:r>
      <w:r w:rsidRPr="00425A7F">
        <w:rPr>
          <w:rFonts w:eastAsia="Times New Roman"/>
        </w:rPr>
        <w:t>Prendre en considération les priorités du secteur et le contexte national dans l’allocation des ressources</w:t>
      </w:r>
      <w:bookmarkEnd w:id="50"/>
    </w:p>
    <w:p w:rsidR="001A03D9" w:rsidRPr="00425A7F" w:rsidRDefault="001A03D9" w:rsidP="001A03D9">
      <w:pPr>
        <w:widowControl w:val="0"/>
        <w:suppressAutoHyphens/>
        <w:jc w:val="both"/>
        <w:rPr>
          <w:rFonts w:asciiTheme="minorHAnsi" w:eastAsia="Times New Roman" w:hAnsiTheme="minorHAnsi"/>
          <w:i/>
          <w:iCs/>
          <w:color w:val="000000"/>
          <w:lang w:eastAsia="fr-FR"/>
        </w:rPr>
      </w:pPr>
    </w:p>
    <w:p w:rsidR="001A03D9" w:rsidRPr="00425A7F" w:rsidRDefault="001A03D9" w:rsidP="001A03D9">
      <w:pPr>
        <w:widowControl w:val="0"/>
        <w:suppressAutoHyphens/>
        <w:jc w:val="both"/>
        <w:rPr>
          <w:rFonts w:asciiTheme="minorHAnsi" w:hAnsiTheme="minorHAnsi"/>
        </w:rPr>
      </w:pPr>
      <w:r w:rsidRPr="00425A7F">
        <w:rPr>
          <w:rFonts w:asciiTheme="minorHAnsi" w:hAnsiTheme="minorHAnsi"/>
        </w:rPr>
        <w:t>Outre la remise à niveau et la recherche de performance et d’équité, la stratégie d’allocation s’assurera de la prise en compte des priorités du secteur. En particulier, la stratégie de prévention fera l’objet d’une attention toute particulière, et la part des dépenses qui y est consacrée augmentera régulièrement. De même, il s’agira de développer les cadres de concertation intersectoriels requis par certaines priorités sanitaires nationales (eau et assainissement, lutte contre la malnutrition, éducation à la santé…) et encore de donner les moyens nécessaires au renforcement de la résilience. Ces cadres de concertations intersectorielles doivent être envisagés dans le contexte plus général des stratégies de développement, aussi les Ministères en charge du secteur de la santé devront être proactifs dans leur mise en place et la tenue adéquate de leur rôle.</w:t>
      </w:r>
    </w:p>
    <w:p w:rsidR="001A03D9" w:rsidRPr="00425A7F" w:rsidRDefault="001A03D9" w:rsidP="001A03D9">
      <w:pPr>
        <w:widowControl w:val="0"/>
        <w:suppressAutoHyphens/>
        <w:jc w:val="both"/>
        <w:rPr>
          <w:rFonts w:asciiTheme="minorHAnsi" w:eastAsia="Times New Roman" w:hAnsiTheme="minorHAnsi"/>
          <w:i/>
          <w:iCs/>
          <w:color w:val="000000"/>
          <w:lang w:eastAsia="fr-FR"/>
        </w:rPr>
      </w:pPr>
    </w:p>
    <w:p w:rsidR="001A03D9" w:rsidRPr="00425A7F" w:rsidRDefault="001A03D9" w:rsidP="00EA65F3">
      <w:pPr>
        <w:pStyle w:val="Titre3"/>
        <w:rPr>
          <w:rFonts w:eastAsia="Times New Roman"/>
        </w:rPr>
      </w:pPr>
      <w:bookmarkStart w:id="51" w:name="_Toc497294509"/>
      <w:r w:rsidRPr="00425A7F">
        <w:t xml:space="preserve">g. </w:t>
      </w:r>
      <w:r w:rsidRPr="00425A7F">
        <w:rPr>
          <w:rFonts w:eastAsia="Times New Roman"/>
        </w:rPr>
        <w:t>Développer une stratégie avec le secteur privé dans le sens de l’intérêt des populations</w:t>
      </w:r>
      <w:bookmarkEnd w:id="51"/>
    </w:p>
    <w:p w:rsidR="001A03D9" w:rsidRPr="00425A7F" w:rsidRDefault="001A03D9" w:rsidP="001A03D9">
      <w:pPr>
        <w:widowControl w:val="0"/>
        <w:suppressAutoHyphens/>
        <w:jc w:val="both"/>
        <w:rPr>
          <w:rFonts w:asciiTheme="minorHAnsi" w:eastAsia="Times New Roman" w:hAnsiTheme="minorHAnsi"/>
          <w:i/>
          <w:iCs/>
          <w:color w:val="000000"/>
          <w:lang w:eastAsia="fr-FR"/>
        </w:rPr>
      </w:pPr>
    </w:p>
    <w:p w:rsidR="001A03D9" w:rsidRPr="00425A7F" w:rsidRDefault="001A03D9" w:rsidP="001A03D9">
      <w:pPr>
        <w:widowControl w:val="0"/>
        <w:suppressAutoHyphens/>
        <w:jc w:val="both"/>
        <w:rPr>
          <w:rFonts w:asciiTheme="minorHAnsi" w:eastAsia="Times New Roman" w:hAnsiTheme="minorHAnsi"/>
          <w:lang w:eastAsia="fr-FR"/>
        </w:rPr>
      </w:pPr>
      <w:r w:rsidRPr="00425A7F">
        <w:rPr>
          <w:rFonts w:asciiTheme="minorHAnsi" w:eastAsia="Times New Roman" w:hAnsiTheme="minorHAnsi"/>
          <w:lang w:eastAsia="fr-FR"/>
        </w:rPr>
        <w:t xml:space="preserve">Parent pauvre des stratégies sectorielles, le secteur privé fera l’objet d’un cadre de concertation avec la partie publique afin de trouver les voies et moyens de relations « gagnant-gagnant ». Outre l’amélioration de son rôle de régulation du secteur, les Ministères du secteur de la Santé chercheront à développer les partenariats public-privé PPP dans le sens de l’intérêt général. </w:t>
      </w:r>
    </w:p>
    <w:p w:rsidR="001A03D9" w:rsidRPr="00425A7F" w:rsidRDefault="001A03D9" w:rsidP="001A03D9">
      <w:pPr>
        <w:widowControl w:val="0"/>
        <w:suppressAutoHyphens/>
        <w:jc w:val="both"/>
        <w:rPr>
          <w:rFonts w:asciiTheme="minorHAnsi" w:eastAsia="Times New Roman" w:hAnsiTheme="minorHAnsi"/>
          <w:lang w:eastAsia="fr-FR"/>
        </w:rPr>
      </w:pPr>
    </w:p>
    <w:p w:rsidR="001A03D9" w:rsidRPr="00425A7F" w:rsidRDefault="001A03D9" w:rsidP="00EA65F3">
      <w:pPr>
        <w:pStyle w:val="Titre3"/>
        <w:rPr>
          <w:rFonts w:eastAsia="Times New Roman"/>
        </w:rPr>
      </w:pPr>
      <w:bookmarkStart w:id="52" w:name="_Toc497294510"/>
      <w:r w:rsidRPr="00425A7F">
        <w:t xml:space="preserve">h. </w:t>
      </w:r>
      <w:r w:rsidRPr="00425A7F">
        <w:rPr>
          <w:rFonts w:eastAsia="Times New Roman"/>
        </w:rPr>
        <w:t>Organiser l’institutionnalisation de l’Assurance Maladie Universelle</w:t>
      </w:r>
      <w:bookmarkEnd w:id="52"/>
    </w:p>
    <w:p w:rsidR="001A03D9" w:rsidRPr="00425A7F" w:rsidRDefault="001A03D9" w:rsidP="001A03D9">
      <w:pPr>
        <w:widowControl w:val="0"/>
        <w:suppressAutoHyphens/>
        <w:jc w:val="both"/>
        <w:rPr>
          <w:rFonts w:asciiTheme="minorHAnsi" w:eastAsia="Times New Roman" w:hAnsiTheme="minorHAnsi"/>
          <w:lang w:eastAsia="fr-FR"/>
        </w:rPr>
      </w:pPr>
      <w:r w:rsidRPr="00425A7F">
        <w:rPr>
          <w:rFonts w:asciiTheme="minorHAnsi" w:eastAsia="Times New Roman" w:hAnsiTheme="minorHAnsi"/>
          <w:lang w:eastAsia="fr-FR"/>
        </w:rPr>
        <w:t>Afin de développer l’Assurance Maladie Universelle (AMU), un organisme de gestion du risque unique sera mis en place. Pratiquement, il s’agira de mandater en cela et à terme la CANAM et légiférer sur la mise en place d’un régime d’assurance maladie de base obligatoire pour tous. Au-delà du Ministère de Tutelle technique, l’AMU requerra la mise en place d’une instance de régulation interministérielle de l’assurance maladie. Une importance sera donnée aux composantes institutionnelles permettant d’assurer la bonne gouvernance et d’obtenir la confiance des populations dans le dispositif ; notamment, l’autonomie de la structure, ainsi que l’implication de la société civile dans sa gouvernance, feront l’objet d’une attention particulière.</w:t>
      </w:r>
    </w:p>
    <w:p w:rsidR="003E6645" w:rsidRPr="00425A7F" w:rsidRDefault="003E6645" w:rsidP="001A03D9">
      <w:pPr>
        <w:widowControl w:val="0"/>
        <w:suppressAutoHyphens/>
        <w:jc w:val="both"/>
        <w:rPr>
          <w:rFonts w:asciiTheme="minorHAnsi" w:eastAsia="Times New Roman" w:hAnsiTheme="minorHAnsi"/>
          <w:sz w:val="10"/>
          <w:lang w:eastAsia="fr-FR"/>
        </w:rPr>
      </w:pPr>
    </w:p>
    <w:p w:rsidR="001A03D9" w:rsidRPr="00425A7F" w:rsidRDefault="001A03D9" w:rsidP="00C52415">
      <w:pPr>
        <w:pStyle w:val="Titre3"/>
        <w:numPr>
          <w:ilvl w:val="0"/>
          <w:numId w:val="9"/>
        </w:numPr>
        <w:ind w:left="1134" w:hanging="283"/>
      </w:pPr>
      <w:bookmarkStart w:id="53" w:name="_Toc497294511"/>
      <w:r w:rsidRPr="00425A7F">
        <w:lastRenderedPageBreak/>
        <w:t xml:space="preserve">Instaurer un paquet de base de </w:t>
      </w:r>
      <w:r w:rsidR="002C37D7" w:rsidRPr="00425A7F">
        <w:t>couverture sanitaire universelle</w:t>
      </w:r>
      <w:r w:rsidRPr="00425A7F">
        <w:t xml:space="preserve"> pour tous</w:t>
      </w:r>
      <w:bookmarkEnd w:id="53"/>
    </w:p>
    <w:p w:rsidR="001A03D9" w:rsidRPr="00425A7F" w:rsidRDefault="001A03D9" w:rsidP="001A03D9">
      <w:pPr>
        <w:widowControl w:val="0"/>
        <w:suppressAutoHyphens/>
        <w:jc w:val="both"/>
        <w:rPr>
          <w:rFonts w:asciiTheme="minorHAnsi" w:eastAsia="Times New Roman" w:hAnsiTheme="minorHAnsi"/>
          <w:color w:val="000000"/>
          <w:lang w:eastAsia="fr-FR"/>
        </w:rPr>
      </w:pPr>
      <w:r w:rsidRPr="00425A7F">
        <w:rPr>
          <w:rFonts w:asciiTheme="minorHAnsi" w:eastAsia="Times New Roman" w:hAnsiTheme="minorHAnsi"/>
          <w:color w:val="000000"/>
          <w:lang w:eastAsia="fr-FR"/>
        </w:rPr>
        <w:t xml:space="preserve">Une orientation stratégique consistera à mettre en place un paquet de soins pour tous ou « paquet de base » et à en assurer la prise en charge financière par l’État à hauteur de 100% pour les démunis, à hauteur de 80% du paquet de soins pour les populations du secteur informel. La part de la population considérée comme démunie est établie à 5% dans un premier temps. </w:t>
      </w:r>
    </w:p>
    <w:p w:rsidR="001A03D9" w:rsidRPr="00425A7F" w:rsidRDefault="001A03D9" w:rsidP="001A03D9">
      <w:pPr>
        <w:widowControl w:val="0"/>
        <w:suppressAutoHyphens/>
        <w:jc w:val="both"/>
        <w:rPr>
          <w:rFonts w:asciiTheme="minorHAnsi" w:eastAsia="Times New Roman" w:hAnsiTheme="minorHAnsi"/>
          <w:color w:val="000000"/>
          <w:lang w:eastAsia="fr-FR"/>
        </w:rPr>
      </w:pPr>
    </w:p>
    <w:p w:rsidR="001A03D9" w:rsidRPr="00425A7F" w:rsidRDefault="001A03D9" w:rsidP="001A03D9">
      <w:pPr>
        <w:widowControl w:val="0"/>
        <w:suppressAutoHyphens/>
        <w:jc w:val="both"/>
        <w:rPr>
          <w:rFonts w:asciiTheme="minorHAnsi" w:eastAsia="Times New Roman" w:hAnsiTheme="minorHAnsi"/>
          <w:color w:val="000000"/>
          <w:lang w:eastAsia="fr-FR"/>
        </w:rPr>
      </w:pPr>
      <w:r w:rsidRPr="00425A7F">
        <w:rPr>
          <w:rFonts w:asciiTheme="minorHAnsi" w:eastAsia="Times New Roman" w:hAnsiTheme="minorHAnsi"/>
          <w:color w:val="000000"/>
          <w:lang w:eastAsia="fr-FR"/>
        </w:rPr>
        <w:t xml:space="preserve">Le paquet de soins de base sera défini comptes tenus notamment du déterminant financier (ressources disponibles) et des priorités en termes de santé publique. Il sera l’élément majeur de la stratégie « bénéfices / bénéficiaires » et prendra en compte les priorités de la politique de santé. Notamment, il participera de la politique de prévention et d’accès aux soins de santé de base. </w:t>
      </w:r>
    </w:p>
    <w:p w:rsidR="001A03D9" w:rsidRPr="00425A7F" w:rsidRDefault="001A03D9" w:rsidP="001A03D9">
      <w:pPr>
        <w:widowControl w:val="0"/>
        <w:suppressAutoHyphens/>
        <w:jc w:val="both"/>
        <w:rPr>
          <w:rFonts w:asciiTheme="minorHAnsi" w:eastAsia="Times New Roman" w:hAnsiTheme="minorHAnsi"/>
          <w:color w:val="000000"/>
          <w:lang w:eastAsia="fr-FR"/>
        </w:rPr>
      </w:pPr>
    </w:p>
    <w:p w:rsidR="001A03D9" w:rsidRPr="00425A7F" w:rsidRDefault="001A03D9" w:rsidP="001A03D9">
      <w:pPr>
        <w:widowControl w:val="0"/>
        <w:suppressAutoHyphens/>
        <w:jc w:val="both"/>
        <w:rPr>
          <w:rFonts w:asciiTheme="minorHAnsi" w:eastAsia="Times New Roman" w:hAnsiTheme="minorHAnsi"/>
          <w:lang w:eastAsia="fr-FR"/>
        </w:rPr>
      </w:pPr>
      <w:r w:rsidRPr="00425A7F">
        <w:rPr>
          <w:rFonts w:asciiTheme="minorHAnsi" w:eastAsia="Times New Roman" w:hAnsiTheme="minorHAnsi"/>
          <w:color w:val="000000"/>
          <w:lang w:eastAsia="fr-FR"/>
        </w:rPr>
        <w:t>Le déploiement de l’AMU sur la base d’un paquet de soins de base n’empêchera pas de favoriser le développement des régimes complémentaires, tout au contraire, à la fois pour les catégories du secteur formel (par le même organisme) et pour le secteur informel (via les mutuelles). L’organisme de gestion du risque unique permettra de d</w:t>
      </w:r>
      <w:r w:rsidRPr="00425A7F">
        <w:rPr>
          <w:rFonts w:asciiTheme="minorHAnsi" w:eastAsia="Times New Roman" w:hAnsiTheme="minorHAnsi"/>
          <w:lang w:eastAsia="fr-FR"/>
        </w:rPr>
        <w:t xml:space="preserve">évelopper une stratégie d’achat des services de santé garantissant la maîtrise des coûts et la qualité des soins pour les assurés. </w:t>
      </w:r>
    </w:p>
    <w:p w:rsidR="001A03D9" w:rsidRPr="00425A7F" w:rsidRDefault="001A03D9" w:rsidP="001A03D9">
      <w:pPr>
        <w:widowControl w:val="0"/>
        <w:suppressAutoHyphens/>
        <w:jc w:val="both"/>
        <w:rPr>
          <w:rFonts w:asciiTheme="minorHAnsi" w:eastAsia="Times New Roman" w:hAnsiTheme="minorHAnsi"/>
          <w:lang w:eastAsia="fr-FR"/>
        </w:rPr>
      </w:pPr>
    </w:p>
    <w:p w:rsidR="001A03D9" w:rsidRPr="00425A7F" w:rsidRDefault="001A03D9" w:rsidP="001A03D9">
      <w:pPr>
        <w:widowControl w:val="0"/>
        <w:suppressAutoHyphens/>
        <w:jc w:val="both"/>
        <w:rPr>
          <w:rFonts w:asciiTheme="minorHAnsi" w:eastAsia="Times New Roman" w:hAnsiTheme="minorHAnsi"/>
          <w:lang w:eastAsia="fr-FR"/>
        </w:rPr>
      </w:pPr>
      <w:r w:rsidRPr="00425A7F">
        <w:rPr>
          <w:rFonts w:asciiTheme="minorHAnsi" w:eastAsia="Times New Roman" w:hAnsiTheme="minorHAnsi"/>
          <w:lang w:eastAsia="fr-FR"/>
        </w:rPr>
        <w:t xml:space="preserve">Le déploiement de l’assurance maladie pour le secteur formel dépendra notamment de la constitution du tissu des mutuelles sociales. Leur rôle est en effet envisagé dans les fonctions de proximité de l’AMU et vis-à-vis du secteur informel : information, collecte, suivi ou encore contrôle de l’effectivité des soins. Aussi cherchera-t-on à renforcer les capacités de l’organe administratif en charge de celles-ci dans le cadre de la règlementation UEMOA, à impliquer les collectivités territoriales dans cette direction, à appuyer les initiatives de création des mutuelles communales, unions des mutuelles de district, fédérations régionales et fédération nationale. Il s’agira d’assurer une proximité entre l’organisme de gestion et les populations au niveau local tout en favorisant le pooling maximal des fonds dédiés à la prise en charge du secteur informel. De fait, comme les cotisations de ce secteur seront complétées largement par les subventions publiques dans le cadre du paquet national uniformisé de base, les fonds seront d’autant plus naturellement mutualisés au niveau central. Un groupe d’acteurs important sera celui des organismes d’appui technique aux mutuelles, qu’il faudra appuyer financièrement afin de réussir à mettre en place un système de protection sociale santé sur la base de cette organisation de la société civile. Enfin la CANAM développera des contrats de gestion déléguée avec les structures faitières de mutuelles (UTM par exemple) pour le déploiement du système à destination du secteur informel. </w:t>
      </w:r>
    </w:p>
    <w:p w:rsidR="001A03D9" w:rsidRPr="00425A7F" w:rsidRDefault="001A03D9" w:rsidP="001A03D9">
      <w:pPr>
        <w:widowControl w:val="0"/>
        <w:suppressAutoHyphens/>
        <w:jc w:val="both"/>
        <w:rPr>
          <w:rFonts w:asciiTheme="minorHAnsi" w:eastAsia="Times New Roman" w:hAnsiTheme="minorHAnsi"/>
          <w:sz w:val="16"/>
          <w:lang w:eastAsia="fr-FR"/>
        </w:rPr>
      </w:pPr>
    </w:p>
    <w:p w:rsidR="001A03D9" w:rsidRPr="00425A7F" w:rsidRDefault="001A03D9" w:rsidP="001A03D9">
      <w:pPr>
        <w:widowControl w:val="0"/>
        <w:suppressAutoHyphens/>
        <w:jc w:val="both"/>
        <w:rPr>
          <w:rFonts w:asciiTheme="minorHAnsi" w:eastAsia="Times New Roman" w:hAnsiTheme="minorHAnsi"/>
          <w:lang w:eastAsia="fr-FR"/>
        </w:rPr>
      </w:pPr>
      <w:r w:rsidRPr="00425A7F">
        <w:rPr>
          <w:rFonts w:asciiTheme="minorHAnsi" w:eastAsia="Times New Roman" w:hAnsiTheme="minorHAnsi"/>
          <w:lang w:eastAsia="fr-FR"/>
        </w:rPr>
        <w:t>Selon les perspectives établies, la couverture en 2029 atteindra 49% de la population, dont la totalité du secteur formel, plus de 1,4 million de démunis, et plus de 7,6 millions d’assurés du secteur informel non pauvre.</w:t>
      </w:r>
    </w:p>
    <w:p w:rsidR="001A03D9" w:rsidRPr="00425A7F" w:rsidRDefault="001A03D9" w:rsidP="001A03D9">
      <w:pPr>
        <w:widowControl w:val="0"/>
        <w:suppressAutoHyphens/>
        <w:jc w:val="both"/>
        <w:rPr>
          <w:rFonts w:asciiTheme="minorHAnsi" w:hAnsiTheme="minorHAnsi"/>
          <w:bCs/>
          <w:i/>
          <w:sz w:val="14"/>
        </w:rPr>
      </w:pPr>
    </w:p>
    <w:p w:rsidR="001A03D9" w:rsidRPr="00425A7F" w:rsidRDefault="001A03D9" w:rsidP="00EA65F3">
      <w:pPr>
        <w:pStyle w:val="Titre3"/>
      </w:pPr>
      <w:bookmarkStart w:id="54" w:name="_Toc497294512"/>
      <w:r w:rsidRPr="00425A7F">
        <w:t>j. Intégrer progressivement les gratuités à l’Assurance Maladie</w:t>
      </w:r>
      <w:bookmarkEnd w:id="54"/>
    </w:p>
    <w:p w:rsidR="001A03D9" w:rsidRPr="00425A7F" w:rsidRDefault="001A03D9" w:rsidP="001A03D9">
      <w:pPr>
        <w:widowControl w:val="0"/>
        <w:suppressAutoHyphens/>
        <w:jc w:val="both"/>
        <w:rPr>
          <w:rFonts w:asciiTheme="minorHAnsi" w:eastAsia="Times New Roman" w:hAnsiTheme="minorHAnsi"/>
          <w:lang w:eastAsia="fr-FR"/>
        </w:rPr>
      </w:pPr>
      <w:r w:rsidRPr="00425A7F">
        <w:rPr>
          <w:rFonts w:asciiTheme="minorHAnsi" w:eastAsia="Times New Roman" w:hAnsiTheme="minorHAnsi"/>
          <w:lang w:eastAsia="fr-FR"/>
        </w:rPr>
        <w:t xml:space="preserve">Dans un premier temps, on procédera aux évaluations techniques nécessaires des initiatives de « gratuité » (césarienne, palu notamment). Puis, afin de mettre en place une véritable stratégie de couverture du risque maladie, on organisera des concertations sous pilotage interministériel et leadership du Ministère de la Santé et de l’Hygiène Publique pour la définition d’une stratégie claire de gratuité (bénéfices / bénéficiaires) avec mobilisation systématique de lignes de crédit. Les textes seront alors mis en conformité avec les choix effectués. </w:t>
      </w:r>
    </w:p>
    <w:p w:rsidR="001A03D9" w:rsidRPr="00425A7F" w:rsidRDefault="001A03D9" w:rsidP="001A03D9">
      <w:pPr>
        <w:widowControl w:val="0"/>
        <w:suppressAutoHyphens/>
        <w:jc w:val="both"/>
        <w:rPr>
          <w:rFonts w:asciiTheme="minorHAnsi" w:eastAsia="Times New Roman" w:hAnsiTheme="minorHAnsi"/>
          <w:sz w:val="16"/>
          <w:lang w:eastAsia="fr-FR"/>
        </w:rPr>
      </w:pPr>
    </w:p>
    <w:p w:rsidR="001A03D9" w:rsidRPr="00425A7F" w:rsidRDefault="001A03D9" w:rsidP="001A03D9">
      <w:pPr>
        <w:widowControl w:val="0"/>
        <w:suppressAutoHyphens/>
        <w:jc w:val="both"/>
        <w:rPr>
          <w:rFonts w:asciiTheme="minorHAnsi" w:eastAsia="Times New Roman" w:hAnsiTheme="minorHAnsi"/>
          <w:lang w:eastAsia="fr-FR"/>
        </w:rPr>
      </w:pPr>
      <w:r w:rsidRPr="00425A7F">
        <w:rPr>
          <w:rFonts w:asciiTheme="minorHAnsi" w:eastAsia="Times New Roman" w:hAnsiTheme="minorHAnsi"/>
          <w:lang w:eastAsia="fr-FR"/>
        </w:rPr>
        <w:t>Une orientation stratégique consistera à renforcer les systèmes de prise en charge verticaux pour plus de maîtrise et d’efficacité tout en transférant le paiement aux prestataires à l’organisme d’assurance maladie pour les assurés. De même, les prises en charge des maladies chroniques choisies (« maladies sociales ») et financées par l’Etat seront à terme gérées par l’assurance maladie, mais avec gestion du risque séparé.</w:t>
      </w:r>
    </w:p>
    <w:p w:rsidR="001A03D9" w:rsidRPr="00425A7F" w:rsidRDefault="001A03D9" w:rsidP="001A03D9">
      <w:pPr>
        <w:widowControl w:val="0"/>
        <w:suppressAutoHyphens/>
        <w:jc w:val="both"/>
        <w:rPr>
          <w:rFonts w:asciiTheme="minorHAnsi" w:eastAsia="Times New Roman" w:hAnsiTheme="minorHAnsi"/>
          <w:lang w:eastAsia="fr-FR"/>
        </w:rPr>
      </w:pPr>
    </w:p>
    <w:p w:rsidR="001A03D9" w:rsidRPr="00425A7F" w:rsidRDefault="001A03D9" w:rsidP="00EA65F3">
      <w:pPr>
        <w:pStyle w:val="Titre3"/>
      </w:pPr>
      <w:bookmarkStart w:id="55" w:name="_Toc497294513"/>
      <w:r w:rsidRPr="00425A7F">
        <w:t>k. Mettre en place un dispositif de gestion stratégique de l’information financière</w:t>
      </w:r>
      <w:bookmarkEnd w:id="55"/>
    </w:p>
    <w:p w:rsidR="001A03D9" w:rsidRPr="00425A7F" w:rsidRDefault="001A03D9" w:rsidP="001A03D9">
      <w:pPr>
        <w:widowControl w:val="0"/>
        <w:suppressAutoHyphens/>
        <w:jc w:val="both"/>
        <w:rPr>
          <w:rFonts w:asciiTheme="minorHAnsi" w:eastAsia="Times New Roman" w:hAnsiTheme="minorHAnsi"/>
          <w:i/>
          <w:iCs/>
          <w:lang w:eastAsia="fr-FR"/>
        </w:rPr>
      </w:pPr>
    </w:p>
    <w:p w:rsidR="001A03D9" w:rsidRPr="00425A7F" w:rsidRDefault="001A03D9" w:rsidP="001A03D9">
      <w:pPr>
        <w:widowControl w:val="0"/>
        <w:suppressAutoHyphens/>
        <w:jc w:val="both"/>
        <w:rPr>
          <w:rFonts w:asciiTheme="minorHAnsi" w:hAnsiTheme="minorHAnsi"/>
          <w:lang w:eastAsia="fr-FR"/>
        </w:rPr>
      </w:pPr>
      <w:r w:rsidRPr="00425A7F">
        <w:rPr>
          <w:rFonts w:asciiTheme="minorHAnsi" w:hAnsiTheme="minorHAnsi"/>
          <w:lang w:eastAsia="fr-FR"/>
        </w:rPr>
        <w:t>Un effort important est à réaliser pour la production et la diffusion de l’information relative à la gestion financière à tous les niveaux. On visera l’institutionnalisation des Comptes Nationaux de la Santé (CNS), mais surtout on développera leur analyse approfondie. En règle générale, une intervention stratégique sera l’amélioration des outils d'aide à la prise de la décision.</w:t>
      </w:r>
    </w:p>
    <w:p w:rsidR="001A03D9" w:rsidRPr="00425A7F" w:rsidRDefault="001A03D9" w:rsidP="001A03D9">
      <w:pPr>
        <w:widowControl w:val="0"/>
        <w:suppressAutoHyphens/>
        <w:jc w:val="both"/>
        <w:rPr>
          <w:rFonts w:asciiTheme="minorHAnsi" w:hAnsiTheme="minorHAnsi"/>
          <w:lang w:eastAsia="fr-FR"/>
        </w:rPr>
      </w:pPr>
    </w:p>
    <w:p w:rsidR="001A03D9" w:rsidRPr="00425A7F" w:rsidRDefault="001A03D9" w:rsidP="00EA65F3">
      <w:pPr>
        <w:pStyle w:val="Titre3"/>
        <w:rPr>
          <w:rFonts w:eastAsia="Times New Roman"/>
        </w:rPr>
      </w:pPr>
      <w:bookmarkStart w:id="56" w:name="_Toc497294514"/>
      <w:r w:rsidRPr="00425A7F">
        <w:t xml:space="preserve">l. </w:t>
      </w:r>
      <w:r w:rsidRPr="00425A7F">
        <w:rPr>
          <w:rFonts w:eastAsia="Times New Roman"/>
        </w:rPr>
        <w:t>Améliorer l’efficience dans la gestion des financements</w:t>
      </w:r>
      <w:bookmarkEnd w:id="56"/>
    </w:p>
    <w:p w:rsidR="001A03D9" w:rsidRPr="00425A7F" w:rsidRDefault="001A03D9" w:rsidP="001A03D9">
      <w:pPr>
        <w:widowControl w:val="0"/>
        <w:suppressAutoHyphens/>
        <w:jc w:val="both"/>
        <w:rPr>
          <w:rFonts w:asciiTheme="minorHAnsi" w:eastAsia="Times New Roman" w:hAnsiTheme="minorHAnsi"/>
          <w:i/>
          <w:iCs/>
          <w:lang w:eastAsia="fr-FR"/>
        </w:rPr>
      </w:pPr>
    </w:p>
    <w:p w:rsidR="001A03D9" w:rsidRPr="00425A7F" w:rsidRDefault="001A03D9" w:rsidP="001A03D9">
      <w:pPr>
        <w:widowControl w:val="0"/>
        <w:suppressAutoHyphens/>
        <w:jc w:val="both"/>
        <w:rPr>
          <w:rFonts w:asciiTheme="minorHAnsi" w:hAnsiTheme="minorHAnsi"/>
          <w:lang w:eastAsia="fr-FR"/>
        </w:rPr>
      </w:pPr>
      <w:r w:rsidRPr="00425A7F">
        <w:rPr>
          <w:rFonts w:asciiTheme="minorHAnsi" w:hAnsiTheme="minorHAnsi"/>
          <w:lang w:eastAsia="fr-FR"/>
        </w:rPr>
        <w:t>Au niveau de l’administration sanitaire, on cherchera à améliorer la maitrise des procédures de l’Etat et celles des Partenaires Techniques et Financiers. Qui plus est, on renforcera les capacités en gestion financière, en planification et en élaboration et exécution du budget à tous les niveaux du système de santé. Des règles de rapportage et de publications seront promues.</w:t>
      </w:r>
    </w:p>
    <w:p w:rsidR="001A03D9" w:rsidRPr="00425A7F" w:rsidRDefault="001A03D9" w:rsidP="001A03D9">
      <w:pPr>
        <w:widowControl w:val="0"/>
        <w:suppressAutoHyphens/>
        <w:jc w:val="both"/>
        <w:rPr>
          <w:rFonts w:asciiTheme="minorHAnsi" w:hAnsiTheme="minorHAnsi"/>
          <w:lang w:eastAsia="fr-FR"/>
        </w:rPr>
      </w:pPr>
    </w:p>
    <w:p w:rsidR="001A03D9" w:rsidRPr="00425A7F" w:rsidRDefault="001A03D9" w:rsidP="00EA65F3">
      <w:pPr>
        <w:pStyle w:val="Titre3"/>
        <w:rPr>
          <w:rFonts w:eastAsia="Times New Roman"/>
        </w:rPr>
      </w:pPr>
      <w:bookmarkStart w:id="57" w:name="_Toc497294515"/>
      <w:r w:rsidRPr="00425A7F">
        <w:t xml:space="preserve">m. </w:t>
      </w:r>
      <w:r w:rsidRPr="00425A7F">
        <w:rPr>
          <w:rFonts w:eastAsia="Times New Roman"/>
        </w:rPr>
        <w:t>Améliorer la redevabilité</w:t>
      </w:r>
      <w:bookmarkEnd w:id="57"/>
    </w:p>
    <w:p w:rsidR="001A03D9" w:rsidRPr="00425A7F" w:rsidRDefault="001A03D9" w:rsidP="001A03D9">
      <w:pPr>
        <w:widowControl w:val="0"/>
        <w:suppressAutoHyphens/>
        <w:jc w:val="both"/>
        <w:rPr>
          <w:rFonts w:asciiTheme="minorHAnsi" w:eastAsia="Times New Roman" w:hAnsiTheme="minorHAnsi"/>
          <w:i/>
          <w:iCs/>
          <w:lang w:eastAsia="fr-FR"/>
        </w:rPr>
      </w:pPr>
    </w:p>
    <w:p w:rsidR="001A03D9" w:rsidRPr="00425A7F" w:rsidRDefault="001A03D9" w:rsidP="001A03D9">
      <w:pPr>
        <w:widowControl w:val="0"/>
        <w:suppressAutoHyphens/>
        <w:jc w:val="both"/>
        <w:rPr>
          <w:rFonts w:asciiTheme="minorHAnsi" w:hAnsiTheme="minorHAnsi"/>
          <w:lang w:eastAsia="fr-FR"/>
        </w:rPr>
      </w:pPr>
      <w:r w:rsidRPr="00425A7F">
        <w:rPr>
          <w:rFonts w:asciiTheme="minorHAnsi" w:hAnsiTheme="minorHAnsi"/>
          <w:lang w:eastAsia="fr-FR"/>
        </w:rPr>
        <w:t>Afin d’être comptable et plus à même de négocier, on renforcera le suivi, le contrôle et les audits internes et externes de la gestion des ressources matérielles et financières ainsi que la lutte contre la corruption. En général, il s’agira d’instaurer un mécanisme permanent de redevabilité.</w:t>
      </w:r>
    </w:p>
    <w:p w:rsidR="001A03D9" w:rsidRPr="00425A7F" w:rsidRDefault="001A03D9" w:rsidP="001A03D9">
      <w:pPr>
        <w:widowControl w:val="0"/>
        <w:suppressAutoHyphens/>
        <w:jc w:val="both"/>
        <w:rPr>
          <w:rFonts w:asciiTheme="minorHAnsi" w:eastAsia="Times New Roman" w:hAnsiTheme="minorHAnsi"/>
          <w:i/>
          <w:iCs/>
          <w:lang w:eastAsia="fr-FR"/>
        </w:rPr>
      </w:pPr>
    </w:p>
    <w:p w:rsidR="001A03D9" w:rsidRPr="00425A7F" w:rsidRDefault="001A03D9" w:rsidP="00EA65F3">
      <w:pPr>
        <w:pStyle w:val="Titre3"/>
        <w:rPr>
          <w:rFonts w:eastAsia="Times New Roman"/>
        </w:rPr>
      </w:pPr>
      <w:bookmarkStart w:id="58" w:name="_Toc497294516"/>
      <w:r w:rsidRPr="00425A7F">
        <w:t xml:space="preserve">n. </w:t>
      </w:r>
      <w:r w:rsidRPr="00425A7F">
        <w:rPr>
          <w:rFonts w:eastAsia="Times New Roman"/>
        </w:rPr>
        <w:t>Renforcer l’environnement institutionnel pour un financement durable</w:t>
      </w:r>
      <w:bookmarkEnd w:id="58"/>
    </w:p>
    <w:p w:rsidR="001A03D9" w:rsidRPr="00425A7F" w:rsidRDefault="001A03D9" w:rsidP="001A03D9">
      <w:pPr>
        <w:widowControl w:val="0"/>
        <w:suppressAutoHyphens/>
        <w:jc w:val="both"/>
        <w:rPr>
          <w:rFonts w:asciiTheme="minorHAnsi" w:eastAsia="Times New Roman" w:hAnsiTheme="minorHAnsi"/>
          <w:i/>
          <w:iCs/>
          <w:lang w:eastAsia="fr-FR"/>
        </w:rPr>
      </w:pPr>
    </w:p>
    <w:p w:rsidR="001A03D9" w:rsidRPr="00425A7F" w:rsidRDefault="001A03D9" w:rsidP="001A03D9">
      <w:pPr>
        <w:widowControl w:val="0"/>
        <w:suppressAutoHyphens/>
        <w:jc w:val="both"/>
        <w:rPr>
          <w:rFonts w:asciiTheme="minorHAnsi" w:eastAsia="Times New Roman" w:hAnsiTheme="minorHAnsi"/>
          <w:iCs/>
          <w:lang w:eastAsia="fr-FR"/>
        </w:rPr>
      </w:pPr>
      <w:r w:rsidRPr="00425A7F">
        <w:rPr>
          <w:rFonts w:asciiTheme="minorHAnsi" w:hAnsiTheme="minorHAnsi"/>
          <w:lang w:eastAsia="fr-FR"/>
        </w:rPr>
        <w:t>La concertation, la coordination et le dialogue seront favorisés. Ainsi on impliquera davantage les collectivités territoriales dans le suivi et le contrôle des mesures prises par l’Etat; on favorisera l’implication de la société civile dans son rôle de contre-pouvoir pour la négociation de tarifs adéquats et la qualité des prestations des structures sanitaires, celle des groupes vulnérables dans le processus de prise de décision, ou encore une meilleure représentativité du genre dans les organes décisionnels. Au plan gouvernemental, un travail sera engagé pour améliorer le</w:t>
      </w:r>
      <w:r w:rsidRPr="00425A7F">
        <w:rPr>
          <w:rFonts w:asciiTheme="minorHAnsi" w:eastAsia="Times New Roman" w:hAnsiTheme="minorHAnsi"/>
          <w:iCs/>
          <w:lang w:eastAsia="fr-FR"/>
        </w:rPr>
        <w:t xml:space="preserve"> cadre de concertation et de coordination entre les Ministères du secteur et, notamment, le Ministère chargé des finances.</w:t>
      </w:r>
    </w:p>
    <w:p w:rsidR="001A03D9" w:rsidRPr="00425A7F" w:rsidRDefault="001A03D9" w:rsidP="001A03D9">
      <w:pPr>
        <w:widowControl w:val="0"/>
        <w:suppressAutoHyphens/>
        <w:jc w:val="both"/>
        <w:rPr>
          <w:rFonts w:asciiTheme="minorHAnsi" w:eastAsia="Times New Roman" w:hAnsiTheme="minorHAnsi"/>
          <w:iCs/>
          <w:lang w:eastAsia="fr-FR"/>
        </w:rPr>
      </w:pPr>
    </w:p>
    <w:p w:rsidR="001A03D9" w:rsidRPr="00425A7F" w:rsidRDefault="001A03D9" w:rsidP="001A03D9">
      <w:pPr>
        <w:spacing w:after="200" w:line="276" w:lineRule="auto"/>
        <w:rPr>
          <w:rFonts w:eastAsia="Times New Roman"/>
          <w:iCs/>
          <w:lang w:eastAsia="fr-FR"/>
        </w:rPr>
      </w:pPr>
      <w:r w:rsidRPr="00425A7F">
        <w:rPr>
          <w:rFonts w:eastAsia="Times New Roman"/>
          <w:iCs/>
          <w:lang w:eastAsia="fr-FR"/>
        </w:rPr>
        <w:br w:type="page"/>
      </w:r>
    </w:p>
    <w:p w:rsidR="00F34198" w:rsidRDefault="00F34198" w:rsidP="00C52415">
      <w:pPr>
        <w:pStyle w:val="Titre2"/>
        <w:numPr>
          <w:ilvl w:val="0"/>
          <w:numId w:val="5"/>
        </w:numPr>
        <w:rPr>
          <w:lang w:eastAsia="fr-FR"/>
        </w:rPr>
      </w:pPr>
      <w:bookmarkStart w:id="59" w:name="_Toc497294517"/>
      <w:r>
        <w:rPr>
          <w:lang w:eastAsia="fr-FR"/>
        </w:rPr>
        <w:lastRenderedPageBreak/>
        <w:t>Plan d’actions 2018-2022</w:t>
      </w:r>
      <w:bookmarkEnd w:id="59"/>
    </w:p>
    <w:p w:rsidR="00F34198" w:rsidRDefault="00F34198" w:rsidP="00F34198">
      <w:pPr>
        <w:autoSpaceDE w:val="0"/>
        <w:autoSpaceDN w:val="0"/>
        <w:adjustRightInd w:val="0"/>
        <w:spacing w:before="120" w:after="120"/>
        <w:jc w:val="both"/>
        <w:rPr>
          <w:bCs/>
        </w:rPr>
      </w:pPr>
      <w:r w:rsidRPr="00DD5E92">
        <w:rPr>
          <w:bCs/>
        </w:rPr>
        <w:t>Le Plan d’actio</w:t>
      </w:r>
      <w:r>
        <w:rPr>
          <w:bCs/>
        </w:rPr>
        <w:t>n annexé à la présente stratégie est le fruit d’un travail participatif ayant impliqué les départements en charge de la santé, la solidarité, la promotion de la femme et les finances avec l’appui des partenaires techniques et financiers et de la société civile.</w:t>
      </w:r>
    </w:p>
    <w:p w:rsidR="00F34198" w:rsidRDefault="00F34198" w:rsidP="00F34198">
      <w:pPr>
        <w:autoSpaceDE w:val="0"/>
        <w:autoSpaceDN w:val="0"/>
        <w:adjustRightInd w:val="0"/>
        <w:spacing w:before="120" w:after="120"/>
        <w:jc w:val="both"/>
        <w:rPr>
          <w:bCs/>
        </w:rPr>
      </w:pPr>
      <w:r>
        <w:rPr>
          <w:bCs/>
        </w:rPr>
        <w:t>Il couvrant une période de cinq (5) ans est en phase avec le Plan Décennal de Développement Sanitaire et Social 2014-2023, le Cadre Stratégique pour la R</w:t>
      </w:r>
      <w:r w:rsidR="00AD4889">
        <w:rPr>
          <w:bCs/>
        </w:rPr>
        <w:t xml:space="preserve">elance Economique et le Développement Durable du Mali 2016-2018 </w:t>
      </w:r>
      <w:r>
        <w:rPr>
          <w:bCs/>
        </w:rPr>
        <w:t xml:space="preserve">et </w:t>
      </w:r>
      <w:r w:rsidR="00AD4889">
        <w:rPr>
          <w:bCs/>
        </w:rPr>
        <w:t>les Objectifs du Développement Durable</w:t>
      </w:r>
      <w:r>
        <w:rPr>
          <w:bCs/>
        </w:rPr>
        <w:t xml:space="preserve">. </w:t>
      </w:r>
    </w:p>
    <w:p w:rsidR="00F34198" w:rsidRDefault="00F34198" w:rsidP="00F34198">
      <w:pPr>
        <w:jc w:val="both"/>
      </w:pPr>
      <w:r>
        <w:t xml:space="preserve">Il est </w:t>
      </w:r>
      <w:r w:rsidRPr="00BE5540">
        <w:t xml:space="preserve">conçu selon la démarche de </w:t>
      </w:r>
      <w:r w:rsidR="00AD4889">
        <w:t xml:space="preserve">la </w:t>
      </w:r>
      <w:r w:rsidRPr="00BE5540">
        <w:t>Gestion Axée sur les Résultats</w:t>
      </w:r>
      <w:r>
        <w:t xml:space="preserve"> </w:t>
      </w:r>
      <w:r w:rsidRPr="00BE5540">
        <w:t>(GAR)</w:t>
      </w:r>
      <w:r w:rsidR="00AD4889">
        <w:t>,</w:t>
      </w:r>
      <w:r w:rsidRPr="00BE5540">
        <w:t xml:space="preserve"> </w:t>
      </w:r>
      <w:r w:rsidR="00AD4889">
        <w:t xml:space="preserve">basée sur </w:t>
      </w:r>
      <w:r w:rsidRPr="00BE5540">
        <w:t xml:space="preserve">un ensemble d’interventions structurées autour de </w:t>
      </w:r>
      <w:r>
        <w:t xml:space="preserve">quatre (4) </w:t>
      </w:r>
      <w:r w:rsidRPr="00BE5540">
        <w:t xml:space="preserve">résultats stratégiques à atteindre </w:t>
      </w:r>
      <w:r w:rsidR="00AD4889">
        <w:t xml:space="preserve">en lien avec les </w:t>
      </w:r>
      <w:r>
        <w:t xml:space="preserve">axes stratégiques </w:t>
      </w:r>
      <w:r w:rsidR="00AD4889">
        <w:t>pré</w:t>
      </w:r>
      <w:r>
        <w:t>définis</w:t>
      </w:r>
      <w:r w:rsidRPr="00BE5540">
        <w:t>.</w:t>
      </w:r>
      <w:r>
        <w:t xml:space="preserve"> La chaine des résultats se présente </w:t>
      </w:r>
      <w:r w:rsidR="00AD4889">
        <w:t xml:space="preserve">ainsi </w:t>
      </w:r>
      <w:r>
        <w:t>comme suit :</w:t>
      </w:r>
    </w:p>
    <w:p w:rsidR="00F34198" w:rsidRPr="00E42382" w:rsidRDefault="00F34198" w:rsidP="00F34198">
      <w:pPr>
        <w:autoSpaceDE w:val="0"/>
        <w:autoSpaceDN w:val="0"/>
        <w:adjustRightInd w:val="0"/>
        <w:spacing w:before="120" w:after="120"/>
        <w:jc w:val="both"/>
        <w:rPr>
          <w:rFonts w:asciiTheme="minorHAnsi" w:hAnsiTheme="minorHAnsi" w:cstheme="minorHAnsi"/>
          <w:b/>
          <w:bCs/>
        </w:rPr>
      </w:pPr>
      <w:r w:rsidRPr="00E42382">
        <w:rPr>
          <w:rFonts w:asciiTheme="minorHAnsi" w:hAnsiTheme="minorHAnsi" w:cstheme="minorHAnsi"/>
          <w:b/>
          <w:bCs/>
        </w:rPr>
        <w:t>Résultat stratégique 1 : Le niveau de financement public pour le développement de la couverture sanitaire universelle est amélioré ;</w:t>
      </w:r>
    </w:p>
    <w:p w:rsidR="00F34198" w:rsidRPr="00E42382" w:rsidRDefault="00F34198" w:rsidP="00F34198">
      <w:pPr>
        <w:pStyle w:val="Paragraphedeliste"/>
        <w:numPr>
          <w:ilvl w:val="0"/>
          <w:numId w:val="2"/>
        </w:numPr>
        <w:autoSpaceDE w:val="0"/>
        <w:autoSpaceDN w:val="0"/>
        <w:adjustRightInd w:val="0"/>
        <w:spacing w:before="120" w:after="120"/>
        <w:jc w:val="both"/>
        <w:rPr>
          <w:rFonts w:cstheme="minorHAnsi"/>
          <w:bCs/>
        </w:rPr>
      </w:pPr>
      <w:r w:rsidRPr="00E42382">
        <w:rPr>
          <w:rFonts w:cstheme="minorHAnsi"/>
          <w:bCs/>
        </w:rPr>
        <w:t>Effet 1.1 : Le niveau de financements public dédié au secteur de la santé a augmenté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1.1.1 : La part du budget de l'Etat consacré au secteur santé a atteint au moins 15%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1.1.2 : Le niveau des subventions des collectivités territoriales au financement de la santé a augmenté ;</w:t>
      </w:r>
    </w:p>
    <w:p w:rsidR="00F34198" w:rsidRPr="00E42382" w:rsidRDefault="00F34198" w:rsidP="00F34198">
      <w:pPr>
        <w:pStyle w:val="Paragraphedeliste"/>
        <w:numPr>
          <w:ilvl w:val="0"/>
          <w:numId w:val="2"/>
        </w:numPr>
        <w:autoSpaceDE w:val="0"/>
        <w:autoSpaceDN w:val="0"/>
        <w:adjustRightInd w:val="0"/>
        <w:spacing w:before="120" w:after="120"/>
        <w:jc w:val="both"/>
        <w:rPr>
          <w:rFonts w:cstheme="minorHAnsi"/>
          <w:bCs/>
        </w:rPr>
      </w:pPr>
      <w:r w:rsidRPr="00E42382">
        <w:rPr>
          <w:rFonts w:cstheme="minorHAnsi"/>
          <w:bCs/>
        </w:rPr>
        <w:t>Effet 1.2 : Des ressources spécifiques sont mobilisées pour subventionner l'assurance maladie universelle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1.2.1 : L'assurance maladie universelle est promue comme un projet national de développement et de solidarité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1.2.2 : Une taxation spécifique dédiée au financement de l'AMU est instaurée pour rendre son développement pérenne ;</w:t>
      </w:r>
    </w:p>
    <w:p w:rsidR="00F34198" w:rsidRPr="00E42382" w:rsidRDefault="00F34198" w:rsidP="00F34198">
      <w:pPr>
        <w:pStyle w:val="Paragraphedeliste"/>
        <w:numPr>
          <w:ilvl w:val="0"/>
          <w:numId w:val="2"/>
        </w:numPr>
        <w:autoSpaceDE w:val="0"/>
        <w:autoSpaceDN w:val="0"/>
        <w:adjustRightInd w:val="0"/>
        <w:spacing w:before="120" w:after="120"/>
        <w:jc w:val="both"/>
        <w:rPr>
          <w:rFonts w:cstheme="minorHAnsi"/>
          <w:bCs/>
        </w:rPr>
      </w:pPr>
      <w:r w:rsidRPr="00E42382">
        <w:rPr>
          <w:rFonts w:cstheme="minorHAnsi"/>
          <w:bCs/>
        </w:rPr>
        <w:t>Effet 1.3 : Le volume des financements extérieurs prévisibles et maîtrisables a augmenté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1.3.1 : La maîtrise du dialogue sectoriel est améliorée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1.3.2 : L'alignement des PTF sur les stratégies du secteur de la santé est amélioré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1.3.3 : Le jumelage et la coopération décentralisée sont encouragés ;</w:t>
      </w:r>
    </w:p>
    <w:p w:rsidR="00F34198" w:rsidRPr="00E42382" w:rsidRDefault="00F34198" w:rsidP="00F34198">
      <w:pPr>
        <w:autoSpaceDE w:val="0"/>
        <w:autoSpaceDN w:val="0"/>
        <w:adjustRightInd w:val="0"/>
        <w:spacing w:before="120" w:after="120"/>
        <w:jc w:val="both"/>
        <w:rPr>
          <w:rFonts w:asciiTheme="minorHAnsi" w:hAnsiTheme="minorHAnsi" w:cstheme="minorHAnsi"/>
          <w:b/>
          <w:bCs/>
        </w:rPr>
      </w:pPr>
      <w:r w:rsidRPr="00E42382">
        <w:rPr>
          <w:rFonts w:asciiTheme="minorHAnsi" w:hAnsiTheme="minorHAnsi" w:cstheme="minorHAnsi"/>
          <w:b/>
          <w:bCs/>
        </w:rPr>
        <w:t>Résultat stratégique 2 : Une meilleure allocation des ressources est garantie ;</w:t>
      </w:r>
    </w:p>
    <w:p w:rsidR="00F34198" w:rsidRPr="00E42382" w:rsidRDefault="00F34198" w:rsidP="00F34198">
      <w:pPr>
        <w:pStyle w:val="Paragraphedeliste"/>
        <w:numPr>
          <w:ilvl w:val="0"/>
          <w:numId w:val="2"/>
        </w:numPr>
        <w:autoSpaceDE w:val="0"/>
        <w:autoSpaceDN w:val="0"/>
        <w:adjustRightInd w:val="0"/>
        <w:spacing w:before="120" w:after="120"/>
        <w:jc w:val="both"/>
        <w:rPr>
          <w:rFonts w:cstheme="minorHAnsi"/>
          <w:bCs/>
        </w:rPr>
      </w:pPr>
      <w:r w:rsidRPr="00E42382">
        <w:rPr>
          <w:rFonts w:cstheme="minorHAnsi"/>
          <w:bCs/>
        </w:rPr>
        <w:t>Effet 2.1 : Un système d'allocation des financements sur la base d'objectifs d'efficience et d'équité est mis en place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2.1.1 : Des outils de planification stratégique sont élaborés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2.1.2 : La capacité de production des soins par les structures de santé a augmenté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2.1.3 : Le système d'allocation est règlementé sur la base des contrats de performances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2.1.4 : L'équité et l'accessibilité aux soins de santé au profit du secteur informel et rural sont renforcés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2.1.5 : La disponibilité des ressources humaines compétentes en gestion à tous les niveaux est assurée ;</w:t>
      </w:r>
    </w:p>
    <w:p w:rsidR="00F34198" w:rsidRPr="00E42382" w:rsidRDefault="00F34198" w:rsidP="00F34198">
      <w:pPr>
        <w:pStyle w:val="Paragraphedeliste"/>
        <w:numPr>
          <w:ilvl w:val="0"/>
          <w:numId w:val="2"/>
        </w:numPr>
        <w:autoSpaceDE w:val="0"/>
        <w:autoSpaceDN w:val="0"/>
        <w:adjustRightInd w:val="0"/>
        <w:spacing w:before="120" w:after="120"/>
        <w:jc w:val="both"/>
        <w:rPr>
          <w:rFonts w:cstheme="minorHAnsi"/>
          <w:bCs/>
        </w:rPr>
      </w:pPr>
      <w:r w:rsidRPr="00E42382">
        <w:rPr>
          <w:rFonts w:cstheme="minorHAnsi"/>
          <w:bCs/>
        </w:rPr>
        <w:t>Effet 2.2 : La certification et la mise en place de modalités de tarification adéquates sont développées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2.2.1 : Les missions de l'ANEH sont révisées pour prendre en compte l'accréditation du système de santé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lastRenderedPageBreak/>
        <w:t>Extrant 2.2.2 : La gestion hospitalière et des prestations de services de santé publics sont améliorées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2.2.3 : La formation du personnel en management et en gestion est réalisée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2.2.4 : Les conditions de tarification sont améliorées ;</w:t>
      </w:r>
    </w:p>
    <w:p w:rsidR="00F34198" w:rsidRPr="00E42382" w:rsidRDefault="00F34198" w:rsidP="00F34198">
      <w:pPr>
        <w:pStyle w:val="Paragraphedeliste"/>
        <w:numPr>
          <w:ilvl w:val="0"/>
          <w:numId w:val="2"/>
        </w:numPr>
        <w:autoSpaceDE w:val="0"/>
        <w:autoSpaceDN w:val="0"/>
        <w:adjustRightInd w:val="0"/>
        <w:spacing w:before="120" w:after="120"/>
        <w:jc w:val="both"/>
        <w:rPr>
          <w:rFonts w:cstheme="minorHAnsi"/>
          <w:bCs/>
        </w:rPr>
      </w:pPr>
      <w:r w:rsidRPr="00E42382">
        <w:rPr>
          <w:rFonts w:cstheme="minorHAnsi"/>
          <w:bCs/>
        </w:rPr>
        <w:t>Effet 2.3 : Les priorités du secteur et le contexte national sont pris en compte dans l'allocation des ressources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2.3.1 : Le lien entre l'allocation des ressources et les priorités du secteur est assuré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2.3.2 : Les cadres de concertation intersectoriels requis par certaines priorités sanitaires (eau et assainissement, lutte contre la malnutrition, éducation à la santé..) sont développés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2.3.3 : Les moyens sont mis à disposition pour le renforcement de la résilience des populations ;</w:t>
      </w:r>
    </w:p>
    <w:p w:rsidR="00F34198" w:rsidRPr="00E42382" w:rsidRDefault="00F34198" w:rsidP="00F34198">
      <w:pPr>
        <w:pStyle w:val="Paragraphedeliste"/>
        <w:numPr>
          <w:ilvl w:val="0"/>
          <w:numId w:val="2"/>
        </w:numPr>
        <w:autoSpaceDE w:val="0"/>
        <w:autoSpaceDN w:val="0"/>
        <w:adjustRightInd w:val="0"/>
        <w:spacing w:before="120" w:after="120"/>
        <w:jc w:val="both"/>
        <w:rPr>
          <w:rFonts w:cstheme="minorHAnsi"/>
          <w:bCs/>
        </w:rPr>
      </w:pPr>
      <w:r w:rsidRPr="00E42382">
        <w:rPr>
          <w:rFonts w:cstheme="minorHAnsi"/>
          <w:bCs/>
        </w:rPr>
        <w:t>Effet 2.4 : Une stratégie de partenariat avec le secteur privé est développée dans le secteur de la santé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2.4.1 : Un cadre de concertation est organisé avec le secteur privé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2.4.2 : La régulation du secteur privé est améliorée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2.4.3 : Le partenariat public-privé est développé ;</w:t>
      </w:r>
    </w:p>
    <w:p w:rsidR="00F34198" w:rsidRPr="00E42382" w:rsidRDefault="00F34198" w:rsidP="00F34198">
      <w:pPr>
        <w:autoSpaceDE w:val="0"/>
        <w:autoSpaceDN w:val="0"/>
        <w:adjustRightInd w:val="0"/>
        <w:spacing w:before="120" w:after="120"/>
        <w:jc w:val="both"/>
        <w:rPr>
          <w:rFonts w:asciiTheme="minorHAnsi" w:hAnsiTheme="minorHAnsi" w:cstheme="minorHAnsi"/>
          <w:b/>
          <w:bCs/>
        </w:rPr>
      </w:pPr>
      <w:r w:rsidRPr="00E42382">
        <w:rPr>
          <w:rFonts w:asciiTheme="minorHAnsi" w:hAnsiTheme="minorHAnsi" w:cstheme="minorHAnsi"/>
          <w:b/>
          <w:bCs/>
        </w:rPr>
        <w:t>Résultat stratégique 3 : L'assurance maladie universelle est mise en place au moyen d'un dispositif adapté, cohérent et complet ;</w:t>
      </w:r>
    </w:p>
    <w:p w:rsidR="00F34198" w:rsidRPr="00E42382" w:rsidRDefault="00F34198" w:rsidP="00F34198">
      <w:pPr>
        <w:pStyle w:val="Paragraphedeliste"/>
        <w:numPr>
          <w:ilvl w:val="0"/>
          <w:numId w:val="2"/>
        </w:numPr>
        <w:autoSpaceDE w:val="0"/>
        <w:autoSpaceDN w:val="0"/>
        <w:adjustRightInd w:val="0"/>
        <w:spacing w:before="120" w:after="120"/>
        <w:jc w:val="both"/>
        <w:rPr>
          <w:rFonts w:cstheme="minorHAnsi"/>
          <w:bCs/>
        </w:rPr>
      </w:pPr>
      <w:r w:rsidRPr="00E42382">
        <w:rPr>
          <w:rFonts w:cstheme="minorHAnsi"/>
          <w:bCs/>
        </w:rPr>
        <w:t>Effet 3.1 : L'institutionnalisation de l'assurance maladie est organisée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3.1.1 : La CANAM est mandater pour le développement de l'assurance maladie universelle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3.1.2 : Les textes de mise en place du régime d'assurance maladie universelle sont adoptés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3.1.3 : Une instance de régulation de l'assurance maladie est mise en place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3.1.4 : Un pool unique est mis en place pour le régime de base de l'assurance maladie universelle ;</w:t>
      </w:r>
    </w:p>
    <w:p w:rsidR="00F34198" w:rsidRPr="00E42382" w:rsidRDefault="00F34198" w:rsidP="00F34198">
      <w:pPr>
        <w:pStyle w:val="Paragraphedeliste"/>
        <w:numPr>
          <w:ilvl w:val="0"/>
          <w:numId w:val="2"/>
        </w:numPr>
        <w:autoSpaceDE w:val="0"/>
        <w:autoSpaceDN w:val="0"/>
        <w:adjustRightInd w:val="0"/>
        <w:spacing w:before="120" w:after="120"/>
        <w:jc w:val="both"/>
        <w:rPr>
          <w:rFonts w:cstheme="minorHAnsi"/>
          <w:bCs/>
        </w:rPr>
      </w:pPr>
      <w:r w:rsidRPr="00E42382">
        <w:rPr>
          <w:rFonts w:cstheme="minorHAnsi"/>
          <w:bCs/>
        </w:rPr>
        <w:t>Effet 3.2 : Un paquet de base est instauré pour la couverture sanitaire universelle pour tous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3.2.1 : Un paquet de soins pour tous ou "paquet de base" est mis en place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3.2.2 : Le paquet de base est pris en charge financière par l'Etat à hauteur de 100% pour les démunis, à hauteur de 80% pour les populations du secteur informel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3.2.3 : Le développement des régimes complémentaires est favorisé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3.2.4 : Une stratégie d'achat des services de santé garantissant la maîtrise des coûts et la qualité des soins pour l'assuré est développée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3.2.5 : Les capacités de l'organe administrative en charge des mutuelles sociales sont développées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3.2.6 : Les collectivités territoriales sont impliquées dans le développement de l'assurance maladie pour le secteur agricole et informel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3.2.7 : Les initiatives de création des mutuelles sociales sont appuyées pour la couverture du secteur agricole et informel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3.2.8 : Les structures d'appui technique aux mutuelles sociales sont financièrement appuyées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lastRenderedPageBreak/>
        <w:t>Extrant 3.2.9 : Les contrats de gestion déléguée sont établis avec les structures faitières des mutuelles pour le déploiement du système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3.2.10 : Le pooling maximal des fonds dédiés à la prise en charge du secteur informel est favorisé progressivement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3.2.11 : La proximité entre l'organisme de gestion du RAMU et les populations au niveau local est assurée ;</w:t>
      </w:r>
    </w:p>
    <w:p w:rsidR="00F34198" w:rsidRPr="00E42382" w:rsidRDefault="00F34198" w:rsidP="00F34198">
      <w:pPr>
        <w:pStyle w:val="Paragraphedeliste"/>
        <w:numPr>
          <w:ilvl w:val="0"/>
          <w:numId w:val="2"/>
        </w:numPr>
        <w:autoSpaceDE w:val="0"/>
        <w:autoSpaceDN w:val="0"/>
        <w:adjustRightInd w:val="0"/>
        <w:spacing w:before="120" w:after="120"/>
        <w:jc w:val="both"/>
        <w:rPr>
          <w:rFonts w:cstheme="minorHAnsi"/>
          <w:bCs/>
        </w:rPr>
      </w:pPr>
      <w:r w:rsidRPr="00E42382">
        <w:rPr>
          <w:rFonts w:cstheme="minorHAnsi"/>
          <w:bCs/>
        </w:rPr>
        <w:t>Effet 3.3 : Les gratuités sont intégrées progressivement à l'assurance maladie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3.3.1 : Les évaluations techniques des gratuités sont réalisées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3.3.2 : Les stratégies d'intégration des gratuités à l'assurance maladie sont mises en œuvre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3.3.3 : Les textes règlementaires sur la gestion des gratuités par l'assurance maladie sont adoptés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3.3.4 : Le paiement des prestations de gratuité sont transférés à l'organisme d'assurance malade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3.3.5 : Certaines maladies chroniques financées par l'Etat sont prises en charge par l'assurance maladie avec gestion du risque séparé ;</w:t>
      </w:r>
    </w:p>
    <w:p w:rsidR="00F34198" w:rsidRPr="00E42382" w:rsidRDefault="00F34198" w:rsidP="00F34198">
      <w:pPr>
        <w:autoSpaceDE w:val="0"/>
        <w:autoSpaceDN w:val="0"/>
        <w:adjustRightInd w:val="0"/>
        <w:spacing w:before="120" w:after="120"/>
        <w:jc w:val="both"/>
        <w:rPr>
          <w:rFonts w:asciiTheme="minorHAnsi" w:hAnsiTheme="minorHAnsi" w:cstheme="minorHAnsi"/>
          <w:b/>
          <w:bCs/>
        </w:rPr>
      </w:pPr>
      <w:r w:rsidRPr="00E42382">
        <w:rPr>
          <w:rFonts w:asciiTheme="minorHAnsi" w:hAnsiTheme="minorHAnsi" w:cstheme="minorHAnsi"/>
          <w:b/>
          <w:bCs/>
        </w:rPr>
        <w:t>Résultat stratégique 4 : La gouvernance financière est améliorée ;</w:t>
      </w:r>
    </w:p>
    <w:p w:rsidR="00F34198" w:rsidRPr="00E42382" w:rsidRDefault="00F34198" w:rsidP="00F34198">
      <w:pPr>
        <w:pStyle w:val="Paragraphedeliste"/>
        <w:numPr>
          <w:ilvl w:val="0"/>
          <w:numId w:val="2"/>
        </w:numPr>
        <w:autoSpaceDE w:val="0"/>
        <w:autoSpaceDN w:val="0"/>
        <w:adjustRightInd w:val="0"/>
        <w:spacing w:before="120" w:after="120"/>
        <w:jc w:val="both"/>
        <w:rPr>
          <w:rFonts w:cstheme="minorHAnsi"/>
          <w:bCs/>
        </w:rPr>
      </w:pPr>
      <w:r w:rsidRPr="00E42382">
        <w:rPr>
          <w:rFonts w:cstheme="minorHAnsi"/>
          <w:bCs/>
        </w:rPr>
        <w:t>Effet 4.1 : Un dispositif de gestion stratégique de l'information est mis en place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4.1.1 : Un mécanisme de production et de diffusion de l'information de gestion financière est mis en place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4.1.2 : Les Comptes Nationaux de la santé sont institutionnalisés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4.1.3 : Les outils d'aide  à la décision sont améliorés ;</w:t>
      </w:r>
    </w:p>
    <w:p w:rsidR="00F34198" w:rsidRPr="00E42382" w:rsidRDefault="00F34198" w:rsidP="00F34198">
      <w:pPr>
        <w:pStyle w:val="Paragraphedeliste"/>
        <w:numPr>
          <w:ilvl w:val="0"/>
          <w:numId w:val="2"/>
        </w:numPr>
        <w:autoSpaceDE w:val="0"/>
        <w:autoSpaceDN w:val="0"/>
        <w:adjustRightInd w:val="0"/>
        <w:spacing w:before="120" w:after="120"/>
        <w:jc w:val="both"/>
        <w:rPr>
          <w:rFonts w:cstheme="minorHAnsi"/>
          <w:bCs/>
        </w:rPr>
      </w:pPr>
      <w:r w:rsidRPr="00E42382">
        <w:rPr>
          <w:rFonts w:cstheme="minorHAnsi"/>
          <w:bCs/>
        </w:rPr>
        <w:t>Effet 4.2 : L'efficience dans la gestion des finances est améliorée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4.2.1 : La maitrise des procédures de l'Etat et des Partenaires Techniques et Financiers est améliorée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4.2.2 : Les capacités en gestion financière, en planification et en l'élaboration et exécution du budget sont renforcées ;</w:t>
      </w:r>
    </w:p>
    <w:p w:rsidR="00F34198" w:rsidRPr="00E42382" w:rsidRDefault="00F34198" w:rsidP="00F34198">
      <w:pPr>
        <w:pStyle w:val="Paragraphedeliste"/>
        <w:numPr>
          <w:ilvl w:val="0"/>
          <w:numId w:val="2"/>
        </w:numPr>
        <w:autoSpaceDE w:val="0"/>
        <w:autoSpaceDN w:val="0"/>
        <w:adjustRightInd w:val="0"/>
        <w:spacing w:before="120" w:after="120"/>
        <w:jc w:val="both"/>
        <w:rPr>
          <w:rFonts w:cstheme="minorHAnsi"/>
          <w:bCs/>
        </w:rPr>
      </w:pPr>
      <w:r w:rsidRPr="00E42382">
        <w:rPr>
          <w:rFonts w:cstheme="minorHAnsi"/>
          <w:bCs/>
        </w:rPr>
        <w:t>Effet 4.3 : La recevabilité est améliorée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4.3.1 : Le suivi, le contrôle et les audits internes et externes de la gestion des ressources matérielles et financières ainsi que la lutte contre la corruption sont renforcés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4.3.2 : Un mécanisme permanant de redevabilité est instauré ;</w:t>
      </w:r>
    </w:p>
    <w:p w:rsidR="00F34198" w:rsidRPr="00E42382" w:rsidRDefault="00F34198" w:rsidP="00F34198">
      <w:pPr>
        <w:pStyle w:val="Paragraphedeliste"/>
        <w:numPr>
          <w:ilvl w:val="0"/>
          <w:numId w:val="2"/>
        </w:numPr>
        <w:autoSpaceDE w:val="0"/>
        <w:autoSpaceDN w:val="0"/>
        <w:adjustRightInd w:val="0"/>
        <w:spacing w:before="120" w:after="120"/>
        <w:jc w:val="both"/>
        <w:rPr>
          <w:rFonts w:cstheme="minorHAnsi"/>
          <w:bCs/>
        </w:rPr>
      </w:pPr>
      <w:r w:rsidRPr="00E42382">
        <w:rPr>
          <w:rFonts w:cstheme="minorHAnsi"/>
          <w:bCs/>
        </w:rPr>
        <w:t>Effet 4.4 : L'environnement institutionnel pour un financement durable est renforcé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4.4.1 : Les collectivités territoriales sont impliquées davantage dans le suivi et le contrôle des mesures prises par l'Etat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4.4.2 : La société civile est impliquée dans son rôle de contre-pouvoir pour la négociation de tarifs adéquats et la qualité des prestations des structures sanitaires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4.4.3 : Les groupes vulnérables sont impliqués dans la prise de décision ;</w:t>
      </w:r>
    </w:p>
    <w:p w:rsidR="00F34198" w:rsidRPr="00E42382" w:rsidRDefault="00F34198" w:rsidP="00F34198">
      <w:pPr>
        <w:pStyle w:val="Paragraphedeliste"/>
        <w:numPr>
          <w:ilvl w:val="1"/>
          <w:numId w:val="2"/>
        </w:numPr>
        <w:autoSpaceDE w:val="0"/>
        <w:autoSpaceDN w:val="0"/>
        <w:adjustRightInd w:val="0"/>
        <w:spacing w:before="120" w:after="120"/>
        <w:jc w:val="both"/>
        <w:rPr>
          <w:rFonts w:cstheme="minorHAnsi"/>
          <w:bCs/>
        </w:rPr>
      </w:pPr>
      <w:r w:rsidRPr="00E42382">
        <w:rPr>
          <w:rFonts w:cstheme="minorHAnsi"/>
          <w:bCs/>
        </w:rPr>
        <w:t>Extrant 4.4.4 : Le cadre de concertation et de coordination entre les Ministères du secteur et le Ministère des Finances est amélioré.</w:t>
      </w:r>
    </w:p>
    <w:p w:rsidR="00F34198" w:rsidRDefault="00F34198" w:rsidP="00F34198">
      <w:pPr>
        <w:autoSpaceDE w:val="0"/>
        <w:autoSpaceDN w:val="0"/>
        <w:adjustRightInd w:val="0"/>
        <w:spacing w:before="120" w:after="120"/>
        <w:jc w:val="both"/>
        <w:rPr>
          <w:bCs/>
        </w:rPr>
      </w:pPr>
    </w:p>
    <w:p w:rsidR="00F34198" w:rsidRPr="00F34198" w:rsidRDefault="00F34198" w:rsidP="00F34198">
      <w:pPr>
        <w:autoSpaceDE w:val="0"/>
        <w:autoSpaceDN w:val="0"/>
        <w:adjustRightInd w:val="0"/>
        <w:spacing w:before="120" w:after="120"/>
        <w:jc w:val="both"/>
        <w:rPr>
          <w:bCs/>
        </w:rPr>
      </w:pPr>
    </w:p>
    <w:p w:rsidR="00F34198" w:rsidRPr="0011575D" w:rsidRDefault="00F34198" w:rsidP="00F34198">
      <w:pPr>
        <w:pStyle w:val="Paragraphedeliste"/>
        <w:autoSpaceDE w:val="0"/>
        <w:autoSpaceDN w:val="0"/>
        <w:adjustRightInd w:val="0"/>
        <w:spacing w:before="120" w:after="120"/>
        <w:ind w:left="1440"/>
        <w:jc w:val="both"/>
        <w:rPr>
          <w:bCs/>
        </w:rPr>
      </w:pPr>
      <w:r>
        <w:rPr>
          <w:bCs/>
        </w:rPr>
        <w:tab/>
      </w:r>
    </w:p>
    <w:p w:rsidR="001A03D9" w:rsidRPr="00425A7F" w:rsidRDefault="005D3FAE" w:rsidP="00D9289D">
      <w:pPr>
        <w:pStyle w:val="Titre1"/>
        <w:rPr>
          <w:lang w:eastAsia="fr-FR"/>
        </w:rPr>
      </w:pPr>
      <w:bookmarkStart w:id="60" w:name="_Toc497294518"/>
      <w:r w:rsidRPr="00425A7F">
        <w:rPr>
          <w:lang w:eastAsia="fr-FR"/>
        </w:rPr>
        <w:lastRenderedPageBreak/>
        <w:t xml:space="preserve">SCHEMA DE FINANCEMENT ET DE MOBILISATION DE RESSOURCE </w:t>
      </w:r>
      <w:r w:rsidR="001A03D9" w:rsidRPr="00425A7F">
        <w:rPr>
          <w:lang w:eastAsia="fr-FR"/>
        </w:rPr>
        <w:t>:</w:t>
      </w:r>
      <w:bookmarkEnd w:id="60"/>
    </w:p>
    <w:p w:rsidR="001810F5" w:rsidRPr="00425A7F" w:rsidRDefault="001810F5">
      <w:pPr>
        <w:spacing w:after="200" w:line="276" w:lineRule="auto"/>
        <w:rPr>
          <w:rFonts w:asciiTheme="minorHAnsi" w:hAnsiTheme="minorHAnsi"/>
          <w:lang w:eastAsia="fr-FR"/>
        </w:rPr>
      </w:pPr>
    </w:p>
    <w:p w:rsidR="000E4F8B" w:rsidRPr="00425A7F" w:rsidRDefault="000E4F8B" w:rsidP="000E4F8B">
      <w:pPr>
        <w:pStyle w:val="Titre2"/>
        <w:numPr>
          <w:ilvl w:val="0"/>
          <w:numId w:val="0"/>
        </w:numPr>
        <w:ind w:left="426" w:hanging="66"/>
        <w:rPr>
          <w:lang w:eastAsia="fr-FR"/>
        </w:rPr>
      </w:pPr>
      <w:bookmarkStart w:id="61" w:name="_Toc497294519"/>
      <w:r w:rsidRPr="00425A7F">
        <w:rPr>
          <w:lang w:eastAsia="fr-FR"/>
        </w:rPr>
        <w:t>Engagement financier de l’Etat pour avancer vers la Couverture Sanitaire Universelle</w:t>
      </w:r>
      <w:bookmarkEnd w:id="61"/>
    </w:p>
    <w:p w:rsidR="000E4F8B" w:rsidRPr="00425A7F" w:rsidRDefault="000E4F8B" w:rsidP="00113EF7">
      <w:pPr>
        <w:spacing w:after="200" w:line="276" w:lineRule="auto"/>
        <w:jc w:val="both"/>
        <w:rPr>
          <w:rFonts w:asciiTheme="minorHAnsi" w:hAnsiTheme="minorHAnsi"/>
          <w:lang w:eastAsia="fr-FR"/>
        </w:rPr>
      </w:pPr>
      <w:r w:rsidRPr="00425A7F">
        <w:rPr>
          <w:rFonts w:asciiTheme="minorHAnsi" w:hAnsiTheme="minorHAnsi"/>
          <w:lang w:eastAsia="fr-FR"/>
        </w:rPr>
        <w:t>La Stratégie Nationale de Financement de la Santé pour la Couverture Sanitaire Universelle propose des conditions ambitieuses et réalistes pour améliorer l’accès de TOUS à des soins de qualité. Parmi ces conditions se trouve une plus grande participation de l’Etat aux dépenses de santé de la population. La S</w:t>
      </w:r>
      <w:r w:rsidR="00113EF7">
        <w:rPr>
          <w:rFonts w:asciiTheme="minorHAnsi" w:hAnsiTheme="minorHAnsi"/>
          <w:lang w:eastAsia="fr-FR"/>
        </w:rPr>
        <w:t xml:space="preserve">tratégie </w:t>
      </w:r>
      <w:r w:rsidRPr="00425A7F">
        <w:rPr>
          <w:rFonts w:asciiTheme="minorHAnsi" w:hAnsiTheme="minorHAnsi"/>
          <w:lang w:eastAsia="fr-FR"/>
        </w:rPr>
        <w:t>N</w:t>
      </w:r>
      <w:r w:rsidR="00113EF7">
        <w:rPr>
          <w:rFonts w:asciiTheme="minorHAnsi" w:hAnsiTheme="minorHAnsi"/>
          <w:lang w:eastAsia="fr-FR"/>
        </w:rPr>
        <w:t xml:space="preserve">ationale de </w:t>
      </w:r>
      <w:r w:rsidRPr="00425A7F">
        <w:rPr>
          <w:rFonts w:asciiTheme="minorHAnsi" w:hAnsiTheme="minorHAnsi"/>
          <w:lang w:eastAsia="fr-FR"/>
        </w:rPr>
        <w:t>F</w:t>
      </w:r>
      <w:r w:rsidR="00113EF7">
        <w:rPr>
          <w:rFonts w:asciiTheme="minorHAnsi" w:hAnsiTheme="minorHAnsi"/>
          <w:lang w:eastAsia="fr-FR"/>
        </w:rPr>
        <w:t xml:space="preserve">inancement de la </w:t>
      </w:r>
      <w:r w:rsidRPr="00425A7F">
        <w:rPr>
          <w:rFonts w:asciiTheme="minorHAnsi" w:hAnsiTheme="minorHAnsi"/>
          <w:lang w:eastAsia="fr-FR"/>
        </w:rPr>
        <w:t>S</w:t>
      </w:r>
      <w:r w:rsidR="00113EF7">
        <w:rPr>
          <w:rFonts w:asciiTheme="minorHAnsi" w:hAnsiTheme="minorHAnsi"/>
          <w:lang w:eastAsia="fr-FR"/>
        </w:rPr>
        <w:t>anté</w:t>
      </w:r>
      <w:r w:rsidRPr="00425A7F">
        <w:rPr>
          <w:rFonts w:asciiTheme="minorHAnsi" w:hAnsiTheme="minorHAnsi"/>
          <w:lang w:eastAsia="fr-FR"/>
        </w:rPr>
        <w:t xml:space="preserve"> </w:t>
      </w:r>
      <w:r w:rsidR="00113EF7">
        <w:rPr>
          <w:rFonts w:asciiTheme="minorHAnsi" w:hAnsiTheme="minorHAnsi"/>
          <w:lang w:eastAsia="fr-FR"/>
        </w:rPr>
        <w:t xml:space="preserve">(SNFS) </w:t>
      </w:r>
      <w:r w:rsidRPr="00425A7F">
        <w:rPr>
          <w:rFonts w:asciiTheme="minorHAnsi" w:hAnsiTheme="minorHAnsi"/>
          <w:lang w:eastAsia="fr-FR"/>
        </w:rPr>
        <w:t xml:space="preserve">est </w:t>
      </w:r>
      <w:r w:rsidR="000B4DDC" w:rsidRPr="00425A7F">
        <w:rPr>
          <w:rFonts w:asciiTheme="minorHAnsi" w:hAnsiTheme="minorHAnsi"/>
          <w:lang w:eastAsia="fr-FR"/>
        </w:rPr>
        <w:t xml:space="preserve">donc en particulier </w:t>
      </w:r>
      <w:r w:rsidRPr="00425A7F">
        <w:rPr>
          <w:rFonts w:asciiTheme="minorHAnsi" w:hAnsiTheme="minorHAnsi"/>
          <w:lang w:eastAsia="fr-FR"/>
        </w:rPr>
        <w:t xml:space="preserve">une stratégie </w:t>
      </w:r>
      <w:r w:rsidR="00086A69" w:rsidRPr="00425A7F">
        <w:rPr>
          <w:rFonts w:asciiTheme="minorHAnsi" w:hAnsiTheme="minorHAnsi"/>
          <w:lang w:eastAsia="fr-FR"/>
        </w:rPr>
        <w:t>où</w:t>
      </w:r>
      <w:r w:rsidRPr="00425A7F">
        <w:rPr>
          <w:rFonts w:asciiTheme="minorHAnsi" w:hAnsiTheme="minorHAnsi"/>
          <w:lang w:eastAsia="fr-FR"/>
        </w:rPr>
        <w:t xml:space="preserve"> l’Etat s’engage à accroître le financement du secteur de la santé  par :</w:t>
      </w:r>
    </w:p>
    <w:p w:rsidR="000E4F8B" w:rsidRPr="00425A7F" w:rsidRDefault="000E4F8B" w:rsidP="00C52415">
      <w:pPr>
        <w:pStyle w:val="Paragraphedeliste"/>
        <w:numPr>
          <w:ilvl w:val="0"/>
          <w:numId w:val="13"/>
        </w:numPr>
        <w:rPr>
          <w:lang w:eastAsia="fr-FR"/>
        </w:rPr>
      </w:pPr>
      <w:r w:rsidRPr="00425A7F">
        <w:rPr>
          <w:lang w:eastAsia="fr-FR"/>
        </w:rPr>
        <w:t xml:space="preserve"> l’accroissement de la part du budget de l’Etat octroyée au Ministère de la Santé, </w:t>
      </w:r>
    </w:p>
    <w:p w:rsidR="000E4F8B" w:rsidRPr="00425A7F" w:rsidRDefault="000E4F8B" w:rsidP="00C52415">
      <w:pPr>
        <w:pStyle w:val="Paragraphedeliste"/>
        <w:numPr>
          <w:ilvl w:val="0"/>
          <w:numId w:val="13"/>
        </w:numPr>
        <w:rPr>
          <w:lang w:eastAsia="fr-FR"/>
        </w:rPr>
      </w:pPr>
      <w:r w:rsidRPr="00425A7F">
        <w:rPr>
          <w:lang w:eastAsia="fr-FR"/>
        </w:rPr>
        <w:t xml:space="preserve"> la participation financière consistante de l’Etat à un régime général d’assurance maladie (dit « AMU » pour « Assurance Maladie Universelle) progressivement étendu à l’ensemble de la population en tenant compte de la capacité financière variable de celle-ci.</w:t>
      </w:r>
    </w:p>
    <w:p w:rsidR="006B2A1B" w:rsidRDefault="00086A69" w:rsidP="00177D88">
      <w:pPr>
        <w:jc w:val="both"/>
        <w:rPr>
          <w:lang w:eastAsia="fr-FR"/>
        </w:rPr>
      </w:pPr>
      <w:r w:rsidRPr="00177D88">
        <w:rPr>
          <w:lang w:eastAsia="fr-FR"/>
        </w:rPr>
        <w:t xml:space="preserve">Ainsi les objectifs et axes stratégiques de la </w:t>
      </w:r>
      <w:r w:rsidR="006B2A1B" w:rsidRPr="00177D88">
        <w:rPr>
          <w:lang w:eastAsia="fr-FR"/>
        </w:rPr>
        <w:t>stratégie font l’objet d’un Plan d’action</w:t>
      </w:r>
      <w:r w:rsidR="00177D88" w:rsidRPr="00177D88">
        <w:rPr>
          <w:lang w:eastAsia="fr-FR"/>
        </w:rPr>
        <w:t>s 2018-2022 pour la mise en œuvre des interventions prioritaires citées plus haut dans le domaine du financement de la santé y compris la couverture du risque maladie.</w:t>
      </w:r>
      <w:r w:rsidR="00177D88">
        <w:rPr>
          <w:lang w:eastAsia="fr-FR"/>
        </w:rPr>
        <w:t xml:space="preserve"> </w:t>
      </w:r>
      <w:r w:rsidR="006B2A1B">
        <w:rPr>
          <w:lang w:eastAsia="fr-FR"/>
        </w:rPr>
        <w:t xml:space="preserve"> </w:t>
      </w:r>
    </w:p>
    <w:p w:rsidR="00086A69" w:rsidRPr="00425A7F" w:rsidRDefault="00086A69" w:rsidP="00086A69">
      <w:pPr>
        <w:rPr>
          <w:lang w:eastAsia="fr-FR"/>
        </w:rPr>
      </w:pPr>
    </w:p>
    <w:p w:rsidR="000E4F8B" w:rsidRPr="00425A7F" w:rsidRDefault="000E4F8B" w:rsidP="000E4F8B">
      <w:pPr>
        <w:pStyle w:val="Titre2"/>
        <w:numPr>
          <w:ilvl w:val="0"/>
          <w:numId w:val="0"/>
        </w:numPr>
        <w:ind w:left="360"/>
        <w:rPr>
          <w:lang w:eastAsia="fr-FR"/>
        </w:rPr>
      </w:pPr>
      <w:bookmarkStart w:id="62" w:name="_Toc497294520"/>
      <w:r w:rsidRPr="00425A7F">
        <w:rPr>
          <w:lang w:eastAsia="fr-FR"/>
        </w:rPr>
        <w:t>Financement des activités à programmer dans le cadre de la SNFS-CSU</w:t>
      </w:r>
      <w:bookmarkEnd w:id="62"/>
    </w:p>
    <w:p w:rsidR="00177D88" w:rsidRDefault="00177D88" w:rsidP="00325837">
      <w:pPr>
        <w:widowControl w:val="0"/>
        <w:suppressAutoHyphens/>
        <w:jc w:val="both"/>
        <w:rPr>
          <w:lang w:eastAsia="fr-FR"/>
        </w:rPr>
      </w:pPr>
      <w:r w:rsidRPr="00005E53">
        <w:rPr>
          <w:lang w:eastAsia="fr-FR"/>
        </w:rPr>
        <w:t xml:space="preserve">Le </w:t>
      </w:r>
      <w:r w:rsidR="001F55E0" w:rsidRPr="00005E53">
        <w:rPr>
          <w:lang w:eastAsia="fr-FR"/>
        </w:rPr>
        <w:t xml:space="preserve">coût global du </w:t>
      </w:r>
      <w:r w:rsidRPr="00005E53">
        <w:rPr>
          <w:lang w:eastAsia="fr-FR"/>
        </w:rPr>
        <w:t xml:space="preserve">Plan d’Actions 2018-2022 </w:t>
      </w:r>
      <w:r w:rsidR="001F55E0" w:rsidRPr="00005E53">
        <w:rPr>
          <w:lang w:eastAsia="fr-FR"/>
        </w:rPr>
        <w:t>annexé à la présente Stratégie est évalué à Deux Cent</w:t>
      </w:r>
      <w:r w:rsidR="001F55E0">
        <w:rPr>
          <w:lang w:eastAsia="fr-FR"/>
        </w:rPr>
        <w:t xml:space="preserve"> Trente Milliards, Sept Cent Cinquante Trois Millions Deux Cent Soixante Onze Mille (230 753 271 000) Francs CFA pour les cinq années.</w:t>
      </w:r>
    </w:p>
    <w:p w:rsidR="001F55E0" w:rsidRDefault="001F55E0" w:rsidP="00177D88">
      <w:pPr>
        <w:spacing w:before="120" w:after="120"/>
        <w:rPr>
          <w:lang w:eastAsia="fr-FR"/>
        </w:rPr>
      </w:pPr>
      <w:r>
        <w:rPr>
          <w:lang w:eastAsia="fr-FR"/>
        </w:rPr>
        <w:t>Ce coût global se reparti ainsi que suit :</w:t>
      </w:r>
    </w:p>
    <w:p w:rsidR="001F55E0" w:rsidRPr="00E42382" w:rsidRDefault="001F55E0" w:rsidP="00C52415">
      <w:pPr>
        <w:pStyle w:val="Paragraphedeliste"/>
        <w:numPr>
          <w:ilvl w:val="0"/>
          <w:numId w:val="18"/>
        </w:numPr>
        <w:spacing w:before="120" w:after="120"/>
        <w:rPr>
          <w:rFonts w:cstheme="minorHAnsi"/>
          <w:b/>
          <w:lang w:eastAsia="fr-FR"/>
        </w:rPr>
      </w:pPr>
      <w:r w:rsidRPr="00E42382">
        <w:rPr>
          <w:rFonts w:cstheme="minorHAnsi"/>
          <w:b/>
          <w:lang w:eastAsia="fr-FR"/>
        </w:rPr>
        <w:t>Par année :</w:t>
      </w:r>
    </w:p>
    <w:p w:rsidR="001F55E0" w:rsidRPr="00E42382" w:rsidRDefault="001F55E0" w:rsidP="00C52415">
      <w:pPr>
        <w:pStyle w:val="Paragraphedeliste"/>
        <w:widowControl w:val="0"/>
        <w:numPr>
          <w:ilvl w:val="0"/>
          <w:numId w:val="19"/>
        </w:numPr>
        <w:suppressAutoHyphens/>
        <w:jc w:val="both"/>
        <w:rPr>
          <w:rFonts w:cstheme="minorHAnsi"/>
        </w:rPr>
      </w:pPr>
      <w:r w:rsidRPr="00E42382">
        <w:rPr>
          <w:rFonts w:cstheme="minorHAnsi"/>
        </w:rPr>
        <w:t xml:space="preserve">2018 : </w:t>
      </w:r>
      <w:r w:rsidR="000A2146" w:rsidRPr="00E42382">
        <w:rPr>
          <w:rFonts w:cstheme="minorHAnsi"/>
        </w:rPr>
        <w:t>vingt neuf milliards neuf cent soixante treize millions cent quatre vingt mille (</w:t>
      </w:r>
      <w:r w:rsidRPr="00E42382">
        <w:rPr>
          <w:rFonts w:cstheme="minorHAnsi"/>
        </w:rPr>
        <w:t>29 973 180</w:t>
      </w:r>
      <w:r w:rsidR="000A2146" w:rsidRPr="00E42382">
        <w:rPr>
          <w:rFonts w:cstheme="minorHAnsi"/>
        </w:rPr>
        <w:t> </w:t>
      </w:r>
      <w:r w:rsidRPr="00E42382">
        <w:rPr>
          <w:rFonts w:cstheme="minorHAnsi"/>
        </w:rPr>
        <w:t>000</w:t>
      </w:r>
      <w:r w:rsidR="000A2146" w:rsidRPr="00E42382">
        <w:rPr>
          <w:rFonts w:cstheme="minorHAnsi"/>
        </w:rPr>
        <w:t xml:space="preserve">) Francs </w:t>
      </w:r>
      <w:r w:rsidRPr="00E42382">
        <w:rPr>
          <w:rFonts w:cstheme="minorHAnsi"/>
        </w:rPr>
        <w:t>FCFA</w:t>
      </w:r>
      <w:r w:rsidR="000A2146" w:rsidRPr="00E42382">
        <w:rPr>
          <w:rFonts w:cstheme="minorHAnsi"/>
        </w:rPr>
        <w:t>, soit 12,99% ;</w:t>
      </w:r>
    </w:p>
    <w:p w:rsidR="001F55E0" w:rsidRPr="00E42382" w:rsidRDefault="001F55E0" w:rsidP="00C52415">
      <w:pPr>
        <w:pStyle w:val="Paragraphedeliste"/>
        <w:widowControl w:val="0"/>
        <w:numPr>
          <w:ilvl w:val="0"/>
          <w:numId w:val="19"/>
        </w:numPr>
        <w:suppressAutoHyphens/>
        <w:jc w:val="both"/>
        <w:rPr>
          <w:rFonts w:cstheme="minorHAnsi"/>
        </w:rPr>
      </w:pPr>
      <w:r w:rsidRPr="00E42382">
        <w:rPr>
          <w:rFonts w:cstheme="minorHAnsi"/>
        </w:rPr>
        <w:t xml:space="preserve">2019 :   </w:t>
      </w:r>
      <w:r w:rsidR="000A2146" w:rsidRPr="00E42382">
        <w:rPr>
          <w:rFonts w:cstheme="minorHAnsi"/>
        </w:rPr>
        <w:t>trente cinq milliards deux cent cinquante cinq millions neuf cent mille (</w:t>
      </w:r>
      <w:r w:rsidRPr="00E42382">
        <w:rPr>
          <w:rFonts w:cstheme="minorHAnsi"/>
        </w:rPr>
        <w:t>35 255 900</w:t>
      </w:r>
      <w:r w:rsidR="000A2146" w:rsidRPr="00E42382">
        <w:rPr>
          <w:rFonts w:cstheme="minorHAnsi"/>
        </w:rPr>
        <w:t> </w:t>
      </w:r>
      <w:r w:rsidRPr="00E42382">
        <w:rPr>
          <w:rFonts w:cstheme="minorHAnsi"/>
        </w:rPr>
        <w:t>000</w:t>
      </w:r>
      <w:r w:rsidR="000A2146" w:rsidRPr="00E42382">
        <w:rPr>
          <w:rFonts w:cstheme="minorHAnsi"/>
        </w:rPr>
        <w:t>)</w:t>
      </w:r>
      <w:r w:rsidRPr="00E42382">
        <w:rPr>
          <w:rFonts w:cstheme="minorHAnsi"/>
        </w:rPr>
        <w:t xml:space="preserve"> F</w:t>
      </w:r>
      <w:r w:rsidR="000A2146" w:rsidRPr="00E42382">
        <w:rPr>
          <w:rFonts w:cstheme="minorHAnsi"/>
        </w:rPr>
        <w:t xml:space="preserve">rancs </w:t>
      </w:r>
      <w:r w:rsidRPr="00E42382">
        <w:rPr>
          <w:rFonts w:cstheme="minorHAnsi"/>
        </w:rPr>
        <w:t>CFA</w:t>
      </w:r>
      <w:r w:rsidR="000A2146" w:rsidRPr="00E42382">
        <w:rPr>
          <w:rFonts w:cstheme="minorHAnsi"/>
        </w:rPr>
        <w:t>, soit 15,28% ;</w:t>
      </w:r>
    </w:p>
    <w:p w:rsidR="001F55E0" w:rsidRPr="00E42382" w:rsidRDefault="001F55E0" w:rsidP="00C52415">
      <w:pPr>
        <w:pStyle w:val="Paragraphedeliste"/>
        <w:widowControl w:val="0"/>
        <w:numPr>
          <w:ilvl w:val="0"/>
          <w:numId w:val="19"/>
        </w:numPr>
        <w:suppressAutoHyphens/>
        <w:jc w:val="both"/>
        <w:rPr>
          <w:rFonts w:cstheme="minorHAnsi"/>
        </w:rPr>
      </w:pPr>
      <w:r w:rsidRPr="00E42382">
        <w:rPr>
          <w:rFonts w:cstheme="minorHAnsi"/>
        </w:rPr>
        <w:t xml:space="preserve">2020 : </w:t>
      </w:r>
      <w:r w:rsidR="000A2146" w:rsidRPr="00E42382">
        <w:rPr>
          <w:rFonts w:cstheme="minorHAnsi"/>
        </w:rPr>
        <w:t>quarante trois milliards cinq cent trois millions cinq cent soixante treize mille (</w:t>
      </w:r>
      <w:r w:rsidRPr="00E42382">
        <w:rPr>
          <w:rFonts w:cstheme="minorHAnsi"/>
        </w:rPr>
        <w:t>43 503 573</w:t>
      </w:r>
      <w:r w:rsidR="000A2146" w:rsidRPr="00E42382">
        <w:rPr>
          <w:rFonts w:cstheme="minorHAnsi"/>
        </w:rPr>
        <w:t> </w:t>
      </w:r>
      <w:r w:rsidRPr="00E42382">
        <w:rPr>
          <w:rFonts w:cstheme="minorHAnsi"/>
        </w:rPr>
        <w:t>000</w:t>
      </w:r>
      <w:r w:rsidR="000A2146" w:rsidRPr="00E42382">
        <w:rPr>
          <w:rFonts w:cstheme="minorHAnsi"/>
        </w:rPr>
        <w:t>)</w:t>
      </w:r>
      <w:r w:rsidRPr="00E42382">
        <w:rPr>
          <w:rFonts w:cstheme="minorHAnsi"/>
        </w:rPr>
        <w:t xml:space="preserve"> F</w:t>
      </w:r>
      <w:r w:rsidR="000A2146" w:rsidRPr="00E42382">
        <w:rPr>
          <w:rFonts w:cstheme="minorHAnsi"/>
        </w:rPr>
        <w:t xml:space="preserve">rancs </w:t>
      </w:r>
      <w:r w:rsidRPr="00E42382">
        <w:rPr>
          <w:rFonts w:cstheme="minorHAnsi"/>
        </w:rPr>
        <w:t>CFA</w:t>
      </w:r>
      <w:r w:rsidR="000A2146" w:rsidRPr="00E42382">
        <w:rPr>
          <w:rFonts w:cstheme="minorHAnsi"/>
        </w:rPr>
        <w:t>, soit 18,85% ;</w:t>
      </w:r>
    </w:p>
    <w:p w:rsidR="001F55E0" w:rsidRPr="00E42382" w:rsidRDefault="001F55E0" w:rsidP="00C52415">
      <w:pPr>
        <w:pStyle w:val="Paragraphedeliste"/>
        <w:widowControl w:val="0"/>
        <w:numPr>
          <w:ilvl w:val="0"/>
          <w:numId w:val="19"/>
        </w:numPr>
        <w:suppressAutoHyphens/>
        <w:jc w:val="both"/>
        <w:rPr>
          <w:rFonts w:cstheme="minorHAnsi"/>
        </w:rPr>
      </w:pPr>
      <w:r w:rsidRPr="00E42382">
        <w:rPr>
          <w:rFonts w:cstheme="minorHAnsi"/>
        </w:rPr>
        <w:t>2021 :</w:t>
      </w:r>
      <w:r w:rsidR="000A2146" w:rsidRPr="00E42382">
        <w:rPr>
          <w:rFonts w:cstheme="minorHAnsi"/>
        </w:rPr>
        <w:t xml:space="preserve"> cinquante quatre milliards deux cent vingt millions cent cinquante six mille (</w:t>
      </w:r>
      <w:r w:rsidRPr="00E42382">
        <w:rPr>
          <w:rFonts w:cstheme="minorHAnsi"/>
        </w:rPr>
        <w:t>54 220 156</w:t>
      </w:r>
      <w:r w:rsidR="000A2146" w:rsidRPr="00E42382">
        <w:rPr>
          <w:rFonts w:cstheme="minorHAnsi"/>
        </w:rPr>
        <w:t> </w:t>
      </w:r>
      <w:r w:rsidRPr="00E42382">
        <w:rPr>
          <w:rFonts w:cstheme="minorHAnsi"/>
        </w:rPr>
        <w:t>000</w:t>
      </w:r>
      <w:r w:rsidR="000A2146" w:rsidRPr="00E42382">
        <w:rPr>
          <w:rFonts w:cstheme="minorHAnsi"/>
        </w:rPr>
        <w:t xml:space="preserve">) </w:t>
      </w:r>
      <w:r w:rsidRPr="00E42382">
        <w:rPr>
          <w:rFonts w:cstheme="minorHAnsi"/>
        </w:rPr>
        <w:t xml:space="preserve"> F</w:t>
      </w:r>
      <w:r w:rsidR="000A2146" w:rsidRPr="00E42382">
        <w:rPr>
          <w:rFonts w:cstheme="minorHAnsi"/>
        </w:rPr>
        <w:t xml:space="preserve">rancs </w:t>
      </w:r>
      <w:r w:rsidRPr="00E42382">
        <w:rPr>
          <w:rFonts w:cstheme="minorHAnsi"/>
        </w:rPr>
        <w:t>CFA</w:t>
      </w:r>
      <w:r w:rsidR="000A2146" w:rsidRPr="00E42382">
        <w:rPr>
          <w:rFonts w:cstheme="minorHAnsi"/>
        </w:rPr>
        <w:t>, soit 23,50% ;</w:t>
      </w:r>
    </w:p>
    <w:p w:rsidR="001F55E0" w:rsidRPr="00E42382" w:rsidRDefault="001F55E0" w:rsidP="00C52415">
      <w:pPr>
        <w:pStyle w:val="Paragraphedeliste"/>
        <w:widowControl w:val="0"/>
        <w:numPr>
          <w:ilvl w:val="0"/>
          <w:numId w:val="19"/>
        </w:numPr>
        <w:suppressAutoHyphens/>
        <w:jc w:val="both"/>
        <w:rPr>
          <w:rFonts w:cstheme="minorHAnsi"/>
        </w:rPr>
      </w:pPr>
      <w:r w:rsidRPr="00E42382">
        <w:rPr>
          <w:rFonts w:cstheme="minorHAnsi"/>
        </w:rPr>
        <w:t xml:space="preserve">2022 :   </w:t>
      </w:r>
      <w:r w:rsidR="000A2146" w:rsidRPr="00E42382">
        <w:rPr>
          <w:rFonts w:cstheme="minorHAnsi"/>
        </w:rPr>
        <w:t xml:space="preserve">soixante sept milliards huit cent millions quatre cent soixante trois mille </w:t>
      </w:r>
      <w:r w:rsidRPr="00E42382">
        <w:rPr>
          <w:rFonts w:cstheme="minorHAnsi"/>
        </w:rPr>
        <w:t xml:space="preserve"> </w:t>
      </w:r>
      <w:r w:rsidR="000A2146" w:rsidRPr="00E42382">
        <w:rPr>
          <w:rFonts w:cstheme="minorHAnsi"/>
        </w:rPr>
        <w:t>(</w:t>
      </w:r>
      <w:r w:rsidRPr="00E42382">
        <w:rPr>
          <w:rFonts w:cstheme="minorHAnsi"/>
        </w:rPr>
        <w:t>67 800 463</w:t>
      </w:r>
      <w:r w:rsidR="000A2146" w:rsidRPr="00E42382">
        <w:rPr>
          <w:rFonts w:cstheme="minorHAnsi"/>
        </w:rPr>
        <w:t> </w:t>
      </w:r>
      <w:r w:rsidRPr="00E42382">
        <w:rPr>
          <w:rFonts w:cstheme="minorHAnsi"/>
        </w:rPr>
        <w:t>000</w:t>
      </w:r>
      <w:r w:rsidR="000A2146" w:rsidRPr="00E42382">
        <w:rPr>
          <w:rFonts w:cstheme="minorHAnsi"/>
        </w:rPr>
        <w:t>)</w:t>
      </w:r>
      <w:r w:rsidRPr="00E42382">
        <w:rPr>
          <w:rFonts w:cstheme="minorHAnsi"/>
        </w:rPr>
        <w:t xml:space="preserve"> F</w:t>
      </w:r>
      <w:r w:rsidR="000A2146" w:rsidRPr="00E42382">
        <w:rPr>
          <w:rFonts w:cstheme="minorHAnsi"/>
        </w:rPr>
        <w:t xml:space="preserve">rancs </w:t>
      </w:r>
      <w:r w:rsidRPr="00E42382">
        <w:rPr>
          <w:rFonts w:cstheme="minorHAnsi"/>
        </w:rPr>
        <w:t>CFA</w:t>
      </w:r>
      <w:r w:rsidR="000A2146" w:rsidRPr="00E42382">
        <w:rPr>
          <w:rFonts w:cstheme="minorHAnsi"/>
        </w:rPr>
        <w:t>, soit 29,38%.</w:t>
      </w:r>
    </w:p>
    <w:p w:rsidR="000A2146" w:rsidRPr="00E42382" w:rsidRDefault="000A2146" w:rsidP="00C52415">
      <w:pPr>
        <w:pStyle w:val="Paragraphedeliste"/>
        <w:numPr>
          <w:ilvl w:val="0"/>
          <w:numId w:val="18"/>
        </w:numPr>
        <w:spacing w:before="120" w:after="120"/>
        <w:rPr>
          <w:rFonts w:cstheme="minorHAnsi"/>
          <w:b/>
          <w:lang w:eastAsia="fr-FR"/>
        </w:rPr>
      </w:pPr>
      <w:r w:rsidRPr="00E42382">
        <w:rPr>
          <w:rFonts w:cstheme="minorHAnsi"/>
          <w:b/>
          <w:lang w:eastAsia="fr-FR"/>
        </w:rPr>
        <w:t>Par résultat stratégique :</w:t>
      </w:r>
    </w:p>
    <w:p w:rsidR="000A2146" w:rsidRPr="00E42382" w:rsidRDefault="000A2146" w:rsidP="00C52415">
      <w:pPr>
        <w:pStyle w:val="Paragraphedeliste"/>
        <w:widowControl w:val="0"/>
        <w:numPr>
          <w:ilvl w:val="0"/>
          <w:numId w:val="19"/>
        </w:numPr>
        <w:suppressAutoHyphens/>
        <w:jc w:val="both"/>
        <w:rPr>
          <w:rFonts w:cstheme="minorHAnsi"/>
        </w:rPr>
      </w:pPr>
      <w:r w:rsidRPr="00E42382">
        <w:rPr>
          <w:rFonts w:cstheme="minorHAnsi"/>
        </w:rPr>
        <w:t xml:space="preserve">OS1 : </w:t>
      </w:r>
      <w:r w:rsidR="0022318E" w:rsidRPr="00E42382">
        <w:rPr>
          <w:rFonts w:cstheme="minorHAnsi"/>
        </w:rPr>
        <w:t>neuf cent vingt deux millions neuf cent cinquante huit mille (</w:t>
      </w:r>
      <w:r w:rsidRPr="00E42382">
        <w:rPr>
          <w:rFonts w:cstheme="minorHAnsi"/>
        </w:rPr>
        <w:t>922 958</w:t>
      </w:r>
      <w:r w:rsidR="0022318E" w:rsidRPr="00E42382">
        <w:rPr>
          <w:rFonts w:cstheme="minorHAnsi"/>
        </w:rPr>
        <w:t xml:space="preserve"> 000) </w:t>
      </w:r>
      <w:r w:rsidRPr="00E42382">
        <w:rPr>
          <w:rFonts w:cstheme="minorHAnsi"/>
        </w:rPr>
        <w:t>F</w:t>
      </w:r>
      <w:r w:rsidR="0022318E" w:rsidRPr="00E42382">
        <w:rPr>
          <w:rFonts w:cstheme="minorHAnsi"/>
        </w:rPr>
        <w:t xml:space="preserve">rancs </w:t>
      </w:r>
      <w:r w:rsidRPr="00E42382">
        <w:rPr>
          <w:rFonts w:cstheme="minorHAnsi"/>
        </w:rPr>
        <w:t>CFA</w:t>
      </w:r>
      <w:r w:rsidR="0022318E" w:rsidRPr="00E42382">
        <w:rPr>
          <w:rFonts w:cstheme="minorHAnsi"/>
        </w:rPr>
        <w:t>, soit 0,40% ;</w:t>
      </w:r>
    </w:p>
    <w:p w:rsidR="000A2146" w:rsidRPr="00E42382" w:rsidRDefault="000A2146" w:rsidP="00C52415">
      <w:pPr>
        <w:pStyle w:val="Paragraphedeliste"/>
        <w:widowControl w:val="0"/>
        <w:numPr>
          <w:ilvl w:val="0"/>
          <w:numId w:val="19"/>
        </w:numPr>
        <w:suppressAutoHyphens/>
        <w:jc w:val="both"/>
        <w:rPr>
          <w:rFonts w:cstheme="minorHAnsi"/>
        </w:rPr>
      </w:pPr>
      <w:r w:rsidRPr="00E42382">
        <w:rPr>
          <w:rFonts w:cstheme="minorHAnsi"/>
        </w:rPr>
        <w:t xml:space="preserve">OS2 : </w:t>
      </w:r>
      <w:r w:rsidR="00EF5066" w:rsidRPr="00E42382">
        <w:rPr>
          <w:rFonts w:cstheme="minorHAnsi"/>
        </w:rPr>
        <w:t>seize</w:t>
      </w:r>
      <w:r w:rsidR="0022318E" w:rsidRPr="00E42382">
        <w:rPr>
          <w:rFonts w:cstheme="minorHAnsi"/>
        </w:rPr>
        <w:t xml:space="preserve"> milliards neuf cent vingt cinq millions huit cent soixante dix neuf mille (</w:t>
      </w:r>
      <w:r w:rsidRPr="00E42382">
        <w:rPr>
          <w:rFonts w:cstheme="minorHAnsi"/>
        </w:rPr>
        <w:t>16 925 879</w:t>
      </w:r>
      <w:r w:rsidR="0022318E" w:rsidRPr="00E42382">
        <w:rPr>
          <w:rFonts w:cstheme="minorHAnsi"/>
        </w:rPr>
        <w:t xml:space="preserve"> 000) </w:t>
      </w:r>
      <w:r w:rsidRPr="00E42382">
        <w:rPr>
          <w:rFonts w:cstheme="minorHAnsi"/>
        </w:rPr>
        <w:t>F</w:t>
      </w:r>
      <w:r w:rsidR="0022318E" w:rsidRPr="00E42382">
        <w:rPr>
          <w:rFonts w:cstheme="minorHAnsi"/>
        </w:rPr>
        <w:t xml:space="preserve">rancs </w:t>
      </w:r>
      <w:r w:rsidRPr="00E42382">
        <w:rPr>
          <w:rFonts w:cstheme="minorHAnsi"/>
        </w:rPr>
        <w:t>CFA</w:t>
      </w:r>
      <w:r w:rsidR="0022318E" w:rsidRPr="00E42382">
        <w:rPr>
          <w:rFonts w:cstheme="minorHAnsi"/>
        </w:rPr>
        <w:t>, soit 7,34%</w:t>
      </w:r>
      <w:r w:rsidRPr="00E42382">
        <w:rPr>
          <w:rFonts w:cstheme="minorHAnsi"/>
        </w:rPr>
        <w:t> ;</w:t>
      </w:r>
    </w:p>
    <w:p w:rsidR="000A2146" w:rsidRPr="00E42382" w:rsidRDefault="000A2146" w:rsidP="00C52415">
      <w:pPr>
        <w:pStyle w:val="Paragraphedeliste"/>
        <w:widowControl w:val="0"/>
        <w:numPr>
          <w:ilvl w:val="0"/>
          <w:numId w:val="19"/>
        </w:numPr>
        <w:suppressAutoHyphens/>
        <w:jc w:val="both"/>
        <w:rPr>
          <w:rFonts w:cstheme="minorHAnsi"/>
        </w:rPr>
      </w:pPr>
      <w:r w:rsidRPr="00E42382">
        <w:rPr>
          <w:rFonts w:cstheme="minorHAnsi"/>
        </w:rPr>
        <w:t xml:space="preserve">OS3 : </w:t>
      </w:r>
      <w:r w:rsidR="0022318E" w:rsidRPr="00E42382">
        <w:rPr>
          <w:rFonts w:cstheme="minorHAnsi"/>
        </w:rPr>
        <w:t>deux cent onze milliards deux cent vingt neuf millions quatre cent trente trois mille (</w:t>
      </w:r>
      <w:r w:rsidRPr="00E42382">
        <w:rPr>
          <w:rFonts w:cstheme="minorHAnsi"/>
        </w:rPr>
        <w:t>211 229 433</w:t>
      </w:r>
      <w:r w:rsidR="0022318E" w:rsidRPr="00E42382">
        <w:rPr>
          <w:rFonts w:cstheme="minorHAnsi"/>
        </w:rPr>
        <w:t xml:space="preserve"> 000)  </w:t>
      </w:r>
      <w:r w:rsidRPr="00E42382">
        <w:rPr>
          <w:rFonts w:cstheme="minorHAnsi"/>
        </w:rPr>
        <w:t>F</w:t>
      </w:r>
      <w:r w:rsidR="0022318E" w:rsidRPr="00E42382">
        <w:rPr>
          <w:rFonts w:cstheme="minorHAnsi"/>
        </w:rPr>
        <w:t xml:space="preserve">rancs </w:t>
      </w:r>
      <w:r w:rsidRPr="00E42382">
        <w:rPr>
          <w:rFonts w:cstheme="minorHAnsi"/>
        </w:rPr>
        <w:t>CFA</w:t>
      </w:r>
      <w:r w:rsidR="0022318E" w:rsidRPr="00E42382">
        <w:rPr>
          <w:rFonts w:cstheme="minorHAnsi"/>
        </w:rPr>
        <w:t>, soit 91,54% ;</w:t>
      </w:r>
    </w:p>
    <w:p w:rsidR="000A2146" w:rsidRPr="00E42382" w:rsidRDefault="000A2146" w:rsidP="00C52415">
      <w:pPr>
        <w:pStyle w:val="Paragraphedeliste"/>
        <w:widowControl w:val="0"/>
        <w:numPr>
          <w:ilvl w:val="0"/>
          <w:numId w:val="19"/>
        </w:numPr>
        <w:suppressAutoHyphens/>
        <w:jc w:val="both"/>
        <w:rPr>
          <w:rFonts w:cstheme="minorHAnsi"/>
        </w:rPr>
      </w:pPr>
      <w:r w:rsidRPr="00E42382">
        <w:rPr>
          <w:rFonts w:cstheme="minorHAnsi"/>
        </w:rPr>
        <w:t xml:space="preserve">OS4 : </w:t>
      </w:r>
      <w:r w:rsidR="0022318E" w:rsidRPr="00E42382">
        <w:rPr>
          <w:rFonts w:cstheme="minorHAnsi"/>
        </w:rPr>
        <w:t>un milliard six cent soixante quinze millions (</w:t>
      </w:r>
      <w:r w:rsidRPr="00E42382">
        <w:rPr>
          <w:rFonts w:cstheme="minorHAnsi"/>
        </w:rPr>
        <w:t>1 675 000</w:t>
      </w:r>
      <w:r w:rsidR="0022318E" w:rsidRPr="00E42382">
        <w:rPr>
          <w:rFonts w:cstheme="minorHAnsi"/>
        </w:rPr>
        <w:t xml:space="preserve"> 000) </w:t>
      </w:r>
      <w:r w:rsidRPr="00E42382">
        <w:rPr>
          <w:rFonts w:cstheme="minorHAnsi"/>
        </w:rPr>
        <w:t>F</w:t>
      </w:r>
      <w:r w:rsidR="0022318E" w:rsidRPr="00E42382">
        <w:rPr>
          <w:rFonts w:cstheme="minorHAnsi"/>
        </w:rPr>
        <w:t xml:space="preserve">rancs </w:t>
      </w:r>
      <w:r w:rsidRPr="00E42382">
        <w:rPr>
          <w:rFonts w:cstheme="minorHAnsi"/>
        </w:rPr>
        <w:t>CFA</w:t>
      </w:r>
      <w:r w:rsidR="0022318E" w:rsidRPr="00E42382">
        <w:rPr>
          <w:rFonts w:cstheme="minorHAnsi"/>
        </w:rPr>
        <w:t>, soit 0,73%.</w:t>
      </w:r>
    </w:p>
    <w:p w:rsidR="00086A69" w:rsidRPr="00425A7F" w:rsidRDefault="00086A69" w:rsidP="00086A69">
      <w:pPr>
        <w:pStyle w:val="Titre2"/>
        <w:numPr>
          <w:ilvl w:val="0"/>
          <w:numId w:val="0"/>
        </w:numPr>
        <w:ind w:left="360"/>
        <w:rPr>
          <w:lang w:eastAsia="fr-FR"/>
        </w:rPr>
      </w:pPr>
      <w:bookmarkStart w:id="63" w:name="_Toc497294521"/>
      <w:r w:rsidRPr="00425A7F">
        <w:rPr>
          <w:lang w:eastAsia="fr-FR"/>
        </w:rPr>
        <w:lastRenderedPageBreak/>
        <w:t>Mobilisation des ressources</w:t>
      </w:r>
      <w:bookmarkEnd w:id="63"/>
    </w:p>
    <w:p w:rsidR="00086A69" w:rsidRPr="00425A7F" w:rsidRDefault="00086A69" w:rsidP="00086A69">
      <w:pPr>
        <w:rPr>
          <w:lang w:eastAsia="fr-FR"/>
        </w:rPr>
      </w:pPr>
    </w:p>
    <w:p w:rsidR="0003191C" w:rsidRPr="00425A7F" w:rsidRDefault="00BA2227">
      <w:pPr>
        <w:spacing w:after="200" w:line="276" w:lineRule="auto"/>
        <w:rPr>
          <w:rFonts w:asciiTheme="minorHAnsi" w:hAnsiTheme="minorHAnsi"/>
          <w:lang w:eastAsia="fr-FR"/>
        </w:rPr>
      </w:pPr>
      <w:r w:rsidRPr="00425A7F">
        <w:rPr>
          <w:rFonts w:asciiTheme="minorHAnsi" w:hAnsiTheme="minorHAnsi"/>
          <w:lang w:eastAsia="fr-FR"/>
        </w:rPr>
        <w:t xml:space="preserve">La mobilisation des ressources est une fonction du système de financement. Aussi cette question </w:t>
      </w:r>
      <w:r w:rsidR="0003191C" w:rsidRPr="00425A7F">
        <w:rPr>
          <w:rFonts w:asciiTheme="minorHAnsi" w:hAnsiTheme="minorHAnsi"/>
          <w:lang w:eastAsia="fr-FR"/>
        </w:rPr>
        <w:t>est-elle</w:t>
      </w:r>
      <w:r w:rsidRPr="00425A7F">
        <w:rPr>
          <w:rFonts w:asciiTheme="minorHAnsi" w:hAnsiTheme="minorHAnsi"/>
          <w:lang w:eastAsia="fr-FR"/>
        </w:rPr>
        <w:t xml:space="preserve"> un OBJECTIF</w:t>
      </w:r>
      <w:r w:rsidR="0003191C" w:rsidRPr="00425A7F">
        <w:rPr>
          <w:rFonts w:asciiTheme="minorHAnsi" w:hAnsiTheme="minorHAnsi"/>
          <w:lang w:eastAsia="fr-FR"/>
        </w:rPr>
        <w:t xml:space="preserve"> de la stratégie, l’objectif n°1 en vérité. Rappelons qu’il se décline dans :</w:t>
      </w:r>
    </w:p>
    <w:p w:rsidR="0003191C" w:rsidRPr="00425A7F" w:rsidRDefault="0003191C" w:rsidP="0003191C">
      <w:pPr>
        <w:pStyle w:val="Paragraphedeliste"/>
        <w:numPr>
          <w:ilvl w:val="0"/>
          <w:numId w:val="2"/>
        </w:numPr>
        <w:rPr>
          <w:lang w:eastAsia="fr-FR"/>
        </w:rPr>
      </w:pPr>
      <w:r w:rsidRPr="00425A7F">
        <w:rPr>
          <w:lang w:eastAsia="fr-FR"/>
        </w:rPr>
        <w:t>L’augmentation du cadrage budgétaire du secteur pour atteindre 16% en 2023, dont 4% sera nécessaire pour assurer la subvention de l’assurance maladie pour le secteur informel pauvre et non pauvre</w:t>
      </w:r>
    </w:p>
    <w:p w:rsidR="00D5697A" w:rsidRDefault="0003191C" w:rsidP="00D5697A">
      <w:pPr>
        <w:pStyle w:val="Paragraphedeliste"/>
        <w:numPr>
          <w:ilvl w:val="0"/>
          <w:numId w:val="2"/>
        </w:numPr>
        <w:rPr>
          <w:lang w:eastAsia="fr-FR"/>
        </w:rPr>
      </w:pPr>
      <w:r w:rsidRPr="00425A7F">
        <w:rPr>
          <w:lang w:eastAsia="fr-FR"/>
        </w:rPr>
        <w:t>La recherche d’un mécanisme de financement spécifique pour l’AMU dans les années à venir</w:t>
      </w:r>
      <w:r w:rsidR="00C52863">
        <w:rPr>
          <w:lang w:eastAsia="fr-FR"/>
        </w:rPr>
        <w:t>.</w:t>
      </w:r>
    </w:p>
    <w:p w:rsidR="00BF5ACF" w:rsidRPr="00BF5ACF" w:rsidRDefault="0044215B" w:rsidP="0042314B">
      <w:pPr>
        <w:jc w:val="both"/>
        <w:rPr>
          <w:color w:val="0070C0"/>
          <w:lang w:eastAsia="fr-FR"/>
        </w:rPr>
      </w:pPr>
      <w:r>
        <w:rPr>
          <w:rFonts w:eastAsia="Times New Roman"/>
          <w:iCs/>
          <w:lang w:eastAsia="fr-FR"/>
        </w:rPr>
        <w:t xml:space="preserve">Se référant au </w:t>
      </w:r>
      <w:r w:rsidR="00D5697A">
        <w:rPr>
          <w:rFonts w:eastAsia="Times New Roman"/>
          <w:iCs/>
          <w:lang w:eastAsia="fr-FR"/>
        </w:rPr>
        <w:t xml:space="preserve">financement du secteur </w:t>
      </w:r>
      <w:r w:rsidR="0042314B">
        <w:rPr>
          <w:rFonts w:eastAsia="Times New Roman"/>
          <w:iCs/>
          <w:lang w:eastAsia="fr-FR"/>
        </w:rPr>
        <w:t xml:space="preserve">de la </w:t>
      </w:r>
      <w:r>
        <w:rPr>
          <w:rFonts w:eastAsia="Times New Roman"/>
          <w:iCs/>
          <w:lang w:eastAsia="fr-FR"/>
        </w:rPr>
        <w:t xml:space="preserve">santé </w:t>
      </w:r>
      <w:r w:rsidR="00D5697A">
        <w:rPr>
          <w:rFonts w:eastAsia="Times New Roman"/>
          <w:iCs/>
          <w:lang w:eastAsia="fr-FR"/>
        </w:rPr>
        <w:t>en 2016</w:t>
      </w:r>
      <w:r w:rsidR="00D0233B">
        <w:rPr>
          <w:rFonts w:eastAsia="Times New Roman"/>
          <w:iCs/>
          <w:lang w:eastAsia="fr-FR"/>
        </w:rPr>
        <w:t xml:space="preserve">, </w:t>
      </w:r>
      <w:r w:rsidR="0019172B">
        <w:rPr>
          <w:rFonts w:eastAsia="Times New Roman"/>
          <w:iCs/>
          <w:lang w:eastAsia="fr-FR"/>
        </w:rPr>
        <w:t>e</w:t>
      </w:r>
      <w:r w:rsidR="00D5697A">
        <w:rPr>
          <w:rFonts w:eastAsia="Times New Roman"/>
          <w:iCs/>
          <w:lang w:eastAsia="fr-FR"/>
        </w:rPr>
        <w:t xml:space="preserve">nviron </w:t>
      </w:r>
      <w:r w:rsidR="00D5697A" w:rsidRPr="00D5697A">
        <w:rPr>
          <w:rFonts w:eastAsia="Times New Roman"/>
          <w:iCs/>
          <w:lang w:eastAsia="fr-FR"/>
        </w:rPr>
        <w:t xml:space="preserve">100 milliards </w:t>
      </w:r>
      <w:r w:rsidR="00D5697A">
        <w:rPr>
          <w:rFonts w:eastAsia="Times New Roman"/>
          <w:iCs/>
          <w:lang w:eastAsia="fr-FR"/>
        </w:rPr>
        <w:t>de FCFA</w:t>
      </w:r>
      <w:r>
        <w:rPr>
          <w:rFonts w:eastAsia="Times New Roman"/>
          <w:iCs/>
          <w:lang w:eastAsia="fr-FR"/>
        </w:rPr>
        <w:t xml:space="preserve">, soit </w:t>
      </w:r>
      <w:r w:rsidR="00D5697A" w:rsidRPr="00D5697A">
        <w:rPr>
          <w:rFonts w:eastAsia="Times New Roman"/>
          <w:iCs/>
          <w:lang w:eastAsia="fr-FR"/>
        </w:rPr>
        <w:t>11% des dépenses récurrentes</w:t>
      </w:r>
      <w:r w:rsidR="0042314B">
        <w:rPr>
          <w:rFonts w:eastAsia="Times New Roman"/>
          <w:iCs/>
          <w:lang w:eastAsia="fr-FR"/>
        </w:rPr>
        <w:t xml:space="preserve"> </w:t>
      </w:r>
      <w:r w:rsidR="00D0233B">
        <w:rPr>
          <w:rFonts w:eastAsia="Times New Roman"/>
          <w:iCs/>
          <w:lang w:eastAsia="fr-FR"/>
        </w:rPr>
        <w:t>avec u</w:t>
      </w:r>
      <w:r w:rsidR="0042314B">
        <w:rPr>
          <w:rFonts w:eastAsia="Times New Roman"/>
          <w:iCs/>
          <w:lang w:eastAsia="fr-FR"/>
        </w:rPr>
        <w:t xml:space="preserve">ne </w:t>
      </w:r>
      <w:r w:rsidR="0019172B">
        <w:rPr>
          <w:rFonts w:eastAsia="Times New Roman"/>
          <w:iCs/>
          <w:lang w:eastAsia="fr-FR"/>
        </w:rPr>
        <w:t>progression de 11,18% en 2017 ; 11,61% en 2018 ; 11,87% en 2019 et 11,95% en 2020</w:t>
      </w:r>
      <w:r w:rsidR="00D5697A">
        <w:rPr>
          <w:rFonts w:eastAsia="Times New Roman"/>
          <w:iCs/>
          <w:lang w:eastAsia="fr-FR"/>
        </w:rPr>
        <w:t xml:space="preserve">, </w:t>
      </w:r>
      <w:r w:rsidR="0042314B">
        <w:rPr>
          <w:rFonts w:eastAsia="Times New Roman"/>
          <w:iCs/>
          <w:lang w:eastAsia="fr-FR"/>
        </w:rPr>
        <w:t xml:space="preserve">les allocations budgétaires du secteur de </w:t>
      </w:r>
      <w:r w:rsidR="00D5697A">
        <w:rPr>
          <w:rFonts w:eastAsia="Times New Roman"/>
          <w:iCs/>
          <w:lang w:eastAsia="fr-FR"/>
        </w:rPr>
        <w:t xml:space="preserve">la </w:t>
      </w:r>
      <w:r w:rsidR="0042314B">
        <w:rPr>
          <w:rFonts w:eastAsia="Times New Roman"/>
          <w:iCs/>
          <w:lang w:eastAsia="fr-FR"/>
        </w:rPr>
        <w:t xml:space="preserve">santé passeront de  </w:t>
      </w:r>
      <w:r w:rsidR="00BF5ACF" w:rsidRPr="0042314B">
        <w:rPr>
          <w:rFonts w:eastAsia="Times New Roman"/>
          <w:iCs/>
          <w:lang w:eastAsia="fr-FR"/>
        </w:rPr>
        <w:t>139,52 milliards en 2017 à 158,38 en milliards en moyenne sur 2018-2020 ; ce qui représente une croissance moyenne de 6,7 % et une part moyenne de 6,1 % sur la période de cadrage</w:t>
      </w:r>
      <w:r w:rsidR="00BF5ACF" w:rsidRPr="0042314B">
        <w:rPr>
          <w:rStyle w:val="Appelnotedebasdep"/>
          <w:lang w:eastAsia="fr-FR"/>
        </w:rPr>
        <w:footnoteReference w:id="28"/>
      </w:r>
      <w:r w:rsidR="0042314B" w:rsidRPr="0042314B">
        <w:rPr>
          <w:rStyle w:val="Appelnotedebasdep"/>
        </w:rPr>
        <w:t xml:space="preserve"> </w:t>
      </w:r>
      <w:r w:rsidR="0042314B">
        <w:rPr>
          <w:rFonts w:eastAsia="Times New Roman"/>
          <w:iCs/>
          <w:lang w:eastAsia="fr-FR"/>
        </w:rPr>
        <w:t xml:space="preserve">alors qu’elle a été en moyenne de 5,25% </w:t>
      </w:r>
      <w:r w:rsidR="0042314B" w:rsidRPr="0042314B">
        <w:rPr>
          <w:rFonts w:eastAsia="Times New Roman"/>
          <w:iCs/>
          <w:lang w:eastAsia="fr-FR"/>
        </w:rPr>
        <w:t>entre 2013 et</w:t>
      </w:r>
      <w:r w:rsidR="00BF5ACF" w:rsidRPr="0042314B">
        <w:rPr>
          <w:lang w:eastAsia="fr-FR"/>
        </w:rPr>
        <w:t xml:space="preserve"> 2016</w:t>
      </w:r>
      <w:r w:rsidR="00BF5ACF" w:rsidRPr="0042314B">
        <w:rPr>
          <w:rStyle w:val="Appelnotedebasdep"/>
          <w:lang w:eastAsia="fr-FR"/>
        </w:rPr>
        <w:footnoteReference w:id="29"/>
      </w:r>
      <w:r w:rsidR="00BF5ACF" w:rsidRPr="0042314B">
        <w:rPr>
          <w:lang w:eastAsia="fr-FR"/>
        </w:rPr>
        <w:t xml:space="preserve">. </w:t>
      </w:r>
    </w:p>
    <w:p w:rsidR="00BF5ACF" w:rsidRPr="00BF5ACF" w:rsidRDefault="00BF5ACF" w:rsidP="00BF5ACF">
      <w:pPr>
        <w:rPr>
          <w:color w:val="0070C0"/>
          <w:lang w:eastAsia="fr-FR"/>
        </w:rPr>
      </w:pPr>
    </w:p>
    <w:p w:rsidR="00BF5ACF" w:rsidRPr="0042314B" w:rsidRDefault="0042314B" w:rsidP="0042314B">
      <w:pPr>
        <w:jc w:val="both"/>
        <w:rPr>
          <w:lang w:eastAsia="fr-FR"/>
        </w:rPr>
      </w:pPr>
      <w:r w:rsidRPr="0042314B">
        <w:rPr>
          <w:lang w:eastAsia="fr-FR"/>
        </w:rPr>
        <w:t xml:space="preserve">Cet effort </w:t>
      </w:r>
      <w:r w:rsidR="00BF5ACF" w:rsidRPr="0042314B">
        <w:rPr>
          <w:lang w:eastAsia="fr-FR"/>
        </w:rPr>
        <w:t>doit être redoublé pour progresser vers la C</w:t>
      </w:r>
      <w:r w:rsidRPr="0042314B">
        <w:rPr>
          <w:lang w:eastAsia="fr-FR"/>
        </w:rPr>
        <w:t xml:space="preserve">ouverture </w:t>
      </w:r>
      <w:r w:rsidR="00BF5ACF" w:rsidRPr="0042314B">
        <w:rPr>
          <w:lang w:eastAsia="fr-FR"/>
        </w:rPr>
        <w:t>S</w:t>
      </w:r>
      <w:r w:rsidRPr="0042314B">
        <w:rPr>
          <w:lang w:eastAsia="fr-FR"/>
        </w:rPr>
        <w:t xml:space="preserve">anitaire </w:t>
      </w:r>
      <w:r w:rsidR="00BF5ACF" w:rsidRPr="0042314B">
        <w:rPr>
          <w:lang w:eastAsia="fr-FR"/>
        </w:rPr>
        <w:t>U</w:t>
      </w:r>
      <w:r w:rsidRPr="0042314B">
        <w:rPr>
          <w:lang w:eastAsia="fr-FR"/>
        </w:rPr>
        <w:t xml:space="preserve">niverselle </w:t>
      </w:r>
      <w:r w:rsidR="00BF5ACF" w:rsidRPr="0042314B">
        <w:rPr>
          <w:lang w:eastAsia="fr-FR"/>
        </w:rPr>
        <w:t>en améliorant l’offre de soins tout en protégeant la population contre le risque financier. Le cadrage du secteur (</w:t>
      </w:r>
      <w:r w:rsidR="00BF5ACF" w:rsidRPr="0042314B">
        <w:rPr>
          <w:rFonts w:eastAsia="Times New Roman"/>
          <w:lang w:eastAsia="fr-FR"/>
        </w:rPr>
        <w:t>Secteur santé / dépenses récurrentes)</w:t>
      </w:r>
      <w:r w:rsidR="00BF5ACF" w:rsidRPr="0042314B">
        <w:rPr>
          <w:lang w:eastAsia="fr-FR"/>
        </w:rPr>
        <w:t xml:space="preserve"> doit être de </w:t>
      </w:r>
      <w:r w:rsidR="00BF5ACF" w:rsidRPr="0042314B">
        <w:rPr>
          <w:b/>
          <w:lang w:eastAsia="fr-FR"/>
        </w:rPr>
        <w:t>14% en 2023</w:t>
      </w:r>
      <w:r w:rsidR="00BF5ACF" w:rsidRPr="0042314B">
        <w:rPr>
          <w:lang w:eastAsia="fr-FR"/>
        </w:rPr>
        <w:t xml:space="preserve"> </w:t>
      </w:r>
      <w:r w:rsidR="00325837">
        <w:rPr>
          <w:lang w:eastAsia="fr-FR"/>
        </w:rPr>
        <w:t xml:space="preserve">et progresser vers 15% (engagement d’Abuja) </w:t>
      </w:r>
      <w:r w:rsidR="00BF5ACF" w:rsidRPr="0042314B">
        <w:rPr>
          <w:lang w:eastAsia="fr-FR"/>
        </w:rPr>
        <w:t xml:space="preserve">si l’on veut </w:t>
      </w:r>
      <w:r w:rsidR="00325837">
        <w:rPr>
          <w:lang w:eastAsia="fr-FR"/>
        </w:rPr>
        <w:t xml:space="preserve">tendre vers </w:t>
      </w:r>
      <w:r w:rsidR="00BF5ACF" w:rsidRPr="0042314B">
        <w:rPr>
          <w:lang w:eastAsia="fr-FR"/>
        </w:rPr>
        <w:t>l’Assurance Maladie pour tous. L’effort (2017-2020) devra donc être littéralement redoublé sur la période (2020-2023) pour poursuivre l’effort nécessaire à l’amélioration des services de santé et l’accès à la protection financière des populations du secteur informel pauvre et non pauvre.</w:t>
      </w:r>
    </w:p>
    <w:p w:rsidR="00A87CD0" w:rsidRPr="00BF5ACF" w:rsidRDefault="00A87CD0">
      <w:pPr>
        <w:spacing w:after="200" w:line="276" w:lineRule="auto"/>
        <w:rPr>
          <w:rFonts w:eastAsiaTheme="majorEastAsia" w:cstheme="majorBidi"/>
          <w:b/>
          <w:bCs/>
          <w:color w:val="0070C0"/>
          <w:sz w:val="32"/>
          <w:szCs w:val="28"/>
          <w:lang w:val="fr-CH"/>
        </w:rPr>
      </w:pPr>
    </w:p>
    <w:p w:rsidR="00BF5ACF" w:rsidRDefault="00BF5ACF">
      <w:pPr>
        <w:spacing w:after="200" w:line="276" w:lineRule="auto"/>
        <w:rPr>
          <w:rFonts w:eastAsiaTheme="majorEastAsia" w:cstheme="majorBidi"/>
          <w:b/>
          <w:bCs/>
          <w:sz w:val="32"/>
          <w:szCs w:val="28"/>
          <w:lang w:val="fr-CH"/>
        </w:rPr>
      </w:pPr>
      <w:r>
        <w:br w:type="page"/>
      </w:r>
    </w:p>
    <w:p w:rsidR="00972F59" w:rsidRPr="00425A7F" w:rsidRDefault="001A03D9" w:rsidP="00972F59">
      <w:pPr>
        <w:pStyle w:val="Titre1"/>
      </w:pPr>
      <w:bookmarkStart w:id="64" w:name="_Toc497294522"/>
      <w:r w:rsidRPr="00425A7F">
        <w:lastRenderedPageBreak/>
        <w:t>M</w:t>
      </w:r>
      <w:r w:rsidR="005D3FAE" w:rsidRPr="00425A7F">
        <w:t>ECANISME DE SUIVI-EVALUATION ET DE REVISION</w:t>
      </w:r>
      <w:bookmarkEnd w:id="64"/>
      <w:r w:rsidR="005D3FAE" w:rsidRPr="00425A7F">
        <w:t xml:space="preserve"> </w:t>
      </w:r>
    </w:p>
    <w:p w:rsidR="001B63EB" w:rsidRPr="00425A7F" w:rsidRDefault="00A2767F" w:rsidP="00972F59">
      <w:pPr>
        <w:pStyle w:val="Titre2"/>
      </w:pPr>
      <w:bookmarkStart w:id="65" w:name="_Toc497294523"/>
      <w:r w:rsidRPr="00425A7F">
        <w:t>Dispositif de suivi</w:t>
      </w:r>
      <w:bookmarkEnd w:id="65"/>
    </w:p>
    <w:p w:rsidR="00A2767F" w:rsidRPr="00425A7F" w:rsidRDefault="00A2767F" w:rsidP="00A2767F">
      <w:pPr>
        <w:widowControl w:val="0"/>
        <w:suppressAutoHyphens/>
        <w:jc w:val="both"/>
        <w:rPr>
          <w:rFonts w:asciiTheme="minorHAnsi" w:hAnsiTheme="minorHAnsi"/>
          <w:lang w:eastAsia="fr-FR"/>
        </w:rPr>
      </w:pPr>
      <w:r w:rsidRPr="00425A7F">
        <w:rPr>
          <w:rFonts w:asciiTheme="minorHAnsi" w:hAnsiTheme="minorHAnsi"/>
          <w:lang w:eastAsia="fr-FR"/>
        </w:rPr>
        <w:t xml:space="preserve">Un suivi systématique de la </w:t>
      </w:r>
      <w:r w:rsidR="00BF7533" w:rsidRPr="00425A7F">
        <w:rPr>
          <w:rFonts w:asciiTheme="minorHAnsi" w:hAnsiTheme="minorHAnsi"/>
          <w:lang w:eastAsia="fr-FR"/>
        </w:rPr>
        <w:t>stratégie</w:t>
      </w:r>
      <w:r w:rsidRPr="00425A7F">
        <w:rPr>
          <w:rFonts w:asciiTheme="minorHAnsi" w:hAnsiTheme="minorHAnsi"/>
          <w:lang w:eastAsia="fr-FR"/>
        </w:rPr>
        <w:t xml:space="preserve"> de financement de la santé pour la </w:t>
      </w:r>
      <w:r w:rsidR="002C37D7" w:rsidRPr="00425A7F">
        <w:rPr>
          <w:rFonts w:asciiTheme="minorHAnsi" w:hAnsiTheme="minorHAnsi"/>
          <w:lang w:eastAsia="fr-FR"/>
        </w:rPr>
        <w:t>couverture sanitaire universelle</w:t>
      </w:r>
      <w:r w:rsidRPr="00425A7F">
        <w:rPr>
          <w:rFonts w:asciiTheme="minorHAnsi" w:hAnsiTheme="minorHAnsi"/>
          <w:lang w:eastAsia="fr-FR"/>
        </w:rPr>
        <w:t xml:space="preserve"> sera effectué pour garantir au fil du temps qu’elle est en train d’évoluer vers l’atteinte des résultats escomptés. Ainsi une liste d’indicateurs a été dressée pour permettre de jauger l’état de mise en œuvre de ladite </w:t>
      </w:r>
      <w:r w:rsidR="00BF7533" w:rsidRPr="00425A7F">
        <w:rPr>
          <w:rFonts w:asciiTheme="minorHAnsi" w:hAnsiTheme="minorHAnsi"/>
          <w:lang w:eastAsia="fr-FR"/>
        </w:rPr>
        <w:t>stratégie</w:t>
      </w:r>
      <w:r w:rsidRPr="00425A7F">
        <w:rPr>
          <w:rFonts w:asciiTheme="minorHAnsi" w:hAnsiTheme="minorHAnsi"/>
          <w:lang w:eastAsia="fr-FR"/>
        </w:rPr>
        <w:t xml:space="preserve">. Pour ce faire, un niveau de base est renseigné pour servir de point de référence à partir duquel les projections sont faites pour les années à venir jusqu’en </w:t>
      </w:r>
      <w:r w:rsidR="00012507" w:rsidRPr="00425A7F">
        <w:rPr>
          <w:rFonts w:asciiTheme="minorHAnsi" w:hAnsiTheme="minorHAnsi"/>
          <w:lang w:eastAsia="fr-FR"/>
        </w:rPr>
        <w:t>2029</w:t>
      </w:r>
      <w:r w:rsidRPr="00425A7F">
        <w:rPr>
          <w:rFonts w:asciiTheme="minorHAnsi" w:hAnsiTheme="minorHAnsi"/>
          <w:lang w:eastAsia="fr-FR"/>
        </w:rPr>
        <w:t>.</w:t>
      </w:r>
    </w:p>
    <w:p w:rsidR="00A2767F" w:rsidRPr="00425A7F" w:rsidRDefault="00A2767F" w:rsidP="00A2767F">
      <w:pPr>
        <w:widowControl w:val="0"/>
        <w:suppressAutoHyphens/>
        <w:jc w:val="both"/>
        <w:rPr>
          <w:rFonts w:asciiTheme="minorHAnsi" w:hAnsiTheme="minorHAnsi"/>
          <w:lang w:eastAsia="fr-FR"/>
        </w:rPr>
      </w:pPr>
    </w:p>
    <w:p w:rsidR="00A2767F" w:rsidRPr="00425A7F" w:rsidRDefault="00A2767F" w:rsidP="00A2767F">
      <w:pPr>
        <w:widowControl w:val="0"/>
        <w:suppressAutoHyphens/>
        <w:jc w:val="both"/>
        <w:rPr>
          <w:rFonts w:asciiTheme="minorHAnsi" w:hAnsiTheme="minorHAnsi"/>
          <w:lang w:eastAsia="fr-FR"/>
        </w:rPr>
      </w:pPr>
      <w:r w:rsidRPr="00425A7F">
        <w:rPr>
          <w:rFonts w:asciiTheme="minorHAnsi" w:hAnsiTheme="minorHAnsi"/>
          <w:lang w:eastAsia="fr-FR"/>
        </w:rPr>
        <w:t xml:space="preserve">Par ailleurs, un nombre restreint de ces indicateurs sera intégré au cadre commun de suivi des composantes de la première phase quinquennale du PDDSS. </w:t>
      </w:r>
    </w:p>
    <w:p w:rsidR="00A2767F" w:rsidRPr="00425A7F" w:rsidRDefault="00A2767F" w:rsidP="00A2767F">
      <w:pPr>
        <w:widowControl w:val="0"/>
        <w:suppressAutoHyphens/>
        <w:jc w:val="both"/>
        <w:rPr>
          <w:rFonts w:asciiTheme="minorHAnsi" w:hAnsiTheme="minorHAnsi"/>
          <w:lang w:eastAsia="fr-FR"/>
        </w:rPr>
      </w:pPr>
    </w:p>
    <w:p w:rsidR="00A2767F" w:rsidRPr="00425A7F" w:rsidRDefault="00A2767F" w:rsidP="00A2767F">
      <w:pPr>
        <w:widowControl w:val="0"/>
        <w:suppressAutoHyphens/>
        <w:jc w:val="both"/>
        <w:rPr>
          <w:rFonts w:asciiTheme="minorHAnsi" w:hAnsiTheme="minorHAnsi"/>
          <w:lang w:eastAsia="fr-FR"/>
        </w:rPr>
      </w:pPr>
      <w:r w:rsidRPr="00425A7F">
        <w:rPr>
          <w:rFonts w:asciiTheme="minorHAnsi" w:hAnsiTheme="minorHAnsi"/>
          <w:lang w:eastAsia="fr-FR"/>
        </w:rPr>
        <w:t>Evidemment certaines questions requièrent un niveau de suivi supra-ministériel. Ce suivi politique s’exercera entre autres sur les sujets suivants :</w:t>
      </w:r>
    </w:p>
    <w:p w:rsidR="00A2767F" w:rsidRPr="00425A7F" w:rsidRDefault="00E22C9A" w:rsidP="00487AB2">
      <w:pPr>
        <w:pStyle w:val="Paragraphedeliste"/>
        <w:widowControl w:val="0"/>
        <w:numPr>
          <w:ilvl w:val="0"/>
          <w:numId w:val="3"/>
        </w:numPr>
        <w:suppressAutoHyphens/>
        <w:spacing w:after="0" w:line="240" w:lineRule="auto"/>
        <w:contextualSpacing w:val="0"/>
        <w:jc w:val="both"/>
        <w:rPr>
          <w:rFonts w:cs="Times New Roman"/>
          <w:lang w:eastAsia="fr-FR"/>
        </w:rPr>
      </w:pPr>
      <w:r w:rsidRPr="00425A7F">
        <w:rPr>
          <w:rFonts w:cs="Times New Roman"/>
          <w:lang w:eastAsia="fr-FR"/>
        </w:rPr>
        <w:t>l</w:t>
      </w:r>
      <w:r w:rsidR="00A2767F" w:rsidRPr="00425A7F">
        <w:rPr>
          <w:rFonts w:cs="Times New Roman"/>
          <w:lang w:eastAsia="fr-FR"/>
        </w:rPr>
        <w:t xml:space="preserve">a </w:t>
      </w:r>
      <w:r w:rsidR="00BF7533" w:rsidRPr="00425A7F">
        <w:rPr>
          <w:rFonts w:cs="Times New Roman"/>
          <w:lang w:eastAsia="fr-FR"/>
        </w:rPr>
        <w:t>stratégie</w:t>
      </w:r>
      <w:r w:rsidR="00A2767F" w:rsidRPr="00425A7F">
        <w:rPr>
          <w:rFonts w:cs="Times New Roman"/>
          <w:lang w:eastAsia="fr-FR"/>
        </w:rPr>
        <w:t xml:space="preserve"> « bénéfices / bénéficiaires »</w:t>
      </w:r>
      <w:r w:rsidRPr="00425A7F">
        <w:rPr>
          <w:rFonts w:cs="Times New Roman"/>
          <w:lang w:eastAsia="fr-FR"/>
        </w:rPr>
        <w:t>;</w:t>
      </w:r>
    </w:p>
    <w:p w:rsidR="00A2767F" w:rsidRPr="00425A7F" w:rsidRDefault="00E22C9A" w:rsidP="00487AB2">
      <w:pPr>
        <w:pStyle w:val="Paragraphedeliste"/>
        <w:widowControl w:val="0"/>
        <w:numPr>
          <w:ilvl w:val="0"/>
          <w:numId w:val="3"/>
        </w:numPr>
        <w:suppressAutoHyphens/>
        <w:spacing w:after="0" w:line="240" w:lineRule="auto"/>
        <w:contextualSpacing w:val="0"/>
        <w:jc w:val="both"/>
        <w:rPr>
          <w:rFonts w:cs="Times New Roman"/>
          <w:lang w:eastAsia="fr-FR"/>
        </w:rPr>
      </w:pPr>
      <w:r w:rsidRPr="00425A7F">
        <w:rPr>
          <w:rFonts w:cs="Times New Roman"/>
          <w:lang w:eastAsia="fr-FR"/>
        </w:rPr>
        <w:t>l</w:t>
      </w:r>
      <w:r w:rsidR="00A2767F" w:rsidRPr="00425A7F">
        <w:rPr>
          <w:rFonts w:cs="Times New Roman"/>
          <w:lang w:eastAsia="fr-FR"/>
        </w:rPr>
        <w:t>e financement de la couverture maladie</w:t>
      </w:r>
      <w:r w:rsidRPr="00425A7F">
        <w:rPr>
          <w:rFonts w:cs="Times New Roman"/>
          <w:lang w:eastAsia="fr-FR"/>
        </w:rPr>
        <w:t>;</w:t>
      </w:r>
    </w:p>
    <w:p w:rsidR="00A2767F" w:rsidRPr="00425A7F" w:rsidRDefault="00E22C9A" w:rsidP="00487AB2">
      <w:pPr>
        <w:pStyle w:val="Paragraphedeliste"/>
        <w:widowControl w:val="0"/>
        <w:numPr>
          <w:ilvl w:val="0"/>
          <w:numId w:val="3"/>
        </w:numPr>
        <w:suppressAutoHyphens/>
        <w:spacing w:after="0" w:line="240" w:lineRule="auto"/>
        <w:contextualSpacing w:val="0"/>
        <w:jc w:val="both"/>
        <w:rPr>
          <w:rFonts w:cs="Times New Roman"/>
          <w:lang w:eastAsia="fr-FR"/>
        </w:rPr>
      </w:pPr>
      <w:r w:rsidRPr="00425A7F">
        <w:rPr>
          <w:rFonts w:cs="Times New Roman"/>
          <w:lang w:eastAsia="fr-FR"/>
        </w:rPr>
        <w:t>l</w:t>
      </w:r>
      <w:r w:rsidR="00A2767F" w:rsidRPr="00425A7F">
        <w:rPr>
          <w:rFonts w:cs="Times New Roman"/>
          <w:lang w:eastAsia="fr-FR"/>
        </w:rPr>
        <w:t xml:space="preserve">e suivi-évaluation de la </w:t>
      </w:r>
      <w:r w:rsidR="00BF7533" w:rsidRPr="00425A7F">
        <w:rPr>
          <w:rFonts w:cs="Times New Roman"/>
          <w:lang w:eastAsia="fr-FR"/>
        </w:rPr>
        <w:t>stratégie</w:t>
      </w:r>
      <w:r w:rsidR="00A2767F" w:rsidRPr="00425A7F">
        <w:rPr>
          <w:rFonts w:cs="Times New Roman"/>
          <w:lang w:eastAsia="fr-FR"/>
        </w:rPr>
        <w:t xml:space="preserve"> en général</w:t>
      </w:r>
      <w:r w:rsidRPr="00425A7F">
        <w:rPr>
          <w:rFonts w:cs="Times New Roman"/>
          <w:lang w:eastAsia="fr-FR"/>
        </w:rPr>
        <w:t>.</w:t>
      </w:r>
    </w:p>
    <w:p w:rsidR="00A2767F" w:rsidRPr="00425A7F" w:rsidRDefault="00A2767F" w:rsidP="00A2767F">
      <w:pPr>
        <w:widowControl w:val="0"/>
        <w:suppressAutoHyphens/>
        <w:jc w:val="both"/>
        <w:rPr>
          <w:rFonts w:asciiTheme="minorHAnsi" w:hAnsiTheme="minorHAnsi"/>
          <w:lang w:eastAsia="fr-FR"/>
        </w:rPr>
      </w:pPr>
    </w:p>
    <w:p w:rsidR="00A2767F" w:rsidRPr="00425A7F" w:rsidRDefault="00A2767F" w:rsidP="00A2767F">
      <w:pPr>
        <w:widowControl w:val="0"/>
        <w:suppressAutoHyphens/>
        <w:jc w:val="both"/>
        <w:rPr>
          <w:rFonts w:asciiTheme="minorHAnsi" w:hAnsiTheme="minorHAnsi"/>
          <w:lang w:eastAsia="fr-FR"/>
        </w:rPr>
      </w:pPr>
      <w:r w:rsidRPr="00425A7F">
        <w:rPr>
          <w:rFonts w:asciiTheme="minorHAnsi" w:hAnsiTheme="minorHAnsi"/>
          <w:lang w:eastAsia="fr-FR"/>
        </w:rPr>
        <w:t xml:space="preserve">Chaque département ministériel du secteur de la santé suivra les éléments de la </w:t>
      </w:r>
      <w:r w:rsidR="00BF7533" w:rsidRPr="00425A7F">
        <w:rPr>
          <w:rFonts w:asciiTheme="minorHAnsi" w:hAnsiTheme="minorHAnsi"/>
          <w:lang w:eastAsia="fr-FR"/>
        </w:rPr>
        <w:t>stratégie</w:t>
      </w:r>
      <w:r w:rsidRPr="00425A7F">
        <w:rPr>
          <w:rFonts w:asciiTheme="minorHAnsi" w:hAnsiTheme="minorHAnsi"/>
          <w:lang w:eastAsia="fr-FR"/>
        </w:rPr>
        <w:t xml:space="preserve"> en lien avec les domaines particuliers de sa propre responsabilité. Les sujets d’intérêts transversaux seront traités de façon concertée et arbitrés lors des instances citées plus haut. </w:t>
      </w:r>
    </w:p>
    <w:p w:rsidR="00A2767F" w:rsidRPr="00425A7F" w:rsidRDefault="00A2767F" w:rsidP="00A2767F">
      <w:pPr>
        <w:widowControl w:val="0"/>
        <w:suppressAutoHyphens/>
        <w:jc w:val="both"/>
        <w:rPr>
          <w:rFonts w:asciiTheme="minorHAnsi" w:hAnsiTheme="minorHAnsi"/>
          <w:lang w:eastAsia="fr-FR"/>
        </w:rPr>
      </w:pPr>
    </w:p>
    <w:p w:rsidR="00A2767F" w:rsidRPr="00425A7F" w:rsidRDefault="00A2767F" w:rsidP="00A2767F">
      <w:pPr>
        <w:widowControl w:val="0"/>
        <w:suppressAutoHyphens/>
        <w:jc w:val="both"/>
        <w:rPr>
          <w:rFonts w:asciiTheme="minorHAnsi" w:hAnsiTheme="minorHAnsi"/>
          <w:lang w:eastAsia="fr-FR"/>
        </w:rPr>
      </w:pPr>
      <w:r w:rsidRPr="00425A7F">
        <w:rPr>
          <w:rFonts w:asciiTheme="minorHAnsi" w:hAnsiTheme="minorHAnsi"/>
          <w:lang w:eastAsia="fr-FR"/>
        </w:rPr>
        <w:t>Le suivi technique relève de la responsabilité des acteurs suivants :</w:t>
      </w:r>
    </w:p>
    <w:p w:rsidR="00A2767F" w:rsidRPr="00425A7F" w:rsidRDefault="00E22C9A" w:rsidP="00487AB2">
      <w:pPr>
        <w:pStyle w:val="Paragraphedeliste"/>
        <w:widowControl w:val="0"/>
        <w:numPr>
          <w:ilvl w:val="0"/>
          <w:numId w:val="3"/>
        </w:numPr>
        <w:suppressAutoHyphens/>
        <w:spacing w:after="0" w:line="240" w:lineRule="auto"/>
        <w:contextualSpacing w:val="0"/>
        <w:jc w:val="both"/>
        <w:rPr>
          <w:rFonts w:cs="Times New Roman"/>
          <w:lang w:eastAsia="fr-FR"/>
        </w:rPr>
      </w:pPr>
      <w:r w:rsidRPr="00425A7F">
        <w:rPr>
          <w:rFonts w:cs="Times New Roman"/>
          <w:lang w:eastAsia="fr-FR"/>
        </w:rPr>
        <w:t>l</w:t>
      </w:r>
      <w:r w:rsidR="00A2767F" w:rsidRPr="00425A7F">
        <w:rPr>
          <w:rFonts w:cs="Times New Roman"/>
          <w:lang w:eastAsia="fr-FR"/>
        </w:rPr>
        <w:t xml:space="preserve">a CPS sur l’ensemble de la </w:t>
      </w:r>
      <w:r w:rsidR="00BF7533" w:rsidRPr="00425A7F">
        <w:rPr>
          <w:rFonts w:cs="Times New Roman"/>
          <w:lang w:eastAsia="fr-FR"/>
        </w:rPr>
        <w:t>stratégie</w:t>
      </w:r>
      <w:r w:rsidRPr="00425A7F">
        <w:rPr>
          <w:rFonts w:cs="Times New Roman"/>
          <w:lang w:eastAsia="fr-FR"/>
        </w:rPr>
        <w:t>;</w:t>
      </w:r>
    </w:p>
    <w:p w:rsidR="00A2767F" w:rsidRPr="00425A7F" w:rsidRDefault="00E22C9A" w:rsidP="00487AB2">
      <w:pPr>
        <w:pStyle w:val="Paragraphedeliste"/>
        <w:widowControl w:val="0"/>
        <w:numPr>
          <w:ilvl w:val="0"/>
          <w:numId w:val="3"/>
        </w:numPr>
        <w:suppressAutoHyphens/>
        <w:spacing w:after="0" w:line="240" w:lineRule="auto"/>
        <w:contextualSpacing w:val="0"/>
        <w:jc w:val="both"/>
        <w:rPr>
          <w:rFonts w:cs="Times New Roman"/>
          <w:lang w:eastAsia="fr-FR"/>
        </w:rPr>
      </w:pPr>
      <w:r w:rsidRPr="00425A7F">
        <w:rPr>
          <w:rFonts w:cs="Times New Roman"/>
          <w:lang w:eastAsia="fr-FR"/>
        </w:rPr>
        <w:t>l</w:t>
      </w:r>
      <w:r w:rsidR="00A2767F" w:rsidRPr="00425A7F">
        <w:rPr>
          <w:rFonts w:cs="Times New Roman"/>
          <w:lang w:eastAsia="fr-FR"/>
        </w:rPr>
        <w:t>es Directions sur leurs domaines de compétences</w:t>
      </w:r>
      <w:r w:rsidRPr="00425A7F">
        <w:rPr>
          <w:rFonts w:cs="Times New Roman"/>
          <w:lang w:eastAsia="fr-FR"/>
        </w:rPr>
        <w:t>.</w:t>
      </w:r>
    </w:p>
    <w:p w:rsidR="001B63EB" w:rsidRPr="00425A7F" w:rsidRDefault="001B63EB" w:rsidP="00F24E98">
      <w:pPr>
        <w:widowControl w:val="0"/>
        <w:suppressAutoHyphens/>
        <w:jc w:val="both"/>
      </w:pPr>
    </w:p>
    <w:p w:rsidR="00A2767F" w:rsidRPr="00425A7F" w:rsidRDefault="00A2767F" w:rsidP="00972F59">
      <w:pPr>
        <w:pStyle w:val="Titre2"/>
      </w:pPr>
      <w:bookmarkStart w:id="66" w:name="_Toc497294524"/>
      <w:r w:rsidRPr="00425A7F">
        <w:t>Mécanismes d’évaluation</w:t>
      </w:r>
      <w:r w:rsidR="0003191C" w:rsidRPr="00425A7F">
        <w:t xml:space="preserve"> et révision</w:t>
      </w:r>
      <w:bookmarkEnd w:id="66"/>
    </w:p>
    <w:p w:rsidR="00A2767F" w:rsidRPr="00425A7F" w:rsidRDefault="00A2767F" w:rsidP="00A2767F">
      <w:pPr>
        <w:widowControl w:val="0"/>
        <w:suppressAutoHyphens/>
        <w:jc w:val="both"/>
        <w:rPr>
          <w:rFonts w:asciiTheme="minorHAnsi" w:hAnsiTheme="minorHAnsi"/>
          <w:lang w:eastAsia="fr-FR"/>
        </w:rPr>
      </w:pPr>
      <w:r w:rsidRPr="00425A7F">
        <w:rPr>
          <w:rFonts w:asciiTheme="minorHAnsi" w:hAnsiTheme="minorHAnsi"/>
          <w:lang w:eastAsia="fr-FR"/>
        </w:rPr>
        <w:t xml:space="preserve">L’évaluation interne portera sur le niveau des indicateurs lors de la tenue des instances de suivi évaluation du PRODESS pour permettre à l’ensemble des acteurs (publics, PTF et société civile) d’apprécier la trajectoire observée dans le cadre du financement de la santé et de décider des actions correctrices en cas de besoin. Pour les analyses, les données collectées sur ces indicateurs identifiées pour la présente </w:t>
      </w:r>
      <w:r w:rsidR="00BF7533" w:rsidRPr="00425A7F">
        <w:rPr>
          <w:rFonts w:asciiTheme="minorHAnsi" w:hAnsiTheme="minorHAnsi"/>
          <w:lang w:eastAsia="fr-FR"/>
        </w:rPr>
        <w:t>stratégie</w:t>
      </w:r>
      <w:r w:rsidRPr="00425A7F">
        <w:rPr>
          <w:rFonts w:asciiTheme="minorHAnsi" w:hAnsiTheme="minorHAnsi"/>
          <w:lang w:eastAsia="fr-FR"/>
        </w:rPr>
        <w:t xml:space="preserve"> seront complétées par celles tirées des résultats d’enquêtes spécifiques : Comptes Nationaux, ELIM, MICS et EDS.</w:t>
      </w:r>
    </w:p>
    <w:p w:rsidR="00A2767F" w:rsidRPr="00425A7F" w:rsidRDefault="00A2767F" w:rsidP="00A2767F">
      <w:pPr>
        <w:widowControl w:val="0"/>
        <w:suppressAutoHyphens/>
        <w:jc w:val="both"/>
        <w:rPr>
          <w:rFonts w:asciiTheme="minorHAnsi" w:hAnsiTheme="minorHAnsi"/>
          <w:lang w:eastAsia="fr-FR"/>
        </w:rPr>
      </w:pPr>
    </w:p>
    <w:p w:rsidR="0003191C" w:rsidRPr="00425A7F" w:rsidRDefault="00A2767F" w:rsidP="00A2767F">
      <w:pPr>
        <w:widowControl w:val="0"/>
        <w:suppressAutoHyphens/>
        <w:jc w:val="both"/>
        <w:rPr>
          <w:rFonts w:asciiTheme="minorHAnsi" w:hAnsiTheme="minorHAnsi"/>
          <w:lang w:eastAsia="fr-FR"/>
        </w:rPr>
      </w:pPr>
      <w:r w:rsidRPr="00425A7F">
        <w:rPr>
          <w:rFonts w:asciiTheme="minorHAnsi" w:hAnsiTheme="minorHAnsi"/>
          <w:lang w:eastAsia="fr-FR"/>
        </w:rPr>
        <w:t xml:space="preserve">Une évaluation externe de la </w:t>
      </w:r>
      <w:r w:rsidR="00BF7533" w:rsidRPr="00425A7F">
        <w:rPr>
          <w:rFonts w:asciiTheme="minorHAnsi" w:hAnsiTheme="minorHAnsi"/>
          <w:lang w:eastAsia="fr-FR"/>
        </w:rPr>
        <w:t>stratégie</w:t>
      </w:r>
      <w:r w:rsidRPr="00425A7F">
        <w:rPr>
          <w:rFonts w:asciiTheme="minorHAnsi" w:hAnsiTheme="minorHAnsi"/>
          <w:lang w:eastAsia="fr-FR"/>
        </w:rPr>
        <w:t xml:space="preserve"> de financement de la santé pour la </w:t>
      </w:r>
      <w:r w:rsidR="002C37D7" w:rsidRPr="00425A7F">
        <w:rPr>
          <w:rFonts w:asciiTheme="minorHAnsi" w:hAnsiTheme="minorHAnsi"/>
          <w:lang w:eastAsia="fr-FR"/>
        </w:rPr>
        <w:t>couverture sanitaire universelle</w:t>
      </w:r>
      <w:r w:rsidRPr="00425A7F">
        <w:rPr>
          <w:rFonts w:asciiTheme="minorHAnsi" w:hAnsiTheme="minorHAnsi"/>
          <w:lang w:eastAsia="fr-FR"/>
        </w:rPr>
        <w:t xml:space="preserve"> sera effectuée tous les trois ans. </w:t>
      </w:r>
    </w:p>
    <w:p w:rsidR="0003191C" w:rsidRPr="00425A7F" w:rsidRDefault="0003191C" w:rsidP="00A2767F">
      <w:pPr>
        <w:widowControl w:val="0"/>
        <w:suppressAutoHyphens/>
        <w:jc w:val="both"/>
        <w:rPr>
          <w:rFonts w:asciiTheme="minorHAnsi" w:hAnsiTheme="minorHAnsi"/>
          <w:lang w:eastAsia="fr-FR"/>
        </w:rPr>
      </w:pPr>
    </w:p>
    <w:p w:rsidR="0003191C" w:rsidRPr="00425A7F" w:rsidRDefault="0003191C" w:rsidP="00A2767F">
      <w:pPr>
        <w:widowControl w:val="0"/>
        <w:suppressAutoHyphens/>
        <w:jc w:val="both"/>
        <w:rPr>
          <w:rFonts w:asciiTheme="minorHAnsi" w:hAnsiTheme="minorHAnsi"/>
          <w:lang w:eastAsia="fr-FR"/>
        </w:rPr>
      </w:pPr>
      <w:r w:rsidRPr="00425A7F">
        <w:rPr>
          <w:rFonts w:asciiTheme="minorHAnsi" w:hAnsiTheme="minorHAnsi"/>
          <w:lang w:eastAsia="fr-FR"/>
        </w:rPr>
        <w:t xml:space="preserve">La stratégie pourra être révisée à mi-parcours (en 2020) si l’évaluation conclue </w:t>
      </w:r>
      <w:r w:rsidR="00A44B62" w:rsidRPr="00425A7F">
        <w:rPr>
          <w:rFonts w:asciiTheme="minorHAnsi" w:hAnsiTheme="minorHAnsi"/>
          <w:lang w:eastAsia="fr-FR"/>
        </w:rPr>
        <w:t>en</w:t>
      </w:r>
      <w:r w:rsidRPr="00425A7F">
        <w:rPr>
          <w:rFonts w:asciiTheme="minorHAnsi" w:hAnsiTheme="minorHAnsi"/>
          <w:lang w:eastAsia="fr-FR"/>
        </w:rPr>
        <w:t xml:space="preserve"> </w:t>
      </w:r>
      <w:r w:rsidR="00A44B62" w:rsidRPr="00425A7F">
        <w:rPr>
          <w:rFonts w:asciiTheme="minorHAnsi" w:hAnsiTheme="minorHAnsi"/>
          <w:lang w:eastAsia="fr-FR"/>
        </w:rPr>
        <w:t>c</w:t>
      </w:r>
      <w:r w:rsidRPr="00425A7F">
        <w:rPr>
          <w:rFonts w:asciiTheme="minorHAnsi" w:hAnsiTheme="minorHAnsi"/>
          <w:lang w:eastAsia="fr-FR"/>
        </w:rPr>
        <w:t>e sens.</w:t>
      </w:r>
    </w:p>
    <w:p w:rsidR="00647CFC" w:rsidRPr="00425A7F" w:rsidRDefault="00647CFC">
      <w:pPr>
        <w:spacing w:after="200" w:line="276" w:lineRule="auto"/>
        <w:rPr>
          <w:rFonts w:asciiTheme="minorHAnsi" w:hAnsiTheme="minorHAnsi"/>
          <w:lang w:eastAsia="fr-FR"/>
        </w:rPr>
      </w:pPr>
      <w:r w:rsidRPr="00425A7F">
        <w:rPr>
          <w:rFonts w:asciiTheme="minorHAnsi" w:hAnsiTheme="minorHAnsi"/>
          <w:lang w:eastAsia="fr-FR"/>
        </w:rPr>
        <w:br w:type="page"/>
      </w:r>
    </w:p>
    <w:p w:rsidR="001B63EB" w:rsidRPr="00425A7F" w:rsidRDefault="00A2767F" w:rsidP="00972F59">
      <w:pPr>
        <w:pStyle w:val="Titre2"/>
      </w:pPr>
      <w:bookmarkStart w:id="67" w:name="_Toc497294525"/>
      <w:r w:rsidRPr="00425A7F">
        <w:lastRenderedPageBreak/>
        <w:t>Indicateurs</w:t>
      </w:r>
      <w:bookmarkEnd w:id="67"/>
    </w:p>
    <w:p w:rsidR="001B63EB" w:rsidRPr="00425A7F" w:rsidRDefault="00A2767F" w:rsidP="00F24E98">
      <w:pPr>
        <w:widowControl w:val="0"/>
        <w:suppressAutoHyphens/>
        <w:jc w:val="both"/>
      </w:pPr>
      <w:r w:rsidRPr="00425A7F">
        <w:t xml:space="preserve">Le tableau suivant recense les indicateurs de la </w:t>
      </w:r>
      <w:r w:rsidR="00BF7533" w:rsidRPr="00425A7F">
        <w:t>stratégie</w:t>
      </w:r>
      <w:r w:rsidRPr="00425A7F">
        <w:t xml:space="preserve"> qui feront l’objet d’une évaluation périodique pour rendre compte de l’état de </w:t>
      </w:r>
      <w:r w:rsidR="00C64A5C" w:rsidRPr="00425A7F">
        <w:t xml:space="preserve">sa </w:t>
      </w:r>
      <w:r w:rsidRPr="00425A7F">
        <w:t xml:space="preserve">mise </w:t>
      </w:r>
      <w:r w:rsidR="00C64A5C" w:rsidRPr="00425A7F">
        <w:t>en</w:t>
      </w:r>
      <w:r w:rsidRPr="00425A7F">
        <w:t xml:space="preserve"> œuvre.</w:t>
      </w:r>
    </w:p>
    <w:p w:rsidR="00CB1713" w:rsidRPr="00425A7F" w:rsidRDefault="00CB1713" w:rsidP="00F24E98">
      <w:pPr>
        <w:widowControl w:val="0"/>
        <w:suppressAutoHyphens/>
        <w:jc w:val="both"/>
        <w:rPr>
          <w:sz w:val="20"/>
          <w:szCs w:val="20"/>
        </w:rPr>
      </w:pPr>
    </w:p>
    <w:p w:rsidR="00D13C82" w:rsidRPr="00425A7F" w:rsidRDefault="00A30AD2" w:rsidP="008F1066">
      <w:pPr>
        <w:pStyle w:val="Lgende"/>
        <w:spacing w:after="0"/>
        <w:rPr>
          <w:u w:val="single"/>
        </w:rPr>
      </w:pPr>
      <w:r w:rsidRPr="00425A7F">
        <w:rPr>
          <w:color w:val="auto"/>
          <w:sz w:val="22"/>
          <w:szCs w:val="22"/>
          <w:u w:val="single"/>
        </w:rPr>
        <w:t xml:space="preserve">Tableau </w:t>
      </w:r>
      <w:r w:rsidR="00F423F9" w:rsidRPr="00425A7F">
        <w:rPr>
          <w:color w:val="auto"/>
          <w:sz w:val="22"/>
          <w:szCs w:val="22"/>
          <w:u w:val="single"/>
        </w:rPr>
        <w:t>n°1</w:t>
      </w:r>
      <w:r w:rsidR="008555D3">
        <w:rPr>
          <w:color w:val="auto"/>
          <w:sz w:val="22"/>
          <w:szCs w:val="22"/>
          <w:u w:val="single"/>
        </w:rPr>
        <w:t>4</w:t>
      </w:r>
      <w:r w:rsidRPr="00425A7F">
        <w:rPr>
          <w:color w:val="auto"/>
          <w:sz w:val="22"/>
          <w:szCs w:val="22"/>
          <w:u w:val="single"/>
        </w:rPr>
        <w:t xml:space="preserve"> : Indicateurs de la </w:t>
      </w:r>
      <w:r w:rsidR="00BF7533" w:rsidRPr="00425A7F">
        <w:rPr>
          <w:color w:val="auto"/>
          <w:sz w:val="22"/>
          <w:szCs w:val="22"/>
          <w:u w:val="single"/>
        </w:rPr>
        <w:t>stratégie</w:t>
      </w:r>
      <w:r w:rsidRPr="00425A7F">
        <w:rPr>
          <w:color w:val="auto"/>
          <w:sz w:val="22"/>
          <w:szCs w:val="22"/>
          <w:u w:val="single"/>
        </w:rPr>
        <w:t xml:space="preserve"> de financement de la santé et leurs objectifs</w:t>
      </w:r>
    </w:p>
    <w:p w:rsidR="00A2767F" w:rsidRPr="00425A7F" w:rsidRDefault="00A2767F" w:rsidP="00F24E98">
      <w:pPr>
        <w:widowControl w:val="0"/>
        <w:suppressAutoHyphens/>
        <w:jc w:val="both"/>
        <w:rPr>
          <w:sz w:val="12"/>
          <w:szCs w:val="12"/>
        </w:rPr>
      </w:pPr>
    </w:p>
    <w:tbl>
      <w:tblPr>
        <w:tblW w:w="0" w:type="auto"/>
        <w:tblInd w:w="58" w:type="dxa"/>
        <w:tblCellMar>
          <w:left w:w="70" w:type="dxa"/>
          <w:right w:w="70" w:type="dxa"/>
        </w:tblCellMar>
        <w:tblLook w:val="04A0" w:firstRow="1" w:lastRow="0" w:firstColumn="1" w:lastColumn="0" w:noHBand="0" w:noVBand="1"/>
      </w:tblPr>
      <w:tblGrid>
        <w:gridCol w:w="439"/>
        <w:gridCol w:w="5890"/>
        <w:gridCol w:w="1406"/>
        <w:gridCol w:w="1267"/>
      </w:tblGrid>
      <w:tr w:rsidR="00A44B62" w:rsidRPr="00425A7F" w:rsidTr="00C75ED0">
        <w:trPr>
          <w:trHeight w:val="255"/>
        </w:trPr>
        <w:tc>
          <w:tcPr>
            <w:tcW w:w="438" w:type="dxa"/>
            <w:tcBorders>
              <w:top w:val="single" w:sz="4" w:space="0" w:color="auto"/>
              <w:left w:val="single" w:sz="4" w:space="0" w:color="auto"/>
              <w:right w:val="single" w:sz="4" w:space="0" w:color="auto"/>
            </w:tcBorders>
            <w:shd w:val="clear" w:color="auto" w:fill="548DD4" w:themeFill="text2" w:themeFillTint="99"/>
            <w:noWrap/>
            <w:vAlign w:val="center"/>
          </w:tcPr>
          <w:p w:rsidR="00A44B62" w:rsidRPr="00425A7F" w:rsidRDefault="00A44B62" w:rsidP="00C64A5C">
            <w:pPr>
              <w:rPr>
                <w:rFonts w:eastAsia="Times New Roman"/>
                <w:b/>
                <w:bCs/>
                <w:color w:val="000000"/>
                <w:sz w:val="20"/>
                <w:szCs w:val="20"/>
                <w:lang w:eastAsia="fr-FR"/>
              </w:rPr>
            </w:pPr>
          </w:p>
        </w:tc>
        <w:tc>
          <w:tcPr>
            <w:tcW w:w="5953" w:type="dxa"/>
            <w:tcBorders>
              <w:top w:val="single" w:sz="4" w:space="0" w:color="auto"/>
              <w:left w:val="nil"/>
              <w:bottom w:val="single" w:sz="4" w:space="0" w:color="auto"/>
              <w:right w:val="single" w:sz="4" w:space="0" w:color="auto"/>
            </w:tcBorders>
            <w:shd w:val="clear" w:color="auto" w:fill="auto"/>
            <w:vAlign w:val="bottom"/>
          </w:tcPr>
          <w:p w:rsidR="00A44B62" w:rsidRPr="00425A7F" w:rsidRDefault="00A44B62" w:rsidP="00C64A5C">
            <w:pPr>
              <w:jc w:val="both"/>
              <w:rPr>
                <w:rFonts w:eastAsia="Times New Roman"/>
                <w:color w:val="000000"/>
                <w:sz w:val="18"/>
                <w:szCs w:val="18"/>
                <w:lang w:eastAsia="fr-FR"/>
              </w:rPr>
            </w:pPr>
          </w:p>
        </w:tc>
        <w:tc>
          <w:tcPr>
            <w:tcW w:w="1418" w:type="dxa"/>
            <w:tcBorders>
              <w:top w:val="single" w:sz="4" w:space="0" w:color="auto"/>
              <w:left w:val="nil"/>
              <w:bottom w:val="single" w:sz="4" w:space="0" w:color="auto"/>
              <w:right w:val="single" w:sz="4" w:space="0" w:color="auto"/>
            </w:tcBorders>
          </w:tcPr>
          <w:p w:rsidR="00A44B62" w:rsidRPr="00425A7F" w:rsidRDefault="00A44B62" w:rsidP="00C75ED0">
            <w:pPr>
              <w:jc w:val="both"/>
              <w:rPr>
                <w:rFonts w:eastAsia="Times New Roman"/>
                <w:color w:val="000000"/>
                <w:sz w:val="18"/>
                <w:szCs w:val="18"/>
                <w:lang w:eastAsia="fr-FR"/>
              </w:rPr>
            </w:pPr>
            <w:r w:rsidRPr="00425A7F">
              <w:rPr>
                <w:rFonts w:eastAsia="Times New Roman"/>
                <w:color w:val="000000"/>
                <w:sz w:val="18"/>
                <w:szCs w:val="18"/>
                <w:lang w:eastAsia="fr-FR"/>
              </w:rPr>
              <w:t>2016</w:t>
            </w:r>
            <w:r w:rsidR="00762E77" w:rsidRPr="00425A7F">
              <w:rPr>
                <w:rFonts w:eastAsia="Times New Roman"/>
                <w:color w:val="000000"/>
                <w:sz w:val="18"/>
                <w:szCs w:val="18"/>
                <w:lang w:eastAsia="fr-FR"/>
              </w:rPr>
              <w:t xml:space="preserve"> ou </w:t>
            </w:r>
            <w:r w:rsidR="00C75ED0" w:rsidRPr="00425A7F">
              <w:rPr>
                <w:rFonts w:eastAsia="Times New Roman"/>
                <w:color w:val="000000"/>
                <w:sz w:val="18"/>
                <w:szCs w:val="18"/>
                <w:lang w:eastAsia="fr-FR"/>
              </w:rPr>
              <w:t>indiqué</w:t>
            </w:r>
          </w:p>
        </w:tc>
        <w:tc>
          <w:tcPr>
            <w:tcW w:w="1275" w:type="dxa"/>
            <w:tcBorders>
              <w:top w:val="single" w:sz="4" w:space="0" w:color="auto"/>
              <w:left w:val="nil"/>
              <w:bottom w:val="single" w:sz="4" w:space="0" w:color="auto"/>
              <w:right w:val="single" w:sz="4" w:space="0" w:color="auto"/>
            </w:tcBorders>
          </w:tcPr>
          <w:p w:rsidR="00A44B62" w:rsidRPr="00425A7F" w:rsidRDefault="00762E77" w:rsidP="00C64A5C">
            <w:pPr>
              <w:jc w:val="both"/>
              <w:rPr>
                <w:rFonts w:eastAsia="Times New Roman"/>
                <w:color w:val="000000"/>
                <w:sz w:val="18"/>
                <w:szCs w:val="18"/>
                <w:lang w:eastAsia="fr-FR"/>
              </w:rPr>
            </w:pPr>
            <w:r w:rsidRPr="00425A7F">
              <w:rPr>
                <w:rFonts w:eastAsia="Times New Roman"/>
                <w:color w:val="000000"/>
                <w:sz w:val="18"/>
                <w:szCs w:val="18"/>
                <w:lang w:eastAsia="fr-FR"/>
              </w:rPr>
              <w:t>2023 (objectif)</w:t>
            </w:r>
          </w:p>
        </w:tc>
      </w:tr>
      <w:tr w:rsidR="00A44B62" w:rsidRPr="00425A7F" w:rsidTr="00C75ED0">
        <w:trPr>
          <w:trHeight w:val="255"/>
        </w:trPr>
        <w:tc>
          <w:tcPr>
            <w:tcW w:w="438" w:type="dxa"/>
            <w:vMerge w:val="restart"/>
            <w:tcBorders>
              <w:top w:val="single" w:sz="4" w:space="0" w:color="auto"/>
              <w:left w:val="single" w:sz="4" w:space="0" w:color="auto"/>
              <w:right w:val="single" w:sz="4" w:space="0" w:color="auto"/>
            </w:tcBorders>
            <w:shd w:val="clear" w:color="auto" w:fill="548DD4" w:themeFill="text2" w:themeFillTint="99"/>
            <w:noWrap/>
            <w:vAlign w:val="center"/>
            <w:hideMark/>
          </w:tcPr>
          <w:p w:rsidR="00A44B62" w:rsidRPr="00425A7F" w:rsidRDefault="00A44B62" w:rsidP="00C64A5C">
            <w:pPr>
              <w:rPr>
                <w:rFonts w:eastAsia="Times New Roman"/>
                <w:b/>
                <w:bCs/>
                <w:color w:val="000000"/>
                <w:sz w:val="20"/>
                <w:szCs w:val="20"/>
                <w:lang w:eastAsia="fr-FR"/>
              </w:rPr>
            </w:pPr>
            <w:r w:rsidRPr="00425A7F">
              <w:rPr>
                <w:rFonts w:eastAsia="Times New Roman"/>
                <w:b/>
                <w:bCs/>
                <w:color w:val="000000"/>
                <w:sz w:val="20"/>
                <w:szCs w:val="20"/>
                <w:lang w:eastAsia="fr-FR"/>
              </w:rPr>
              <w:t>1.1</w:t>
            </w:r>
          </w:p>
        </w:tc>
        <w:tc>
          <w:tcPr>
            <w:tcW w:w="5953" w:type="dxa"/>
            <w:tcBorders>
              <w:top w:val="single" w:sz="4" w:space="0" w:color="auto"/>
              <w:left w:val="nil"/>
              <w:bottom w:val="single" w:sz="4" w:space="0" w:color="auto"/>
              <w:right w:val="single" w:sz="4" w:space="0" w:color="auto"/>
            </w:tcBorders>
            <w:shd w:val="clear" w:color="auto" w:fill="auto"/>
            <w:vAlign w:val="bottom"/>
            <w:hideMark/>
          </w:tcPr>
          <w:p w:rsidR="00A44B62" w:rsidRPr="00425A7F" w:rsidRDefault="00A44B62" w:rsidP="00C64A5C">
            <w:pPr>
              <w:jc w:val="both"/>
              <w:rPr>
                <w:rFonts w:eastAsia="Times New Roman"/>
                <w:color w:val="000000"/>
                <w:sz w:val="18"/>
                <w:szCs w:val="18"/>
                <w:lang w:eastAsia="fr-FR"/>
              </w:rPr>
            </w:pPr>
            <w:r w:rsidRPr="00425A7F">
              <w:rPr>
                <w:rFonts w:eastAsia="Times New Roman"/>
                <w:color w:val="000000"/>
                <w:sz w:val="18"/>
                <w:szCs w:val="18"/>
                <w:lang w:eastAsia="fr-FR"/>
              </w:rPr>
              <w:t>Dépenses totales de santé par habitant</w:t>
            </w:r>
            <w:r w:rsidR="00762E77" w:rsidRPr="00425A7F">
              <w:rPr>
                <w:rFonts w:eastAsia="Times New Roman"/>
                <w:color w:val="000000"/>
                <w:sz w:val="18"/>
                <w:szCs w:val="18"/>
                <w:lang w:eastAsia="fr-FR"/>
              </w:rPr>
              <w:t xml:space="preserve"> (2014)</w:t>
            </w:r>
          </w:p>
        </w:tc>
        <w:tc>
          <w:tcPr>
            <w:tcW w:w="1418" w:type="dxa"/>
            <w:tcBorders>
              <w:top w:val="single" w:sz="4" w:space="0" w:color="auto"/>
              <w:left w:val="nil"/>
              <w:bottom w:val="single" w:sz="4" w:space="0" w:color="auto"/>
              <w:right w:val="single" w:sz="4" w:space="0" w:color="auto"/>
            </w:tcBorders>
          </w:tcPr>
          <w:p w:rsidR="00A44B62" w:rsidRPr="00425A7F" w:rsidRDefault="0066504C" w:rsidP="00C64A5C">
            <w:pPr>
              <w:jc w:val="both"/>
              <w:rPr>
                <w:rFonts w:eastAsia="Times New Roman"/>
                <w:color w:val="000000"/>
                <w:sz w:val="18"/>
                <w:szCs w:val="18"/>
                <w:lang w:eastAsia="fr-FR"/>
              </w:rPr>
            </w:pPr>
            <w:r w:rsidRPr="00425A7F">
              <w:rPr>
                <w:rFonts w:eastAsia="Times New Roman"/>
                <w:color w:val="000000"/>
                <w:sz w:val="18"/>
                <w:szCs w:val="18"/>
                <w:lang w:eastAsia="fr-FR"/>
              </w:rPr>
              <w:t>49 $</w:t>
            </w:r>
          </w:p>
        </w:tc>
        <w:tc>
          <w:tcPr>
            <w:tcW w:w="1275" w:type="dxa"/>
            <w:tcBorders>
              <w:top w:val="single" w:sz="4" w:space="0" w:color="auto"/>
              <w:left w:val="nil"/>
              <w:bottom w:val="single" w:sz="4" w:space="0" w:color="auto"/>
              <w:right w:val="single" w:sz="4" w:space="0" w:color="auto"/>
            </w:tcBorders>
          </w:tcPr>
          <w:p w:rsidR="00A44B62" w:rsidRPr="00425A7F" w:rsidRDefault="003E6645" w:rsidP="00C64A5C">
            <w:pPr>
              <w:jc w:val="both"/>
              <w:rPr>
                <w:rFonts w:eastAsia="Times New Roman"/>
                <w:color w:val="000000"/>
                <w:sz w:val="18"/>
                <w:szCs w:val="18"/>
                <w:lang w:eastAsia="fr-FR"/>
              </w:rPr>
            </w:pPr>
            <w:r w:rsidRPr="00425A7F">
              <w:rPr>
                <w:rFonts w:eastAsia="Times New Roman"/>
                <w:color w:val="000000"/>
                <w:sz w:val="18"/>
                <w:szCs w:val="18"/>
                <w:lang w:eastAsia="fr-FR"/>
              </w:rPr>
              <w:t>70</w:t>
            </w:r>
            <w:r w:rsidR="00C75ED0" w:rsidRPr="00425A7F">
              <w:rPr>
                <w:rFonts w:eastAsia="Times New Roman"/>
                <w:color w:val="000000"/>
                <w:sz w:val="18"/>
                <w:szCs w:val="18"/>
                <w:lang w:eastAsia="fr-FR"/>
              </w:rPr>
              <w:t>$</w:t>
            </w:r>
          </w:p>
        </w:tc>
      </w:tr>
      <w:tr w:rsidR="00A44B62" w:rsidRPr="00425A7F" w:rsidTr="00C75ED0">
        <w:trPr>
          <w:trHeight w:val="213"/>
        </w:trPr>
        <w:tc>
          <w:tcPr>
            <w:tcW w:w="438" w:type="dxa"/>
            <w:vMerge/>
            <w:tcBorders>
              <w:left w:val="single" w:sz="4" w:space="0" w:color="auto"/>
              <w:right w:val="single" w:sz="4" w:space="0" w:color="auto"/>
            </w:tcBorders>
            <w:shd w:val="clear" w:color="auto" w:fill="548DD4" w:themeFill="text2" w:themeFillTint="99"/>
            <w:vAlign w:val="center"/>
            <w:hideMark/>
          </w:tcPr>
          <w:p w:rsidR="00A44B62" w:rsidRPr="00425A7F"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A44B62" w:rsidP="00A44B62">
            <w:pPr>
              <w:jc w:val="both"/>
              <w:rPr>
                <w:rFonts w:eastAsia="Times New Roman"/>
                <w:color w:val="000000"/>
                <w:sz w:val="18"/>
                <w:szCs w:val="18"/>
                <w:lang w:eastAsia="fr-FR"/>
              </w:rPr>
            </w:pPr>
            <w:r w:rsidRPr="00425A7F">
              <w:rPr>
                <w:rFonts w:eastAsia="Times New Roman"/>
                <w:color w:val="000000"/>
                <w:sz w:val="18"/>
                <w:szCs w:val="18"/>
                <w:lang w:eastAsia="fr-FR"/>
              </w:rPr>
              <w:t xml:space="preserve">Part du budget d'Etat consacré au secteur santé </w:t>
            </w:r>
          </w:p>
        </w:tc>
        <w:tc>
          <w:tcPr>
            <w:tcW w:w="1418" w:type="dxa"/>
            <w:tcBorders>
              <w:top w:val="nil"/>
              <w:left w:val="nil"/>
              <w:bottom w:val="single" w:sz="4" w:space="0" w:color="auto"/>
              <w:right w:val="single" w:sz="4" w:space="0" w:color="auto"/>
            </w:tcBorders>
          </w:tcPr>
          <w:p w:rsidR="00A44B62" w:rsidRPr="00425A7F" w:rsidRDefault="0066504C" w:rsidP="00A44B62">
            <w:pPr>
              <w:jc w:val="both"/>
              <w:rPr>
                <w:rFonts w:eastAsia="Times New Roman"/>
                <w:color w:val="000000"/>
                <w:sz w:val="18"/>
                <w:szCs w:val="18"/>
                <w:lang w:eastAsia="fr-FR"/>
              </w:rPr>
            </w:pPr>
            <w:r w:rsidRPr="00425A7F">
              <w:rPr>
                <w:rFonts w:eastAsia="Times New Roman"/>
                <w:color w:val="000000"/>
                <w:sz w:val="18"/>
                <w:szCs w:val="18"/>
                <w:lang w:eastAsia="fr-FR"/>
              </w:rPr>
              <w:t>11%</w:t>
            </w:r>
          </w:p>
        </w:tc>
        <w:tc>
          <w:tcPr>
            <w:tcW w:w="1275" w:type="dxa"/>
            <w:tcBorders>
              <w:top w:val="nil"/>
              <w:left w:val="nil"/>
              <w:bottom w:val="single" w:sz="4" w:space="0" w:color="auto"/>
              <w:right w:val="single" w:sz="4" w:space="0" w:color="auto"/>
            </w:tcBorders>
          </w:tcPr>
          <w:p w:rsidR="00A44B62" w:rsidRPr="00425A7F" w:rsidRDefault="0066504C" w:rsidP="00A44B62">
            <w:pPr>
              <w:jc w:val="both"/>
              <w:rPr>
                <w:rFonts w:eastAsia="Times New Roman"/>
                <w:color w:val="000000"/>
                <w:sz w:val="18"/>
                <w:szCs w:val="18"/>
                <w:lang w:eastAsia="fr-FR"/>
              </w:rPr>
            </w:pPr>
            <w:r w:rsidRPr="00425A7F">
              <w:rPr>
                <w:rFonts w:eastAsia="Times New Roman"/>
                <w:color w:val="000000"/>
                <w:sz w:val="18"/>
                <w:szCs w:val="18"/>
                <w:lang w:eastAsia="fr-FR"/>
              </w:rPr>
              <w:t>14%</w:t>
            </w:r>
          </w:p>
        </w:tc>
      </w:tr>
      <w:tr w:rsidR="00A44B62" w:rsidRPr="00425A7F" w:rsidTr="00C75ED0">
        <w:trPr>
          <w:trHeight w:val="255"/>
        </w:trPr>
        <w:tc>
          <w:tcPr>
            <w:tcW w:w="438" w:type="dxa"/>
            <w:vMerge/>
            <w:tcBorders>
              <w:left w:val="single" w:sz="4" w:space="0" w:color="auto"/>
              <w:right w:val="single" w:sz="4" w:space="0" w:color="auto"/>
            </w:tcBorders>
            <w:shd w:val="clear" w:color="auto" w:fill="548DD4" w:themeFill="text2" w:themeFillTint="99"/>
            <w:vAlign w:val="center"/>
          </w:tcPr>
          <w:p w:rsidR="00A44B62" w:rsidRPr="00425A7F"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tcPr>
          <w:p w:rsidR="00A44B62" w:rsidRPr="00425A7F" w:rsidRDefault="00A44B62" w:rsidP="00A44B62">
            <w:pPr>
              <w:jc w:val="both"/>
              <w:rPr>
                <w:rFonts w:eastAsia="Times New Roman"/>
                <w:color w:val="000000"/>
                <w:sz w:val="18"/>
                <w:szCs w:val="18"/>
                <w:lang w:eastAsia="fr-FR"/>
              </w:rPr>
            </w:pPr>
            <w:r w:rsidRPr="00425A7F">
              <w:rPr>
                <w:rFonts w:eastAsia="Times New Roman"/>
                <w:color w:val="000000"/>
                <w:sz w:val="18"/>
                <w:szCs w:val="18"/>
                <w:lang w:eastAsia="fr-FR"/>
              </w:rPr>
              <w:t>Part du budget d'Etat consacré à la couverture du risque maladie</w:t>
            </w:r>
          </w:p>
        </w:tc>
        <w:tc>
          <w:tcPr>
            <w:tcW w:w="1418" w:type="dxa"/>
            <w:tcBorders>
              <w:top w:val="nil"/>
              <w:left w:val="nil"/>
              <w:bottom w:val="single" w:sz="4" w:space="0" w:color="auto"/>
              <w:right w:val="single" w:sz="4" w:space="0" w:color="auto"/>
            </w:tcBorders>
          </w:tcPr>
          <w:p w:rsidR="00A44B62" w:rsidRPr="00425A7F" w:rsidRDefault="003E6645" w:rsidP="00A44B62">
            <w:pPr>
              <w:jc w:val="both"/>
              <w:rPr>
                <w:rFonts w:eastAsia="Times New Roman"/>
                <w:color w:val="000000"/>
                <w:sz w:val="18"/>
                <w:szCs w:val="18"/>
                <w:lang w:eastAsia="fr-FR"/>
              </w:rPr>
            </w:pPr>
            <w:r w:rsidRPr="00425A7F">
              <w:rPr>
                <w:rFonts w:eastAsia="Times New Roman"/>
                <w:color w:val="000000"/>
                <w:sz w:val="18"/>
                <w:szCs w:val="18"/>
                <w:lang w:eastAsia="fr-FR"/>
              </w:rPr>
              <w:t>0,64</w:t>
            </w:r>
            <w:r w:rsidR="0066504C" w:rsidRPr="00425A7F">
              <w:rPr>
                <w:rFonts w:eastAsia="Times New Roman"/>
                <w:color w:val="000000"/>
                <w:sz w:val="18"/>
                <w:szCs w:val="18"/>
                <w:lang w:eastAsia="fr-FR"/>
              </w:rPr>
              <w:t>%</w:t>
            </w:r>
          </w:p>
        </w:tc>
        <w:tc>
          <w:tcPr>
            <w:tcW w:w="1275" w:type="dxa"/>
            <w:tcBorders>
              <w:top w:val="nil"/>
              <w:left w:val="nil"/>
              <w:bottom w:val="single" w:sz="4" w:space="0" w:color="auto"/>
              <w:right w:val="single" w:sz="4" w:space="0" w:color="auto"/>
            </w:tcBorders>
          </w:tcPr>
          <w:p w:rsidR="00A44B62" w:rsidRPr="00425A7F" w:rsidRDefault="0066504C" w:rsidP="00A44B62">
            <w:pPr>
              <w:jc w:val="both"/>
              <w:rPr>
                <w:rFonts w:eastAsia="Times New Roman"/>
                <w:color w:val="000000"/>
                <w:sz w:val="18"/>
                <w:szCs w:val="18"/>
                <w:lang w:eastAsia="fr-FR"/>
              </w:rPr>
            </w:pPr>
            <w:r w:rsidRPr="00425A7F">
              <w:rPr>
                <w:rFonts w:eastAsia="Times New Roman"/>
                <w:color w:val="000000"/>
                <w:sz w:val="18"/>
                <w:szCs w:val="18"/>
                <w:lang w:eastAsia="fr-FR"/>
              </w:rPr>
              <w:t>4%</w:t>
            </w:r>
          </w:p>
        </w:tc>
      </w:tr>
      <w:tr w:rsidR="00A44B62" w:rsidRPr="00425A7F" w:rsidTr="00C75ED0">
        <w:trPr>
          <w:trHeight w:val="255"/>
        </w:trPr>
        <w:tc>
          <w:tcPr>
            <w:tcW w:w="438" w:type="dxa"/>
            <w:vMerge/>
            <w:tcBorders>
              <w:left w:val="single" w:sz="4" w:space="0" w:color="auto"/>
              <w:right w:val="single" w:sz="4" w:space="0" w:color="auto"/>
            </w:tcBorders>
            <w:shd w:val="clear" w:color="auto" w:fill="548DD4" w:themeFill="text2" w:themeFillTint="99"/>
            <w:vAlign w:val="center"/>
            <w:hideMark/>
          </w:tcPr>
          <w:p w:rsidR="00A44B62" w:rsidRPr="00425A7F"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762E77" w:rsidP="00C64A5C">
            <w:pPr>
              <w:jc w:val="both"/>
              <w:rPr>
                <w:rFonts w:eastAsia="Times New Roman"/>
                <w:color w:val="000000"/>
                <w:sz w:val="18"/>
                <w:szCs w:val="18"/>
                <w:lang w:eastAsia="fr-FR"/>
              </w:rPr>
            </w:pPr>
            <w:r w:rsidRPr="00425A7F">
              <w:rPr>
                <w:rFonts w:eastAsia="Times New Roman"/>
                <w:color w:val="000000"/>
                <w:sz w:val="18"/>
                <w:szCs w:val="18"/>
                <w:lang w:eastAsia="fr-FR"/>
              </w:rPr>
              <w:t>%</w:t>
            </w:r>
            <w:r w:rsidR="00A44B62" w:rsidRPr="00425A7F">
              <w:rPr>
                <w:rFonts w:eastAsia="Times New Roman"/>
                <w:color w:val="000000"/>
                <w:sz w:val="18"/>
                <w:szCs w:val="18"/>
                <w:lang w:eastAsia="fr-FR"/>
              </w:rPr>
              <w:t xml:space="preserve"> des dépenses directes des ménages sur les dépenses totales de santé</w:t>
            </w:r>
          </w:p>
        </w:tc>
        <w:tc>
          <w:tcPr>
            <w:tcW w:w="1418" w:type="dxa"/>
            <w:tcBorders>
              <w:top w:val="nil"/>
              <w:left w:val="nil"/>
              <w:bottom w:val="single" w:sz="4" w:space="0" w:color="auto"/>
              <w:right w:val="single" w:sz="4" w:space="0" w:color="auto"/>
            </w:tcBorders>
          </w:tcPr>
          <w:p w:rsidR="00A44B62" w:rsidRPr="00425A7F" w:rsidRDefault="0066504C" w:rsidP="00C64A5C">
            <w:pPr>
              <w:jc w:val="both"/>
              <w:rPr>
                <w:rFonts w:eastAsia="Times New Roman"/>
                <w:color w:val="000000"/>
                <w:sz w:val="18"/>
                <w:szCs w:val="18"/>
                <w:lang w:eastAsia="fr-FR"/>
              </w:rPr>
            </w:pPr>
            <w:r w:rsidRPr="00425A7F">
              <w:rPr>
                <w:rFonts w:eastAsia="Times New Roman"/>
                <w:color w:val="000000"/>
                <w:sz w:val="18"/>
                <w:szCs w:val="18"/>
                <w:lang w:eastAsia="fr-FR"/>
              </w:rPr>
              <w:t>44,95%</w:t>
            </w:r>
          </w:p>
        </w:tc>
        <w:tc>
          <w:tcPr>
            <w:tcW w:w="1275" w:type="dxa"/>
            <w:tcBorders>
              <w:top w:val="nil"/>
              <w:left w:val="nil"/>
              <w:bottom w:val="single" w:sz="4" w:space="0" w:color="auto"/>
              <w:right w:val="single" w:sz="4" w:space="0" w:color="auto"/>
            </w:tcBorders>
          </w:tcPr>
          <w:p w:rsidR="00A44B62" w:rsidRPr="00425A7F" w:rsidRDefault="0066504C" w:rsidP="00C64A5C">
            <w:pPr>
              <w:jc w:val="both"/>
              <w:rPr>
                <w:rFonts w:eastAsia="Times New Roman"/>
                <w:color w:val="000000"/>
                <w:sz w:val="18"/>
                <w:szCs w:val="18"/>
                <w:lang w:eastAsia="fr-FR"/>
              </w:rPr>
            </w:pPr>
            <w:r w:rsidRPr="00425A7F">
              <w:rPr>
                <w:rFonts w:eastAsia="Times New Roman"/>
                <w:color w:val="000000"/>
                <w:sz w:val="18"/>
                <w:szCs w:val="18"/>
                <w:lang w:eastAsia="fr-FR"/>
              </w:rPr>
              <w:t>35%</w:t>
            </w:r>
          </w:p>
        </w:tc>
      </w:tr>
      <w:tr w:rsidR="00A44B62" w:rsidRPr="00425A7F" w:rsidTr="00C75ED0">
        <w:trPr>
          <w:trHeight w:val="255"/>
        </w:trPr>
        <w:tc>
          <w:tcPr>
            <w:tcW w:w="438" w:type="dxa"/>
            <w:vMerge/>
            <w:tcBorders>
              <w:left w:val="single" w:sz="4" w:space="0" w:color="auto"/>
              <w:bottom w:val="single" w:sz="4" w:space="0" w:color="auto"/>
              <w:right w:val="single" w:sz="4" w:space="0" w:color="auto"/>
            </w:tcBorders>
            <w:shd w:val="clear" w:color="auto" w:fill="548DD4" w:themeFill="text2" w:themeFillTint="99"/>
            <w:vAlign w:val="center"/>
          </w:tcPr>
          <w:p w:rsidR="00A44B62" w:rsidRPr="00425A7F"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tcPr>
          <w:p w:rsidR="00A44B62" w:rsidRPr="00425A7F" w:rsidRDefault="00A44B62" w:rsidP="00C64A5C">
            <w:pPr>
              <w:jc w:val="both"/>
              <w:rPr>
                <w:rFonts w:eastAsia="Times New Roman"/>
                <w:color w:val="000000"/>
                <w:sz w:val="18"/>
                <w:szCs w:val="18"/>
                <w:lang w:eastAsia="fr-FR"/>
              </w:rPr>
            </w:pPr>
            <w:r w:rsidRPr="00425A7F">
              <w:rPr>
                <w:rFonts w:eastAsia="Times New Roman"/>
                <w:color w:val="000000"/>
                <w:sz w:val="18"/>
                <w:szCs w:val="18"/>
                <w:lang w:eastAsia="fr-FR"/>
              </w:rPr>
              <w:t>Pourcentage de la population faisant face à une dépense catastrophique</w:t>
            </w:r>
          </w:p>
        </w:tc>
        <w:tc>
          <w:tcPr>
            <w:tcW w:w="1418" w:type="dxa"/>
            <w:tcBorders>
              <w:top w:val="nil"/>
              <w:left w:val="nil"/>
              <w:bottom w:val="single" w:sz="4" w:space="0" w:color="auto"/>
              <w:right w:val="single" w:sz="4" w:space="0" w:color="auto"/>
            </w:tcBorders>
          </w:tcPr>
          <w:p w:rsidR="00A44B62" w:rsidRPr="00425A7F" w:rsidRDefault="0066504C" w:rsidP="00C64A5C">
            <w:pPr>
              <w:jc w:val="both"/>
              <w:rPr>
                <w:rFonts w:eastAsia="Times New Roman"/>
                <w:color w:val="000000"/>
                <w:sz w:val="18"/>
                <w:szCs w:val="18"/>
                <w:lang w:eastAsia="fr-FR"/>
              </w:rPr>
            </w:pPr>
            <w:r w:rsidRPr="00425A7F">
              <w:rPr>
                <w:rFonts w:eastAsia="Times New Roman"/>
                <w:color w:val="000000"/>
                <w:sz w:val="18"/>
                <w:szCs w:val="18"/>
                <w:lang w:eastAsia="fr-FR"/>
              </w:rPr>
              <w:t>19%</w:t>
            </w:r>
          </w:p>
        </w:tc>
        <w:tc>
          <w:tcPr>
            <w:tcW w:w="1275" w:type="dxa"/>
            <w:tcBorders>
              <w:top w:val="nil"/>
              <w:left w:val="nil"/>
              <w:bottom w:val="single" w:sz="4" w:space="0" w:color="auto"/>
              <w:right w:val="single" w:sz="4" w:space="0" w:color="auto"/>
            </w:tcBorders>
          </w:tcPr>
          <w:p w:rsidR="00A44B62" w:rsidRPr="00425A7F" w:rsidRDefault="0066504C" w:rsidP="00C64A5C">
            <w:pPr>
              <w:jc w:val="both"/>
              <w:rPr>
                <w:rFonts w:eastAsia="Times New Roman"/>
                <w:color w:val="000000"/>
                <w:sz w:val="18"/>
                <w:szCs w:val="18"/>
                <w:lang w:eastAsia="fr-FR"/>
              </w:rPr>
            </w:pPr>
            <w:r w:rsidRPr="00425A7F">
              <w:rPr>
                <w:rFonts w:eastAsia="Times New Roman"/>
                <w:color w:val="000000"/>
                <w:sz w:val="18"/>
                <w:szCs w:val="18"/>
                <w:lang w:eastAsia="fr-FR"/>
              </w:rPr>
              <w:t>10%</w:t>
            </w:r>
          </w:p>
        </w:tc>
      </w:tr>
      <w:tr w:rsidR="00A44B62" w:rsidRPr="00425A7F" w:rsidTr="00C75ED0">
        <w:trPr>
          <w:trHeight w:val="255"/>
        </w:trPr>
        <w:tc>
          <w:tcPr>
            <w:tcW w:w="438" w:type="dxa"/>
            <w:vMerge w:val="restart"/>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425A7F" w:rsidRDefault="00A44B62" w:rsidP="00C64A5C">
            <w:pPr>
              <w:rPr>
                <w:rFonts w:eastAsia="Times New Roman"/>
                <w:b/>
                <w:bCs/>
                <w:color w:val="000000"/>
                <w:sz w:val="20"/>
                <w:szCs w:val="20"/>
                <w:lang w:eastAsia="fr-FR"/>
              </w:rPr>
            </w:pPr>
            <w:r w:rsidRPr="00425A7F">
              <w:rPr>
                <w:rFonts w:eastAsia="Times New Roman"/>
                <w:b/>
                <w:bCs/>
                <w:color w:val="000000"/>
                <w:sz w:val="20"/>
                <w:szCs w:val="20"/>
                <w:lang w:eastAsia="fr-FR"/>
              </w:rPr>
              <w:t>1.2</w:t>
            </w: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A44B62" w:rsidP="00A44B62">
            <w:pPr>
              <w:jc w:val="both"/>
              <w:rPr>
                <w:rFonts w:eastAsia="Times New Roman"/>
                <w:color w:val="000000"/>
                <w:sz w:val="18"/>
                <w:szCs w:val="18"/>
                <w:lang w:eastAsia="fr-FR"/>
              </w:rPr>
            </w:pPr>
            <w:r w:rsidRPr="00425A7F">
              <w:rPr>
                <w:rFonts w:eastAsia="Times New Roman"/>
                <w:color w:val="000000"/>
                <w:sz w:val="18"/>
                <w:szCs w:val="18"/>
                <w:lang w:eastAsia="fr-FR"/>
              </w:rPr>
              <w:t>Pourcentage de population couverte par l’AMU</w:t>
            </w:r>
          </w:p>
        </w:tc>
        <w:tc>
          <w:tcPr>
            <w:tcW w:w="1418" w:type="dxa"/>
            <w:tcBorders>
              <w:top w:val="nil"/>
              <w:left w:val="nil"/>
              <w:bottom w:val="single" w:sz="4" w:space="0" w:color="auto"/>
              <w:right w:val="single" w:sz="4" w:space="0" w:color="auto"/>
            </w:tcBorders>
          </w:tcPr>
          <w:p w:rsidR="00A44B62" w:rsidRPr="00425A7F" w:rsidRDefault="002516D7" w:rsidP="00A44B62">
            <w:pPr>
              <w:jc w:val="both"/>
              <w:rPr>
                <w:rFonts w:eastAsia="Times New Roman"/>
                <w:color w:val="000000"/>
                <w:sz w:val="18"/>
                <w:szCs w:val="18"/>
                <w:lang w:eastAsia="fr-FR"/>
              </w:rPr>
            </w:pPr>
            <w:r w:rsidRPr="00425A7F">
              <w:rPr>
                <w:rFonts w:eastAsia="Times New Roman"/>
                <w:color w:val="000000"/>
                <w:sz w:val="18"/>
                <w:szCs w:val="18"/>
                <w:lang w:eastAsia="fr-FR"/>
              </w:rPr>
              <w:t>11,92%</w:t>
            </w:r>
          </w:p>
        </w:tc>
        <w:tc>
          <w:tcPr>
            <w:tcW w:w="1275" w:type="dxa"/>
            <w:tcBorders>
              <w:top w:val="nil"/>
              <w:left w:val="nil"/>
              <w:bottom w:val="single" w:sz="4" w:space="0" w:color="auto"/>
              <w:right w:val="single" w:sz="4" w:space="0" w:color="auto"/>
            </w:tcBorders>
          </w:tcPr>
          <w:p w:rsidR="00A44B62" w:rsidRPr="00425A7F" w:rsidRDefault="0066504C" w:rsidP="003E6645">
            <w:pPr>
              <w:jc w:val="both"/>
              <w:rPr>
                <w:rFonts w:eastAsia="Times New Roman"/>
                <w:color w:val="000000"/>
                <w:sz w:val="18"/>
                <w:szCs w:val="18"/>
                <w:lang w:eastAsia="fr-FR"/>
              </w:rPr>
            </w:pPr>
            <w:r w:rsidRPr="00425A7F">
              <w:rPr>
                <w:rFonts w:eastAsia="Times New Roman"/>
                <w:color w:val="000000"/>
                <w:sz w:val="18"/>
                <w:szCs w:val="18"/>
                <w:lang w:eastAsia="fr-FR"/>
              </w:rPr>
              <w:t>3</w:t>
            </w:r>
            <w:r w:rsidR="003E6645" w:rsidRPr="00425A7F">
              <w:rPr>
                <w:rFonts w:eastAsia="Times New Roman"/>
                <w:color w:val="000000"/>
                <w:sz w:val="18"/>
                <w:szCs w:val="18"/>
                <w:lang w:eastAsia="fr-FR"/>
              </w:rPr>
              <w:t>1</w:t>
            </w:r>
            <w:r w:rsidRPr="00425A7F">
              <w:rPr>
                <w:rFonts w:eastAsia="Times New Roman"/>
                <w:color w:val="000000"/>
                <w:sz w:val="18"/>
                <w:szCs w:val="18"/>
                <w:lang w:eastAsia="fr-FR"/>
              </w:rPr>
              <w:t>%</w:t>
            </w:r>
          </w:p>
        </w:tc>
      </w:tr>
      <w:tr w:rsidR="00A44B62" w:rsidRPr="00425A7F"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425A7F"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A44B62" w:rsidP="0066504C">
            <w:pPr>
              <w:jc w:val="both"/>
              <w:rPr>
                <w:rFonts w:eastAsia="Times New Roman"/>
                <w:color w:val="000000"/>
                <w:sz w:val="18"/>
                <w:szCs w:val="18"/>
                <w:lang w:eastAsia="fr-FR"/>
              </w:rPr>
            </w:pPr>
            <w:r w:rsidRPr="00425A7F">
              <w:rPr>
                <w:rFonts w:eastAsia="Times New Roman"/>
                <w:color w:val="000000"/>
                <w:sz w:val="18"/>
                <w:szCs w:val="18"/>
                <w:lang w:eastAsia="fr-FR"/>
              </w:rPr>
              <w:t xml:space="preserve">Pourcentage de </w:t>
            </w:r>
            <w:r w:rsidR="0066504C" w:rsidRPr="00425A7F">
              <w:rPr>
                <w:rFonts w:eastAsia="Times New Roman"/>
                <w:color w:val="000000"/>
                <w:sz w:val="18"/>
                <w:szCs w:val="18"/>
                <w:lang w:eastAsia="fr-FR"/>
              </w:rPr>
              <w:t>la population</w:t>
            </w:r>
            <w:r w:rsidRPr="00425A7F">
              <w:rPr>
                <w:rFonts w:eastAsia="Times New Roman"/>
                <w:color w:val="000000"/>
                <w:sz w:val="18"/>
                <w:szCs w:val="18"/>
                <w:lang w:eastAsia="fr-FR"/>
              </w:rPr>
              <w:t xml:space="preserve"> bénéficiant de l’AMU</w:t>
            </w:r>
            <w:r w:rsidR="0066504C" w:rsidRPr="00425A7F">
              <w:rPr>
                <w:rFonts w:eastAsia="Times New Roman"/>
                <w:color w:val="000000"/>
                <w:sz w:val="18"/>
                <w:szCs w:val="18"/>
                <w:lang w:eastAsia="fr-FR"/>
              </w:rPr>
              <w:t xml:space="preserve"> gratuitement</w:t>
            </w:r>
          </w:p>
        </w:tc>
        <w:tc>
          <w:tcPr>
            <w:tcW w:w="1418" w:type="dxa"/>
            <w:tcBorders>
              <w:top w:val="nil"/>
              <w:left w:val="nil"/>
              <w:bottom w:val="single" w:sz="4" w:space="0" w:color="auto"/>
              <w:right w:val="single" w:sz="4" w:space="0" w:color="auto"/>
            </w:tcBorders>
          </w:tcPr>
          <w:p w:rsidR="00A44B62" w:rsidRPr="00425A7F" w:rsidRDefault="0066504C" w:rsidP="00A44B62">
            <w:pPr>
              <w:jc w:val="both"/>
              <w:rPr>
                <w:rFonts w:eastAsia="Times New Roman"/>
                <w:color w:val="000000"/>
                <w:sz w:val="18"/>
                <w:szCs w:val="18"/>
                <w:lang w:eastAsia="fr-FR"/>
              </w:rPr>
            </w:pPr>
            <w:r w:rsidRPr="00425A7F">
              <w:rPr>
                <w:rFonts w:eastAsia="Times New Roman"/>
                <w:color w:val="000000"/>
                <w:sz w:val="18"/>
                <w:szCs w:val="18"/>
                <w:lang w:eastAsia="fr-FR"/>
              </w:rPr>
              <w:t>0,74%</w:t>
            </w:r>
          </w:p>
        </w:tc>
        <w:tc>
          <w:tcPr>
            <w:tcW w:w="1275" w:type="dxa"/>
            <w:tcBorders>
              <w:top w:val="nil"/>
              <w:left w:val="nil"/>
              <w:bottom w:val="single" w:sz="4" w:space="0" w:color="auto"/>
              <w:right w:val="single" w:sz="4" w:space="0" w:color="auto"/>
            </w:tcBorders>
          </w:tcPr>
          <w:p w:rsidR="00A44B62" w:rsidRPr="00425A7F" w:rsidRDefault="0066504C" w:rsidP="00A44B62">
            <w:pPr>
              <w:jc w:val="both"/>
              <w:rPr>
                <w:rFonts w:eastAsia="Times New Roman"/>
                <w:color w:val="000000"/>
                <w:sz w:val="18"/>
                <w:szCs w:val="18"/>
                <w:lang w:eastAsia="fr-FR"/>
              </w:rPr>
            </w:pPr>
            <w:r w:rsidRPr="00425A7F">
              <w:rPr>
                <w:rFonts w:eastAsia="Times New Roman"/>
                <w:color w:val="000000"/>
                <w:sz w:val="18"/>
                <w:szCs w:val="18"/>
                <w:lang w:eastAsia="fr-FR"/>
              </w:rPr>
              <w:t>10%</w:t>
            </w:r>
          </w:p>
        </w:tc>
      </w:tr>
      <w:tr w:rsidR="00A44B62" w:rsidRPr="00425A7F"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tcPr>
          <w:p w:rsidR="00A44B62" w:rsidRPr="00425A7F"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tcPr>
          <w:p w:rsidR="00A44B62" w:rsidRPr="00425A7F" w:rsidRDefault="00762E77" w:rsidP="00A44B62">
            <w:pPr>
              <w:jc w:val="both"/>
              <w:rPr>
                <w:rFonts w:eastAsia="Times New Roman"/>
                <w:color w:val="000000"/>
                <w:sz w:val="18"/>
                <w:szCs w:val="18"/>
                <w:lang w:eastAsia="fr-FR"/>
              </w:rPr>
            </w:pPr>
            <w:r w:rsidRPr="00425A7F">
              <w:rPr>
                <w:rFonts w:eastAsia="Times New Roman"/>
                <w:color w:val="000000"/>
                <w:sz w:val="18"/>
                <w:szCs w:val="18"/>
                <w:lang w:eastAsia="fr-FR"/>
              </w:rPr>
              <w:t>%</w:t>
            </w:r>
            <w:r w:rsidR="00A44B62" w:rsidRPr="00425A7F">
              <w:rPr>
                <w:rFonts w:eastAsia="Times New Roman"/>
                <w:color w:val="000000"/>
                <w:sz w:val="18"/>
                <w:szCs w:val="18"/>
                <w:lang w:eastAsia="fr-FR"/>
              </w:rPr>
              <w:t xml:space="preserve"> de la population du secteur informel non pauvre bénéficiant de l’AMU</w:t>
            </w:r>
          </w:p>
        </w:tc>
        <w:tc>
          <w:tcPr>
            <w:tcW w:w="1418" w:type="dxa"/>
            <w:tcBorders>
              <w:top w:val="nil"/>
              <w:left w:val="nil"/>
              <w:bottom w:val="single" w:sz="4" w:space="0" w:color="auto"/>
              <w:right w:val="single" w:sz="4" w:space="0" w:color="auto"/>
            </w:tcBorders>
          </w:tcPr>
          <w:p w:rsidR="00A44B62" w:rsidRPr="00425A7F" w:rsidRDefault="002516D7" w:rsidP="00A44B62">
            <w:pPr>
              <w:jc w:val="both"/>
              <w:rPr>
                <w:rFonts w:eastAsia="Times New Roman"/>
                <w:color w:val="000000"/>
                <w:sz w:val="18"/>
                <w:szCs w:val="18"/>
                <w:lang w:eastAsia="fr-FR"/>
              </w:rPr>
            </w:pPr>
            <w:r w:rsidRPr="00425A7F">
              <w:rPr>
                <w:rFonts w:eastAsia="Times New Roman"/>
                <w:color w:val="000000"/>
                <w:sz w:val="18"/>
                <w:szCs w:val="18"/>
                <w:lang w:eastAsia="fr-FR"/>
              </w:rPr>
              <w:t>4,95%</w:t>
            </w:r>
          </w:p>
        </w:tc>
        <w:tc>
          <w:tcPr>
            <w:tcW w:w="1275" w:type="dxa"/>
            <w:tcBorders>
              <w:top w:val="nil"/>
              <w:left w:val="nil"/>
              <w:bottom w:val="single" w:sz="4" w:space="0" w:color="auto"/>
              <w:right w:val="single" w:sz="4" w:space="0" w:color="auto"/>
            </w:tcBorders>
          </w:tcPr>
          <w:p w:rsidR="00A44B62" w:rsidRPr="00425A7F" w:rsidRDefault="0066504C" w:rsidP="00A44B62">
            <w:pPr>
              <w:jc w:val="both"/>
              <w:rPr>
                <w:rFonts w:eastAsia="Times New Roman"/>
                <w:color w:val="000000"/>
                <w:sz w:val="18"/>
                <w:szCs w:val="18"/>
                <w:lang w:eastAsia="fr-FR"/>
              </w:rPr>
            </w:pPr>
            <w:r w:rsidRPr="00425A7F">
              <w:rPr>
                <w:rFonts w:eastAsia="Times New Roman"/>
                <w:color w:val="000000"/>
                <w:sz w:val="18"/>
                <w:szCs w:val="18"/>
                <w:lang w:eastAsia="fr-FR"/>
              </w:rPr>
              <w:t>21%</w:t>
            </w:r>
          </w:p>
        </w:tc>
      </w:tr>
      <w:tr w:rsidR="00A44B62" w:rsidRPr="00425A7F" w:rsidTr="00C75ED0">
        <w:trPr>
          <w:trHeight w:val="255"/>
        </w:trPr>
        <w:tc>
          <w:tcPr>
            <w:tcW w:w="438" w:type="dxa"/>
            <w:vMerge w:val="restart"/>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425A7F" w:rsidRDefault="00A44B62" w:rsidP="00C64A5C">
            <w:pPr>
              <w:rPr>
                <w:rFonts w:eastAsia="Times New Roman"/>
                <w:b/>
                <w:bCs/>
                <w:color w:val="000000"/>
                <w:sz w:val="20"/>
                <w:szCs w:val="20"/>
                <w:lang w:eastAsia="fr-FR"/>
              </w:rPr>
            </w:pPr>
            <w:r w:rsidRPr="00425A7F">
              <w:rPr>
                <w:rFonts w:eastAsia="Times New Roman"/>
                <w:b/>
                <w:bCs/>
                <w:color w:val="000000"/>
                <w:sz w:val="20"/>
                <w:szCs w:val="20"/>
                <w:lang w:eastAsia="fr-FR"/>
              </w:rPr>
              <w:t>1.3</w:t>
            </w: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A44B62" w:rsidP="00C64A5C">
            <w:pPr>
              <w:jc w:val="both"/>
              <w:rPr>
                <w:rFonts w:eastAsia="Times New Roman"/>
                <w:color w:val="000000"/>
                <w:sz w:val="18"/>
                <w:szCs w:val="18"/>
                <w:lang w:eastAsia="fr-FR"/>
              </w:rPr>
            </w:pPr>
            <w:r w:rsidRPr="00425A7F">
              <w:rPr>
                <w:rFonts w:eastAsia="Times New Roman"/>
                <w:color w:val="000000"/>
                <w:sz w:val="18"/>
                <w:szCs w:val="18"/>
                <w:lang w:eastAsia="fr-FR"/>
              </w:rPr>
              <w:t>Pourcentage de l'aide extérieure sur les dépenses totales de santé</w:t>
            </w:r>
            <w:r w:rsidR="0066504C" w:rsidRPr="00425A7F">
              <w:rPr>
                <w:rFonts w:eastAsia="Times New Roman"/>
                <w:color w:val="000000"/>
                <w:sz w:val="18"/>
                <w:szCs w:val="18"/>
                <w:lang w:eastAsia="fr-FR"/>
              </w:rPr>
              <w:t xml:space="preserve"> (2014)</w:t>
            </w:r>
          </w:p>
        </w:tc>
        <w:tc>
          <w:tcPr>
            <w:tcW w:w="1418" w:type="dxa"/>
            <w:tcBorders>
              <w:top w:val="nil"/>
              <w:left w:val="nil"/>
              <w:bottom w:val="single" w:sz="4" w:space="0" w:color="auto"/>
              <w:right w:val="single" w:sz="4" w:space="0" w:color="auto"/>
            </w:tcBorders>
          </w:tcPr>
          <w:p w:rsidR="00A44B62" w:rsidRPr="00425A7F" w:rsidRDefault="0066504C" w:rsidP="00C64A5C">
            <w:pPr>
              <w:jc w:val="both"/>
              <w:rPr>
                <w:rFonts w:eastAsia="Times New Roman"/>
                <w:color w:val="000000"/>
                <w:sz w:val="18"/>
                <w:szCs w:val="18"/>
                <w:lang w:eastAsia="fr-FR"/>
              </w:rPr>
            </w:pPr>
            <w:r w:rsidRPr="00425A7F">
              <w:rPr>
                <w:rFonts w:eastAsia="Times New Roman"/>
                <w:color w:val="000000"/>
                <w:sz w:val="18"/>
                <w:szCs w:val="18"/>
                <w:lang w:eastAsia="fr-FR"/>
              </w:rPr>
              <w:t>27,2%</w:t>
            </w:r>
          </w:p>
        </w:tc>
        <w:tc>
          <w:tcPr>
            <w:tcW w:w="1275" w:type="dxa"/>
            <w:tcBorders>
              <w:top w:val="nil"/>
              <w:left w:val="nil"/>
              <w:bottom w:val="single" w:sz="4" w:space="0" w:color="auto"/>
              <w:right w:val="single" w:sz="4" w:space="0" w:color="auto"/>
            </w:tcBorders>
          </w:tcPr>
          <w:p w:rsidR="00A44B62" w:rsidRPr="00425A7F" w:rsidRDefault="003E6645" w:rsidP="00C64A5C">
            <w:pPr>
              <w:jc w:val="both"/>
              <w:rPr>
                <w:rFonts w:eastAsia="Times New Roman"/>
                <w:color w:val="000000"/>
                <w:sz w:val="18"/>
                <w:szCs w:val="18"/>
                <w:lang w:eastAsia="fr-FR"/>
              </w:rPr>
            </w:pPr>
            <w:r w:rsidRPr="00425A7F">
              <w:rPr>
                <w:rFonts w:eastAsia="Times New Roman"/>
                <w:color w:val="000000"/>
                <w:sz w:val="18"/>
                <w:szCs w:val="18"/>
                <w:lang w:eastAsia="fr-FR"/>
              </w:rPr>
              <w:t>27,2</w:t>
            </w:r>
            <w:r w:rsidR="007B2712" w:rsidRPr="00425A7F">
              <w:rPr>
                <w:rFonts w:eastAsia="Times New Roman"/>
                <w:color w:val="000000"/>
                <w:sz w:val="18"/>
                <w:szCs w:val="18"/>
                <w:lang w:eastAsia="fr-FR"/>
              </w:rPr>
              <w:t>%</w:t>
            </w:r>
          </w:p>
        </w:tc>
      </w:tr>
      <w:tr w:rsidR="00A44B62" w:rsidRPr="00425A7F"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425A7F"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66504C" w:rsidP="00762E77">
            <w:pPr>
              <w:jc w:val="both"/>
              <w:rPr>
                <w:rFonts w:eastAsia="Times New Roman"/>
                <w:color w:val="000000"/>
                <w:sz w:val="18"/>
                <w:szCs w:val="18"/>
                <w:lang w:eastAsia="fr-FR"/>
              </w:rPr>
            </w:pPr>
            <w:r w:rsidRPr="00425A7F">
              <w:rPr>
                <w:rFonts w:eastAsia="Times New Roman"/>
                <w:color w:val="000000"/>
                <w:sz w:val="18"/>
                <w:szCs w:val="18"/>
                <w:lang w:eastAsia="fr-FR"/>
              </w:rPr>
              <w:t>Aide extérieure</w:t>
            </w:r>
            <w:r w:rsidR="00A44B62" w:rsidRPr="00425A7F">
              <w:rPr>
                <w:rFonts w:eastAsia="Times New Roman"/>
                <w:color w:val="000000"/>
                <w:sz w:val="18"/>
                <w:szCs w:val="18"/>
                <w:lang w:eastAsia="fr-FR"/>
              </w:rPr>
              <w:t xml:space="preserve"> allouée à la couverture maladie pour les groupes vulnérables</w:t>
            </w:r>
          </w:p>
        </w:tc>
        <w:tc>
          <w:tcPr>
            <w:tcW w:w="1418" w:type="dxa"/>
            <w:tcBorders>
              <w:top w:val="nil"/>
              <w:left w:val="nil"/>
              <w:bottom w:val="single" w:sz="4" w:space="0" w:color="auto"/>
              <w:right w:val="single" w:sz="4" w:space="0" w:color="auto"/>
            </w:tcBorders>
          </w:tcPr>
          <w:p w:rsidR="0066504C" w:rsidRPr="00425A7F" w:rsidRDefault="0066504C" w:rsidP="00C64A5C">
            <w:pPr>
              <w:jc w:val="both"/>
              <w:rPr>
                <w:rFonts w:eastAsia="Times New Roman"/>
                <w:color w:val="000000"/>
                <w:sz w:val="18"/>
                <w:szCs w:val="18"/>
                <w:lang w:eastAsia="fr-FR"/>
              </w:rPr>
            </w:pPr>
            <w:r w:rsidRPr="00425A7F">
              <w:rPr>
                <w:rFonts w:eastAsia="Times New Roman"/>
                <w:color w:val="000000"/>
                <w:sz w:val="18"/>
                <w:szCs w:val="18"/>
                <w:lang w:eastAsia="fr-FR"/>
              </w:rPr>
              <w:t>0 $</w:t>
            </w:r>
          </w:p>
        </w:tc>
        <w:tc>
          <w:tcPr>
            <w:tcW w:w="1275" w:type="dxa"/>
            <w:tcBorders>
              <w:top w:val="nil"/>
              <w:left w:val="nil"/>
              <w:bottom w:val="single" w:sz="4" w:space="0" w:color="auto"/>
              <w:right w:val="single" w:sz="4" w:space="0" w:color="auto"/>
            </w:tcBorders>
          </w:tcPr>
          <w:p w:rsidR="00A44B62" w:rsidRPr="00425A7F" w:rsidRDefault="007B2712" w:rsidP="00C64A5C">
            <w:pPr>
              <w:jc w:val="both"/>
              <w:rPr>
                <w:rFonts w:eastAsia="Times New Roman"/>
                <w:color w:val="000000"/>
                <w:sz w:val="18"/>
                <w:szCs w:val="18"/>
                <w:lang w:eastAsia="fr-FR"/>
              </w:rPr>
            </w:pPr>
            <w:r w:rsidRPr="00425A7F">
              <w:rPr>
                <w:rFonts w:eastAsia="Times New Roman"/>
                <w:color w:val="000000"/>
                <w:sz w:val="18"/>
                <w:szCs w:val="18"/>
                <w:lang w:eastAsia="fr-FR"/>
              </w:rPr>
              <w:t>10 million $</w:t>
            </w:r>
            <w:r w:rsidR="003E6645" w:rsidRPr="00425A7F">
              <w:rPr>
                <w:rStyle w:val="Appelnotedebasdep"/>
                <w:rFonts w:eastAsia="Times New Roman"/>
                <w:color w:val="000000"/>
                <w:sz w:val="18"/>
                <w:szCs w:val="18"/>
                <w:lang w:eastAsia="fr-FR"/>
              </w:rPr>
              <w:footnoteReference w:id="30"/>
            </w:r>
          </w:p>
        </w:tc>
      </w:tr>
      <w:tr w:rsidR="00A44B62" w:rsidRPr="00425A7F" w:rsidTr="00C75ED0">
        <w:trPr>
          <w:trHeight w:val="510"/>
        </w:trPr>
        <w:tc>
          <w:tcPr>
            <w:tcW w:w="438" w:type="dxa"/>
            <w:vMerge w:val="restart"/>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425A7F" w:rsidRDefault="00A44B62" w:rsidP="00C64A5C">
            <w:pPr>
              <w:rPr>
                <w:rFonts w:eastAsia="Times New Roman"/>
                <w:b/>
                <w:bCs/>
                <w:color w:val="000000"/>
                <w:sz w:val="20"/>
                <w:szCs w:val="20"/>
                <w:lang w:eastAsia="fr-FR"/>
              </w:rPr>
            </w:pPr>
            <w:r w:rsidRPr="00425A7F">
              <w:rPr>
                <w:rFonts w:eastAsia="Times New Roman"/>
                <w:b/>
                <w:bCs/>
                <w:color w:val="000000"/>
                <w:sz w:val="20"/>
                <w:szCs w:val="20"/>
                <w:lang w:eastAsia="fr-FR"/>
              </w:rPr>
              <w:t>2.1</w:t>
            </w: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A44B62" w:rsidP="00C64A5C">
            <w:pPr>
              <w:jc w:val="both"/>
              <w:rPr>
                <w:rFonts w:eastAsia="Times New Roman"/>
                <w:color w:val="000000"/>
                <w:sz w:val="18"/>
                <w:szCs w:val="18"/>
                <w:lang w:eastAsia="fr-FR"/>
              </w:rPr>
            </w:pPr>
            <w:r w:rsidRPr="00425A7F">
              <w:rPr>
                <w:rFonts w:eastAsia="Times New Roman"/>
                <w:color w:val="000000"/>
                <w:sz w:val="18"/>
                <w:szCs w:val="18"/>
                <w:lang w:eastAsia="fr-FR"/>
              </w:rPr>
              <w:t>Proportion de ressources transférées aux régions et districts sur la base d'une formule d'allocation des ressources basées sur le niveau de la population, de pauvreté et le poids des maladies</w:t>
            </w:r>
          </w:p>
        </w:tc>
        <w:tc>
          <w:tcPr>
            <w:tcW w:w="1418" w:type="dxa"/>
            <w:tcBorders>
              <w:top w:val="nil"/>
              <w:left w:val="nil"/>
              <w:bottom w:val="single" w:sz="4" w:space="0" w:color="auto"/>
              <w:right w:val="single" w:sz="4" w:space="0" w:color="auto"/>
            </w:tcBorders>
          </w:tcPr>
          <w:p w:rsidR="00A44B62" w:rsidRPr="00425A7F" w:rsidRDefault="006B059B" w:rsidP="00C64A5C">
            <w:pPr>
              <w:jc w:val="both"/>
              <w:rPr>
                <w:rFonts w:eastAsia="Times New Roman"/>
                <w:color w:val="000000"/>
                <w:sz w:val="18"/>
                <w:szCs w:val="18"/>
                <w:lang w:eastAsia="fr-FR"/>
              </w:rPr>
            </w:pPr>
            <w:r w:rsidRPr="00425A7F">
              <w:rPr>
                <w:rFonts w:eastAsia="Times New Roman"/>
                <w:color w:val="000000"/>
                <w:sz w:val="18"/>
                <w:szCs w:val="18"/>
                <w:lang w:eastAsia="fr-FR"/>
              </w:rPr>
              <w:t>0%</w:t>
            </w:r>
          </w:p>
        </w:tc>
        <w:tc>
          <w:tcPr>
            <w:tcW w:w="1275" w:type="dxa"/>
            <w:tcBorders>
              <w:top w:val="nil"/>
              <w:left w:val="nil"/>
              <w:bottom w:val="single" w:sz="4" w:space="0" w:color="auto"/>
              <w:right w:val="single" w:sz="4" w:space="0" w:color="auto"/>
            </w:tcBorders>
          </w:tcPr>
          <w:p w:rsidR="00A44B62" w:rsidRPr="00425A7F" w:rsidRDefault="007B2712" w:rsidP="00C64A5C">
            <w:pPr>
              <w:jc w:val="both"/>
              <w:rPr>
                <w:rFonts w:eastAsia="Times New Roman"/>
                <w:color w:val="000000"/>
                <w:sz w:val="18"/>
                <w:szCs w:val="18"/>
                <w:lang w:eastAsia="fr-FR"/>
              </w:rPr>
            </w:pPr>
            <w:r w:rsidRPr="00425A7F">
              <w:rPr>
                <w:rFonts w:eastAsia="Times New Roman"/>
                <w:color w:val="000000"/>
                <w:sz w:val="18"/>
                <w:szCs w:val="18"/>
                <w:lang w:eastAsia="fr-FR"/>
              </w:rPr>
              <w:t>20%</w:t>
            </w:r>
          </w:p>
        </w:tc>
      </w:tr>
      <w:tr w:rsidR="00A44B62" w:rsidRPr="00425A7F"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425A7F"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A44B62" w:rsidP="00C64A5C">
            <w:pPr>
              <w:jc w:val="both"/>
              <w:rPr>
                <w:rFonts w:eastAsia="Times New Roman"/>
                <w:color w:val="000000"/>
                <w:sz w:val="18"/>
                <w:szCs w:val="18"/>
                <w:lang w:eastAsia="fr-FR"/>
              </w:rPr>
            </w:pPr>
            <w:r w:rsidRPr="00425A7F">
              <w:rPr>
                <w:rFonts w:eastAsia="Times New Roman"/>
                <w:color w:val="000000"/>
                <w:sz w:val="18"/>
                <w:szCs w:val="18"/>
                <w:lang w:eastAsia="fr-FR"/>
              </w:rPr>
              <w:t>Allocation de ressources basées sur le niveau de population, de pauvreté et le poids des maladies</w:t>
            </w:r>
          </w:p>
        </w:tc>
        <w:tc>
          <w:tcPr>
            <w:tcW w:w="1418" w:type="dxa"/>
            <w:tcBorders>
              <w:top w:val="nil"/>
              <w:left w:val="nil"/>
              <w:bottom w:val="single" w:sz="4" w:space="0" w:color="auto"/>
              <w:right w:val="single" w:sz="4" w:space="0" w:color="auto"/>
            </w:tcBorders>
          </w:tcPr>
          <w:p w:rsidR="00A44B62" w:rsidRPr="00425A7F" w:rsidRDefault="006B059B" w:rsidP="00C64A5C">
            <w:pPr>
              <w:jc w:val="both"/>
              <w:rPr>
                <w:rFonts w:eastAsia="Times New Roman"/>
                <w:color w:val="000000"/>
                <w:sz w:val="18"/>
                <w:szCs w:val="18"/>
                <w:lang w:eastAsia="fr-FR"/>
              </w:rPr>
            </w:pPr>
            <w:r w:rsidRPr="00425A7F">
              <w:rPr>
                <w:rFonts w:eastAsia="Times New Roman"/>
                <w:color w:val="000000"/>
                <w:sz w:val="18"/>
                <w:szCs w:val="18"/>
                <w:lang w:eastAsia="fr-FR"/>
              </w:rPr>
              <w:t>0%</w:t>
            </w:r>
          </w:p>
        </w:tc>
        <w:tc>
          <w:tcPr>
            <w:tcW w:w="1275" w:type="dxa"/>
            <w:tcBorders>
              <w:top w:val="nil"/>
              <w:left w:val="nil"/>
              <w:bottom w:val="single" w:sz="4" w:space="0" w:color="auto"/>
              <w:right w:val="single" w:sz="4" w:space="0" w:color="auto"/>
            </w:tcBorders>
          </w:tcPr>
          <w:p w:rsidR="00A44B62" w:rsidRPr="00425A7F" w:rsidRDefault="007B2712" w:rsidP="00C64A5C">
            <w:pPr>
              <w:jc w:val="both"/>
              <w:rPr>
                <w:rFonts w:eastAsia="Times New Roman"/>
                <w:color w:val="000000"/>
                <w:sz w:val="18"/>
                <w:szCs w:val="18"/>
                <w:lang w:eastAsia="fr-FR"/>
              </w:rPr>
            </w:pPr>
            <w:r w:rsidRPr="00425A7F">
              <w:rPr>
                <w:rFonts w:eastAsia="Times New Roman"/>
                <w:color w:val="000000"/>
                <w:sz w:val="18"/>
                <w:szCs w:val="18"/>
                <w:lang w:eastAsia="fr-FR"/>
              </w:rPr>
              <w:t>20%</w:t>
            </w:r>
          </w:p>
        </w:tc>
      </w:tr>
      <w:tr w:rsidR="00A44B62" w:rsidRPr="00425A7F"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425A7F"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762E77" w:rsidP="00762E77">
            <w:pPr>
              <w:jc w:val="both"/>
              <w:rPr>
                <w:rFonts w:eastAsia="Times New Roman"/>
                <w:color w:val="000000"/>
                <w:sz w:val="18"/>
                <w:szCs w:val="18"/>
                <w:lang w:eastAsia="fr-FR"/>
              </w:rPr>
            </w:pPr>
            <w:r w:rsidRPr="00425A7F">
              <w:rPr>
                <w:rFonts w:eastAsia="Times New Roman"/>
                <w:color w:val="000000"/>
                <w:sz w:val="18"/>
                <w:szCs w:val="18"/>
                <w:lang w:eastAsia="fr-FR"/>
              </w:rPr>
              <w:t xml:space="preserve">% </w:t>
            </w:r>
            <w:r w:rsidR="00A44B62" w:rsidRPr="00425A7F">
              <w:rPr>
                <w:rFonts w:eastAsia="Times New Roman"/>
                <w:color w:val="000000"/>
                <w:sz w:val="18"/>
                <w:szCs w:val="18"/>
                <w:lang w:eastAsia="fr-FR"/>
              </w:rPr>
              <w:t>aires de santé disposant du paquet minimum d'activités par zone de pauvreté</w:t>
            </w:r>
          </w:p>
        </w:tc>
        <w:tc>
          <w:tcPr>
            <w:tcW w:w="1418" w:type="dxa"/>
            <w:tcBorders>
              <w:top w:val="nil"/>
              <w:left w:val="nil"/>
              <w:bottom w:val="single" w:sz="4" w:space="0" w:color="auto"/>
              <w:right w:val="single" w:sz="4" w:space="0" w:color="auto"/>
            </w:tcBorders>
            <w:shd w:val="clear" w:color="auto" w:fill="92D050"/>
          </w:tcPr>
          <w:p w:rsidR="00A44B62" w:rsidRPr="00425A7F" w:rsidRDefault="00A44B62" w:rsidP="00C64A5C">
            <w:pPr>
              <w:jc w:val="both"/>
              <w:rPr>
                <w:rFonts w:eastAsia="Times New Roman"/>
                <w:color w:val="000000"/>
                <w:sz w:val="18"/>
                <w:szCs w:val="18"/>
                <w:lang w:eastAsia="fr-FR"/>
              </w:rPr>
            </w:pPr>
          </w:p>
        </w:tc>
        <w:tc>
          <w:tcPr>
            <w:tcW w:w="1275" w:type="dxa"/>
            <w:tcBorders>
              <w:top w:val="nil"/>
              <w:left w:val="nil"/>
              <w:bottom w:val="single" w:sz="4" w:space="0" w:color="auto"/>
              <w:right w:val="single" w:sz="4" w:space="0" w:color="auto"/>
            </w:tcBorders>
            <w:shd w:val="clear" w:color="auto" w:fill="92D050"/>
          </w:tcPr>
          <w:p w:rsidR="00A44B62" w:rsidRPr="00425A7F" w:rsidRDefault="00A44B62" w:rsidP="00C64A5C">
            <w:pPr>
              <w:jc w:val="both"/>
              <w:rPr>
                <w:rFonts w:eastAsia="Times New Roman"/>
                <w:color w:val="000000"/>
                <w:sz w:val="18"/>
                <w:szCs w:val="18"/>
                <w:lang w:eastAsia="fr-FR"/>
              </w:rPr>
            </w:pPr>
          </w:p>
        </w:tc>
      </w:tr>
      <w:tr w:rsidR="00A44B62" w:rsidRPr="00425A7F" w:rsidTr="00C75ED0">
        <w:trPr>
          <w:trHeight w:val="327"/>
        </w:trPr>
        <w:tc>
          <w:tcPr>
            <w:tcW w:w="438" w:type="dxa"/>
            <w:vMerge w:val="restart"/>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425A7F" w:rsidRDefault="00A44B62" w:rsidP="00C64A5C">
            <w:pPr>
              <w:rPr>
                <w:rFonts w:eastAsia="Times New Roman"/>
                <w:b/>
                <w:bCs/>
                <w:color w:val="000000"/>
                <w:sz w:val="20"/>
                <w:szCs w:val="20"/>
                <w:lang w:eastAsia="fr-FR"/>
              </w:rPr>
            </w:pPr>
            <w:r w:rsidRPr="00425A7F">
              <w:rPr>
                <w:rFonts w:eastAsia="Times New Roman"/>
                <w:b/>
                <w:bCs/>
                <w:color w:val="000000"/>
                <w:sz w:val="20"/>
                <w:szCs w:val="20"/>
                <w:lang w:eastAsia="fr-FR"/>
              </w:rPr>
              <w:t>2.2</w:t>
            </w: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A44B62" w:rsidP="00C64A5C">
            <w:pPr>
              <w:jc w:val="both"/>
              <w:rPr>
                <w:rFonts w:eastAsia="Times New Roman"/>
                <w:color w:val="000000"/>
                <w:sz w:val="18"/>
                <w:szCs w:val="18"/>
                <w:lang w:eastAsia="fr-FR"/>
              </w:rPr>
            </w:pPr>
            <w:r w:rsidRPr="00425A7F">
              <w:rPr>
                <w:rFonts w:eastAsia="Times New Roman"/>
                <w:color w:val="000000"/>
                <w:sz w:val="18"/>
                <w:szCs w:val="18"/>
                <w:lang w:eastAsia="fr-FR"/>
              </w:rPr>
              <w:t>Disponibilité des tarifs actualisés pour le remboursement des services de santé aux prestataires de services qui reflète le coût de leur service</w:t>
            </w:r>
          </w:p>
        </w:tc>
        <w:tc>
          <w:tcPr>
            <w:tcW w:w="1418" w:type="dxa"/>
            <w:tcBorders>
              <w:top w:val="nil"/>
              <w:left w:val="nil"/>
              <w:bottom w:val="single" w:sz="4" w:space="0" w:color="auto"/>
              <w:right w:val="single" w:sz="4" w:space="0" w:color="auto"/>
            </w:tcBorders>
          </w:tcPr>
          <w:p w:rsidR="00A44B62" w:rsidRPr="00425A7F" w:rsidRDefault="006B059B" w:rsidP="00C64A5C">
            <w:pPr>
              <w:jc w:val="both"/>
              <w:rPr>
                <w:rFonts w:eastAsia="Times New Roman"/>
                <w:color w:val="000000"/>
                <w:sz w:val="18"/>
                <w:szCs w:val="18"/>
                <w:lang w:eastAsia="fr-FR"/>
              </w:rPr>
            </w:pPr>
            <w:r w:rsidRPr="00425A7F">
              <w:rPr>
                <w:rFonts w:eastAsia="Times New Roman"/>
                <w:color w:val="000000"/>
                <w:sz w:val="18"/>
                <w:szCs w:val="18"/>
                <w:lang w:eastAsia="fr-FR"/>
              </w:rPr>
              <w:t>non</w:t>
            </w:r>
          </w:p>
        </w:tc>
        <w:tc>
          <w:tcPr>
            <w:tcW w:w="1275" w:type="dxa"/>
            <w:tcBorders>
              <w:top w:val="nil"/>
              <w:left w:val="nil"/>
              <w:bottom w:val="single" w:sz="4" w:space="0" w:color="auto"/>
              <w:right w:val="single" w:sz="4" w:space="0" w:color="auto"/>
            </w:tcBorders>
          </w:tcPr>
          <w:p w:rsidR="00A44B62" w:rsidRPr="00425A7F" w:rsidRDefault="007B2712" w:rsidP="00C64A5C">
            <w:pPr>
              <w:jc w:val="both"/>
              <w:rPr>
                <w:rFonts w:eastAsia="Times New Roman"/>
                <w:color w:val="000000"/>
                <w:sz w:val="18"/>
                <w:szCs w:val="18"/>
                <w:lang w:eastAsia="fr-FR"/>
              </w:rPr>
            </w:pPr>
            <w:r w:rsidRPr="00425A7F">
              <w:rPr>
                <w:rFonts w:eastAsia="Times New Roman"/>
                <w:color w:val="000000"/>
                <w:sz w:val="18"/>
                <w:szCs w:val="18"/>
                <w:lang w:eastAsia="fr-FR"/>
              </w:rPr>
              <w:t>10%</w:t>
            </w:r>
          </w:p>
        </w:tc>
      </w:tr>
      <w:tr w:rsidR="00A44B62" w:rsidRPr="00425A7F"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425A7F"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762E77" w:rsidP="00C64A5C">
            <w:pPr>
              <w:jc w:val="both"/>
              <w:rPr>
                <w:rFonts w:eastAsia="Times New Roman"/>
                <w:color w:val="000000"/>
                <w:sz w:val="18"/>
                <w:szCs w:val="18"/>
                <w:lang w:eastAsia="fr-FR"/>
              </w:rPr>
            </w:pPr>
            <w:r w:rsidRPr="00425A7F">
              <w:rPr>
                <w:rFonts w:eastAsia="Times New Roman"/>
                <w:color w:val="000000"/>
                <w:sz w:val="18"/>
                <w:szCs w:val="18"/>
                <w:lang w:eastAsia="fr-FR"/>
              </w:rPr>
              <w:t>%</w:t>
            </w:r>
            <w:r w:rsidR="00A44B62" w:rsidRPr="00425A7F">
              <w:rPr>
                <w:rFonts w:eastAsia="Times New Roman"/>
                <w:color w:val="000000"/>
                <w:sz w:val="18"/>
                <w:szCs w:val="18"/>
                <w:lang w:eastAsia="fr-FR"/>
              </w:rPr>
              <w:t xml:space="preserve"> prestataires publics, privés accrédités suivant les normes de qualité</w:t>
            </w:r>
          </w:p>
        </w:tc>
        <w:tc>
          <w:tcPr>
            <w:tcW w:w="1418" w:type="dxa"/>
            <w:tcBorders>
              <w:top w:val="nil"/>
              <w:left w:val="nil"/>
              <w:bottom w:val="single" w:sz="4" w:space="0" w:color="auto"/>
              <w:right w:val="single" w:sz="4" w:space="0" w:color="auto"/>
            </w:tcBorders>
          </w:tcPr>
          <w:p w:rsidR="00A44B62" w:rsidRPr="00425A7F" w:rsidRDefault="006B059B" w:rsidP="00C64A5C">
            <w:pPr>
              <w:jc w:val="both"/>
              <w:rPr>
                <w:rFonts w:eastAsia="Times New Roman"/>
                <w:color w:val="000000"/>
                <w:sz w:val="18"/>
                <w:szCs w:val="18"/>
                <w:lang w:eastAsia="fr-FR"/>
              </w:rPr>
            </w:pPr>
            <w:r w:rsidRPr="00425A7F">
              <w:rPr>
                <w:rFonts w:eastAsia="Times New Roman"/>
                <w:color w:val="000000"/>
                <w:sz w:val="18"/>
                <w:szCs w:val="18"/>
                <w:lang w:eastAsia="fr-FR"/>
              </w:rPr>
              <w:t>0%</w:t>
            </w:r>
          </w:p>
        </w:tc>
        <w:tc>
          <w:tcPr>
            <w:tcW w:w="1275" w:type="dxa"/>
            <w:tcBorders>
              <w:top w:val="nil"/>
              <w:left w:val="nil"/>
              <w:bottom w:val="single" w:sz="4" w:space="0" w:color="auto"/>
              <w:right w:val="single" w:sz="4" w:space="0" w:color="auto"/>
            </w:tcBorders>
          </w:tcPr>
          <w:p w:rsidR="00A44B62" w:rsidRPr="00425A7F" w:rsidRDefault="007B2712" w:rsidP="00C64A5C">
            <w:pPr>
              <w:jc w:val="both"/>
              <w:rPr>
                <w:rFonts w:eastAsia="Times New Roman"/>
                <w:color w:val="000000"/>
                <w:sz w:val="18"/>
                <w:szCs w:val="18"/>
                <w:lang w:eastAsia="fr-FR"/>
              </w:rPr>
            </w:pPr>
            <w:r w:rsidRPr="00425A7F">
              <w:rPr>
                <w:rFonts w:eastAsia="Times New Roman"/>
                <w:color w:val="000000"/>
                <w:sz w:val="18"/>
                <w:szCs w:val="18"/>
                <w:lang w:eastAsia="fr-FR"/>
              </w:rPr>
              <w:t>5%</w:t>
            </w:r>
          </w:p>
        </w:tc>
      </w:tr>
      <w:tr w:rsidR="00A44B62" w:rsidRPr="00425A7F"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425A7F"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A44B62" w:rsidP="00C64A5C">
            <w:pPr>
              <w:jc w:val="both"/>
              <w:rPr>
                <w:rFonts w:eastAsia="Times New Roman"/>
                <w:color w:val="000000"/>
                <w:sz w:val="18"/>
                <w:szCs w:val="18"/>
                <w:lang w:eastAsia="fr-FR"/>
              </w:rPr>
            </w:pPr>
            <w:r w:rsidRPr="00425A7F">
              <w:rPr>
                <w:rFonts w:eastAsia="Times New Roman"/>
                <w:color w:val="000000"/>
                <w:sz w:val="18"/>
                <w:szCs w:val="18"/>
                <w:lang w:eastAsia="fr-FR"/>
              </w:rPr>
              <w:t>Nombre et proportion de prestataires pratiquant une tarification forfaitaire</w:t>
            </w:r>
          </w:p>
        </w:tc>
        <w:tc>
          <w:tcPr>
            <w:tcW w:w="1418" w:type="dxa"/>
            <w:tcBorders>
              <w:top w:val="nil"/>
              <w:left w:val="nil"/>
              <w:bottom w:val="single" w:sz="4" w:space="0" w:color="auto"/>
              <w:right w:val="single" w:sz="4" w:space="0" w:color="auto"/>
            </w:tcBorders>
          </w:tcPr>
          <w:p w:rsidR="00A44B62" w:rsidRPr="00425A7F" w:rsidRDefault="006B059B" w:rsidP="00C64A5C">
            <w:pPr>
              <w:jc w:val="both"/>
              <w:rPr>
                <w:rFonts w:eastAsia="Times New Roman"/>
                <w:color w:val="000000"/>
                <w:sz w:val="18"/>
                <w:szCs w:val="18"/>
                <w:lang w:eastAsia="fr-FR"/>
              </w:rPr>
            </w:pPr>
            <w:r w:rsidRPr="00425A7F">
              <w:rPr>
                <w:rFonts w:eastAsia="Times New Roman"/>
                <w:color w:val="000000"/>
                <w:sz w:val="18"/>
                <w:szCs w:val="18"/>
                <w:lang w:eastAsia="fr-FR"/>
              </w:rPr>
              <w:t>0%</w:t>
            </w:r>
          </w:p>
        </w:tc>
        <w:tc>
          <w:tcPr>
            <w:tcW w:w="1275" w:type="dxa"/>
            <w:tcBorders>
              <w:top w:val="nil"/>
              <w:left w:val="nil"/>
              <w:bottom w:val="single" w:sz="4" w:space="0" w:color="auto"/>
              <w:right w:val="single" w:sz="4" w:space="0" w:color="auto"/>
            </w:tcBorders>
          </w:tcPr>
          <w:p w:rsidR="00A44B62" w:rsidRPr="00425A7F" w:rsidRDefault="007B2712" w:rsidP="00C64A5C">
            <w:pPr>
              <w:jc w:val="both"/>
              <w:rPr>
                <w:rFonts w:eastAsia="Times New Roman"/>
                <w:color w:val="000000"/>
                <w:sz w:val="18"/>
                <w:szCs w:val="18"/>
                <w:lang w:eastAsia="fr-FR"/>
              </w:rPr>
            </w:pPr>
            <w:r w:rsidRPr="00425A7F">
              <w:rPr>
                <w:rFonts w:eastAsia="Times New Roman"/>
                <w:color w:val="000000"/>
                <w:sz w:val="18"/>
                <w:szCs w:val="18"/>
                <w:lang w:eastAsia="fr-FR"/>
              </w:rPr>
              <w:t>5%</w:t>
            </w:r>
          </w:p>
        </w:tc>
      </w:tr>
      <w:tr w:rsidR="00A44B62" w:rsidRPr="00425A7F" w:rsidTr="00C75ED0">
        <w:trPr>
          <w:trHeight w:val="255"/>
        </w:trPr>
        <w:tc>
          <w:tcPr>
            <w:tcW w:w="438" w:type="dxa"/>
            <w:vMerge w:val="restart"/>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425A7F" w:rsidRDefault="00A44B62" w:rsidP="00C64A5C">
            <w:pPr>
              <w:rPr>
                <w:rFonts w:eastAsia="Times New Roman"/>
                <w:b/>
                <w:bCs/>
                <w:color w:val="000000"/>
                <w:sz w:val="20"/>
                <w:szCs w:val="20"/>
                <w:lang w:eastAsia="fr-FR"/>
              </w:rPr>
            </w:pPr>
            <w:r w:rsidRPr="00425A7F">
              <w:rPr>
                <w:rFonts w:eastAsia="Times New Roman"/>
                <w:b/>
                <w:bCs/>
                <w:color w:val="000000"/>
                <w:sz w:val="20"/>
                <w:szCs w:val="20"/>
                <w:lang w:eastAsia="fr-FR"/>
              </w:rPr>
              <w:t>2.3</w:t>
            </w: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A44B62" w:rsidP="00C64A5C">
            <w:pPr>
              <w:jc w:val="both"/>
              <w:rPr>
                <w:rFonts w:eastAsia="Times New Roman"/>
                <w:color w:val="000000"/>
                <w:sz w:val="18"/>
                <w:szCs w:val="18"/>
                <w:lang w:eastAsia="fr-FR"/>
              </w:rPr>
            </w:pPr>
            <w:r w:rsidRPr="00425A7F">
              <w:rPr>
                <w:rFonts w:eastAsia="Times New Roman"/>
                <w:color w:val="000000"/>
                <w:sz w:val="18"/>
                <w:szCs w:val="18"/>
                <w:lang w:eastAsia="fr-FR"/>
              </w:rPr>
              <w:t xml:space="preserve">Existence de cadre de concertation intersectorielle </w:t>
            </w:r>
            <w:r w:rsidR="006B059B" w:rsidRPr="00425A7F">
              <w:rPr>
                <w:rFonts w:eastAsia="Times New Roman"/>
                <w:color w:val="000000"/>
                <w:sz w:val="18"/>
                <w:szCs w:val="18"/>
                <w:lang w:eastAsia="fr-FR"/>
              </w:rPr>
              <w:t xml:space="preserve">CSU </w:t>
            </w:r>
            <w:r w:rsidRPr="00425A7F">
              <w:rPr>
                <w:rFonts w:eastAsia="Times New Roman"/>
                <w:color w:val="000000"/>
                <w:sz w:val="18"/>
                <w:szCs w:val="18"/>
                <w:lang w:eastAsia="fr-FR"/>
              </w:rPr>
              <w:t>et leurs décisions</w:t>
            </w:r>
          </w:p>
        </w:tc>
        <w:tc>
          <w:tcPr>
            <w:tcW w:w="1418" w:type="dxa"/>
            <w:tcBorders>
              <w:top w:val="nil"/>
              <w:left w:val="nil"/>
              <w:bottom w:val="single" w:sz="4" w:space="0" w:color="auto"/>
              <w:right w:val="single" w:sz="4" w:space="0" w:color="auto"/>
            </w:tcBorders>
          </w:tcPr>
          <w:p w:rsidR="00A44B62" w:rsidRPr="00425A7F" w:rsidRDefault="006B059B" w:rsidP="00C64A5C">
            <w:pPr>
              <w:jc w:val="both"/>
              <w:rPr>
                <w:rFonts w:eastAsia="Times New Roman"/>
                <w:color w:val="000000"/>
                <w:sz w:val="18"/>
                <w:szCs w:val="18"/>
                <w:lang w:eastAsia="fr-FR"/>
              </w:rPr>
            </w:pPr>
            <w:r w:rsidRPr="00425A7F">
              <w:rPr>
                <w:rFonts w:eastAsia="Times New Roman"/>
                <w:color w:val="000000"/>
                <w:sz w:val="18"/>
                <w:szCs w:val="18"/>
                <w:lang w:eastAsia="fr-FR"/>
              </w:rPr>
              <w:t>non</w:t>
            </w:r>
          </w:p>
        </w:tc>
        <w:tc>
          <w:tcPr>
            <w:tcW w:w="1275" w:type="dxa"/>
            <w:tcBorders>
              <w:top w:val="nil"/>
              <w:left w:val="nil"/>
              <w:bottom w:val="single" w:sz="4" w:space="0" w:color="auto"/>
              <w:right w:val="single" w:sz="4" w:space="0" w:color="auto"/>
            </w:tcBorders>
          </w:tcPr>
          <w:p w:rsidR="007B2712" w:rsidRPr="00425A7F" w:rsidRDefault="007B2712" w:rsidP="00C64A5C">
            <w:pPr>
              <w:jc w:val="both"/>
              <w:rPr>
                <w:rFonts w:eastAsia="Times New Roman"/>
                <w:color w:val="000000"/>
                <w:sz w:val="18"/>
                <w:szCs w:val="18"/>
                <w:lang w:eastAsia="fr-FR"/>
              </w:rPr>
            </w:pPr>
            <w:r w:rsidRPr="00425A7F">
              <w:rPr>
                <w:rFonts w:eastAsia="Times New Roman"/>
                <w:color w:val="000000"/>
                <w:sz w:val="18"/>
                <w:szCs w:val="18"/>
                <w:lang w:eastAsia="fr-FR"/>
              </w:rPr>
              <w:t>oui</w:t>
            </w:r>
          </w:p>
        </w:tc>
      </w:tr>
      <w:tr w:rsidR="00A44B62" w:rsidRPr="00425A7F" w:rsidTr="00C75ED0">
        <w:trPr>
          <w:trHeight w:val="16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425A7F"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762E77" w:rsidP="00762E77">
            <w:pPr>
              <w:jc w:val="both"/>
              <w:rPr>
                <w:rFonts w:eastAsia="Times New Roman"/>
                <w:color w:val="000000"/>
                <w:sz w:val="18"/>
                <w:szCs w:val="18"/>
                <w:lang w:eastAsia="fr-FR"/>
              </w:rPr>
            </w:pPr>
            <w:r w:rsidRPr="00425A7F">
              <w:rPr>
                <w:rFonts w:eastAsia="Times New Roman"/>
                <w:color w:val="000000"/>
                <w:sz w:val="18"/>
                <w:szCs w:val="18"/>
                <w:lang w:eastAsia="fr-FR"/>
              </w:rPr>
              <w:t xml:space="preserve">Outils M&amp;E / </w:t>
            </w:r>
            <w:r w:rsidR="00A44B62" w:rsidRPr="00425A7F">
              <w:rPr>
                <w:rFonts w:eastAsia="Times New Roman"/>
                <w:color w:val="000000"/>
                <w:sz w:val="18"/>
                <w:szCs w:val="18"/>
                <w:lang w:eastAsia="fr-FR"/>
              </w:rPr>
              <w:t xml:space="preserve">affectation des ressources aux priorités et </w:t>
            </w:r>
            <w:r w:rsidRPr="00425A7F">
              <w:rPr>
                <w:rFonts w:eastAsia="Times New Roman"/>
                <w:color w:val="000000"/>
                <w:sz w:val="18"/>
                <w:szCs w:val="18"/>
                <w:lang w:eastAsia="fr-FR"/>
              </w:rPr>
              <w:t>amélioration</w:t>
            </w:r>
            <w:r w:rsidR="00A44B62" w:rsidRPr="00425A7F">
              <w:rPr>
                <w:rFonts w:eastAsia="Times New Roman"/>
                <w:color w:val="000000"/>
                <w:sz w:val="18"/>
                <w:szCs w:val="18"/>
                <w:lang w:eastAsia="fr-FR"/>
              </w:rPr>
              <w:t xml:space="preserve"> résilience</w:t>
            </w:r>
          </w:p>
        </w:tc>
        <w:tc>
          <w:tcPr>
            <w:tcW w:w="1418" w:type="dxa"/>
            <w:tcBorders>
              <w:top w:val="nil"/>
              <w:left w:val="nil"/>
              <w:bottom w:val="single" w:sz="4" w:space="0" w:color="auto"/>
              <w:right w:val="single" w:sz="4" w:space="0" w:color="auto"/>
            </w:tcBorders>
          </w:tcPr>
          <w:p w:rsidR="00A44B62" w:rsidRPr="00425A7F" w:rsidRDefault="006B059B" w:rsidP="00C64A5C">
            <w:pPr>
              <w:jc w:val="both"/>
              <w:rPr>
                <w:rFonts w:eastAsia="Times New Roman"/>
                <w:color w:val="000000"/>
                <w:sz w:val="18"/>
                <w:szCs w:val="18"/>
                <w:lang w:eastAsia="fr-FR"/>
              </w:rPr>
            </w:pPr>
            <w:r w:rsidRPr="00425A7F">
              <w:rPr>
                <w:rFonts w:eastAsia="Times New Roman"/>
                <w:color w:val="000000"/>
                <w:sz w:val="18"/>
                <w:szCs w:val="18"/>
                <w:lang w:eastAsia="fr-FR"/>
              </w:rPr>
              <w:t>non</w:t>
            </w:r>
          </w:p>
        </w:tc>
        <w:tc>
          <w:tcPr>
            <w:tcW w:w="1275" w:type="dxa"/>
            <w:tcBorders>
              <w:top w:val="nil"/>
              <w:left w:val="nil"/>
              <w:bottom w:val="single" w:sz="4" w:space="0" w:color="auto"/>
              <w:right w:val="single" w:sz="4" w:space="0" w:color="auto"/>
            </w:tcBorders>
          </w:tcPr>
          <w:p w:rsidR="00A44B62" w:rsidRPr="00425A7F" w:rsidRDefault="007B2712" w:rsidP="00C64A5C">
            <w:pPr>
              <w:jc w:val="both"/>
              <w:rPr>
                <w:rFonts w:eastAsia="Times New Roman"/>
                <w:color w:val="000000"/>
                <w:sz w:val="18"/>
                <w:szCs w:val="18"/>
                <w:lang w:eastAsia="fr-FR"/>
              </w:rPr>
            </w:pPr>
            <w:r w:rsidRPr="00425A7F">
              <w:rPr>
                <w:rFonts w:eastAsia="Times New Roman"/>
                <w:color w:val="000000"/>
                <w:sz w:val="18"/>
                <w:szCs w:val="18"/>
                <w:lang w:eastAsia="fr-FR"/>
              </w:rPr>
              <w:t>Oui</w:t>
            </w:r>
          </w:p>
        </w:tc>
      </w:tr>
      <w:tr w:rsidR="00A44B62" w:rsidRPr="00425A7F"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425A7F"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762E77" w:rsidP="00C64A5C">
            <w:pPr>
              <w:jc w:val="both"/>
              <w:rPr>
                <w:rFonts w:eastAsia="Times New Roman"/>
                <w:color w:val="000000"/>
                <w:sz w:val="18"/>
                <w:szCs w:val="18"/>
                <w:lang w:eastAsia="fr-FR"/>
              </w:rPr>
            </w:pPr>
            <w:r w:rsidRPr="00425A7F">
              <w:rPr>
                <w:rFonts w:eastAsia="Times New Roman"/>
                <w:color w:val="000000"/>
                <w:sz w:val="18"/>
                <w:szCs w:val="18"/>
                <w:lang w:eastAsia="fr-FR"/>
              </w:rPr>
              <w:t>%</w:t>
            </w:r>
            <w:r w:rsidR="00A44B62" w:rsidRPr="00425A7F">
              <w:rPr>
                <w:rFonts w:eastAsia="Times New Roman"/>
                <w:color w:val="000000"/>
                <w:sz w:val="18"/>
                <w:szCs w:val="18"/>
                <w:lang w:eastAsia="fr-FR"/>
              </w:rPr>
              <w:t xml:space="preserve"> de dépenses de santé consacrées à la prévention et à la promotion de la santé</w:t>
            </w:r>
          </w:p>
        </w:tc>
        <w:tc>
          <w:tcPr>
            <w:tcW w:w="1418" w:type="dxa"/>
            <w:tcBorders>
              <w:top w:val="nil"/>
              <w:left w:val="nil"/>
              <w:bottom w:val="single" w:sz="4" w:space="0" w:color="auto"/>
              <w:right w:val="single" w:sz="4" w:space="0" w:color="auto"/>
            </w:tcBorders>
            <w:shd w:val="clear" w:color="auto" w:fill="92D050"/>
          </w:tcPr>
          <w:p w:rsidR="00A44B62" w:rsidRPr="00425A7F" w:rsidRDefault="00A44B62" w:rsidP="00C64A5C">
            <w:pPr>
              <w:jc w:val="both"/>
              <w:rPr>
                <w:rFonts w:eastAsia="Times New Roman"/>
                <w:color w:val="92D050"/>
                <w:sz w:val="18"/>
                <w:szCs w:val="18"/>
                <w:lang w:eastAsia="fr-FR"/>
              </w:rPr>
            </w:pPr>
          </w:p>
        </w:tc>
        <w:tc>
          <w:tcPr>
            <w:tcW w:w="1275" w:type="dxa"/>
            <w:tcBorders>
              <w:top w:val="nil"/>
              <w:left w:val="nil"/>
              <w:bottom w:val="single" w:sz="4" w:space="0" w:color="auto"/>
              <w:right w:val="single" w:sz="4" w:space="0" w:color="auto"/>
            </w:tcBorders>
            <w:shd w:val="clear" w:color="auto" w:fill="92D050"/>
          </w:tcPr>
          <w:p w:rsidR="00A44B62" w:rsidRPr="00425A7F" w:rsidRDefault="00A44B62" w:rsidP="00C64A5C">
            <w:pPr>
              <w:jc w:val="both"/>
              <w:rPr>
                <w:rFonts w:eastAsia="Times New Roman"/>
                <w:color w:val="92D050"/>
                <w:sz w:val="18"/>
                <w:szCs w:val="18"/>
                <w:lang w:eastAsia="fr-FR"/>
              </w:rPr>
            </w:pPr>
          </w:p>
        </w:tc>
      </w:tr>
      <w:tr w:rsidR="00A44B62" w:rsidRPr="00425A7F" w:rsidTr="00C75ED0">
        <w:trPr>
          <w:trHeight w:val="255"/>
        </w:trPr>
        <w:tc>
          <w:tcPr>
            <w:tcW w:w="438" w:type="dxa"/>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425A7F" w:rsidRDefault="00A44B62" w:rsidP="00C64A5C">
            <w:pPr>
              <w:rPr>
                <w:rFonts w:eastAsia="Times New Roman"/>
                <w:b/>
                <w:bCs/>
                <w:color w:val="000000"/>
                <w:sz w:val="20"/>
                <w:szCs w:val="20"/>
                <w:lang w:eastAsia="fr-FR"/>
              </w:rPr>
            </w:pPr>
            <w:r w:rsidRPr="00425A7F">
              <w:rPr>
                <w:rFonts w:eastAsia="Times New Roman"/>
                <w:b/>
                <w:bCs/>
                <w:color w:val="000000"/>
                <w:sz w:val="20"/>
                <w:szCs w:val="20"/>
                <w:lang w:eastAsia="fr-FR"/>
              </w:rPr>
              <w:t>2.4</w:t>
            </w: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A44B62" w:rsidP="00C64A5C">
            <w:pPr>
              <w:jc w:val="both"/>
              <w:rPr>
                <w:rFonts w:eastAsia="Times New Roman"/>
                <w:color w:val="000000"/>
                <w:sz w:val="18"/>
                <w:szCs w:val="18"/>
                <w:lang w:eastAsia="fr-FR"/>
              </w:rPr>
            </w:pPr>
            <w:r w:rsidRPr="00425A7F">
              <w:rPr>
                <w:rFonts w:eastAsia="Times New Roman"/>
                <w:color w:val="000000"/>
                <w:sz w:val="18"/>
                <w:szCs w:val="18"/>
                <w:lang w:eastAsia="fr-FR"/>
              </w:rPr>
              <w:t>Existence d'un cadre de concertation Public Privé et ses productions</w:t>
            </w:r>
          </w:p>
        </w:tc>
        <w:tc>
          <w:tcPr>
            <w:tcW w:w="1418" w:type="dxa"/>
            <w:tcBorders>
              <w:top w:val="nil"/>
              <w:left w:val="nil"/>
              <w:bottom w:val="single" w:sz="4" w:space="0" w:color="auto"/>
              <w:right w:val="single" w:sz="4" w:space="0" w:color="auto"/>
            </w:tcBorders>
          </w:tcPr>
          <w:p w:rsidR="00A44B62" w:rsidRPr="00425A7F" w:rsidRDefault="006B059B" w:rsidP="00C64A5C">
            <w:pPr>
              <w:jc w:val="both"/>
              <w:rPr>
                <w:rFonts w:eastAsia="Times New Roman"/>
                <w:color w:val="000000"/>
                <w:sz w:val="18"/>
                <w:szCs w:val="18"/>
                <w:lang w:eastAsia="fr-FR"/>
              </w:rPr>
            </w:pPr>
            <w:r w:rsidRPr="00425A7F">
              <w:rPr>
                <w:rFonts w:eastAsia="Times New Roman"/>
                <w:color w:val="000000"/>
                <w:sz w:val="18"/>
                <w:szCs w:val="18"/>
                <w:lang w:eastAsia="fr-FR"/>
              </w:rPr>
              <w:t>non</w:t>
            </w:r>
          </w:p>
        </w:tc>
        <w:tc>
          <w:tcPr>
            <w:tcW w:w="1275" w:type="dxa"/>
            <w:tcBorders>
              <w:top w:val="nil"/>
              <w:left w:val="nil"/>
              <w:bottom w:val="single" w:sz="4" w:space="0" w:color="auto"/>
              <w:right w:val="single" w:sz="4" w:space="0" w:color="auto"/>
            </w:tcBorders>
          </w:tcPr>
          <w:p w:rsidR="00A44B62" w:rsidRPr="00425A7F" w:rsidRDefault="007B2712" w:rsidP="00C64A5C">
            <w:pPr>
              <w:jc w:val="both"/>
              <w:rPr>
                <w:rFonts w:eastAsia="Times New Roman"/>
                <w:color w:val="000000"/>
                <w:sz w:val="18"/>
                <w:szCs w:val="18"/>
                <w:lang w:eastAsia="fr-FR"/>
              </w:rPr>
            </w:pPr>
            <w:r w:rsidRPr="00425A7F">
              <w:rPr>
                <w:rFonts w:eastAsia="Times New Roman"/>
                <w:color w:val="000000"/>
                <w:sz w:val="18"/>
                <w:szCs w:val="18"/>
                <w:lang w:eastAsia="fr-FR"/>
              </w:rPr>
              <w:t>Oui</w:t>
            </w:r>
          </w:p>
        </w:tc>
      </w:tr>
      <w:tr w:rsidR="00A44B62" w:rsidRPr="00425A7F" w:rsidTr="00C75ED0">
        <w:trPr>
          <w:trHeight w:val="255"/>
        </w:trPr>
        <w:tc>
          <w:tcPr>
            <w:tcW w:w="438" w:type="dxa"/>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425A7F" w:rsidRDefault="00A44B62" w:rsidP="00C64A5C">
            <w:pPr>
              <w:rPr>
                <w:rFonts w:eastAsia="Times New Roman"/>
                <w:b/>
                <w:bCs/>
                <w:color w:val="000000"/>
                <w:sz w:val="20"/>
                <w:szCs w:val="20"/>
                <w:lang w:eastAsia="fr-FR"/>
              </w:rPr>
            </w:pPr>
            <w:r w:rsidRPr="00425A7F">
              <w:rPr>
                <w:rFonts w:eastAsia="Times New Roman"/>
                <w:b/>
                <w:bCs/>
                <w:color w:val="000000"/>
                <w:sz w:val="20"/>
                <w:szCs w:val="20"/>
                <w:lang w:eastAsia="fr-FR"/>
              </w:rPr>
              <w:t>3.1</w:t>
            </w: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A44B62" w:rsidP="00C64A5C">
            <w:pPr>
              <w:jc w:val="both"/>
              <w:rPr>
                <w:rFonts w:eastAsia="Times New Roman"/>
                <w:color w:val="000000"/>
                <w:sz w:val="18"/>
                <w:szCs w:val="18"/>
                <w:lang w:eastAsia="fr-FR"/>
              </w:rPr>
            </w:pPr>
            <w:r w:rsidRPr="00425A7F">
              <w:rPr>
                <w:rFonts w:eastAsia="Times New Roman"/>
                <w:color w:val="000000"/>
                <w:sz w:val="18"/>
                <w:szCs w:val="18"/>
                <w:lang w:eastAsia="fr-FR"/>
              </w:rPr>
              <w:t>Existence des textes régissant l'AMU</w:t>
            </w:r>
          </w:p>
        </w:tc>
        <w:tc>
          <w:tcPr>
            <w:tcW w:w="1418" w:type="dxa"/>
            <w:tcBorders>
              <w:top w:val="nil"/>
              <w:left w:val="nil"/>
              <w:bottom w:val="single" w:sz="4" w:space="0" w:color="auto"/>
              <w:right w:val="single" w:sz="4" w:space="0" w:color="auto"/>
            </w:tcBorders>
          </w:tcPr>
          <w:p w:rsidR="00A44B62" w:rsidRPr="00425A7F" w:rsidRDefault="006B059B" w:rsidP="00C64A5C">
            <w:pPr>
              <w:jc w:val="both"/>
              <w:rPr>
                <w:rFonts w:eastAsia="Times New Roman"/>
                <w:color w:val="000000"/>
                <w:sz w:val="18"/>
                <w:szCs w:val="18"/>
                <w:lang w:eastAsia="fr-FR"/>
              </w:rPr>
            </w:pPr>
            <w:r w:rsidRPr="00425A7F">
              <w:rPr>
                <w:rFonts w:eastAsia="Times New Roman"/>
                <w:color w:val="000000"/>
                <w:sz w:val="18"/>
                <w:szCs w:val="18"/>
                <w:lang w:eastAsia="fr-FR"/>
              </w:rPr>
              <w:t>non</w:t>
            </w:r>
          </w:p>
        </w:tc>
        <w:tc>
          <w:tcPr>
            <w:tcW w:w="1275" w:type="dxa"/>
            <w:tcBorders>
              <w:top w:val="nil"/>
              <w:left w:val="nil"/>
              <w:bottom w:val="single" w:sz="4" w:space="0" w:color="auto"/>
              <w:right w:val="single" w:sz="4" w:space="0" w:color="auto"/>
            </w:tcBorders>
          </w:tcPr>
          <w:p w:rsidR="00A44B62" w:rsidRPr="00425A7F" w:rsidRDefault="007B2712" w:rsidP="00C64A5C">
            <w:pPr>
              <w:jc w:val="both"/>
              <w:rPr>
                <w:rFonts w:eastAsia="Times New Roman"/>
                <w:color w:val="000000"/>
                <w:sz w:val="18"/>
                <w:szCs w:val="18"/>
                <w:lang w:eastAsia="fr-FR"/>
              </w:rPr>
            </w:pPr>
            <w:r w:rsidRPr="00425A7F">
              <w:rPr>
                <w:rFonts w:eastAsia="Times New Roman"/>
                <w:color w:val="000000"/>
                <w:sz w:val="18"/>
                <w:szCs w:val="18"/>
                <w:lang w:eastAsia="fr-FR"/>
              </w:rPr>
              <w:t>Oui</w:t>
            </w:r>
          </w:p>
        </w:tc>
      </w:tr>
      <w:tr w:rsidR="00A44B62" w:rsidRPr="00425A7F" w:rsidTr="00C75ED0">
        <w:trPr>
          <w:trHeight w:val="255"/>
        </w:trPr>
        <w:tc>
          <w:tcPr>
            <w:tcW w:w="438" w:type="dxa"/>
            <w:vMerge w:val="restart"/>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425A7F"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762E77" w:rsidP="00C64A5C">
            <w:pPr>
              <w:jc w:val="both"/>
              <w:rPr>
                <w:rFonts w:eastAsia="Times New Roman"/>
                <w:color w:val="000000"/>
                <w:sz w:val="18"/>
                <w:szCs w:val="18"/>
                <w:lang w:eastAsia="fr-FR"/>
              </w:rPr>
            </w:pPr>
            <w:r w:rsidRPr="00425A7F">
              <w:rPr>
                <w:rFonts w:eastAsia="Times New Roman"/>
                <w:color w:val="000000"/>
                <w:sz w:val="18"/>
                <w:szCs w:val="18"/>
                <w:lang w:eastAsia="fr-FR"/>
              </w:rPr>
              <w:t>%</w:t>
            </w:r>
            <w:r w:rsidR="00A44B62" w:rsidRPr="00425A7F">
              <w:rPr>
                <w:rFonts w:eastAsia="Times New Roman"/>
                <w:color w:val="000000"/>
                <w:sz w:val="18"/>
                <w:szCs w:val="18"/>
                <w:lang w:eastAsia="fr-FR"/>
              </w:rPr>
              <w:t xml:space="preserve"> du tiers payant dans le recouvrement des centres de santé conventionnés</w:t>
            </w:r>
          </w:p>
        </w:tc>
        <w:tc>
          <w:tcPr>
            <w:tcW w:w="1418" w:type="dxa"/>
            <w:tcBorders>
              <w:top w:val="nil"/>
              <w:left w:val="nil"/>
              <w:bottom w:val="single" w:sz="4" w:space="0" w:color="auto"/>
              <w:right w:val="single" w:sz="4" w:space="0" w:color="auto"/>
            </w:tcBorders>
          </w:tcPr>
          <w:p w:rsidR="00A44B62" w:rsidRPr="00425A7F" w:rsidRDefault="006B059B" w:rsidP="00C64A5C">
            <w:pPr>
              <w:jc w:val="both"/>
              <w:rPr>
                <w:rFonts w:eastAsia="Times New Roman"/>
                <w:color w:val="000000"/>
                <w:sz w:val="18"/>
                <w:szCs w:val="18"/>
                <w:lang w:eastAsia="fr-FR"/>
              </w:rPr>
            </w:pPr>
            <w:r w:rsidRPr="00425A7F">
              <w:rPr>
                <w:rFonts w:eastAsia="Times New Roman"/>
                <w:color w:val="000000"/>
                <w:sz w:val="18"/>
                <w:szCs w:val="18"/>
                <w:lang w:eastAsia="fr-FR"/>
              </w:rPr>
              <w:t>0%</w:t>
            </w:r>
          </w:p>
        </w:tc>
        <w:tc>
          <w:tcPr>
            <w:tcW w:w="1275" w:type="dxa"/>
            <w:tcBorders>
              <w:top w:val="nil"/>
              <w:left w:val="nil"/>
              <w:bottom w:val="single" w:sz="4" w:space="0" w:color="auto"/>
              <w:right w:val="single" w:sz="4" w:space="0" w:color="auto"/>
            </w:tcBorders>
          </w:tcPr>
          <w:p w:rsidR="00A44B62" w:rsidRPr="00425A7F" w:rsidRDefault="007B2712" w:rsidP="00C64A5C">
            <w:pPr>
              <w:jc w:val="both"/>
              <w:rPr>
                <w:rFonts w:eastAsia="Times New Roman"/>
                <w:color w:val="000000"/>
                <w:sz w:val="18"/>
                <w:szCs w:val="18"/>
                <w:lang w:eastAsia="fr-FR"/>
              </w:rPr>
            </w:pPr>
            <w:r w:rsidRPr="00425A7F">
              <w:rPr>
                <w:rFonts w:eastAsia="Times New Roman"/>
                <w:color w:val="000000"/>
                <w:sz w:val="18"/>
                <w:szCs w:val="18"/>
                <w:lang w:eastAsia="fr-FR"/>
              </w:rPr>
              <w:t>10%</w:t>
            </w:r>
          </w:p>
        </w:tc>
      </w:tr>
      <w:tr w:rsidR="00A44B62" w:rsidRPr="00425A7F"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425A7F"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A44B62" w:rsidP="00C64A5C">
            <w:pPr>
              <w:jc w:val="both"/>
              <w:rPr>
                <w:rFonts w:eastAsia="Times New Roman"/>
                <w:color w:val="000000"/>
                <w:sz w:val="18"/>
                <w:szCs w:val="18"/>
                <w:lang w:eastAsia="fr-FR"/>
              </w:rPr>
            </w:pPr>
            <w:r w:rsidRPr="00425A7F">
              <w:rPr>
                <w:rFonts w:eastAsia="Times New Roman"/>
                <w:color w:val="000000"/>
                <w:sz w:val="18"/>
                <w:szCs w:val="18"/>
                <w:lang w:eastAsia="fr-FR"/>
              </w:rPr>
              <w:t>Proportion de communes dotées d'une mutuelle de santé</w:t>
            </w:r>
          </w:p>
        </w:tc>
        <w:tc>
          <w:tcPr>
            <w:tcW w:w="1418" w:type="dxa"/>
            <w:tcBorders>
              <w:top w:val="nil"/>
              <w:left w:val="nil"/>
              <w:bottom w:val="single" w:sz="4" w:space="0" w:color="auto"/>
              <w:right w:val="single" w:sz="4" w:space="0" w:color="auto"/>
            </w:tcBorders>
            <w:shd w:val="clear" w:color="auto" w:fill="92D050"/>
          </w:tcPr>
          <w:p w:rsidR="00A44B62" w:rsidRPr="00425A7F" w:rsidRDefault="00A44B62" w:rsidP="00C64A5C">
            <w:pPr>
              <w:jc w:val="both"/>
              <w:rPr>
                <w:rFonts w:eastAsia="Times New Roman"/>
                <w:color w:val="000000"/>
                <w:sz w:val="18"/>
                <w:szCs w:val="18"/>
                <w:lang w:eastAsia="fr-FR"/>
              </w:rPr>
            </w:pPr>
          </w:p>
        </w:tc>
        <w:tc>
          <w:tcPr>
            <w:tcW w:w="1275" w:type="dxa"/>
            <w:tcBorders>
              <w:top w:val="nil"/>
              <w:left w:val="nil"/>
              <w:bottom w:val="single" w:sz="4" w:space="0" w:color="auto"/>
              <w:right w:val="single" w:sz="4" w:space="0" w:color="auto"/>
            </w:tcBorders>
            <w:shd w:val="clear" w:color="auto" w:fill="92D050"/>
          </w:tcPr>
          <w:p w:rsidR="00A44B62" w:rsidRPr="00425A7F" w:rsidRDefault="00A44B62" w:rsidP="00C64A5C">
            <w:pPr>
              <w:jc w:val="both"/>
              <w:rPr>
                <w:rFonts w:eastAsia="Times New Roman"/>
                <w:color w:val="000000"/>
                <w:sz w:val="18"/>
                <w:szCs w:val="18"/>
                <w:lang w:eastAsia="fr-FR"/>
              </w:rPr>
            </w:pPr>
          </w:p>
        </w:tc>
      </w:tr>
      <w:tr w:rsidR="00A44B62" w:rsidRPr="00425A7F" w:rsidTr="00C75ED0">
        <w:trPr>
          <w:trHeight w:val="510"/>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425A7F"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A44B62" w:rsidP="00762E77">
            <w:pPr>
              <w:jc w:val="both"/>
              <w:rPr>
                <w:rFonts w:eastAsia="Times New Roman"/>
                <w:color w:val="000000"/>
                <w:sz w:val="18"/>
                <w:szCs w:val="18"/>
                <w:lang w:eastAsia="fr-FR"/>
              </w:rPr>
            </w:pPr>
            <w:r w:rsidRPr="00425A7F">
              <w:rPr>
                <w:rFonts w:eastAsia="Times New Roman"/>
                <w:color w:val="000000"/>
                <w:sz w:val="18"/>
                <w:szCs w:val="18"/>
                <w:lang w:eastAsia="fr-FR"/>
              </w:rPr>
              <w:t xml:space="preserve">Nombre de réseaux de mutuelles (faîtières et fédérations) conformes au plan de développement de la stratégie nationale d'extension de la </w:t>
            </w:r>
            <w:r w:rsidR="00762E77" w:rsidRPr="00425A7F">
              <w:rPr>
                <w:rFonts w:eastAsia="Times New Roman"/>
                <w:color w:val="000000"/>
                <w:sz w:val="18"/>
                <w:szCs w:val="18"/>
                <w:lang w:eastAsia="fr-FR"/>
              </w:rPr>
              <w:t>CRM</w:t>
            </w:r>
            <w:r w:rsidRPr="00425A7F">
              <w:rPr>
                <w:rFonts w:eastAsia="Times New Roman"/>
                <w:color w:val="000000"/>
                <w:sz w:val="18"/>
                <w:szCs w:val="18"/>
                <w:lang w:eastAsia="fr-FR"/>
              </w:rPr>
              <w:t xml:space="preserve"> par les mutuelles </w:t>
            </w:r>
          </w:p>
        </w:tc>
        <w:tc>
          <w:tcPr>
            <w:tcW w:w="1418" w:type="dxa"/>
            <w:tcBorders>
              <w:top w:val="nil"/>
              <w:left w:val="nil"/>
              <w:bottom w:val="single" w:sz="4" w:space="0" w:color="auto"/>
              <w:right w:val="single" w:sz="4" w:space="0" w:color="auto"/>
            </w:tcBorders>
            <w:shd w:val="clear" w:color="auto" w:fill="92D050"/>
          </w:tcPr>
          <w:p w:rsidR="00A44B62" w:rsidRPr="00425A7F" w:rsidRDefault="00A44B62" w:rsidP="00C64A5C">
            <w:pPr>
              <w:jc w:val="both"/>
              <w:rPr>
                <w:rFonts w:eastAsia="Times New Roman"/>
                <w:color w:val="000000"/>
                <w:sz w:val="18"/>
                <w:szCs w:val="18"/>
                <w:lang w:eastAsia="fr-FR"/>
              </w:rPr>
            </w:pPr>
          </w:p>
        </w:tc>
        <w:tc>
          <w:tcPr>
            <w:tcW w:w="1275" w:type="dxa"/>
            <w:tcBorders>
              <w:top w:val="nil"/>
              <w:left w:val="nil"/>
              <w:bottom w:val="single" w:sz="4" w:space="0" w:color="auto"/>
              <w:right w:val="single" w:sz="4" w:space="0" w:color="auto"/>
            </w:tcBorders>
            <w:shd w:val="clear" w:color="auto" w:fill="92D050"/>
          </w:tcPr>
          <w:p w:rsidR="00A44B62" w:rsidRPr="00425A7F" w:rsidRDefault="00A44B62" w:rsidP="00C64A5C">
            <w:pPr>
              <w:jc w:val="both"/>
              <w:rPr>
                <w:rFonts w:eastAsia="Times New Roman"/>
                <w:color w:val="000000"/>
                <w:sz w:val="18"/>
                <w:szCs w:val="18"/>
                <w:lang w:eastAsia="fr-FR"/>
              </w:rPr>
            </w:pPr>
          </w:p>
        </w:tc>
      </w:tr>
      <w:tr w:rsidR="00A44B62" w:rsidRPr="00425A7F" w:rsidTr="00C75ED0">
        <w:trPr>
          <w:trHeight w:val="255"/>
        </w:trPr>
        <w:tc>
          <w:tcPr>
            <w:tcW w:w="438" w:type="dxa"/>
            <w:vMerge w:val="restart"/>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425A7F" w:rsidRDefault="00A44B62" w:rsidP="00C64A5C">
            <w:pPr>
              <w:rPr>
                <w:rFonts w:eastAsia="Times New Roman"/>
                <w:b/>
                <w:bCs/>
                <w:color w:val="000000"/>
                <w:sz w:val="20"/>
                <w:szCs w:val="20"/>
                <w:lang w:eastAsia="fr-FR"/>
              </w:rPr>
            </w:pPr>
            <w:r w:rsidRPr="00425A7F">
              <w:rPr>
                <w:rFonts w:eastAsia="Times New Roman"/>
                <w:b/>
                <w:bCs/>
                <w:color w:val="000000"/>
                <w:sz w:val="20"/>
                <w:szCs w:val="20"/>
                <w:lang w:eastAsia="fr-FR"/>
              </w:rPr>
              <w:t>3.3</w:t>
            </w: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A44B62" w:rsidP="00762E77">
            <w:pPr>
              <w:jc w:val="both"/>
              <w:rPr>
                <w:rFonts w:eastAsia="Times New Roman"/>
                <w:color w:val="000000"/>
                <w:sz w:val="18"/>
                <w:szCs w:val="18"/>
                <w:lang w:eastAsia="fr-FR"/>
              </w:rPr>
            </w:pPr>
            <w:r w:rsidRPr="00425A7F">
              <w:rPr>
                <w:rFonts w:eastAsia="Times New Roman"/>
                <w:color w:val="000000"/>
                <w:sz w:val="18"/>
                <w:szCs w:val="18"/>
                <w:lang w:eastAsia="fr-FR"/>
              </w:rPr>
              <w:t>Existence de textes législatifs intégrant les gratuités dans l'AMU</w:t>
            </w:r>
          </w:p>
        </w:tc>
        <w:tc>
          <w:tcPr>
            <w:tcW w:w="1418" w:type="dxa"/>
            <w:tcBorders>
              <w:top w:val="nil"/>
              <w:left w:val="nil"/>
              <w:bottom w:val="single" w:sz="4" w:space="0" w:color="auto"/>
              <w:right w:val="single" w:sz="4" w:space="0" w:color="auto"/>
            </w:tcBorders>
          </w:tcPr>
          <w:p w:rsidR="00A44B62" w:rsidRPr="00425A7F" w:rsidRDefault="006B059B" w:rsidP="00C64A5C">
            <w:pPr>
              <w:jc w:val="both"/>
              <w:rPr>
                <w:rFonts w:eastAsia="Times New Roman"/>
                <w:color w:val="000000"/>
                <w:sz w:val="18"/>
                <w:szCs w:val="18"/>
                <w:lang w:eastAsia="fr-FR"/>
              </w:rPr>
            </w:pPr>
            <w:r w:rsidRPr="00425A7F">
              <w:rPr>
                <w:rFonts w:eastAsia="Times New Roman"/>
                <w:color w:val="000000"/>
                <w:sz w:val="18"/>
                <w:szCs w:val="18"/>
                <w:lang w:eastAsia="fr-FR"/>
              </w:rPr>
              <w:t>non</w:t>
            </w:r>
          </w:p>
        </w:tc>
        <w:tc>
          <w:tcPr>
            <w:tcW w:w="1275" w:type="dxa"/>
            <w:tcBorders>
              <w:top w:val="nil"/>
              <w:left w:val="nil"/>
              <w:bottom w:val="single" w:sz="4" w:space="0" w:color="auto"/>
              <w:right w:val="single" w:sz="4" w:space="0" w:color="auto"/>
            </w:tcBorders>
          </w:tcPr>
          <w:p w:rsidR="00A44B62" w:rsidRPr="00425A7F" w:rsidRDefault="007B2712" w:rsidP="00C64A5C">
            <w:pPr>
              <w:jc w:val="both"/>
              <w:rPr>
                <w:rFonts w:eastAsia="Times New Roman"/>
                <w:color w:val="000000"/>
                <w:sz w:val="18"/>
                <w:szCs w:val="18"/>
                <w:lang w:eastAsia="fr-FR"/>
              </w:rPr>
            </w:pPr>
            <w:r w:rsidRPr="00425A7F">
              <w:rPr>
                <w:rFonts w:eastAsia="Times New Roman"/>
                <w:color w:val="000000"/>
                <w:sz w:val="18"/>
                <w:szCs w:val="18"/>
                <w:lang w:eastAsia="fr-FR"/>
              </w:rPr>
              <w:t>Oui</w:t>
            </w:r>
          </w:p>
        </w:tc>
      </w:tr>
      <w:tr w:rsidR="00A44B62" w:rsidRPr="00425A7F"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425A7F"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A44B62" w:rsidP="00C64A5C">
            <w:pPr>
              <w:jc w:val="both"/>
              <w:rPr>
                <w:rFonts w:eastAsia="Times New Roman"/>
                <w:color w:val="000000"/>
                <w:sz w:val="18"/>
                <w:szCs w:val="18"/>
                <w:lang w:eastAsia="fr-FR"/>
              </w:rPr>
            </w:pPr>
            <w:r w:rsidRPr="00425A7F">
              <w:rPr>
                <w:rFonts w:eastAsia="Times New Roman"/>
                <w:color w:val="000000"/>
                <w:sz w:val="18"/>
                <w:szCs w:val="18"/>
                <w:lang w:eastAsia="fr-FR"/>
              </w:rPr>
              <w:t>Existence d'une stratégie de "bénéfices/bénéficiaires"</w:t>
            </w:r>
            <w:r w:rsidR="006B059B" w:rsidRPr="00425A7F">
              <w:rPr>
                <w:rFonts w:eastAsia="Times New Roman"/>
                <w:color w:val="000000"/>
                <w:sz w:val="18"/>
                <w:szCs w:val="18"/>
                <w:lang w:eastAsia="fr-FR"/>
              </w:rPr>
              <w:t>. Stratégie suivie / révisée.</w:t>
            </w:r>
          </w:p>
        </w:tc>
        <w:tc>
          <w:tcPr>
            <w:tcW w:w="1418" w:type="dxa"/>
            <w:tcBorders>
              <w:top w:val="nil"/>
              <w:left w:val="nil"/>
              <w:bottom w:val="single" w:sz="4" w:space="0" w:color="auto"/>
              <w:right w:val="single" w:sz="4" w:space="0" w:color="auto"/>
            </w:tcBorders>
          </w:tcPr>
          <w:p w:rsidR="00A44B62" w:rsidRPr="00425A7F" w:rsidRDefault="006B059B" w:rsidP="00C64A5C">
            <w:pPr>
              <w:jc w:val="both"/>
              <w:rPr>
                <w:rFonts w:eastAsia="Times New Roman"/>
                <w:color w:val="000000"/>
                <w:sz w:val="18"/>
                <w:szCs w:val="18"/>
                <w:lang w:eastAsia="fr-FR"/>
              </w:rPr>
            </w:pPr>
            <w:r w:rsidRPr="00425A7F">
              <w:rPr>
                <w:rFonts w:eastAsia="Times New Roman"/>
                <w:color w:val="000000"/>
                <w:sz w:val="18"/>
                <w:szCs w:val="18"/>
                <w:lang w:eastAsia="fr-FR"/>
              </w:rPr>
              <w:t>oui</w:t>
            </w:r>
          </w:p>
        </w:tc>
        <w:tc>
          <w:tcPr>
            <w:tcW w:w="1275" w:type="dxa"/>
            <w:tcBorders>
              <w:top w:val="nil"/>
              <w:left w:val="nil"/>
              <w:bottom w:val="single" w:sz="4" w:space="0" w:color="auto"/>
              <w:right w:val="single" w:sz="4" w:space="0" w:color="auto"/>
            </w:tcBorders>
          </w:tcPr>
          <w:p w:rsidR="00A44B62" w:rsidRPr="00425A7F" w:rsidRDefault="007B2712" w:rsidP="00C64A5C">
            <w:pPr>
              <w:jc w:val="both"/>
              <w:rPr>
                <w:rFonts w:eastAsia="Times New Roman"/>
                <w:color w:val="000000"/>
                <w:sz w:val="18"/>
                <w:szCs w:val="18"/>
                <w:lang w:eastAsia="fr-FR"/>
              </w:rPr>
            </w:pPr>
            <w:r w:rsidRPr="00425A7F">
              <w:rPr>
                <w:rFonts w:eastAsia="Times New Roman"/>
                <w:color w:val="000000"/>
                <w:sz w:val="18"/>
                <w:szCs w:val="18"/>
                <w:lang w:eastAsia="fr-FR"/>
              </w:rPr>
              <w:t>Oui</w:t>
            </w:r>
          </w:p>
        </w:tc>
      </w:tr>
      <w:tr w:rsidR="00A44B62" w:rsidRPr="00425A7F" w:rsidTr="00C75ED0">
        <w:trPr>
          <w:trHeight w:val="255"/>
        </w:trPr>
        <w:tc>
          <w:tcPr>
            <w:tcW w:w="438" w:type="dxa"/>
            <w:vMerge w:val="restart"/>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425A7F" w:rsidRDefault="00A44B62" w:rsidP="00C64A5C">
            <w:pPr>
              <w:rPr>
                <w:rFonts w:eastAsia="Times New Roman"/>
                <w:b/>
                <w:bCs/>
                <w:color w:val="000000"/>
                <w:sz w:val="20"/>
                <w:szCs w:val="20"/>
                <w:lang w:eastAsia="fr-FR"/>
              </w:rPr>
            </w:pPr>
            <w:r w:rsidRPr="00425A7F">
              <w:rPr>
                <w:rFonts w:eastAsia="Times New Roman"/>
                <w:b/>
                <w:bCs/>
                <w:color w:val="000000"/>
                <w:sz w:val="20"/>
                <w:szCs w:val="20"/>
                <w:lang w:eastAsia="fr-FR"/>
              </w:rPr>
              <w:t>4.1</w:t>
            </w: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A44B62" w:rsidP="00C64A5C">
            <w:pPr>
              <w:jc w:val="both"/>
              <w:rPr>
                <w:rFonts w:eastAsia="Times New Roman"/>
                <w:color w:val="000000"/>
                <w:sz w:val="18"/>
                <w:szCs w:val="18"/>
                <w:lang w:eastAsia="fr-FR"/>
              </w:rPr>
            </w:pPr>
            <w:r w:rsidRPr="00425A7F">
              <w:rPr>
                <w:rFonts w:eastAsia="Times New Roman"/>
                <w:color w:val="000000"/>
                <w:sz w:val="18"/>
                <w:szCs w:val="18"/>
                <w:lang w:eastAsia="fr-FR"/>
              </w:rPr>
              <w:t>Existence d'un texte instituant les comptes nationaux de la santé CNS</w:t>
            </w:r>
          </w:p>
        </w:tc>
        <w:tc>
          <w:tcPr>
            <w:tcW w:w="1418" w:type="dxa"/>
            <w:tcBorders>
              <w:top w:val="nil"/>
              <w:left w:val="nil"/>
              <w:bottom w:val="single" w:sz="4" w:space="0" w:color="auto"/>
              <w:right w:val="single" w:sz="4" w:space="0" w:color="auto"/>
            </w:tcBorders>
            <w:shd w:val="clear" w:color="auto" w:fill="92D050"/>
          </w:tcPr>
          <w:p w:rsidR="00A44B62" w:rsidRPr="00425A7F" w:rsidRDefault="00A44B62" w:rsidP="00C64A5C">
            <w:pPr>
              <w:jc w:val="both"/>
              <w:rPr>
                <w:rFonts w:eastAsia="Times New Roman"/>
                <w:color w:val="000000"/>
                <w:sz w:val="18"/>
                <w:szCs w:val="18"/>
                <w:lang w:eastAsia="fr-FR"/>
              </w:rPr>
            </w:pPr>
          </w:p>
        </w:tc>
        <w:tc>
          <w:tcPr>
            <w:tcW w:w="1275" w:type="dxa"/>
            <w:tcBorders>
              <w:top w:val="nil"/>
              <w:left w:val="nil"/>
              <w:bottom w:val="single" w:sz="4" w:space="0" w:color="auto"/>
              <w:right w:val="single" w:sz="4" w:space="0" w:color="auto"/>
            </w:tcBorders>
          </w:tcPr>
          <w:p w:rsidR="00A44B62" w:rsidRPr="00425A7F" w:rsidRDefault="007B2712" w:rsidP="00C64A5C">
            <w:pPr>
              <w:jc w:val="both"/>
              <w:rPr>
                <w:rFonts w:eastAsia="Times New Roman"/>
                <w:color w:val="000000"/>
                <w:sz w:val="18"/>
                <w:szCs w:val="18"/>
                <w:lang w:eastAsia="fr-FR"/>
              </w:rPr>
            </w:pPr>
            <w:r w:rsidRPr="00425A7F">
              <w:rPr>
                <w:rFonts w:eastAsia="Times New Roman"/>
                <w:color w:val="000000"/>
                <w:sz w:val="18"/>
                <w:szCs w:val="18"/>
                <w:lang w:eastAsia="fr-FR"/>
              </w:rPr>
              <w:t>Oui</w:t>
            </w:r>
          </w:p>
        </w:tc>
      </w:tr>
      <w:tr w:rsidR="00A44B62" w:rsidRPr="00425A7F" w:rsidTr="00C75ED0">
        <w:trPr>
          <w:trHeight w:val="255"/>
        </w:trPr>
        <w:tc>
          <w:tcPr>
            <w:tcW w:w="438" w:type="dxa"/>
            <w:vMerge/>
            <w:tcBorders>
              <w:top w:val="single" w:sz="4" w:space="0" w:color="auto"/>
              <w:left w:val="single" w:sz="4" w:space="0" w:color="auto"/>
              <w:bottom w:val="single" w:sz="4" w:space="0" w:color="auto"/>
              <w:right w:val="single" w:sz="4" w:space="0" w:color="auto"/>
            </w:tcBorders>
            <w:shd w:val="clear" w:color="auto" w:fill="548DD4" w:themeFill="text2" w:themeFillTint="99"/>
            <w:vAlign w:val="center"/>
            <w:hideMark/>
          </w:tcPr>
          <w:p w:rsidR="00A44B62" w:rsidRPr="00425A7F" w:rsidRDefault="00A44B62" w:rsidP="00C64A5C">
            <w:pPr>
              <w:rPr>
                <w:rFonts w:eastAsia="Times New Roman"/>
                <w:b/>
                <w:bCs/>
                <w:color w:val="000000"/>
                <w:sz w:val="20"/>
                <w:szCs w:val="20"/>
                <w:lang w:eastAsia="fr-FR"/>
              </w:rPr>
            </w:pP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A44B62" w:rsidP="00C64A5C">
            <w:pPr>
              <w:jc w:val="both"/>
              <w:rPr>
                <w:rFonts w:eastAsia="Times New Roman"/>
                <w:color w:val="000000"/>
                <w:sz w:val="18"/>
                <w:szCs w:val="18"/>
                <w:lang w:eastAsia="fr-FR"/>
              </w:rPr>
            </w:pPr>
            <w:r w:rsidRPr="00425A7F">
              <w:rPr>
                <w:rFonts w:eastAsia="Times New Roman"/>
                <w:color w:val="000000"/>
                <w:sz w:val="18"/>
                <w:szCs w:val="18"/>
                <w:lang w:eastAsia="fr-FR"/>
              </w:rPr>
              <w:t>Existence d'outils de suivi de performance de la gestion financière</w:t>
            </w:r>
          </w:p>
        </w:tc>
        <w:tc>
          <w:tcPr>
            <w:tcW w:w="1418" w:type="dxa"/>
            <w:tcBorders>
              <w:top w:val="nil"/>
              <w:left w:val="nil"/>
              <w:bottom w:val="single" w:sz="4" w:space="0" w:color="auto"/>
              <w:right w:val="single" w:sz="4" w:space="0" w:color="auto"/>
            </w:tcBorders>
          </w:tcPr>
          <w:p w:rsidR="00A44B62" w:rsidRPr="00425A7F" w:rsidRDefault="006B059B" w:rsidP="00C64A5C">
            <w:pPr>
              <w:jc w:val="both"/>
              <w:rPr>
                <w:rFonts w:eastAsia="Times New Roman"/>
                <w:color w:val="000000"/>
                <w:sz w:val="18"/>
                <w:szCs w:val="18"/>
                <w:lang w:eastAsia="fr-FR"/>
              </w:rPr>
            </w:pPr>
            <w:r w:rsidRPr="00425A7F">
              <w:rPr>
                <w:rFonts w:eastAsia="Times New Roman"/>
                <w:color w:val="000000"/>
                <w:sz w:val="18"/>
                <w:szCs w:val="18"/>
                <w:lang w:eastAsia="fr-FR"/>
              </w:rPr>
              <w:t>non</w:t>
            </w:r>
          </w:p>
        </w:tc>
        <w:tc>
          <w:tcPr>
            <w:tcW w:w="1275" w:type="dxa"/>
            <w:tcBorders>
              <w:top w:val="nil"/>
              <w:left w:val="nil"/>
              <w:bottom w:val="single" w:sz="4" w:space="0" w:color="auto"/>
              <w:right w:val="single" w:sz="4" w:space="0" w:color="auto"/>
            </w:tcBorders>
          </w:tcPr>
          <w:p w:rsidR="00A44B62" w:rsidRPr="00425A7F" w:rsidRDefault="007B2712" w:rsidP="00C64A5C">
            <w:pPr>
              <w:jc w:val="both"/>
              <w:rPr>
                <w:rFonts w:eastAsia="Times New Roman"/>
                <w:color w:val="000000"/>
                <w:sz w:val="18"/>
                <w:szCs w:val="18"/>
                <w:lang w:eastAsia="fr-FR"/>
              </w:rPr>
            </w:pPr>
            <w:r w:rsidRPr="00425A7F">
              <w:rPr>
                <w:rFonts w:eastAsia="Times New Roman"/>
                <w:color w:val="000000"/>
                <w:sz w:val="18"/>
                <w:szCs w:val="18"/>
                <w:lang w:eastAsia="fr-FR"/>
              </w:rPr>
              <w:t>Oui</w:t>
            </w:r>
          </w:p>
        </w:tc>
      </w:tr>
      <w:tr w:rsidR="00A44B62" w:rsidRPr="00425A7F" w:rsidTr="00C75ED0">
        <w:trPr>
          <w:trHeight w:val="255"/>
        </w:trPr>
        <w:tc>
          <w:tcPr>
            <w:tcW w:w="438" w:type="dxa"/>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425A7F" w:rsidRDefault="00A44B62" w:rsidP="00C64A5C">
            <w:pPr>
              <w:rPr>
                <w:rFonts w:eastAsia="Times New Roman"/>
                <w:b/>
                <w:bCs/>
                <w:color w:val="000000"/>
                <w:sz w:val="20"/>
                <w:szCs w:val="20"/>
                <w:lang w:eastAsia="fr-FR"/>
              </w:rPr>
            </w:pPr>
            <w:r w:rsidRPr="00425A7F">
              <w:rPr>
                <w:rFonts w:eastAsia="Times New Roman"/>
                <w:b/>
                <w:bCs/>
                <w:color w:val="000000"/>
                <w:sz w:val="20"/>
                <w:szCs w:val="20"/>
                <w:lang w:eastAsia="fr-FR"/>
              </w:rPr>
              <w:t>4.2</w:t>
            </w:r>
          </w:p>
        </w:tc>
        <w:tc>
          <w:tcPr>
            <w:tcW w:w="5953" w:type="dxa"/>
            <w:tcBorders>
              <w:top w:val="nil"/>
              <w:left w:val="nil"/>
              <w:bottom w:val="single" w:sz="4" w:space="0" w:color="auto"/>
              <w:right w:val="single" w:sz="4" w:space="0" w:color="auto"/>
            </w:tcBorders>
            <w:shd w:val="clear" w:color="auto" w:fill="auto"/>
            <w:vAlign w:val="bottom"/>
            <w:hideMark/>
          </w:tcPr>
          <w:p w:rsidR="00A44B62" w:rsidRPr="00425A7F" w:rsidRDefault="006B059B" w:rsidP="00C64A5C">
            <w:pPr>
              <w:jc w:val="both"/>
              <w:rPr>
                <w:rFonts w:eastAsia="Times New Roman"/>
                <w:color w:val="000000"/>
                <w:sz w:val="18"/>
                <w:szCs w:val="18"/>
                <w:lang w:eastAsia="fr-FR"/>
              </w:rPr>
            </w:pPr>
            <w:r w:rsidRPr="00425A7F">
              <w:rPr>
                <w:rFonts w:eastAsia="Times New Roman"/>
                <w:color w:val="000000"/>
                <w:sz w:val="18"/>
                <w:szCs w:val="18"/>
                <w:lang w:eastAsia="fr-FR"/>
              </w:rPr>
              <w:t>Taux d’absorption des budgets des trois Ministères</w:t>
            </w:r>
          </w:p>
        </w:tc>
        <w:tc>
          <w:tcPr>
            <w:tcW w:w="1418" w:type="dxa"/>
            <w:tcBorders>
              <w:top w:val="nil"/>
              <w:left w:val="nil"/>
              <w:bottom w:val="single" w:sz="4" w:space="0" w:color="auto"/>
              <w:right w:val="single" w:sz="4" w:space="0" w:color="auto"/>
            </w:tcBorders>
            <w:shd w:val="clear" w:color="auto" w:fill="92D050"/>
          </w:tcPr>
          <w:p w:rsidR="00A44B62" w:rsidRPr="00425A7F" w:rsidRDefault="00A44B62" w:rsidP="00C64A5C">
            <w:pPr>
              <w:jc w:val="both"/>
              <w:rPr>
                <w:rFonts w:eastAsia="Times New Roman"/>
                <w:color w:val="000000"/>
                <w:sz w:val="18"/>
                <w:szCs w:val="18"/>
                <w:lang w:eastAsia="fr-FR"/>
              </w:rPr>
            </w:pPr>
          </w:p>
        </w:tc>
        <w:tc>
          <w:tcPr>
            <w:tcW w:w="1275" w:type="dxa"/>
            <w:tcBorders>
              <w:top w:val="nil"/>
              <w:left w:val="nil"/>
              <w:bottom w:val="single" w:sz="4" w:space="0" w:color="auto"/>
              <w:right w:val="single" w:sz="4" w:space="0" w:color="auto"/>
            </w:tcBorders>
            <w:shd w:val="clear" w:color="auto" w:fill="92D050"/>
          </w:tcPr>
          <w:p w:rsidR="00A44B62" w:rsidRPr="00425A7F" w:rsidRDefault="00A44B62" w:rsidP="00C64A5C">
            <w:pPr>
              <w:jc w:val="both"/>
              <w:rPr>
                <w:rFonts w:eastAsia="Times New Roman"/>
                <w:color w:val="000000"/>
                <w:sz w:val="18"/>
                <w:szCs w:val="18"/>
                <w:lang w:eastAsia="fr-FR"/>
              </w:rPr>
            </w:pPr>
          </w:p>
        </w:tc>
      </w:tr>
      <w:tr w:rsidR="00A44B62" w:rsidRPr="00425A7F" w:rsidTr="00C75ED0">
        <w:trPr>
          <w:trHeight w:val="255"/>
        </w:trPr>
        <w:tc>
          <w:tcPr>
            <w:tcW w:w="438" w:type="dxa"/>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425A7F" w:rsidRDefault="00A44B62" w:rsidP="00C64A5C">
            <w:pPr>
              <w:rPr>
                <w:rFonts w:eastAsia="Times New Roman"/>
                <w:b/>
                <w:bCs/>
                <w:color w:val="000000"/>
                <w:sz w:val="20"/>
                <w:szCs w:val="20"/>
                <w:lang w:eastAsia="fr-FR"/>
              </w:rPr>
            </w:pPr>
            <w:r w:rsidRPr="00425A7F">
              <w:rPr>
                <w:rFonts w:eastAsia="Times New Roman"/>
                <w:b/>
                <w:bCs/>
                <w:color w:val="000000"/>
                <w:sz w:val="20"/>
                <w:szCs w:val="20"/>
                <w:lang w:eastAsia="fr-FR"/>
              </w:rPr>
              <w:t>4.3</w:t>
            </w:r>
          </w:p>
        </w:tc>
        <w:tc>
          <w:tcPr>
            <w:tcW w:w="5953" w:type="dxa"/>
            <w:tcBorders>
              <w:top w:val="nil"/>
              <w:left w:val="nil"/>
              <w:bottom w:val="single" w:sz="4" w:space="0" w:color="auto"/>
              <w:right w:val="single" w:sz="4" w:space="0" w:color="auto"/>
            </w:tcBorders>
            <w:shd w:val="clear" w:color="auto" w:fill="92D050"/>
            <w:vAlign w:val="bottom"/>
            <w:hideMark/>
          </w:tcPr>
          <w:p w:rsidR="00A44B62" w:rsidRPr="00425A7F" w:rsidRDefault="00A44B62" w:rsidP="00C64A5C">
            <w:pPr>
              <w:jc w:val="both"/>
              <w:rPr>
                <w:rFonts w:eastAsia="Times New Roman"/>
                <w:color w:val="000000"/>
                <w:sz w:val="18"/>
                <w:szCs w:val="18"/>
                <w:lang w:eastAsia="fr-FR"/>
              </w:rPr>
            </w:pPr>
            <w:r w:rsidRPr="00425A7F">
              <w:rPr>
                <w:rFonts w:eastAsia="Times New Roman"/>
                <w:color w:val="000000"/>
                <w:sz w:val="18"/>
                <w:szCs w:val="18"/>
                <w:lang w:eastAsia="fr-FR"/>
              </w:rPr>
              <w:t>Nombre de rapports d'audit financiers produits, publiés</w:t>
            </w:r>
          </w:p>
        </w:tc>
        <w:tc>
          <w:tcPr>
            <w:tcW w:w="1418" w:type="dxa"/>
            <w:tcBorders>
              <w:top w:val="nil"/>
              <w:left w:val="nil"/>
              <w:bottom w:val="single" w:sz="4" w:space="0" w:color="auto"/>
              <w:right w:val="single" w:sz="4" w:space="0" w:color="auto"/>
            </w:tcBorders>
            <w:shd w:val="clear" w:color="auto" w:fill="92D050"/>
          </w:tcPr>
          <w:p w:rsidR="00A44B62" w:rsidRPr="00425A7F" w:rsidRDefault="00A44B62" w:rsidP="00C64A5C">
            <w:pPr>
              <w:jc w:val="both"/>
              <w:rPr>
                <w:rFonts w:eastAsia="Times New Roman"/>
                <w:color w:val="000000"/>
                <w:sz w:val="18"/>
                <w:szCs w:val="18"/>
                <w:lang w:eastAsia="fr-FR"/>
              </w:rPr>
            </w:pPr>
          </w:p>
        </w:tc>
        <w:tc>
          <w:tcPr>
            <w:tcW w:w="1275" w:type="dxa"/>
            <w:tcBorders>
              <w:top w:val="nil"/>
              <w:left w:val="nil"/>
              <w:bottom w:val="single" w:sz="4" w:space="0" w:color="auto"/>
              <w:right w:val="single" w:sz="4" w:space="0" w:color="auto"/>
            </w:tcBorders>
            <w:shd w:val="clear" w:color="auto" w:fill="92D050"/>
          </w:tcPr>
          <w:p w:rsidR="00A44B62" w:rsidRPr="00425A7F" w:rsidRDefault="00A44B62" w:rsidP="00C64A5C">
            <w:pPr>
              <w:jc w:val="both"/>
              <w:rPr>
                <w:rFonts w:eastAsia="Times New Roman"/>
                <w:color w:val="000000"/>
                <w:sz w:val="18"/>
                <w:szCs w:val="18"/>
                <w:lang w:eastAsia="fr-FR"/>
              </w:rPr>
            </w:pPr>
          </w:p>
        </w:tc>
      </w:tr>
      <w:tr w:rsidR="00A44B62" w:rsidRPr="00425A7F" w:rsidTr="00C75ED0">
        <w:trPr>
          <w:trHeight w:val="255"/>
        </w:trPr>
        <w:tc>
          <w:tcPr>
            <w:tcW w:w="438" w:type="dxa"/>
            <w:tcBorders>
              <w:top w:val="single" w:sz="4" w:space="0" w:color="auto"/>
              <w:left w:val="single" w:sz="4" w:space="0" w:color="auto"/>
              <w:bottom w:val="single" w:sz="4" w:space="0" w:color="auto"/>
              <w:right w:val="single" w:sz="4" w:space="0" w:color="auto"/>
            </w:tcBorders>
            <w:shd w:val="clear" w:color="auto" w:fill="548DD4" w:themeFill="text2" w:themeFillTint="99"/>
            <w:noWrap/>
            <w:vAlign w:val="center"/>
            <w:hideMark/>
          </w:tcPr>
          <w:p w:rsidR="00A44B62" w:rsidRPr="00425A7F" w:rsidRDefault="00A44B62" w:rsidP="00C64A5C">
            <w:pPr>
              <w:rPr>
                <w:rFonts w:eastAsia="Times New Roman"/>
                <w:b/>
                <w:bCs/>
                <w:color w:val="000000"/>
                <w:sz w:val="20"/>
                <w:szCs w:val="20"/>
                <w:lang w:eastAsia="fr-FR"/>
              </w:rPr>
            </w:pPr>
            <w:r w:rsidRPr="00425A7F">
              <w:rPr>
                <w:rFonts w:eastAsia="Times New Roman"/>
                <w:b/>
                <w:bCs/>
                <w:color w:val="000000"/>
                <w:sz w:val="20"/>
                <w:szCs w:val="20"/>
                <w:lang w:eastAsia="fr-FR"/>
              </w:rPr>
              <w:t>4.4</w:t>
            </w:r>
          </w:p>
        </w:tc>
        <w:tc>
          <w:tcPr>
            <w:tcW w:w="5953" w:type="dxa"/>
            <w:tcBorders>
              <w:top w:val="nil"/>
              <w:left w:val="nil"/>
              <w:bottom w:val="single" w:sz="4" w:space="0" w:color="auto"/>
              <w:right w:val="single" w:sz="4" w:space="0" w:color="auto"/>
            </w:tcBorders>
            <w:shd w:val="clear" w:color="auto" w:fill="92D050"/>
            <w:vAlign w:val="bottom"/>
            <w:hideMark/>
          </w:tcPr>
          <w:p w:rsidR="00A44B62" w:rsidRPr="00425A7F" w:rsidRDefault="00A44B62" w:rsidP="00762E77">
            <w:pPr>
              <w:jc w:val="both"/>
              <w:rPr>
                <w:rFonts w:eastAsia="Times New Roman"/>
                <w:color w:val="000000"/>
                <w:sz w:val="18"/>
                <w:szCs w:val="18"/>
                <w:lang w:eastAsia="fr-FR"/>
              </w:rPr>
            </w:pPr>
            <w:r w:rsidRPr="00425A7F">
              <w:rPr>
                <w:rFonts w:eastAsia="Times New Roman"/>
                <w:color w:val="000000"/>
                <w:sz w:val="18"/>
                <w:szCs w:val="18"/>
                <w:lang w:eastAsia="fr-FR"/>
              </w:rPr>
              <w:t>Proportion de concertations in</w:t>
            </w:r>
            <w:r w:rsidR="00762E77" w:rsidRPr="00425A7F">
              <w:rPr>
                <w:rFonts w:eastAsia="Times New Roman"/>
                <w:color w:val="000000"/>
                <w:sz w:val="18"/>
                <w:szCs w:val="18"/>
                <w:lang w:eastAsia="fr-FR"/>
              </w:rPr>
              <w:t>t</w:t>
            </w:r>
            <w:r w:rsidRPr="00425A7F">
              <w:rPr>
                <w:rFonts w:eastAsia="Times New Roman"/>
                <w:color w:val="000000"/>
                <w:sz w:val="18"/>
                <w:szCs w:val="18"/>
                <w:lang w:eastAsia="fr-FR"/>
              </w:rPr>
              <w:t>er sectorielles tenues</w:t>
            </w:r>
          </w:p>
        </w:tc>
        <w:tc>
          <w:tcPr>
            <w:tcW w:w="1418" w:type="dxa"/>
            <w:tcBorders>
              <w:top w:val="nil"/>
              <w:left w:val="nil"/>
              <w:bottom w:val="single" w:sz="4" w:space="0" w:color="auto"/>
              <w:right w:val="single" w:sz="4" w:space="0" w:color="auto"/>
            </w:tcBorders>
            <w:shd w:val="clear" w:color="auto" w:fill="92D050"/>
          </w:tcPr>
          <w:p w:rsidR="00A44B62" w:rsidRPr="00425A7F" w:rsidRDefault="00A44B62" w:rsidP="00C64A5C">
            <w:pPr>
              <w:jc w:val="both"/>
              <w:rPr>
                <w:rFonts w:eastAsia="Times New Roman"/>
                <w:color w:val="000000"/>
                <w:sz w:val="18"/>
                <w:szCs w:val="18"/>
                <w:lang w:eastAsia="fr-FR"/>
              </w:rPr>
            </w:pPr>
          </w:p>
        </w:tc>
        <w:tc>
          <w:tcPr>
            <w:tcW w:w="1275" w:type="dxa"/>
            <w:tcBorders>
              <w:top w:val="nil"/>
              <w:left w:val="nil"/>
              <w:bottom w:val="single" w:sz="4" w:space="0" w:color="auto"/>
              <w:right w:val="single" w:sz="4" w:space="0" w:color="auto"/>
            </w:tcBorders>
            <w:shd w:val="clear" w:color="auto" w:fill="92D050"/>
          </w:tcPr>
          <w:p w:rsidR="00A44B62" w:rsidRPr="00425A7F" w:rsidRDefault="00A44B62" w:rsidP="00C64A5C">
            <w:pPr>
              <w:jc w:val="both"/>
              <w:rPr>
                <w:rFonts w:eastAsia="Times New Roman"/>
                <w:color w:val="000000"/>
                <w:sz w:val="18"/>
                <w:szCs w:val="18"/>
                <w:lang w:eastAsia="fr-FR"/>
              </w:rPr>
            </w:pPr>
          </w:p>
        </w:tc>
      </w:tr>
    </w:tbl>
    <w:p w:rsidR="00C86A23" w:rsidRPr="00425A7F" w:rsidRDefault="00C86A23" w:rsidP="00972F59">
      <w:pPr>
        <w:pStyle w:val="Titre2"/>
        <w:sectPr w:rsidR="00C86A23" w:rsidRPr="00425A7F" w:rsidSect="00AF0886">
          <w:footerReference w:type="default" r:id="rId19"/>
          <w:pgSz w:w="11906" w:h="16838" w:code="9"/>
          <w:pgMar w:top="1418" w:right="1418" w:bottom="1418" w:left="1418" w:header="709" w:footer="709" w:gutter="0"/>
          <w:cols w:space="708"/>
          <w:titlePg/>
          <w:docGrid w:linePitch="360"/>
        </w:sectPr>
      </w:pPr>
    </w:p>
    <w:p w:rsidR="00FB7241" w:rsidRPr="00425A7F" w:rsidRDefault="00FB7241" w:rsidP="00F24E98">
      <w:pPr>
        <w:widowControl w:val="0"/>
        <w:suppressAutoHyphens/>
        <w:jc w:val="both"/>
        <w:rPr>
          <w:lang w:val="fr-CH"/>
        </w:rPr>
      </w:pPr>
    </w:p>
    <w:p w:rsidR="00E71DA9" w:rsidRPr="00425A7F" w:rsidRDefault="00194A77" w:rsidP="00972F59">
      <w:pPr>
        <w:pStyle w:val="Titre2"/>
        <w:numPr>
          <w:ilvl w:val="0"/>
          <w:numId w:val="0"/>
        </w:numPr>
        <w:ind w:left="720" w:hanging="360"/>
      </w:pPr>
      <w:bookmarkStart w:id="68" w:name="_Toc497294526"/>
      <w:r w:rsidRPr="00425A7F">
        <w:t xml:space="preserve">ANNEXE </w:t>
      </w:r>
      <w:r w:rsidR="00E802F0" w:rsidRPr="00425A7F">
        <w:t>1</w:t>
      </w:r>
      <w:r w:rsidRPr="00425A7F">
        <w:t> : CADRE LOGIQUE</w:t>
      </w:r>
      <w:bookmarkEnd w:id="68"/>
      <w:r w:rsidRPr="00425A7F">
        <w:t xml:space="preserve"> </w:t>
      </w:r>
    </w:p>
    <w:p w:rsidR="00E71DA9" w:rsidRPr="00425A7F" w:rsidRDefault="00E71DA9" w:rsidP="00F24E98">
      <w:pPr>
        <w:widowControl w:val="0"/>
        <w:suppressAutoHyphens/>
        <w:jc w:val="both"/>
      </w:pPr>
    </w:p>
    <w:tbl>
      <w:tblPr>
        <w:tblStyle w:val="TableGrid"/>
        <w:tblW w:w="14715" w:type="dxa"/>
        <w:tblInd w:w="-44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top w:w="104" w:type="dxa"/>
          <w:left w:w="142" w:type="dxa"/>
          <w:right w:w="29" w:type="dxa"/>
        </w:tblCellMar>
        <w:tblLook w:val="04A0" w:firstRow="1" w:lastRow="0" w:firstColumn="1" w:lastColumn="0" w:noHBand="0" w:noVBand="1"/>
      </w:tblPr>
      <w:tblGrid>
        <w:gridCol w:w="5529"/>
        <w:gridCol w:w="4384"/>
        <w:gridCol w:w="2556"/>
        <w:gridCol w:w="2246"/>
      </w:tblGrid>
      <w:tr w:rsidR="00A22F5A" w:rsidRPr="00451F4A" w:rsidTr="006D0263">
        <w:trPr>
          <w:trHeight w:val="359"/>
        </w:trPr>
        <w:tc>
          <w:tcPr>
            <w:tcW w:w="5529" w:type="dxa"/>
            <w:shd w:val="clear" w:color="auto" w:fill="DFDFDF"/>
          </w:tcPr>
          <w:p w:rsidR="00A22F5A" w:rsidRPr="00451F4A" w:rsidRDefault="00A22F5A" w:rsidP="00A22F5A">
            <w:r w:rsidRPr="00451F4A">
              <w:rPr>
                <w:b/>
              </w:rPr>
              <w:t>Résultats</w:t>
            </w:r>
          </w:p>
        </w:tc>
        <w:tc>
          <w:tcPr>
            <w:tcW w:w="4384" w:type="dxa"/>
            <w:shd w:val="clear" w:color="auto" w:fill="DFDFDF"/>
          </w:tcPr>
          <w:p w:rsidR="00A22F5A" w:rsidRPr="00451F4A" w:rsidRDefault="00A22F5A" w:rsidP="00A22F5A">
            <w:pPr>
              <w:ind w:left="5"/>
            </w:pPr>
            <w:r w:rsidRPr="00451F4A">
              <w:rPr>
                <w:b/>
              </w:rPr>
              <w:t>Indicateur (IOV)</w:t>
            </w:r>
          </w:p>
        </w:tc>
        <w:tc>
          <w:tcPr>
            <w:tcW w:w="2556" w:type="dxa"/>
            <w:shd w:val="clear" w:color="auto" w:fill="DFDFDF"/>
          </w:tcPr>
          <w:p w:rsidR="00A22F5A" w:rsidRPr="00451F4A" w:rsidRDefault="00A22F5A" w:rsidP="00A22F5A">
            <w:pPr>
              <w:ind w:left="2"/>
            </w:pPr>
            <w:r w:rsidRPr="00451F4A">
              <w:rPr>
                <w:b/>
              </w:rPr>
              <w:t>Moyen de vérification</w:t>
            </w:r>
          </w:p>
        </w:tc>
        <w:tc>
          <w:tcPr>
            <w:tcW w:w="2246" w:type="dxa"/>
            <w:shd w:val="clear" w:color="auto" w:fill="DFDFDF"/>
          </w:tcPr>
          <w:p w:rsidR="00A22F5A" w:rsidRPr="00451F4A" w:rsidRDefault="00A22F5A" w:rsidP="00A22F5A">
            <w:pPr>
              <w:ind w:left="2"/>
            </w:pPr>
            <w:r w:rsidRPr="00451F4A">
              <w:rPr>
                <w:b/>
              </w:rPr>
              <w:t>Hypothèses/Risques</w:t>
            </w:r>
          </w:p>
        </w:tc>
      </w:tr>
      <w:tr w:rsidR="00A22F5A" w:rsidRPr="00451F4A" w:rsidTr="006D0263">
        <w:trPr>
          <w:trHeight w:val="1242"/>
        </w:trPr>
        <w:tc>
          <w:tcPr>
            <w:tcW w:w="5529" w:type="dxa"/>
          </w:tcPr>
          <w:p w:rsidR="00A22F5A" w:rsidRPr="00715B8E" w:rsidRDefault="00A22F5A" w:rsidP="00A22F5A">
            <w:pPr>
              <w:widowControl w:val="0"/>
              <w:suppressAutoHyphens/>
              <w:rPr>
                <w:b/>
                <w:i/>
              </w:rPr>
            </w:pPr>
            <w:r w:rsidRPr="00451F4A">
              <w:rPr>
                <w:b/>
              </w:rPr>
              <w:t xml:space="preserve">VISION : </w:t>
            </w:r>
            <w:r w:rsidRPr="00715B8E">
              <w:rPr>
                <w:b/>
                <w:i/>
              </w:rPr>
              <w:t>« Une société offrant un accès équitable aux services de santé de qualité à tous ses citoyens par la mobilisation de ressources suffisantes et pérennes, utilisées de façon optimale avec la pleine participation de tous les acteurs »</w:t>
            </w:r>
          </w:p>
          <w:p w:rsidR="00A22F5A" w:rsidRPr="00451F4A" w:rsidRDefault="00A22F5A" w:rsidP="00A22F5A">
            <w:pPr>
              <w:ind w:right="110"/>
            </w:pPr>
          </w:p>
        </w:tc>
        <w:tc>
          <w:tcPr>
            <w:tcW w:w="4384" w:type="dxa"/>
          </w:tcPr>
          <w:p w:rsidR="00A22F5A" w:rsidRPr="002C6AC2" w:rsidRDefault="00A22F5A" w:rsidP="00C52415">
            <w:pPr>
              <w:numPr>
                <w:ilvl w:val="0"/>
                <w:numId w:val="17"/>
              </w:numPr>
              <w:ind w:left="186" w:right="108" w:hanging="142"/>
            </w:pPr>
            <w:r w:rsidRPr="002C6AC2">
              <w:t xml:space="preserve">Part du budget de secteur de la santé en 2022 </w:t>
            </w:r>
          </w:p>
          <w:p w:rsidR="00A22F5A" w:rsidRPr="002C6AC2" w:rsidRDefault="00A22F5A" w:rsidP="00C52415">
            <w:pPr>
              <w:numPr>
                <w:ilvl w:val="0"/>
                <w:numId w:val="17"/>
              </w:numPr>
              <w:ind w:left="186" w:right="108" w:hanging="142"/>
            </w:pPr>
            <w:r w:rsidRPr="002C6AC2">
              <w:t>% populations couvertes par le régime d’assurance maladie universelle en 2022.</w:t>
            </w:r>
          </w:p>
        </w:tc>
        <w:tc>
          <w:tcPr>
            <w:tcW w:w="2556" w:type="dxa"/>
            <w:vAlign w:val="center"/>
          </w:tcPr>
          <w:p w:rsidR="00A22F5A" w:rsidRDefault="00A22F5A" w:rsidP="00A22F5A">
            <w:pPr>
              <w:ind w:right="108"/>
            </w:pPr>
            <w:r>
              <w:t>-</w:t>
            </w:r>
            <w:r w:rsidRPr="0063316C">
              <w:t>Rapport d’évaluation</w:t>
            </w:r>
          </w:p>
          <w:p w:rsidR="00A22F5A" w:rsidRPr="0063316C" w:rsidRDefault="00A22F5A" w:rsidP="00A22F5A">
            <w:pPr>
              <w:ind w:right="108"/>
            </w:pPr>
            <w:r>
              <w:t>-Rapport bilan</w:t>
            </w:r>
          </w:p>
        </w:tc>
        <w:tc>
          <w:tcPr>
            <w:tcW w:w="2246" w:type="dxa"/>
          </w:tcPr>
          <w:p w:rsidR="00A22F5A" w:rsidRPr="002C6AC2" w:rsidRDefault="00A22F5A" w:rsidP="00A22F5A">
            <w:pPr>
              <w:ind w:left="2" w:right="303"/>
            </w:pPr>
            <w:r w:rsidRPr="002C6AC2">
              <w:t xml:space="preserve">Le plan d’actions est financé et mis en œuvre dans les conditions optimales. </w:t>
            </w:r>
          </w:p>
        </w:tc>
      </w:tr>
      <w:tr w:rsidR="00A22F5A" w:rsidRPr="00451F4A" w:rsidTr="006D0263">
        <w:trPr>
          <w:trHeight w:val="1227"/>
        </w:trPr>
        <w:tc>
          <w:tcPr>
            <w:tcW w:w="5529" w:type="dxa"/>
          </w:tcPr>
          <w:p w:rsidR="00A22F5A" w:rsidRPr="001860E1" w:rsidRDefault="00A22F5A" w:rsidP="00A22F5A">
            <w:pPr>
              <w:autoSpaceDE w:val="0"/>
              <w:autoSpaceDN w:val="0"/>
              <w:adjustRightInd w:val="0"/>
              <w:spacing w:before="120" w:after="120"/>
              <w:rPr>
                <w:b/>
                <w:bCs/>
              </w:rPr>
            </w:pPr>
            <w:r w:rsidRPr="00B516D8">
              <w:rPr>
                <w:b/>
                <w:bCs/>
              </w:rPr>
              <w:t>Résultat stratégique 1 : Le niveau de financement public pour le développement de la couverture sanitaire universelle est amélioré ;</w:t>
            </w:r>
          </w:p>
        </w:tc>
        <w:tc>
          <w:tcPr>
            <w:tcW w:w="4384" w:type="dxa"/>
          </w:tcPr>
          <w:p w:rsidR="00A22F5A" w:rsidRPr="002C6AC2" w:rsidRDefault="00A22F5A" w:rsidP="00C52415">
            <w:pPr>
              <w:numPr>
                <w:ilvl w:val="0"/>
                <w:numId w:val="17"/>
              </w:numPr>
              <w:ind w:left="186" w:right="108" w:hanging="142"/>
            </w:pPr>
            <w:r w:rsidRPr="002C6AC2">
              <w:t xml:space="preserve">Part du budget de secteur de la santé en 2022 </w:t>
            </w:r>
          </w:p>
          <w:p w:rsidR="00A22F5A" w:rsidRPr="002C6AC2" w:rsidRDefault="00A22F5A" w:rsidP="00C52415">
            <w:pPr>
              <w:numPr>
                <w:ilvl w:val="0"/>
                <w:numId w:val="17"/>
              </w:numPr>
              <w:ind w:left="186" w:right="108" w:hanging="142"/>
            </w:pPr>
            <w:r w:rsidRPr="002C6AC2">
              <w:t>% populations couvertes par le régime d’assurance maladie universelle en 2022.</w:t>
            </w:r>
          </w:p>
        </w:tc>
        <w:tc>
          <w:tcPr>
            <w:tcW w:w="2556" w:type="dxa"/>
            <w:vAlign w:val="center"/>
          </w:tcPr>
          <w:p w:rsidR="00A22F5A" w:rsidRDefault="00A22F5A" w:rsidP="00A22F5A">
            <w:pPr>
              <w:ind w:right="108"/>
            </w:pPr>
            <w:r>
              <w:t>-</w:t>
            </w:r>
            <w:r w:rsidRPr="0063316C">
              <w:t>Rapport d’évaluation</w:t>
            </w:r>
          </w:p>
          <w:p w:rsidR="00A22F5A" w:rsidRPr="0063316C" w:rsidRDefault="00A22F5A" w:rsidP="00A22F5A">
            <w:pPr>
              <w:ind w:right="108"/>
            </w:pPr>
            <w:r>
              <w:t>-Rapport bilan</w:t>
            </w:r>
          </w:p>
        </w:tc>
        <w:tc>
          <w:tcPr>
            <w:tcW w:w="2246" w:type="dxa"/>
            <w:vMerge w:val="restart"/>
            <w:vAlign w:val="center"/>
          </w:tcPr>
          <w:p w:rsidR="00A22F5A" w:rsidRPr="001860E1" w:rsidRDefault="00A22F5A" w:rsidP="00A22F5A">
            <w:pPr>
              <w:ind w:right="108"/>
              <w:rPr>
                <w:color w:val="FF0000"/>
              </w:rPr>
            </w:pPr>
            <w:r w:rsidRPr="00D2322C">
              <w:t>La</w:t>
            </w:r>
            <w:r>
              <w:t xml:space="preserve"> loi des finances</w:t>
            </w:r>
            <w:r w:rsidRPr="00D2322C">
              <w:t xml:space="preserve"> accorde plus de ressources au secteur de la santé</w:t>
            </w:r>
          </w:p>
        </w:tc>
      </w:tr>
      <w:tr w:rsidR="00A22F5A" w:rsidRPr="00451F4A" w:rsidTr="006D0263">
        <w:trPr>
          <w:trHeight w:val="557"/>
        </w:trPr>
        <w:tc>
          <w:tcPr>
            <w:tcW w:w="5529" w:type="dxa"/>
          </w:tcPr>
          <w:p w:rsidR="00A22F5A" w:rsidRPr="0063316C" w:rsidRDefault="00A22F5A" w:rsidP="00A22F5A">
            <w:pPr>
              <w:autoSpaceDE w:val="0"/>
              <w:autoSpaceDN w:val="0"/>
              <w:adjustRightInd w:val="0"/>
              <w:spacing w:before="120" w:after="120"/>
              <w:rPr>
                <w:bCs/>
              </w:rPr>
            </w:pPr>
            <w:r w:rsidRPr="00F628D3">
              <w:rPr>
                <w:b/>
                <w:bCs/>
              </w:rPr>
              <w:t>Effet 1.1 :</w:t>
            </w:r>
            <w:r w:rsidRPr="001860E1">
              <w:rPr>
                <w:bCs/>
              </w:rPr>
              <w:t xml:space="preserve"> Le niveau de financement public dédié au secteur de la santé a augmenté</w:t>
            </w:r>
          </w:p>
        </w:tc>
        <w:tc>
          <w:tcPr>
            <w:tcW w:w="4384" w:type="dxa"/>
          </w:tcPr>
          <w:p w:rsidR="00A22F5A" w:rsidRPr="001860E1" w:rsidRDefault="00A22F5A" w:rsidP="00A22F5A">
            <w:pPr>
              <w:ind w:right="108"/>
              <w:rPr>
                <w:color w:val="FF0000"/>
              </w:rPr>
            </w:pPr>
            <w:r>
              <w:t xml:space="preserve">Part du budget d’Etat dans le financement </w:t>
            </w:r>
            <w:r w:rsidRPr="0063316C">
              <w:t xml:space="preserve">du secteur de santé </w:t>
            </w:r>
          </w:p>
          <w:p w:rsidR="00A22F5A" w:rsidRPr="001860E1" w:rsidRDefault="00A22F5A" w:rsidP="00A22F5A">
            <w:pPr>
              <w:ind w:right="108"/>
              <w:rPr>
                <w:color w:val="FF0000"/>
              </w:rPr>
            </w:pPr>
            <w:r w:rsidRPr="001860E1">
              <w:rPr>
                <w:color w:val="FF0000"/>
              </w:rPr>
              <w:t xml:space="preserve"> </w:t>
            </w:r>
          </w:p>
        </w:tc>
        <w:tc>
          <w:tcPr>
            <w:tcW w:w="2556" w:type="dxa"/>
            <w:vAlign w:val="center"/>
          </w:tcPr>
          <w:p w:rsidR="00A22F5A" w:rsidRPr="0063316C" w:rsidRDefault="00A22F5A" w:rsidP="00A22F5A">
            <w:pPr>
              <w:ind w:right="108"/>
            </w:pPr>
            <w:r>
              <w:t>Rapport d’évaluation</w:t>
            </w:r>
          </w:p>
        </w:tc>
        <w:tc>
          <w:tcPr>
            <w:tcW w:w="2246" w:type="dxa"/>
            <w:vMerge/>
          </w:tcPr>
          <w:p w:rsidR="00A22F5A" w:rsidRPr="00451F4A" w:rsidRDefault="00A22F5A" w:rsidP="00A22F5A"/>
        </w:tc>
      </w:tr>
      <w:tr w:rsidR="00A22F5A" w:rsidRPr="00451F4A" w:rsidTr="006D0263">
        <w:trPr>
          <w:trHeight w:val="729"/>
        </w:trPr>
        <w:tc>
          <w:tcPr>
            <w:tcW w:w="5529" w:type="dxa"/>
          </w:tcPr>
          <w:p w:rsidR="00A22F5A" w:rsidRPr="00451F4A" w:rsidRDefault="00A22F5A" w:rsidP="00A22F5A">
            <w:pPr>
              <w:ind w:left="709" w:right="112"/>
            </w:pPr>
            <w:r w:rsidRPr="001860E1">
              <w:rPr>
                <w:b/>
              </w:rPr>
              <w:t xml:space="preserve">Extrant 1.1.1 : </w:t>
            </w:r>
            <w:r w:rsidRPr="001860E1">
              <w:t>La part du budget de l'Etat consacré au secteur santé a atteint au moins 15%</w:t>
            </w:r>
            <w:r>
              <w:t> </w:t>
            </w:r>
          </w:p>
        </w:tc>
        <w:tc>
          <w:tcPr>
            <w:tcW w:w="4384" w:type="dxa"/>
          </w:tcPr>
          <w:p w:rsidR="00A22F5A" w:rsidRPr="001860E1" w:rsidRDefault="00A22F5A" w:rsidP="00A22F5A">
            <w:pPr>
              <w:ind w:right="108"/>
              <w:rPr>
                <w:color w:val="FF0000"/>
              </w:rPr>
            </w:pPr>
            <w:r>
              <w:t xml:space="preserve">Part du budget d’Etat dans le financement </w:t>
            </w:r>
            <w:r w:rsidRPr="0063316C">
              <w:t xml:space="preserve">du secteur de santé </w:t>
            </w:r>
          </w:p>
          <w:p w:rsidR="00A22F5A" w:rsidRPr="00D2322C" w:rsidRDefault="00A22F5A" w:rsidP="00A22F5A">
            <w:pPr>
              <w:ind w:right="371"/>
            </w:pPr>
          </w:p>
        </w:tc>
        <w:tc>
          <w:tcPr>
            <w:tcW w:w="2556" w:type="dxa"/>
          </w:tcPr>
          <w:p w:rsidR="00A22F5A" w:rsidRDefault="00A22F5A" w:rsidP="00A22F5A">
            <w:pPr>
              <w:ind w:right="108"/>
            </w:pPr>
            <w:r>
              <w:t>-</w:t>
            </w:r>
            <w:r w:rsidRPr="00D2322C">
              <w:t>Rapport d’évaluation</w:t>
            </w:r>
          </w:p>
          <w:p w:rsidR="00A22F5A" w:rsidRPr="00D2322C" w:rsidRDefault="00A22F5A" w:rsidP="00A22F5A">
            <w:pPr>
              <w:ind w:right="108"/>
            </w:pPr>
            <w:r>
              <w:t>-Loi des finances</w:t>
            </w:r>
          </w:p>
        </w:tc>
        <w:tc>
          <w:tcPr>
            <w:tcW w:w="2246" w:type="dxa"/>
            <w:vMerge/>
          </w:tcPr>
          <w:p w:rsidR="00A22F5A" w:rsidRPr="00451F4A" w:rsidRDefault="00A22F5A" w:rsidP="00A22F5A"/>
        </w:tc>
      </w:tr>
      <w:tr w:rsidR="00A22F5A" w:rsidRPr="00451F4A" w:rsidTr="006D0263">
        <w:trPr>
          <w:trHeight w:val="755"/>
        </w:trPr>
        <w:tc>
          <w:tcPr>
            <w:tcW w:w="5529" w:type="dxa"/>
          </w:tcPr>
          <w:p w:rsidR="00A22F5A" w:rsidRPr="00451F4A" w:rsidRDefault="00A22F5A" w:rsidP="00A22F5A">
            <w:pPr>
              <w:ind w:left="709" w:right="112"/>
            </w:pPr>
            <w:r w:rsidRPr="006F0D47">
              <w:rPr>
                <w:b/>
                <w:bCs/>
              </w:rPr>
              <w:t>Extrant 1.1.2</w:t>
            </w:r>
            <w:r w:rsidRPr="00B516D8">
              <w:rPr>
                <w:bCs/>
              </w:rPr>
              <w:t xml:space="preserve"> : Le niveau des subventions des collectivités territoriales au financement de la santé a augmenté</w:t>
            </w:r>
            <w:r>
              <w:rPr>
                <w:bCs/>
              </w:rPr>
              <w:t> </w:t>
            </w:r>
          </w:p>
        </w:tc>
        <w:tc>
          <w:tcPr>
            <w:tcW w:w="4384" w:type="dxa"/>
          </w:tcPr>
          <w:p w:rsidR="00A22F5A" w:rsidRPr="00D2322C" w:rsidRDefault="00A22F5A" w:rsidP="00A22F5A">
            <w:pPr>
              <w:ind w:left="137" w:right="111" w:hanging="137"/>
            </w:pPr>
            <w:r w:rsidRPr="00D2322C">
              <w:t>% de l’apport  des collectivités territoriales au financement de la santé</w:t>
            </w:r>
          </w:p>
        </w:tc>
        <w:tc>
          <w:tcPr>
            <w:tcW w:w="2556" w:type="dxa"/>
          </w:tcPr>
          <w:p w:rsidR="00A22F5A" w:rsidRDefault="00A22F5A" w:rsidP="00A22F5A">
            <w:pPr>
              <w:ind w:right="108"/>
            </w:pPr>
            <w:r>
              <w:t>-</w:t>
            </w:r>
            <w:r w:rsidRPr="00D2322C">
              <w:t xml:space="preserve">Rapport d’activité </w:t>
            </w:r>
          </w:p>
          <w:p w:rsidR="00A22F5A" w:rsidRPr="00D2322C" w:rsidRDefault="00A22F5A" w:rsidP="00A22F5A">
            <w:pPr>
              <w:ind w:right="108"/>
            </w:pPr>
            <w:r>
              <w:t>-Plan d’actions des collectivités</w:t>
            </w:r>
          </w:p>
        </w:tc>
        <w:tc>
          <w:tcPr>
            <w:tcW w:w="2246" w:type="dxa"/>
          </w:tcPr>
          <w:p w:rsidR="00A22F5A" w:rsidRPr="00451F4A" w:rsidRDefault="00A22F5A" w:rsidP="00A22F5A">
            <w:r>
              <w:t xml:space="preserve">Les concertations sont réalisées </w:t>
            </w:r>
          </w:p>
        </w:tc>
      </w:tr>
      <w:tr w:rsidR="00A22F5A" w:rsidRPr="00451F4A" w:rsidTr="006D0263">
        <w:trPr>
          <w:trHeight w:val="775"/>
        </w:trPr>
        <w:tc>
          <w:tcPr>
            <w:tcW w:w="5529" w:type="dxa"/>
          </w:tcPr>
          <w:p w:rsidR="00A22F5A" w:rsidRPr="006F0D47" w:rsidRDefault="00A22F5A" w:rsidP="00A22F5A">
            <w:pPr>
              <w:ind w:right="112"/>
              <w:rPr>
                <w:b/>
                <w:bCs/>
              </w:rPr>
            </w:pPr>
            <w:r w:rsidRPr="00F628D3">
              <w:rPr>
                <w:b/>
                <w:bCs/>
              </w:rPr>
              <w:t>Effet 1.2</w:t>
            </w:r>
            <w:r w:rsidRPr="00B516D8">
              <w:rPr>
                <w:bCs/>
              </w:rPr>
              <w:t xml:space="preserve"> : Des ressources spécifiques sont mobilisées pour subventionner l'assurance maladie universelle</w:t>
            </w:r>
            <w:r>
              <w:rPr>
                <w:bCs/>
              </w:rPr>
              <w:t> </w:t>
            </w:r>
          </w:p>
        </w:tc>
        <w:tc>
          <w:tcPr>
            <w:tcW w:w="4384" w:type="dxa"/>
          </w:tcPr>
          <w:p w:rsidR="00A22F5A" w:rsidRPr="001860E1" w:rsidRDefault="00A22F5A" w:rsidP="00A22F5A">
            <w:pPr>
              <w:ind w:right="111"/>
              <w:rPr>
                <w:color w:val="FF0000"/>
              </w:rPr>
            </w:pPr>
            <w:r w:rsidRPr="0063316C">
              <w:t>% d</w:t>
            </w:r>
            <w:r>
              <w:t>e la subvention de financement de l’assurance maladie universelle</w:t>
            </w:r>
          </w:p>
        </w:tc>
        <w:tc>
          <w:tcPr>
            <w:tcW w:w="2556" w:type="dxa"/>
          </w:tcPr>
          <w:p w:rsidR="00A22F5A" w:rsidRPr="00451F4A" w:rsidRDefault="00A22F5A" w:rsidP="00A22F5A">
            <w:r w:rsidRPr="00D2322C">
              <w:t>Rapport d’activité</w:t>
            </w:r>
          </w:p>
        </w:tc>
        <w:tc>
          <w:tcPr>
            <w:tcW w:w="2246" w:type="dxa"/>
          </w:tcPr>
          <w:p w:rsidR="00A22F5A" w:rsidRPr="00451F4A" w:rsidRDefault="00A22F5A" w:rsidP="00A22F5A">
            <w:r>
              <w:t>Les financements sont disponibles</w:t>
            </w:r>
          </w:p>
        </w:tc>
      </w:tr>
      <w:tr w:rsidR="00A22F5A" w:rsidRPr="00451F4A" w:rsidTr="006D0263">
        <w:trPr>
          <w:trHeight w:val="584"/>
        </w:trPr>
        <w:tc>
          <w:tcPr>
            <w:tcW w:w="5529" w:type="dxa"/>
          </w:tcPr>
          <w:p w:rsidR="00A22F5A" w:rsidRPr="00F628D3" w:rsidRDefault="00A22F5A" w:rsidP="00A22F5A">
            <w:pPr>
              <w:ind w:left="709" w:right="112"/>
              <w:rPr>
                <w:b/>
                <w:bCs/>
              </w:rPr>
            </w:pPr>
            <w:r>
              <w:rPr>
                <w:b/>
                <w:bCs/>
              </w:rPr>
              <w:t xml:space="preserve">Extrant </w:t>
            </w:r>
            <w:r w:rsidRPr="00F628D3">
              <w:rPr>
                <w:b/>
                <w:bCs/>
              </w:rPr>
              <w:t>1.2.1</w:t>
            </w:r>
            <w:r w:rsidRPr="00B516D8">
              <w:rPr>
                <w:bCs/>
              </w:rPr>
              <w:t xml:space="preserve"> : L'assurance maladie universelle est promue comme un projet national de développement et de solidarité</w:t>
            </w:r>
            <w:r>
              <w:rPr>
                <w:bCs/>
              </w:rPr>
              <w:t> </w:t>
            </w:r>
          </w:p>
        </w:tc>
        <w:tc>
          <w:tcPr>
            <w:tcW w:w="4384" w:type="dxa"/>
          </w:tcPr>
          <w:p w:rsidR="00A22F5A" w:rsidRPr="00333DC7" w:rsidRDefault="00A22F5A" w:rsidP="00A22F5A">
            <w:pPr>
              <w:ind w:left="360" w:right="111" w:hanging="360"/>
            </w:pPr>
            <w:r w:rsidRPr="00333DC7">
              <w:t>%</w:t>
            </w:r>
            <w:r>
              <w:t xml:space="preserve"> de la population ayant adhéré au régime d’assurance maladie universelle</w:t>
            </w:r>
          </w:p>
        </w:tc>
        <w:tc>
          <w:tcPr>
            <w:tcW w:w="2556" w:type="dxa"/>
          </w:tcPr>
          <w:p w:rsidR="00A22F5A" w:rsidRPr="00451F4A" w:rsidRDefault="00A22F5A" w:rsidP="00A22F5A">
            <w:r>
              <w:t>Rapport d’activité</w:t>
            </w:r>
          </w:p>
        </w:tc>
        <w:tc>
          <w:tcPr>
            <w:tcW w:w="2246" w:type="dxa"/>
          </w:tcPr>
          <w:p w:rsidR="00A22F5A" w:rsidRPr="00451F4A" w:rsidRDefault="00A22F5A" w:rsidP="00A22F5A">
            <w:r>
              <w:t>Mise en œuvre d’une stratégie de communication</w:t>
            </w:r>
          </w:p>
        </w:tc>
      </w:tr>
      <w:tr w:rsidR="00A22F5A" w:rsidRPr="00333DC7" w:rsidTr="006D0263">
        <w:trPr>
          <w:trHeight w:val="717"/>
        </w:trPr>
        <w:tc>
          <w:tcPr>
            <w:tcW w:w="5529" w:type="dxa"/>
          </w:tcPr>
          <w:p w:rsidR="00A22F5A" w:rsidRPr="00333DC7" w:rsidRDefault="00A22F5A" w:rsidP="00A22F5A">
            <w:pPr>
              <w:ind w:left="709" w:right="112"/>
              <w:rPr>
                <w:b/>
                <w:bCs/>
              </w:rPr>
            </w:pPr>
            <w:r w:rsidRPr="00333DC7">
              <w:rPr>
                <w:b/>
                <w:bCs/>
              </w:rPr>
              <w:lastRenderedPageBreak/>
              <w:t>Extrant 1.2.2</w:t>
            </w:r>
            <w:r w:rsidRPr="00333DC7">
              <w:rPr>
                <w:bCs/>
              </w:rPr>
              <w:t xml:space="preserve"> : Une taxation spécifique dédiée au financement de l'AMU est instaurée pour rendre son développement pérenne </w:t>
            </w:r>
          </w:p>
        </w:tc>
        <w:tc>
          <w:tcPr>
            <w:tcW w:w="4384" w:type="dxa"/>
          </w:tcPr>
          <w:p w:rsidR="00A22F5A" w:rsidRDefault="00A22F5A" w:rsidP="00A22F5A">
            <w:pPr>
              <w:ind w:right="111" w:hanging="5"/>
            </w:pPr>
            <w:r w:rsidRPr="00333DC7">
              <w:t>-</w:t>
            </w:r>
            <w:r>
              <w:t>Existence de texte sur la taxation pour l’AMU</w:t>
            </w:r>
          </w:p>
          <w:p w:rsidR="00A22F5A" w:rsidRPr="00333DC7" w:rsidRDefault="00A22F5A" w:rsidP="00A22F5A">
            <w:pPr>
              <w:ind w:right="111" w:hanging="5"/>
            </w:pPr>
            <w:r>
              <w:t>-Niveau de financement de l’AMU à partir de nouvelles taxations</w:t>
            </w:r>
          </w:p>
        </w:tc>
        <w:tc>
          <w:tcPr>
            <w:tcW w:w="2556" w:type="dxa"/>
          </w:tcPr>
          <w:p w:rsidR="00A22F5A" w:rsidRDefault="00A22F5A" w:rsidP="00A22F5A">
            <w:r>
              <w:t>Journal officiel</w:t>
            </w:r>
          </w:p>
          <w:p w:rsidR="00A22F5A" w:rsidRDefault="00A22F5A" w:rsidP="00A22F5A"/>
          <w:p w:rsidR="00A22F5A" w:rsidRDefault="00A22F5A" w:rsidP="00A22F5A">
            <w:r>
              <w:t>Rapport d’activité</w:t>
            </w:r>
          </w:p>
          <w:p w:rsidR="00A22F5A" w:rsidRPr="00333DC7" w:rsidRDefault="00A22F5A" w:rsidP="00A22F5A"/>
        </w:tc>
        <w:tc>
          <w:tcPr>
            <w:tcW w:w="2246" w:type="dxa"/>
          </w:tcPr>
          <w:p w:rsidR="00A22F5A" w:rsidRPr="0078478F" w:rsidRDefault="00A22F5A" w:rsidP="00A22F5A">
            <w:r>
              <w:t>Les études complémentaires réalisées sur le financement innovant</w:t>
            </w:r>
          </w:p>
        </w:tc>
      </w:tr>
      <w:tr w:rsidR="00A22F5A" w:rsidRPr="00333DC7" w:rsidTr="006D0263">
        <w:trPr>
          <w:trHeight w:val="584"/>
        </w:trPr>
        <w:tc>
          <w:tcPr>
            <w:tcW w:w="5529" w:type="dxa"/>
          </w:tcPr>
          <w:p w:rsidR="00A22F5A" w:rsidRPr="00333DC7" w:rsidRDefault="00A22F5A" w:rsidP="00A22F5A">
            <w:pPr>
              <w:ind w:right="112"/>
              <w:rPr>
                <w:b/>
                <w:bCs/>
              </w:rPr>
            </w:pPr>
            <w:r w:rsidRPr="00333DC7">
              <w:rPr>
                <w:b/>
                <w:bCs/>
              </w:rPr>
              <w:t>Effet 1.3</w:t>
            </w:r>
            <w:r w:rsidRPr="00333DC7">
              <w:rPr>
                <w:bCs/>
              </w:rPr>
              <w:t xml:space="preserve"> : Le volume des financements extérieurs prévisibles et maîtrisables a augmenté </w:t>
            </w:r>
          </w:p>
        </w:tc>
        <w:tc>
          <w:tcPr>
            <w:tcW w:w="4384" w:type="dxa"/>
          </w:tcPr>
          <w:p w:rsidR="00A22F5A" w:rsidRPr="00333DC7" w:rsidRDefault="00A22F5A" w:rsidP="00A22F5A">
            <w:pPr>
              <w:ind w:left="360" w:right="111" w:hanging="360"/>
            </w:pPr>
            <w:r>
              <w:t xml:space="preserve">% du financement du PRODESS par les PTF  </w:t>
            </w:r>
          </w:p>
        </w:tc>
        <w:tc>
          <w:tcPr>
            <w:tcW w:w="2556" w:type="dxa"/>
          </w:tcPr>
          <w:p w:rsidR="00A22F5A" w:rsidRPr="00333DC7" w:rsidRDefault="00A22F5A" w:rsidP="00A22F5A">
            <w:r>
              <w:t>Rapport d’évaluation du PRODESS</w:t>
            </w:r>
          </w:p>
        </w:tc>
        <w:tc>
          <w:tcPr>
            <w:tcW w:w="2246" w:type="dxa"/>
            <w:vMerge w:val="restart"/>
            <w:vAlign w:val="center"/>
          </w:tcPr>
          <w:p w:rsidR="00A22F5A" w:rsidRPr="00333DC7" w:rsidRDefault="00A22F5A" w:rsidP="00A22F5A">
            <w:r>
              <w:t>Les instances du PRODESS sont tenues régulièrement</w:t>
            </w:r>
          </w:p>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1.3.1</w:t>
            </w:r>
            <w:r w:rsidRPr="00333DC7">
              <w:rPr>
                <w:bCs/>
              </w:rPr>
              <w:t xml:space="preserve"> : La maîtrise du dialogue sectoriel est améliorée </w:t>
            </w:r>
          </w:p>
        </w:tc>
        <w:tc>
          <w:tcPr>
            <w:tcW w:w="4384" w:type="dxa"/>
          </w:tcPr>
          <w:p w:rsidR="00A22F5A" w:rsidRPr="00333DC7" w:rsidRDefault="00A22F5A" w:rsidP="00A22F5A">
            <w:pPr>
              <w:ind w:left="360" w:right="111" w:hanging="360"/>
            </w:pPr>
            <w:r>
              <w:t>Nombre de rencontre du PRODESS</w:t>
            </w:r>
          </w:p>
        </w:tc>
        <w:tc>
          <w:tcPr>
            <w:tcW w:w="2556" w:type="dxa"/>
          </w:tcPr>
          <w:p w:rsidR="00A22F5A" w:rsidRPr="00333DC7" w:rsidRDefault="00A22F5A" w:rsidP="00A22F5A">
            <w:r>
              <w:t>Rapport d’évaluation du PRODESS</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1.3.2</w:t>
            </w:r>
            <w:r w:rsidRPr="00333DC7">
              <w:rPr>
                <w:bCs/>
              </w:rPr>
              <w:t xml:space="preserve"> : L'alignement des PTF sur les stratégies du secteur de la santé est amélioré </w:t>
            </w:r>
          </w:p>
        </w:tc>
        <w:tc>
          <w:tcPr>
            <w:tcW w:w="4384" w:type="dxa"/>
          </w:tcPr>
          <w:p w:rsidR="00A22F5A" w:rsidRDefault="00A22F5A" w:rsidP="00A22F5A">
            <w:pPr>
              <w:ind w:left="360" w:right="111" w:hanging="360"/>
            </w:pPr>
            <w:r>
              <w:t>-Existence du COMPACT</w:t>
            </w:r>
          </w:p>
          <w:p w:rsidR="00A22F5A" w:rsidRPr="00333DC7" w:rsidRDefault="00A22F5A" w:rsidP="00A22F5A">
            <w:pPr>
              <w:ind w:left="360" w:right="111" w:hanging="360"/>
            </w:pPr>
            <w:r>
              <w:t>-% de PTF du COMPACT</w:t>
            </w:r>
          </w:p>
        </w:tc>
        <w:tc>
          <w:tcPr>
            <w:tcW w:w="2556" w:type="dxa"/>
          </w:tcPr>
          <w:p w:rsidR="00A22F5A" w:rsidRPr="00333DC7" w:rsidRDefault="00A22F5A" w:rsidP="00A22F5A">
            <w:r>
              <w:t>Rapport d’évaluation du PRODESS</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1.3.3</w:t>
            </w:r>
            <w:r w:rsidRPr="00333DC7">
              <w:rPr>
                <w:bCs/>
              </w:rPr>
              <w:t xml:space="preserve"> : Le jumelage et la coopération décentralisée sont encouragés </w:t>
            </w:r>
          </w:p>
        </w:tc>
        <w:tc>
          <w:tcPr>
            <w:tcW w:w="4384" w:type="dxa"/>
          </w:tcPr>
          <w:p w:rsidR="00A22F5A" w:rsidRDefault="00A22F5A" w:rsidP="00A22F5A">
            <w:pPr>
              <w:ind w:left="360" w:right="111" w:hanging="360"/>
            </w:pPr>
            <w:r>
              <w:t>-Disponibilité de carte de jumelage</w:t>
            </w:r>
          </w:p>
          <w:p w:rsidR="00A22F5A" w:rsidRPr="00333DC7" w:rsidRDefault="00A22F5A" w:rsidP="00A22F5A">
            <w:pPr>
              <w:ind w:left="360" w:right="111" w:hanging="360"/>
            </w:pPr>
            <w:r>
              <w:t xml:space="preserve">-Nombre de jumelage </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right="112"/>
              <w:rPr>
                <w:b/>
                <w:bCs/>
              </w:rPr>
            </w:pPr>
            <w:r w:rsidRPr="00333DC7">
              <w:rPr>
                <w:b/>
                <w:bCs/>
              </w:rPr>
              <w:t xml:space="preserve">Résultat stratégique 2 : </w:t>
            </w:r>
            <w:r w:rsidRPr="00333DC7">
              <w:rPr>
                <w:bCs/>
              </w:rPr>
              <w:t>Une meilleure allocation des ressources est garantie</w:t>
            </w:r>
            <w:r w:rsidRPr="00333DC7">
              <w:rPr>
                <w:b/>
                <w:bCs/>
              </w:rPr>
              <w:t> </w:t>
            </w:r>
          </w:p>
        </w:tc>
        <w:tc>
          <w:tcPr>
            <w:tcW w:w="4384" w:type="dxa"/>
          </w:tcPr>
          <w:p w:rsidR="00A22F5A" w:rsidRPr="00333DC7" w:rsidRDefault="00A22F5A" w:rsidP="00A22F5A">
            <w:pPr>
              <w:ind w:left="360" w:right="111" w:hanging="360"/>
            </w:pPr>
            <w:r>
              <w:t>Répartition du financement par niveau</w:t>
            </w:r>
          </w:p>
        </w:tc>
        <w:tc>
          <w:tcPr>
            <w:tcW w:w="2556" w:type="dxa"/>
          </w:tcPr>
          <w:p w:rsidR="00A22F5A" w:rsidRPr="00333DC7" w:rsidRDefault="00A22F5A" w:rsidP="00A22F5A">
            <w:r>
              <w:t>Rapport d’activité</w:t>
            </w:r>
          </w:p>
        </w:tc>
        <w:tc>
          <w:tcPr>
            <w:tcW w:w="2246" w:type="dxa"/>
            <w:vMerge w:val="restart"/>
            <w:vAlign w:val="center"/>
          </w:tcPr>
          <w:p w:rsidR="00A22F5A" w:rsidRPr="00333DC7" w:rsidRDefault="00A22F5A" w:rsidP="00A22F5A">
            <w:r>
              <w:t>Le système d’allocation des ressources est régulièrement évalué</w:t>
            </w:r>
          </w:p>
        </w:tc>
      </w:tr>
      <w:tr w:rsidR="00A22F5A" w:rsidRPr="00333DC7" w:rsidTr="006D0263">
        <w:trPr>
          <w:trHeight w:val="584"/>
        </w:trPr>
        <w:tc>
          <w:tcPr>
            <w:tcW w:w="5529" w:type="dxa"/>
          </w:tcPr>
          <w:p w:rsidR="00A22F5A" w:rsidRPr="00333DC7" w:rsidRDefault="00A22F5A" w:rsidP="00A22F5A">
            <w:pPr>
              <w:ind w:right="112"/>
              <w:rPr>
                <w:b/>
                <w:bCs/>
              </w:rPr>
            </w:pPr>
            <w:r w:rsidRPr="00333DC7">
              <w:rPr>
                <w:b/>
                <w:bCs/>
              </w:rPr>
              <w:t>Effet 2.1 :</w:t>
            </w:r>
            <w:r w:rsidRPr="00333DC7">
              <w:rPr>
                <w:bCs/>
              </w:rPr>
              <w:t xml:space="preserve"> Un système d'allocation des financements sur la base d'objectifs d'efficience et d'équité est mis en place </w:t>
            </w:r>
          </w:p>
        </w:tc>
        <w:tc>
          <w:tcPr>
            <w:tcW w:w="4384" w:type="dxa"/>
          </w:tcPr>
          <w:p w:rsidR="00A22F5A" w:rsidRPr="00333DC7" w:rsidRDefault="00A22F5A" w:rsidP="00A22F5A">
            <w:pPr>
              <w:ind w:left="360" w:right="111" w:hanging="360"/>
            </w:pPr>
            <w:r>
              <w:t>Répartition du financement par niveau</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2.1.1</w:t>
            </w:r>
            <w:r w:rsidRPr="00333DC7">
              <w:rPr>
                <w:bCs/>
              </w:rPr>
              <w:t> : Des outils de planification stratégique sont élaborés </w:t>
            </w:r>
          </w:p>
        </w:tc>
        <w:tc>
          <w:tcPr>
            <w:tcW w:w="4384" w:type="dxa"/>
          </w:tcPr>
          <w:p w:rsidR="00A22F5A" w:rsidRPr="00333DC7" w:rsidRDefault="00A22F5A" w:rsidP="00A22F5A">
            <w:pPr>
              <w:ind w:left="360" w:right="111" w:hanging="360"/>
            </w:pPr>
            <w:r>
              <w:t>Disponibilité des outils</w:t>
            </w:r>
          </w:p>
        </w:tc>
        <w:tc>
          <w:tcPr>
            <w:tcW w:w="2556" w:type="dxa"/>
          </w:tcPr>
          <w:p w:rsidR="00A22F5A" w:rsidRPr="00333DC7" w:rsidRDefault="00A22F5A" w:rsidP="00A22F5A">
            <w:r>
              <w:t>Inventaire du matériel</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Cs/>
              </w:rPr>
            </w:pPr>
            <w:r w:rsidRPr="00333DC7">
              <w:rPr>
                <w:b/>
                <w:bCs/>
              </w:rPr>
              <w:t>Extrant 2.1.2 :</w:t>
            </w:r>
            <w:r w:rsidRPr="00333DC7">
              <w:rPr>
                <w:bCs/>
              </w:rPr>
              <w:t xml:space="preserve"> La capacité de production des soins par les structures de santé a augmenté </w:t>
            </w:r>
          </w:p>
        </w:tc>
        <w:tc>
          <w:tcPr>
            <w:tcW w:w="4384" w:type="dxa"/>
          </w:tcPr>
          <w:p w:rsidR="00A22F5A" w:rsidRPr="00333DC7" w:rsidRDefault="00A22F5A" w:rsidP="00A22F5A">
            <w:pPr>
              <w:ind w:left="360" w:right="111" w:hanging="360"/>
            </w:pPr>
            <w:r>
              <w:t>Disponibilité des ressources humaines et matérielles de qualité</w:t>
            </w:r>
          </w:p>
        </w:tc>
        <w:tc>
          <w:tcPr>
            <w:tcW w:w="2556" w:type="dxa"/>
          </w:tcPr>
          <w:p w:rsidR="00A22F5A" w:rsidRPr="00333DC7" w:rsidRDefault="00A22F5A" w:rsidP="00A22F5A">
            <w:r>
              <w:t>Rapport bilan</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Cs/>
              </w:rPr>
            </w:pPr>
            <w:r w:rsidRPr="00333DC7">
              <w:rPr>
                <w:b/>
                <w:bCs/>
              </w:rPr>
              <w:t>Extrant 2.1.3</w:t>
            </w:r>
            <w:r w:rsidRPr="00333DC7">
              <w:rPr>
                <w:bCs/>
              </w:rPr>
              <w:t xml:space="preserve"> : Le système d'allocation est règlementé sur la base des contrats de performances </w:t>
            </w:r>
          </w:p>
        </w:tc>
        <w:tc>
          <w:tcPr>
            <w:tcW w:w="4384" w:type="dxa"/>
          </w:tcPr>
          <w:p w:rsidR="00A22F5A" w:rsidRPr="00333DC7" w:rsidRDefault="00A22F5A" w:rsidP="00A22F5A">
            <w:pPr>
              <w:ind w:left="360" w:right="111" w:hanging="360"/>
            </w:pPr>
            <w:r>
              <w:t>Nombre de contrat de performance mis en place</w:t>
            </w:r>
          </w:p>
        </w:tc>
        <w:tc>
          <w:tcPr>
            <w:tcW w:w="2556" w:type="dxa"/>
          </w:tcPr>
          <w:p w:rsidR="00A22F5A" w:rsidRPr="00333DC7" w:rsidRDefault="00A22F5A" w:rsidP="00A22F5A">
            <w:r>
              <w:t>Contrats</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Cs/>
              </w:rPr>
            </w:pPr>
            <w:r w:rsidRPr="00333DC7">
              <w:rPr>
                <w:b/>
                <w:bCs/>
              </w:rPr>
              <w:t>Extrant 2.1.4</w:t>
            </w:r>
            <w:r w:rsidRPr="00333DC7">
              <w:rPr>
                <w:bCs/>
              </w:rPr>
              <w:t xml:space="preserve"> : L'équité et l'accessibilité aux soins de santé au profit du secteur informel et rural sont renforcés </w:t>
            </w:r>
          </w:p>
        </w:tc>
        <w:tc>
          <w:tcPr>
            <w:tcW w:w="4384" w:type="dxa"/>
          </w:tcPr>
          <w:p w:rsidR="00A22F5A" w:rsidRDefault="00A22F5A" w:rsidP="00A22F5A">
            <w:pPr>
              <w:ind w:left="360" w:right="111" w:hanging="360"/>
            </w:pPr>
            <w:r>
              <w:t>Nombre de mutuelles sociales</w:t>
            </w:r>
          </w:p>
          <w:p w:rsidR="00A22F5A" w:rsidRPr="00333DC7" w:rsidRDefault="00A22F5A" w:rsidP="00A22F5A">
            <w:pPr>
              <w:ind w:left="360" w:right="111" w:hanging="360"/>
            </w:pPr>
            <w:r>
              <w:t>% de population couvert par les mutuelles sociales</w:t>
            </w:r>
          </w:p>
        </w:tc>
        <w:tc>
          <w:tcPr>
            <w:tcW w:w="2556" w:type="dxa"/>
          </w:tcPr>
          <w:p w:rsidR="00A22F5A" w:rsidRPr="00333DC7" w:rsidRDefault="00A22F5A" w:rsidP="00A22F5A">
            <w:r>
              <w:t>Rapport d’activité</w:t>
            </w:r>
          </w:p>
        </w:tc>
        <w:tc>
          <w:tcPr>
            <w:tcW w:w="2246" w:type="dxa"/>
            <w:vMerge w:val="restart"/>
            <w:vAlign w:val="center"/>
          </w:tcPr>
          <w:p w:rsidR="00A22F5A" w:rsidRPr="00333DC7" w:rsidRDefault="00A22F5A" w:rsidP="00A22F5A">
            <w:r>
              <w:t>Les acteurs sont engagés</w:t>
            </w:r>
          </w:p>
        </w:tc>
      </w:tr>
      <w:tr w:rsidR="00A22F5A" w:rsidRPr="00333DC7" w:rsidTr="006D0263">
        <w:trPr>
          <w:trHeight w:val="584"/>
        </w:trPr>
        <w:tc>
          <w:tcPr>
            <w:tcW w:w="5529" w:type="dxa"/>
          </w:tcPr>
          <w:p w:rsidR="00A22F5A" w:rsidRPr="00333DC7" w:rsidRDefault="00A22F5A" w:rsidP="00A22F5A">
            <w:pPr>
              <w:ind w:left="709" w:right="112"/>
              <w:rPr>
                <w:bCs/>
              </w:rPr>
            </w:pPr>
            <w:r w:rsidRPr="00333DC7">
              <w:rPr>
                <w:b/>
                <w:bCs/>
              </w:rPr>
              <w:lastRenderedPageBreak/>
              <w:t>Extrant 2.1.5</w:t>
            </w:r>
            <w:r w:rsidRPr="00333DC7">
              <w:rPr>
                <w:bCs/>
              </w:rPr>
              <w:t xml:space="preserve"> : La disponibilité des ressources humaines compétentes en gestion à tous les niveaux est assurée </w:t>
            </w:r>
          </w:p>
        </w:tc>
        <w:tc>
          <w:tcPr>
            <w:tcW w:w="4384" w:type="dxa"/>
          </w:tcPr>
          <w:p w:rsidR="00A22F5A" w:rsidRPr="00333DC7" w:rsidRDefault="00A22F5A" w:rsidP="00A22F5A">
            <w:pPr>
              <w:ind w:left="360" w:right="111" w:hanging="360"/>
            </w:pPr>
            <w:r>
              <w:t xml:space="preserve">Taux d’augmentation des ressources humaines </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right="112"/>
              <w:rPr>
                <w:b/>
                <w:bCs/>
              </w:rPr>
            </w:pPr>
            <w:r w:rsidRPr="00333DC7">
              <w:rPr>
                <w:b/>
                <w:bCs/>
              </w:rPr>
              <w:t>Effet 2.2 :</w:t>
            </w:r>
            <w:r w:rsidRPr="00333DC7">
              <w:rPr>
                <w:bCs/>
              </w:rPr>
              <w:t xml:space="preserve"> La certification et la mise en place de modalités de tarification adéquates sont développées </w:t>
            </w:r>
          </w:p>
        </w:tc>
        <w:tc>
          <w:tcPr>
            <w:tcW w:w="4384" w:type="dxa"/>
          </w:tcPr>
          <w:p w:rsidR="00A22F5A" w:rsidRPr="00333DC7" w:rsidRDefault="00A22F5A" w:rsidP="00A22F5A">
            <w:pPr>
              <w:ind w:left="360" w:right="111" w:hanging="360"/>
            </w:pPr>
            <w:r>
              <w:t>Nombre de structures certifiées</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2.2.1</w:t>
            </w:r>
            <w:r w:rsidRPr="00333DC7">
              <w:rPr>
                <w:bCs/>
              </w:rPr>
              <w:t> : Les missions de l'ANEH sont révisées pour prendre en compte l'accréditation du système de santé </w:t>
            </w:r>
          </w:p>
        </w:tc>
        <w:tc>
          <w:tcPr>
            <w:tcW w:w="4384" w:type="dxa"/>
          </w:tcPr>
          <w:p w:rsidR="00A22F5A" w:rsidRPr="00333DC7" w:rsidRDefault="00A22F5A" w:rsidP="00A22F5A">
            <w:pPr>
              <w:ind w:left="360" w:right="111" w:hanging="360"/>
            </w:pPr>
            <w:r w:rsidRPr="00333DC7">
              <w:t xml:space="preserve">Existence de textes relus </w:t>
            </w:r>
            <w:r>
              <w:t>de l’ANEH</w:t>
            </w:r>
          </w:p>
        </w:tc>
        <w:tc>
          <w:tcPr>
            <w:tcW w:w="2556" w:type="dxa"/>
          </w:tcPr>
          <w:p w:rsidR="00A22F5A" w:rsidRPr="00333DC7" w:rsidRDefault="00A22F5A" w:rsidP="00A22F5A">
            <w:r>
              <w:t>Journal officiel</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Cs/>
              </w:rPr>
            </w:pPr>
            <w:r w:rsidRPr="00333DC7">
              <w:rPr>
                <w:b/>
                <w:bCs/>
              </w:rPr>
              <w:t>Extrant 2.2.2</w:t>
            </w:r>
            <w:r w:rsidRPr="00333DC7">
              <w:rPr>
                <w:bCs/>
              </w:rPr>
              <w:t> : La gestion hospitalière et des prestations de services de santé publics sont améliorées </w:t>
            </w:r>
          </w:p>
        </w:tc>
        <w:tc>
          <w:tcPr>
            <w:tcW w:w="4384" w:type="dxa"/>
          </w:tcPr>
          <w:p w:rsidR="00A22F5A" w:rsidRPr="00333DC7" w:rsidRDefault="00A22F5A" w:rsidP="00A22F5A">
            <w:pPr>
              <w:ind w:left="360" w:right="111" w:hanging="360"/>
            </w:pPr>
            <w:r>
              <w:t>Nombre de contrat de performance</w:t>
            </w:r>
          </w:p>
        </w:tc>
        <w:tc>
          <w:tcPr>
            <w:tcW w:w="2556" w:type="dxa"/>
          </w:tcPr>
          <w:p w:rsidR="00A22F5A" w:rsidRPr="00333DC7" w:rsidRDefault="00A22F5A" w:rsidP="00A22F5A">
            <w:r>
              <w:t>Rapport d’évaluation</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Cs/>
              </w:rPr>
            </w:pPr>
            <w:r w:rsidRPr="00333DC7">
              <w:rPr>
                <w:b/>
                <w:bCs/>
              </w:rPr>
              <w:t>Extrant 2.2.3</w:t>
            </w:r>
            <w:r w:rsidRPr="00333DC7">
              <w:rPr>
                <w:bCs/>
              </w:rPr>
              <w:t> : La formation du personnel en management et en gestion est réalisée </w:t>
            </w:r>
          </w:p>
        </w:tc>
        <w:tc>
          <w:tcPr>
            <w:tcW w:w="4384" w:type="dxa"/>
          </w:tcPr>
          <w:p w:rsidR="00A22F5A" w:rsidRPr="00333DC7" w:rsidRDefault="00A22F5A" w:rsidP="00A22F5A">
            <w:pPr>
              <w:ind w:left="360" w:right="111" w:hanging="360"/>
            </w:pPr>
            <w:r>
              <w:t>Nombre d’agents formés en management et en gestion</w:t>
            </w:r>
          </w:p>
        </w:tc>
        <w:tc>
          <w:tcPr>
            <w:tcW w:w="2556" w:type="dxa"/>
          </w:tcPr>
          <w:p w:rsidR="00A22F5A" w:rsidRPr="00333DC7" w:rsidRDefault="00A22F5A" w:rsidP="00A22F5A">
            <w:r>
              <w:t>Rapport de formation</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Cs/>
              </w:rPr>
            </w:pPr>
            <w:r w:rsidRPr="00333DC7">
              <w:rPr>
                <w:b/>
                <w:bCs/>
              </w:rPr>
              <w:t>Extrant 2.2.4</w:t>
            </w:r>
            <w:r w:rsidRPr="00333DC7">
              <w:rPr>
                <w:bCs/>
              </w:rPr>
              <w:t> : Les conditions de tarification sont améliorées </w:t>
            </w:r>
          </w:p>
        </w:tc>
        <w:tc>
          <w:tcPr>
            <w:tcW w:w="4384" w:type="dxa"/>
          </w:tcPr>
          <w:p w:rsidR="00A22F5A" w:rsidRPr="00333DC7" w:rsidRDefault="00A22F5A" w:rsidP="00A22F5A">
            <w:pPr>
              <w:ind w:left="360" w:right="111" w:hanging="360"/>
            </w:pPr>
            <w:r>
              <w:t>Taux d’application de la nouvelle tarification</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right="112"/>
              <w:rPr>
                <w:bCs/>
              </w:rPr>
            </w:pPr>
            <w:r w:rsidRPr="00333DC7">
              <w:rPr>
                <w:b/>
                <w:bCs/>
              </w:rPr>
              <w:t>Effet 2.3</w:t>
            </w:r>
            <w:r w:rsidRPr="00333DC7">
              <w:rPr>
                <w:bCs/>
              </w:rPr>
              <w:t xml:space="preserve"> : Les priorités du secteur et le contexte national sont pris en compte dans l'allocation des ressources </w:t>
            </w:r>
          </w:p>
        </w:tc>
        <w:tc>
          <w:tcPr>
            <w:tcW w:w="4384" w:type="dxa"/>
          </w:tcPr>
          <w:p w:rsidR="00A22F5A" w:rsidRPr="00333DC7" w:rsidRDefault="00A22F5A" w:rsidP="00A22F5A">
            <w:pPr>
              <w:ind w:left="360" w:right="111" w:hanging="360"/>
            </w:pPr>
            <w:r>
              <w:t>Taux de répartition des ressources</w:t>
            </w:r>
          </w:p>
        </w:tc>
        <w:tc>
          <w:tcPr>
            <w:tcW w:w="2556" w:type="dxa"/>
          </w:tcPr>
          <w:p w:rsidR="00A22F5A" w:rsidRPr="00333DC7" w:rsidRDefault="00A22F5A" w:rsidP="00A22F5A">
            <w:r>
              <w:t>Rapport bilan</w:t>
            </w:r>
          </w:p>
        </w:tc>
        <w:tc>
          <w:tcPr>
            <w:tcW w:w="2246" w:type="dxa"/>
            <w:vMerge w:val="restart"/>
            <w:vAlign w:val="center"/>
          </w:tcPr>
          <w:p w:rsidR="00A22F5A" w:rsidRPr="00333DC7" w:rsidRDefault="00A22F5A" w:rsidP="00A22F5A">
            <w:r>
              <w:t>Disponibilité des ressources financières</w:t>
            </w:r>
          </w:p>
        </w:tc>
      </w:tr>
      <w:tr w:rsidR="00A22F5A" w:rsidRPr="00333DC7" w:rsidTr="006D0263">
        <w:trPr>
          <w:trHeight w:val="584"/>
        </w:trPr>
        <w:tc>
          <w:tcPr>
            <w:tcW w:w="5529" w:type="dxa"/>
          </w:tcPr>
          <w:p w:rsidR="00A22F5A" w:rsidRPr="00333DC7" w:rsidRDefault="00A22F5A" w:rsidP="00A22F5A">
            <w:pPr>
              <w:ind w:left="709" w:right="112"/>
              <w:rPr>
                <w:bCs/>
              </w:rPr>
            </w:pPr>
            <w:r w:rsidRPr="00333DC7">
              <w:rPr>
                <w:b/>
                <w:bCs/>
              </w:rPr>
              <w:t>Extrant 2.3.1</w:t>
            </w:r>
            <w:r w:rsidRPr="00333DC7">
              <w:rPr>
                <w:bCs/>
              </w:rPr>
              <w:t> : Le lien entre l'allocation des ressources et les priorités du secteur est assuré </w:t>
            </w:r>
          </w:p>
        </w:tc>
        <w:tc>
          <w:tcPr>
            <w:tcW w:w="4384" w:type="dxa"/>
          </w:tcPr>
          <w:p w:rsidR="00A22F5A" w:rsidRPr="00333DC7" w:rsidRDefault="00A22F5A" w:rsidP="00A22F5A">
            <w:pPr>
              <w:ind w:left="360" w:right="111" w:hanging="360"/>
            </w:pPr>
            <w:r>
              <w:t>Taux de répartition des ressources</w:t>
            </w:r>
          </w:p>
        </w:tc>
        <w:tc>
          <w:tcPr>
            <w:tcW w:w="2556" w:type="dxa"/>
          </w:tcPr>
          <w:p w:rsidR="00A22F5A" w:rsidRPr="00333DC7" w:rsidRDefault="00A22F5A" w:rsidP="00A22F5A">
            <w:r>
              <w:t>Rapport bilan</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Cs/>
              </w:rPr>
            </w:pPr>
            <w:r w:rsidRPr="00333DC7">
              <w:rPr>
                <w:b/>
                <w:bCs/>
              </w:rPr>
              <w:t>Extrant 2.3.2 :</w:t>
            </w:r>
            <w:r w:rsidRPr="00333DC7">
              <w:rPr>
                <w:bCs/>
              </w:rPr>
              <w:t xml:space="preserve"> Les cadres de concertation intersectoriels requis par certaines priorités sanitaires (eau et assainissement, lutte contre la malnutrition, éducation à la santé..) sont développés</w:t>
            </w:r>
          </w:p>
        </w:tc>
        <w:tc>
          <w:tcPr>
            <w:tcW w:w="4384" w:type="dxa"/>
          </w:tcPr>
          <w:p w:rsidR="00A22F5A" w:rsidRPr="00333DC7" w:rsidRDefault="00A22F5A" w:rsidP="00A22F5A">
            <w:pPr>
              <w:ind w:left="360" w:right="111" w:hanging="360"/>
            </w:pPr>
            <w:r>
              <w:t>Nombre de rencontre</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Cs/>
              </w:rPr>
            </w:pPr>
            <w:r w:rsidRPr="00333DC7">
              <w:rPr>
                <w:b/>
                <w:bCs/>
              </w:rPr>
              <w:t>Extrant 2.3.3</w:t>
            </w:r>
            <w:r w:rsidRPr="00333DC7">
              <w:rPr>
                <w:bCs/>
              </w:rPr>
              <w:t> : Les moyens sont mis à disposition pour le renforcement de la résilience des populations </w:t>
            </w:r>
          </w:p>
        </w:tc>
        <w:tc>
          <w:tcPr>
            <w:tcW w:w="4384" w:type="dxa"/>
          </w:tcPr>
          <w:p w:rsidR="00A22F5A" w:rsidRPr="00333DC7" w:rsidRDefault="00A22F5A" w:rsidP="00A22F5A">
            <w:pPr>
              <w:ind w:left="360" w:right="111" w:hanging="360"/>
            </w:pPr>
            <w:r>
              <w:t xml:space="preserve">Nombre de bénéficiaires des transferts monétaires </w:t>
            </w:r>
          </w:p>
        </w:tc>
        <w:tc>
          <w:tcPr>
            <w:tcW w:w="2556" w:type="dxa"/>
          </w:tcPr>
          <w:p w:rsidR="00A22F5A" w:rsidRPr="00333DC7" w:rsidRDefault="00A22F5A" w:rsidP="00A22F5A">
            <w:r>
              <w:t>Rapport d’activité</w:t>
            </w:r>
          </w:p>
        </w:tc>
        <w:tc>
          <w:tcPr>
            <w:tcW w:w="2246" w:type="dxa"/>
          </w:tcPr>
          <w:p w:rsidR="00A22F5A" w:rsidRPr="00333DC7" w:rsidRDefault="00A22F5A" w:rsidP="00A22F5A">
            <w:r>
              <w:t>Disponibilité des ressources financières</w:t>
            </w:r>
          </w:p>
        </w:tc>
      </w:tr>
      <w:tr w:rsidR="00A22F5A" w:rsidRPr="00333DC7" w:rsidTr="006D0263">
        <w:trPr>
          <w:trHeight w:val="584"/>
        </w:trPr>
        <w:tc>
          <w:tcPr>
            <w:tcW w:w="5529" w:type="dxa"/>
          </w:tcPr>
          <w:p w:rsidR="00A22F5A" w:rsidRPr="00333DC7" w:rsidRDefault="00A22F5A" w:rsidP="00A22F5A">
            <w:pPr>
              <w:ind w:right="112"/>
              <w:rPr>
                <w:bCs/>
              </w:rPr>
            </w:pPr>
            <w:r w:rsidRPr="00333DC7">
              <w:rPr>
                <w:b/>
                <w:bCs/>
              </w:rPr>
              <w:t>Effet 2.4 :</w:t>
            </w:r>
            <w:r w:rsidRPr="00333DC7">
              <w:rPr>
                <w:bCs/>
              </w:rPr>
              <w:t xml:space="preserve"> Une stratégie de partenariat avec le secteur privé est développée dans le secteur de la santé </w:t>
            </w:r>
          </w:p>
        </w:tc>
        <w:tc>
          <w:tcPr>
            <w:tcW w:w="4384" w:type="dxa"/>
          </w:tcPr>
          <w:p w:rsidR="00A22F5A" w:rsidRPr="00333DC7" w:rsidRDefault="00A22F5A" w:rsidP="00A22F5A">
            <w:pPr>
              <w:ind w:left="360" w:right="111" w:hanging="360"/>
            </w:pPr>
            <w:r>
              <w:t xml:space="preserve">Taux de participation du secteur privé dans le domaine de la santé </w:t>
            </w:r>
          </w:p>
        </w:tc>
        <w:tc>
          <w:tcPr>
            <w:tcW w:w="2556" w:type="dxa"/>
          </w:tcPr>
          <w:p w:rsidR="00A22F5A" w:rsidRPr="00333DC7" w:rsidRDefault="00A22F5A" w:rsidP="00A22F5A">
            <w:r>
              <w:t>Rapport d’évaluation</w:t>
            </w:r>
          </w:p>
        </w:tc>
        <w:tc>
          <w:tcPr>
            <w:tcW w:w="2246" w:type="dxa"/>
            <w:vMerge w:val="restart"/>
            <w:vAlign w:val="center"/>
          </w:tcPr>
          <w:p w:rsidR="00A22F5A" w:rsidRPr="00333DC7" w:rsidRDefault="00A22F5A" w:rsidP="00A22F5A">
            <w:r>
              <w:t>Engagement des acteurs</w:t>
            </w:r>
          </w:p>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lastRenderedPageBreak/>
              <w:t>Extrant 2.4.1</w:t>
            </w:r>
            <w:r w:rsidRPr="00333DC7">
              <w:rPr>
                <w:bCs/>
              </w:rPr>
              <w:t> : Un cadre de concertation est organisé avec le secteur privé </w:t>
            </w:r>
          </w:p>
        </w:tc>
        <w:tc>
          <w:tcPr>
            <w:tcW w:w="4384" w:type="dxa"/>
          </w:tcPr>
          <w:p w:rsidR="00A22F5A" w:rsidRPr="00333DC7" w:rsidRDefault="00A22F5A" w:rsidP="00A22F5A">
            <w:pPr>
              <w:ind w:left="360" w:right="111" w:hanging="360"/>
            </w:pPr>
            <w:r>
              <w:t xml:space="preserve">Nombre de rencontre </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Cs/>
              </w:rPr>
            </w:pPr>
            <w:r w:rsidRPr="00333DC7">
              <w:rPr>
                <w:b/>
                <w:bCs/>
              </w:rPr>
              <w:t>Extrant</w:t>
            </w:r>
            <w:r w:rsidRPr="00333DC7">
              <w:rPr>
                <w:bCs/>
              </w:rPr>
              <w:t xml:space="preserve"> </w:t>
            </w:r>
            <w:r w:rsidRPr="00333DC7">
              <w:rPr>
                <w:b/>
                <w:bCs/>
              </w:rPr>
              <w:t>2.4.2</w:t>
            </w:r>
            <w:r w:rsidRPr="00333DC7">
              <w:rPr>
                <w:bCs/>
              </w:rPr>
              <w:t> : La régulation du secteur privé est améliorée </w:t>
            </w:r>
          </w:p>
        </w:tc>
        <w:tc>
          <w:tcPr>
            <w:tcW w:w="4384" w:type="dxa"/>
          </w:tcPr>
          <w:p w:rsidR="00A22F5A" w:rsidRPr="00333DC7" w:rsidRDefault="00A22F5A" w:rsidP="00A22F5A">
            <w:pPr>
              <w:ind w:left="360" w:right="111" w:hanging="360"/>
            </w:pPr>
            <w:r>
              <w:t>Nombre de contrat de performance</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Cs/>
              </w:rPr>
            </w:pPr>
            <w:r w:rsidRPr="00333DC7">
              <w:rPr>
                <w:b/>
                <w:bCs/>
              </w:rPr>
              <w:t>Extrant 2.4.3</w:t>
            </w:r>
            <w:r w:rsidRPr="00333DC7">
              <w:rPr>
                <w:bCs/>
              </w:rPr>
              <w:t> : Le partenariat public-privé est développé </w:t>
            </w:r>
          </w:p>
        </w:tc>
        <w:tc>
          <w:tcPr>
            <w:tcW w:w="4384" w:type="dxa"/>
          </w:tcPr>
          <w:p w:rsidR="00A22F5A" w:rsidRPr="00333DC7" w:rsidRDefault="00A22F5A" w:rsidP="00A22F5A">
            <w:pPr>
              <w:ind w:left="360" w:right="111" w:hanging="360"/>
            </w:pPr>
            <w:r>
              <w:t>Nombre de contrat de performance</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right="112"/>
              <w:rPr>
                <w:bCs/>
              </w:rPr>
            </w:pPr>
            <w:r w:rsidRPr="00333DC7">
              <w:rPr>
                <w:b/>
                <w:bCs/>
              </w:rPr>
              <w:t xml:space="preserve">Résultat stratégique 3 : </w:t>
            </w:r>
            <w:r w:rsidRPr="00333DC7">
              <w:rPr>
                <w:bCs/>
              </w:rPr>
              <w:t>L'assurance maladie universelle est mise en place au moyen d'un dispositif adapté, cohérent et complet</w:t>
            </w:r>
            <w:r w:rsidRPr="00333DC7">
              <w:rPr>
                <w:b/>
                <w:bCs/>
              </w:rPr>
              <w:t> </w:t>
            </w:r>
          </w:p>
        </w:tc>
        <w:tc>
          <w:tcPr>
            <w:tcW w:w="4384" w:type="dxa"/>
          </w:tcPr>
          <w:p w:rsidR="00A22F5A" w:rsidRPr="00333DC7" w:rsidRDefault="00A22F5A" w:rsidP="00A22F5A">
            <w:pPr>
              <w:ind w:left="360" w:right="111" w:hanging="360"/>
            </w:pPr>
            <w:r>
              <w:t>Textes législatifs et règlementaires sur l’assurance maladie universelle</w:t>
            </w:r>
          </w:p>
        </w:tc>
        <w:tc>
          <w:tcPr>
            <w:tcW w:w="2556" w:type="dxa"/>
          </w:tcPr>
          <w:p w:rsidR="00A22F5A" w:rsidRPr="00333DC7" w:rsidRDefault="00A22F5A" w:rsidP="00A22F5A">
            <w:r>
              <w:t>Journal Officiel</w:t>
            </w:r>
          </w:p>
        </w:tc>
        <w:tc>
          <w:tcPr>
            <w:tcW w:w="2246" w:type="dxa"/>
            <w:vMerge w:val="restart"/>
            <w:vAlign w:val="center"/>
          </w:tcPr>
          <w:p w:rsidR="00A22F5A" w:rsidRPr="00333DC7" w:rsidRDefault="00A22F5A" w:rsidP="00A22F5A">
            <w:r>
              <w:t xml:space="preserve">Adhésion forte à la réforme </w:t>
            </w:r>
          </w:p>
        </w:tc>
      </w:tr>
      <w:tr w:rsidR="00A22F5A" w:rsidRPr="00333DC7" w:rsidTr="006D0263">
        <w:trPr>
          <w:trHeight w:val="584"/>
        </w:trPr>
        <w:tc>
          <w:tcPr>
            <w:tcW w:w="5529" w:type="dxa"/>
          </w:tcPr>
          <w:p w:rsidR="00A22F5A" w:rsidRPr="00333DC7" w:rsidRDefault="00A22F5A" w:rsidP="00A22F5A">
            <w:pPr>
              <w:ind w:right="112"/>
              <w:rPr>
                <w:b/>
                <w:bCs/>
              </w:rPr>
            </w:pPr>
            <w:r w:rsidRPr="00333DC7">
              <w:rPr>
                <w:b/>
                <w:bCs/>
              </w:rPr>
              <w:t>Effet 3.1</w:t>
            </w:r>
            <w:r w:rsidRPr="00333DC7">
              <w:rPr>
                <w:bCs/>
              </w:rPr>
              <w:t xml:space="preserve"> : L'institutionnalisation de l'assurance maladie est organisée </w:t>
            </w:r>
          </w:p>
        </w:tc>
        <w:tc>
          <w:tcPr>
            <w:tcW w:w="4384" w:type="dxa"/>
          </w:tcPr>
          <w:p w:rsidR="00A22F5A" w:rsidRPr="00333DC7" w:rsidRDefault="00A22F5A" w:rsidP="00A22F5A">
            <w:pPr>
              <w:ind w:left="360" w:right="111" w:hanging="360"/>
            </w:pPr>
            <w:r>
              <w:t xml:space="preserve">Existence de la loi instituant l’assurance maladie </w:t>
            </w:r>
          </w:p>
        </w:tc>
        <w:tc>
          <w:tcPr>
            <w:tcW w:w="2556" w:type="dxa"/>
          </w:tcPr>
          <w:p w:rsidR="00A22F5A" w:rsidRPr="00333DC7" w:rsidRDefault="00A22F5A" w:rsidP="00A22F5A">
            <w:r>
              <w:t>Journal officiel</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w:t>
            </w:r>
            <w:r w:rsidRPr="00333DC7">
              <w:rPr>
                <w:bCs/>
              </w:rPr>
              <w:t xml:space="preserve"> </w:t>
            </w:r>
            <w:r w:rsidRPr="00333DC7">
              <w:rPr>
                <w:b/>
                <w:bCs/>
              </w:rPr>
              <w:t>3.1.1</w:t>
            </w:r>
            <w:r w:rsidRPr="00333DC7">
              <w:rPr>
                <w:bCs/>
              </w:rPr>
              <w:t> : La CANAM est mandaté pour le développement de l'assurance maladie universelle </w:t>
            </w:r>
          </w:p>
        </w:tc>
        <w:tc>
          <w:tcPr>
            <w:tcW w:w="4384" w:type="dxa"/>
          </w:tcPr>
          <w:p w:rsidR="00A22F5A" w:rsidRPr="00333DC7" w:rsidRDefault="00A22F5A" w:rsidP="00A22F5A">
            <w:pPr>
              <w:ind w:left="360" w:right="111" w:hanging="360"/>
            </w:pPr>
            <w:r>
              <w:t>Texte de création de l’organe de gestion de l’assurance maladie universelle</w:t>
            </w:r>
          </w:p>
        </w:tc>
        <w:tc>
          <w:tcPr>
            <w:tcW w:w="2556" w:type="dxa"/>
          </w:tcPr>
          <w:p w:rsidR="00A22F5A" w:rsidRPr="00333DC7" w:rsidRDefault="00A22F5A" w:rsidP="00A22F5A">
            <w:r>
              <w:t>Journal officiel</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w:t>
            </w:r>
            <w:r w:rsidRPr="00333DC7">
              <w:rPr>
                <w:bCs/>
              </w:rPr>
              <w:t xml:space="preserve"> </w:t>
            </w:r>
            <w:r w:rsidRPr="00333DC7">
              <w:rPr>
                <w:b/>
                <w:bCs/>
              </w:rPr>
              <w:t>3.1.2</w:t>
            </w:r>
            <w:r w:rsidRPr="00333DC7">
              <w:rPr>
                <w:bCs/>
              </w:rPr>
              <w:t> : Les textes de mise en place du régime d'assurance maladie universelle sont adoptés </w:t>
            </w:r>
          </w:p>
        </w:tc>
        <w:tc>
          <w:tcPr>
            <w:tcW w:w="4384" w:type="dxa"/>
          </w:tcPr>
          <w:p w:rsidR="00A22F5A" w:rsidRPr="00333DC7" w:rsidRDefault="00A22F5A" w:rsidP="00A22F5A">
            <w:pPr>
              <w:ind w:right="111"/>
            </w:pPr>
            <w:r>
              <w:t>loi instituant l’assurance maladie universelle</w:t>
            </w:r>
          </w:p>
        </w:tc>
        <w:tc>
          <w:tcPr>
            <w:tcW w:w="2556" w:type="dxa"/>
          </w:tcPr>
          <w:p w:rsidR="00A22F5A" w:rsidRPr="00333DC7" w:rsidRDefault="00A22F5A" w:rsidP="00A22F5A">
            <w:r>
              <w:t>Journal officiel</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3.1.3</w:t>
            </w:r>
            <w:r w:rsidRPr="00333DC7">
              <w:rPr>
                <w:bCs/>
              </w:rPr>
              <w:t> : Une instance de régulation de l'assurance maladie est mise en place </w:t>
            </w:r>
          </w:p>
        </w:tc>
        <w:tc>
          <w:tcPr>
            <w:tcW w:w="4384" w:type="dxa"/>
          </w:tcPr>
          <w:p w:rsidR="00A22F5A" w:rsidRPr="00333DC7" w:rsidRDefault="00A22F5A" w:rsidP="00A22F5A">
            <w:pPr>
              <w:ind w:left="360" w:right="111" w:hanging="360"/>
            </w:pPr>
            <w:r>
              <w:t>Nombre de rencontres tenues</w:t>
            </w:r>
          </w:p>
        </w:tc>
        <w:tc>
          <w:tcPr>
            <w:tcW w:w="2556" w:type="dxa"/>
          </w:tcPr>
          <w:p w:rsidR="00A22F5A" w:rsidRPr="00333DC7" w:rsidRDefault="00A22F5A" w:rsidP="00A22F5A">
            <w:r>
              <w:t>Rapport d’activité</w:t>
            </w:r>
          </w:p>
        </w:tc>
        <w:tc>
          <w:tcPr>
            <w:tcW w:w="2246" w:type="dxa"/>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3.1.4 :</w:t>
            </w:r>
            <w:r w:rsidRPr="00333DC7">
              <w:rPr>
                <w:bCs/>
              </w:rPr>
              <w:t xml:space="preserve"> Un pool unique est mis en place pour le régime de base de l'assurance maladie universelle </w:t>
            </w:r>
          </w:p>
        </w:tc>
        <w:tc>
          <w:tcPr>
            <w:tcW w:w="4384" w:type="dxa"/>
          </w:tcPr>
          <w:p w:rsidR="00A22F5A" w:rsidRPr="00333DC7" w:rsidRDefault="00A22F5A" w:rsidP="00A22F5A">
            <w:pPr>
              <w:ind w:right="111"/>
            </w:pPr>
            <w:r>
              <w:t>Taux de pooling des ressources de l’assurance maladie</w:t>
            </w:r>
          </w:p>
        </w:tc>
        <w:tc>
          <w:tcPr>
            <w:tcW w:w="2556" w:type="dxa"/>
          </w:tcPr>
          <w:p w:rsidR="00A22F5A" w:rsidRPr="00333DC7" w:rsidRDefault="00A22F5A" w:rsidP="00A22F5A">
            <w:r>
              <w:t>Rapport d’évaluation</w:t>
            </w:r>
          </w:p>
        </w:tc>
        <w:tc>
          <w:tcPr>
            <w:tcW w:w="2246" w:type="dxa"/>
          </w:tcPr>
          <w:p w:rsidR="00A22F5A" w:rsidRPr="00333DC7" w:rsidRDefault="00A22F5A" w:rsidP="00A22F5A">
            <w:r>
              <w:t>Adhésion au pooling unique</w:t>
            </w:r>
          </w:p>
        </w:tc>
      </w:tr>
      <w:tr w:rsidR="00A22F5A" w:rsidRPr="00333DC7" w:rsidTr="006D0263">
        <w:trPr>
          <w:trHeight w:val="584"/>
        </w:trPr>
        <w:tc>
          <w:tcPr>
            <w:tcW w:w="5529" w:type="dxa"/>
          </w:tcPr>
          <w:p w:rsidR="00A22F5A" w:rsidRPr="00333DC7" w:rsidRDefault="00A22F5A" w:rsidP="00A22F5A">
            <w:pPr>
              <w:ind w:right="112"/>
              <w:rPr>
                <w:b/>
                <w:bCs/>
              </w:rPr>
            </w:pPr>
            <w:r w:rsidRPr="00333DC7">
              <w:rPr>
                <w:b/>
                <w:bCs/>
              </w:rPr>
              <w:t>Effet 3.2</w:t>
            </w:r>
            <w:r w:rsidRPr="00333DC7">
              <w:rPr>
                <w:bCs/>
              </w:rPr>
              <w:t xml:space="preserve"> : Un paquet de base est instauré pour la couverture sanitaire universelle pour tous </w:t>
            </w:r>
          </w:p>
        </w:tc>
        <w:tc>
          <w:tcPr>
            <w:tcW w:w="4384" w:type="dxa"/>
          </w:tcPr>
          <w:p w:rsidR="00A22F5A" w:rsidRPr="00333DC7" w:rsidRDefault="00A22F5A" w:rsidP="00A22F5A">
            <w:pPr>
              <w:ind w:left="360" w:right="111" w:hanging="360"/>
            </w:pPr>
            <w:r>
              <w:t>Taux d’utilisation des services de santé par les assurés du RAMU</w:t>
            </w:r>
          </w:p>
        </w:tc>
        <w:tc>
          <w:tcPr>
            <w:tcW w:w="2556" w:type="dxa"/>
          </w:tcPr>
          <w:p w:rsidR="00A22F5A" w:rsidRPr="00333DC7" w:rsidRDefault="00A22F5A" w:rsidP="00A22F5A">
            <w:r>
              <w:t>Rapport d’activité</w:t>
            </w:r>
          </w:p>
        </w:tc>
        <w:tc>
          <w:tcPr>
            <w:tcW w:w="2246" w:type="dxa"/>
            <w:vMerge w:val="restart"/>
            <w:vAlign w:val="center"/>
          </w:tcPr>
          <w:p w:rsidR="00A22F5A" w:rsidRPr="00333DC7" w:rsidRDefault="00A22F5A" w:rsidP="00A22F5A">
            <w:r>
              <w:t xml:space="preserve">Adhésion au paquet de base </w:t>
            </w:r>
          </w:p>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3.2.1</w:t>
            </w:r>
            <w:r w:rsidRPr="00333DC7">
              <w:rPr>
                <w:bCs/>
              </w:rPr>
              <w:t> : Un paquet de soins pour tous ou "paquet de base" est mis en place</w:t>
            </w:r>
          </w:p>
        </w:tc>
        <w:tc>
          <w:tcPr>
            <w:tcW w:w="4384" w:type="dxa"/>
          </w:tcPr>
          <w:p w:rsidR="00A22F5A" w:rsidRPr="00333DC7" w:rsidRDefault="00A22F5A" w:rsidP="00A22F5A">
            <w:pPr>
              <w:ind w:left="360" w:right="111" w:hanging="360"/>
            </w:pPr>
            <w:r>
              <w:t>Taux d’utilisation des services de santé par les assurés du RAMU</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3.2.2 :</w:t>
            </w:r>
            <w:r w:rsidRPr="00333DC7">
              <w:rPr>
                <w:bCs/>
              </w:rPr>
              <w:t xml:space="preserve"> Le paquet de base est pris en charge financière par l'Etat à hauteur de 100% </w:t>
            </w:r>
            <w:r w:rsidRPr="00333DC7">
              <w:rPr>
                <w:bCs/>
              </w:rPr>
              <w:lastRenderedPageBreak/>
              <w:t>pour les démunis, à hauteur de 80% pour les populations du secteur informe</w:t>
            </w:r>
          </w:p>
        </w:tc>
        <w:tc>
          <w:tcPr>
            <w:tcW w:w="4384" w:type="dxa"/>
          </w:tcPr>
          <w:p w:rsidR="00A22F5A" w:rsidRPr="00333DC7" w:rsidRDefault="00A22F5A" w:rsidP="00A22F5A">
            <w:pPr>
              <w:ind w:left="360" w:right="111" w:hanging="360"/>
            </w:pPr>
            <w:r>
              <w:lastRenderedPageBreak/>
              <w:t>Taux de prise en charge du paquet de base par l’Etat</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3.2.3</w:t>
            </w:r>
            <w:r w:rsidRPr="00333DC7">
              <w:rPr>
                <w:bCs/>
              </w:rPr>
              <w:t> : Le développement des régimes complémentaires est favorisé </w:t>
            </w:r>
          </w:p>
        </w:tc>
        <w:tc>
          <w:tcPr>
            <w:tcW w:w="4384" w:type="dxa"/>
          </w:tcPr>
          <w:p w:rsidR="00A22F5A" w:rsidRPr="00333DC7" w:rsidRDefault="00A22F5A" w:rsidP="00A22F5A">
            <w:pPr>
              <w:ind w:left="360" w:right="111" w:hanging="360"/>
            </w:pPr>
            <w:r>
              <w:t>Taux d’adhésion au régime complémentaire</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3.2.4</w:t>
            </w:r>
            <w:r w:rsidRPr="00333DC7">
              <w:rPr>
                <w:bCs/>
              </w:rPr>
              <w:t> : Une stratégie d'achat des services de santé garantissant la maîtrise des coûts et la qualité des soins pour l'assuré est développée </w:t>
            </w:r>
          </w:p>
        </w:tc>
        <w:tc>
          <w:tcPr>
            <w:tcW w:w="4384" w:type="dxa"/>
          </w:tcPr>
          <w:p w:rsidR="00A22F5A" w:rsidRPr="00333DC7" w:rsidRDefault="00A22F5A" w:rsidP="00A22F5A">
            <w:pPr>
              <w:ind w:left="360" w:right="111" w:hanging="360"/>
            </w:pPr>
            <w:r>
              <w:t>Existence de textes règlementaires sur la stratégie d’achat</w:t>
            </w:r>
          </w:p>
        </w:tc>
        <w:tc>
          <w:tcPr>
            <w:tcW w:w="2556" w:type="dxa"/>
          </w:tcPr>
          <w:p w:rsidR="00A22F5A" w:rsidRPr="00333DC7" w:rsidRDefault="00A22F5A" w:rsidP="00A22F5A">
            <w:r>
              <w:t>Journal officiel</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3.2.5</w:t>
            </w:r>
            <w:r w:rsidRPr="00333DC7">
              <w:rPr>
                <w:bCs/>
              </w:rPr>
              <w:t> : Les capacités de l'organe administratif en charge des mutuelles sociales sont développées </w:t>
            </w:r>
          </w:p>
        </w:tc>
        <w:tc>
          <w:tcPr>
            <w:tcW w:w="4384" w:type="dxa"/>
          </w:tcPr>
          <w:p w:rsidR="00A22F5A" w:rsidRPr="00333DC7" w:rsidRDefault="00A22F5A" w:rsidP="00A22F5A">
            <w:pPr>
              <w:ind w:left="360" w:right="111" w:hanging="360"/>
            </w:pPr>
            <w:r>
              <w:t xml:space="preserve">Existence de texte de création de l’organe administratif </w:t>
            </w:r>
          </w:p>
        </w:tc>
        <w:tc>
          <w:tcPr>
            <w:tcW w:w="2556" w:type="dxa"/>
          </w:tcPr>
          <w:p w:rsidR="00A22F5A" w:rsidRPr="00333DC7" w:rsidRDefault="00A22F5A" w:rsidP="00A22F5A">
            <w:r>
              <w:t>Journal officiel</w:t>
            </w:r>
          </w:p>
        </w:tc>
        <w:tc>
          <w:tcPr>
            <w:tcW w:w="2246" w:type="dxa"/>
            <w:vMerge w:val="restart"/>
            <w:vAlign w:val="center"/>
          </w:tcPr>
          <w:p w:rsidR="00A22F5A" w:rsidRPr="00333DC7" w:rsidRDefault="00A22F5A" w:rsidP="00A22F5A">
            <w:r>
              <w:t>Disponibilité des ressources humaines et financières</w:t>
            </w:r>
          </w:p>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3.2.6 :</w:t>
            </w:r>
            <w:r w:rsidRPr="00333DC7">
              <w:rPr>
                <w:bCs/>
              </w:rPr>
              <w:t xml:space="preserve"> Les collectivités territoriales sont impliquées dans le développement de l'assurance maladie pour le secteur agricole et informel </w:t>
            </w:r>
          </w:p>
        </w:tc>
        <w:tc>
          <w:tcPr>
            <w:tcW w:w="4384" w:type="dxa"/>
          </w:tcPr>
          <w:p w:rsidR="00A22F5A" w:rsidRPr="00333DC7" w:rsidRDefault="00A22F5A" w:rsidP="00A22F5A">
            <w:pPr>
              <w:ind w:left="360" w:right="111" w:hanging="360"/>
            </w:pPr>
            <w:r>
              <w:t>% du financement de l’assurance maladie universelle par les collectivités territoriales</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3.2.7</w:t>
            </w:r>
            <w:r w:rsidRPr="00333DC7">
              <w:rPr>
                <w:bCs/>
              </w:rPr>
              <w:t> : Les initiatives de création des mutuelles sociales sont appuyées pour la couverture du secteur agricole et informel </w:t>
            </w:r>
          </w:p>
        </w:tc>
        <w:tc>
          <w:tcPr>
            <w:tcW w:w="4384" w:type="dxa"/>
          </w:tcPr>
          <w:p w:rsidR="00A22F5A" w:rsidRPr="00333DC7" w:rsidRDefault="00A22F5A" w:rsidP="00A22F5A">
            <w:pPr>
              <w:ind w:left="360" w:right="111" w:hanging="360"/>
            </w:pPr>
            <w:r>
              <w:t>Nombre de mutuelles sociales</w:t>
            </w:r>
          </w:p>
        </w:tc>
        <w:tc>
          <w:tcPr>
            <w:tcW w:w="2556" w:type="dxa"/>
          </w:tcPr>
          <w:p w:rsidR="00A22F5A" w:rsidRPr="00333DC7" w:rsidRDefault="00A22F5A" w:rsidP="00A22F5A">
            <w:r>
              <w:t>Rapport d’activité</w:t>
            </w:r>
          </w:p>
        </w:tc>
        <w:tc>
          <w:tcPr>
            <w:tcW w:w="2246" w:type="dxa"/>
            <w:vMerge w:val="restart"/>
            <w:vAlign w:val="center"/>
          </w:tcPr>
          <w:p w:rsidR="00A22F5A" w:rsidRPr="00333DC7" w:rsidRDefault="00A22F5A" w:rsidP="00A22F5A">
            <w:r>
              <w:t xml:space="preserve">Adhésion des populations du monde rural et du secteur informel à la mutualité sociale </w:t>
            </w:r>
          </w:p>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3.2.8</w:t>
            </w:r>
            <w:r w:rsidRPr="00333DC7">
              <w:rPr>
                <w:bCs/>
              </w:rPr>
              <w:t> : Les structures d'appui technique aux mutuelles sociales sont financièrement appuyées </w:t>
            </w:r>
          </w:p>
        </w:tc>
        <w:tc>
          <w:tcPr>
            <w:tcW w:w="4384" w:type="dxa"/>
          </w:tcPr>
          <w:p w:rsidR="00A22F5A" w:rsidRPr="00333DC7" w:rsidRDefault="00A22F5A" w:rsidP="00A22F5A">
            <w:pPr>
              <w:ind w:left="360" w:right="111" w:hanging="360"/>
            </w:pPr>
            <w:r>
              <w:t>Taux financement de la mutualité sociale</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3.2.9</w:t>
            </w:r>
            <w:r w:rsidRPr="00333DC7">
              <w:rPr>
                <w:bCs/>
              </w:rPr>
              <w:t> : Les contrats de gestion déléguée sont établis avec les structures faitières des mutuelles pour le déploiement du système </w:t>
            </w:r>
          </w:p>
        </w:tc>
        <w:tc>
          <w:tcPr>
            <w:tcW w:w="4384" w:type="dxa"/>
          </w:tcPr>
          <w:p w:rsidR="00A22F5A" w:rsidRPr="00333DC7" w:rsidRDefault="00A22F5A" w:rsidP="00A22F5A">
            <w:pPr>
              <w:ind w:right="111"/>
            </w:pPr>
            <w:r>
              <w:t xml:space="preserve">Existence d’un contrat de délégation </w:t>
            </w:r>
          </w:p>
        </w:tc>
        <w:tc>
          <w:tcPr>
            <w:tcW w:w="2556" w:type="dxa"/>
          </w:tcPr>
          <w:p w:rsidR="00A22F5A" w:rsidRPr="00333DC7" w:rsidRDefault="00A22F5A" w:rsidP="00A22F5A">
            <w:r>
              <w:t>Journal officiel</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3.2.10</w:t>
            </w:r>
            <w:r w:rsidRPr="00333DC7">
              <w:rPr>
                <w:bCs/>
              </w:rPr>
              <w:t> : Le pooling maximal des fonds dédiés à la prise en charge du secteur informel est favorisé progressivement</w:t>
            </w:r>
          </w:p>
        </w:tc>
        <w:tc>
          <w:tcPr>
            <w:tcW w:w="4384" w:type="dxa"/>
          </w:tcPr>
          <w:p w:rsidR="00A22F5A" w:rsidRPr="00333DC7" w:rsidRDefault="00A22F5A" w:rsidP="00A22F5A">
            <w:pPr>
              <w:ind w:left="360" w:right="111" w:hanging="360"/>
            </w:pPr>
            <w:r>
              <w:t>Taux de pooling des ressources du secteur informel</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3.2.11</w:t>
            </w:r>
            <w:r w:rsidRPr="00333DC7">
              <w:rPr>
                <w:bCs/>
              </w:rPr>
              <w:t> : La proximité entre l'organisme de gestion du RAMU et les populations au niveau local est assurée </w:t>
            </w:r>
          </w:p>
        </w:tc>
        <w:tc>
          <w:tcPr>
            <w:tcW w:w="4384" w:type="dxa"/>
          </w:tcPr>
          <w:p w:rsidR="00A22F5A" w:rsidRDefault="00A22F5A" w:rsidP="00A22F5A">
            <w:pPr>
              <w:ind w:left="360" w:right="111" w:hanging="360"/>
            </w:pPr>
            <w:r>
              <w:t>-Existence de texte de gestion du RAMU</w:t>
            </w:r>
          </w:p>
          <w:p w:rsidR="00A22F5A" w:rsidRPr="00333DC7" w:rsidRDefault="00A22F5A" w:rsidP="00A22F5A">
            <w:pPr>
              <w:ind w:left="360" w:right="111" w:hanging="360"/>
            </w:pPr>
            <w:r>
              <w:t>-Nombre de structures décentralisées</w:t>
            </w:r>
          </w:p>
        </w:tc>
        <w:tc>
          <w:tcPr>
            <w:tcW w:w="2556" w:type="dxa"/>
          </w:tcPr>
          <w:p w:rsidR="00A22F5A" w:rsidRDefault="00A22F5A" w:rsidP="00A22F5A">
            <w:r>
              <w:t>Journal Officiel</w:t>
            </w:r>
          </w:p>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right="112"/>
              <w:rPr>
                <w:b/>
                <w:bCs/>
              </w:rPr>
            </w:pPr>
            <w:r w:rsidRPr="00333DC7">
              <w:rPr>
                <w:b/>
                <w:bCs/>
              </w:rPr>
              <w:t>Effet 3.3</w:t>
            </w:r>
            <w:r w:rsidRPr="00333DC7">
              <w:rPr>
                <w:bCs/>
              </w:rPr>
              <w:t xml:space="preserve"> : Les gratuités sont intégrées progressivement à l'assurance maladie </w:t>
            </w:r>
          </w:p>
        </w:tc>
        <w:tc>
          <w:tcPr>
            <w:tcW w:w="4384" w:type="dxa"/>
          </w:tcPr>
          <w:p w:rsidR="00A22F5A" w:rsidRPr="00333DC7" w:rsidRDefault="00A22F5A" w:rsidP="00A22F5A">
            <w:pPr>
              <w:ind w:left="360" w:right="111" w:hanging="360"/>
            </w:pPr>
            <w:r>
              <w:t>Existence de textes sur l’intégration des gratuités à l’assurance maladie</w:t>
            </w:r>
          </w:p>
        </w:tc>
        <w:tc>
          <w:tcPr>
            <w:tcW w:w="2556" w:type="dxa"/>
          </w:tcPr>
          <w:p w:rsidR="00A22F5A" w:rsidRPr="00333DC7" w:rsidRDefault="00A22F5A" w:rsidP="00A22F5A">
            <w:r>
              <w:t>Journal Officiel</w:t>
            </w:r>
          </w:p>
        </w:tc>
        <w:tc>
          <w:tcPr>
            <w:tcW w:w="2246" w:type="dxa"/>
            <w:vMerge w:val="restart"/>
          </w:tcPr>
          <w:p w:rsidR="00A22F5A" w:rsidRPr="00333DC7" w:rsidRDefault="00A22F5A" w:rsidP="00A22F5A">
            <w:r>
              <w:t xml:space="preserve">Engagement du Gouvernement à </w:t>
            </w:r>
            <w:r>
              <w:lastRenderedPageBreak/>
              <w:t>rationaliser les dépenses de santé</w:t>
            </w:r>
          </w:p>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lastRenderedPageBreak/>
              <w:t>Extrant 3.3.1</w:t>
            </w:r>
            <w:r w:rsidRPr="00333DC7">
              <w:rPr>
                <w:bCs/>
              </w:rPr>
              <w:t> : Les évaluations techniques des gratuités sont réalisées </w:t>
            </w:r>
          </w:p>
        </w:tc>
        <w:tc>
          <w:tcPr>
            <w:tcW w:w="4384" w:type="dxa"/>
          </w:tcPr>
          <w:p w:rsidR="00A22F5A" w:rsidRPr="00333DC7" w:rsidRDefault="00A22F5A" w:rsidP="00A22F5A">
            <w:pPr>
              <w:ind w:left="360" w:right="111" w:hanging="360"/>
            </w:pPr>
            <w:r>
              <w:t>Nombre d’études réalisées</w:t>
            </w:r>
          </w:p>
        </w:tc>
        <w:tc>
          <w:tcPr>
            <w:tcW w:w="2556" w:type="dxa"/>
          </w:tcPr>
          <w:p w:rsidR="00A22F5A" w:rsidRPr="00333DC7" w:rsidRDefault="00A22F5A" w:rsidP="00A22F5A">
            <w:r>
              <w:t>Rapport d’évaluation</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3.3.2</w:t>
            </w:r>
            <w:r w:rsidRPr="00333DC7">
              <w:rPr>
                <w:bCs/>
              </w:rPr>
              <w:t> : Les stratégies d'intégration des gratuités à l'assurance maladie sont mises en œuvre </w:t>
            </w:r>
          </w:p>
        </w:tc>
        <w:tc>
          <w:tcPr>
            <w:tcW w:w="4384" w:type="dxa"/>
          </w:tcPr>
          <w:p w:rsidR="00A22F5A" w:rsidRPr="00333DC7" w:rsidRDefault="00A22F5A" w:rsidP="00A22F5A">
            <w:pPr>
              <w:ind w:left="360" w:right="111" w:hanging="360"/>
            </w:pPr>
            <w:r>
              <w:t>Textes législatifs et règlementaires sur l’intégration des gratuités à l’assurance maladie</w:t>
            </w:r>
          </w:p>
        </w:tc>
        <w:tc>
          <w:tcPr>
            <w:tcW w:w="2556" w:type="dxa"/>
          </w:tcPr>
          <w:p w:rsidR="00A22F5A" w:rsidRPr="00333DC7" w:rsidRDefault="00A22F5A" w:rsidP="00A22F5A">
            <w:r>
              <w:t>Journal Officiel</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3.3.3</w:t>
            </w:r>
            <w:r w:rsidRPr="00333DC7">
              <w:rPr>
                <w:bCs/>
              </w:rPr>
              <w:t> : Les textes règlementaires sur la gestion des gratuités par l'assurance maladie sont adoptés </w:t>
            </w:r>
          </w:p>
        </w:tc>
        <w:tc>
          <w:tcPr>
            <w:tcW w:w="4384" w:type="dxa"/>
          </w:tcPr>
          <w:p w:rsidR="00A22F5A" w:rsidRPr="00333DC7" w:rsidRDefault="00A22F5A" w:rsidP="00A22F5A">
            <w:pPr>
              <w:ind w:left="360" w:right="111" w:hanging="360"/>
            </w:pPr>
            <w:r>
              <w:t>Textes législatifs et règlementaires sur l’intégration des gratuités à l’assurance maladie</w:t>
            </w:r>
          </w:p>
        </w:tc>
        <w:tc>
          <w:tcPr>
            <w:tcW w:w="2556" w:type="dxa"/>
          </w:tcPr>
          <w:p w:rsidR="00A22F5A" w:rsidRPr="00333DC7" w:rsidRDefault="00A22F5A" w:rsidP="00A22F5A">
            <w:r>
              <w:t>Journal Officiel</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3.3.4</w:t>
            </w:r>
            <w:r w:rsidRPr="00333DC7">
              <w:rPr>
                <w:bCs/>
              </w:rPr>
              <w:t> : Le paiement des prestations de gratuité sont transférés à l'organisme d'assurance malade </w:t>
            </w:r>
          </w:p>
        </w:tc>
        <w:tc>
          <w:tcPr>
            <w:tcW w:w="4384" w:type="dxa"/>
          </w:tcPr>
          <w:p w:rsidR="00A22F5A" w:rsidRPr="00333DC7" w:rsidRDefault="00A22F5A" w:rsidP="00A22F5A">
            <w:pPr>
              <w:ind w:left="360" w:right="111" w:hanging="360"/>
            </w:pPr>
            <w:r>
              <w:t xml:space="preserve">Textes législatifs et règlementaires sur le financement des gratuités </w:t>
            </w:r>
          </w:p>
        </w:tc>
        <w:tc>
          <w:tcPr>
            <w:tcW w:w="2556" w:type="dxa"/>
          </w:tcPr>
          <w:p w:rsidR="00A22F5A" w:rsidRPr="00333DC7" w:rsidRDefault="00A22F5A" w:rsidP="00A22F5A">
            <w:r>
              <w:t>Journal Officiel</w:t>
            </w:r>
          </w:p>
        </w:tc>
        <w:tc>
          <w:tcPr>
            <w:tcW w:w="2246" w:type="dxa"/>
            <w:vMerge w:val="restart"/>
            <w:vAlign w:val="center"/>
          </w:tcPr>
          <w:p w:rsidR="00A22F5A" w:rsidRPr="00333DC7" w:rsidRDefault="00A22F5A" w:rsidP="00A22F5A">
            <w:r>
              <w:t>Engagement du Gouvernement à rationaliser les dépenses de santé</w:t>
            </w:r>
          </w:p>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3.3.5</w:t>
            </w:r>
            <w:r w:rsidRPr="00333DC7">
              <w:rPr>
                <w:bCs/>
              </w:rPr>
              <w:t> : Certaines maladies chroniques financées par l'Etat sont prises en charge par l'assurance maladie avec gestion du risque séparé </w:t>
            </w:r>
          </w:p>
        </w:tc>
        <w:tc>
          <w:tcPr>
            <w:tcW w:w="4384" w:type="dxa"/>
          </w:tcPr>
          <w:p w:rsidR="00A22F5A" w:rsidRPr="00333DC7" w:rsidRDefault="00A22F5A" w:rsidP="00A22F5A">
            <w:pPr>
              <w:ind w:left="360" w:right="111" w:hanging="360"/>
            </w:pPr>
            <w:r>
              <w:t>Nombre de maladies chroniques prises en charge par l’assurance maladie</w:t>
            </w:r>
          </w:p>
        </w:tc>
        <w:tc>
          <w:tcPr>
            <w:tcW w:w="2556" w:type="dxa"/>
            <w:vMerge w:val="restart"/>
            <w:vAlign w:val="center"/>
          </w:tcPr>
          <w:p w:rsidR="00A22F5A" w:rsidRPr="00333DC7" w:rsidRDefault="00A22F5A" w:rsidP="00A22F5A">
            <w:r>
              <w:t>Rapport d’activité</w:t>
            </w:r>
          </w:p>
          <w:p w:rsidR="00A22F5A" w:rsidRPr="00333DC7" w:rsidRDefault="00A22F5A" w:rsidP="00A22F5A"/>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right="112"/>
              <w:rPr>
                <w:b/>
                <w:bCs/>
              </w:rPr>
            </w:pPr>
            <w:r w:rsidRPr="00333DC7">
              <w:rPr>
                <w:b/>
                <w:bCs/>
              </w:rPr>
              <w:t xml:space="preserve">Résultat stratégique 4 : </w:t>
            </w:r>
            <w:r w:rsidRPr="00333DC7">
              <w:rPr>
                <w:bCs/>
              </w:rPr>
              <w:t>La gouvernance financière est améliorée</w:t>
            </w:r>
            <w:r w:rsidRPr="00333DC7">
              <w:rPr>
                <w:b/>
                <w:bCs/>
              </w:rPr>
              <w:t> </w:t>
            </w:r>
          </w:p>
        </w:tc>
        <w:tc>
          <w:tcPr>
            <w:tcW w:w="4384" w:type="dxa"/>
          </w:tcPr>
          <w:p w:rsidR="00A22F5A" w:rsidRPr="00333DC7" w:rsidRDefault="00A22F5A" w:rsidP="00A22F5A">
            <w:pPr>
              <w:ind w:left="360" w:right="111" w:hanging="360"/>
            </w:pPr>
            <w:r>
              <w:t>Taux de performance du PRODESS</w:t>
            </w:r>
          </w:p>
        </w:tc>
        <w:tc>
          <w:tcPr>
            <w:tcW w:w="2556" w:type="dxa"/>
            <w:vMerge/>
          </w:tcPr>
          <w:p w:rsidR="00A22F5A" w:rsidRPr="00333DC7" w:rsidRDefault="00A22F5A" w:rsidP="00A22F5A"/>
        </w:tc>
        <w:tc>
          <w:tcPr>
            <w:tcW w:w="2246" w:type="dxa"/>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right="112"/>
              <w:rPr>
                <w:b/>
                <w:bCs/>
              </w:rPr>
            </w:pPr>
            <w:r w:rsidRPr="00333DC7">
              <w:rPr>
                <w:b/>
                <w:bCs/>
              </w:rPr>
              <w:t>Effet 4.1</w:t>
            </w:r>
            <w:r w:rsidRPr="00333DC7">
              <w:rPr>
                <w:bCs/>
              </w:rPr>
              <w:t xml:space="preserve"> : Un dispositif de gestion stratégique de l'information est mis en place </w:t>
            </w:r>
          </w:p>
        </w:tc>
        <w:tc>
          <w:tcPr>
            <w:tcW w:w="4384" w:type="dxa"/>
          </w:tcPr>
          <w:p w:rsidR="00A22F5A" w:rsidRPr="00333DC7" w:rsidRDefault="00A22F5A" w:rsidP="00A22F5A">
            <w:pPr>
              <w:ind w:left="360" w:right="111" w:hanging="360"/>
            </w:pPr>
            <w:r>
              <w:t>Taux de réalisation des activités</w:t>
            </w:r>
          </w:p>
        </w:tc>
        <w:tc>
          <w:tcPr>
            <w:tcW w:w="2556" w:type="dxa"/>
            <w:vMerge/>
          </w:tcPr>
          <w:p w:rsidR="00A22F5A" w:rsidRPr="00333DC7" w:rsidRDefault="00A22F5A" w:rsidP="00A22F5A"/>
        </w:tc>
        <w:tc>
          <w:tcPr>
            <w:tcW w:w="2246" w:type="dxa"/>
            <w:vMerge w:val="restart"/>
            <w:vAlign w:val="center"/>
          </w:tcPr>
          <w:p w:rsidR="00A22F5A" w:rsidRPr="00333DC7" w:rsidRDefault="00A22F5A" w:rsidP="00A22F5A">
            <w:r>
              <w:t>La capacité d’exécution des ressources par les structures</w:t>
            </w:r>
          </w:p>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4.1.1</w:t>
            </w:r>
            <w:r w:rsidRPr="00333DC7">
              <w:rPr>
                <w:bCs/>
              </w:rPr>
              <w:t> : Un mécanisme de production et de diffusion de l'information de gestion financière est mis en place </w:t>
            </w:r>
          </w:p>
        </w:tc>
        <w:tc>
          <w:tcPr>
            <w:tcW w:w="4384" w:type="dxa"/>
          </w:tcPr>
          <w:p w:rsidR="00A22F5A" w:rsidRPr="00333DC7" w:rsidRDefault="00A22F5A" w:rsidP="00A22F5A">
            <w:pPr>
              <w:ind w:left="360" w:right="111" w:hanging="360"/>
            </w:pPr>
            <w:r>
              <w:t xml:space="preserve">Existence d’un mécanisme informatique </w:t>
            </w:r>
          </w:p>
        </w:tc>
        <w:tc>
          <w:tcPr>
            <w:tcW w:w="2556" w:type="dxa"/>
            <w:vMerge/>
          </w:tcPr>
          <w:p w:rsidR="00A22F5A" w:rsidRPr="00333DC7" w:rsidRDefault="00A22F5A" w:rsidP="00A22F5A"/>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4.1.2</w:t>
            </w:r>
            <w:r w:rsidRPr="00333DC7">
              <w:rPr>
                <w:bCs/>
              </w:rPr>
              <w:t> : Les Comptes Nationaux de la santé sont institutionnalisés </w:t>
            </w:r>
          </w:p>
        </w:tc>
        <w:tc>
          <w:tcPr>
            <w:tcW w:w="4384" w:type="dxa"/>
          </w:tcPr>
          <w:p w:rsidR="00A22F5A" w:rsidRDefault="00A22F5A" w:rsidP="00A22F5A">
            <w:pPr>
              <w:ind w:left="360" w:right="111" w:hanging="360"/>
            </w:pPr>
            <w:r>
              <w:t>-Texte institutionnalisant les comptes nationaux</w:t>
            </w:r>
          </w:p>
          <w:p w:rsidR="00A22F5A" w:rsidRPr="00333DC7" w:rsidRDefault="00A22F5A" w:rsidP="00A22F5A">
            <w:pPr>
              <w:ind w:left="360" w:right="111" w:hanging="360"/>
            </w:pPr>
            <w:r>
              <w:t>-Existence de comptes nationaux</w:t>
            </w:r>
          </w:p>
        </w:tc>
        <w:tc>
          <w:tcPr>
            <w:tcW w:w="2556" w:type="dxa"/>
          </w:tcPr>
          <w:p w:rsidR="00A22F5A" w:rsidRPr="00333DC7" w:rsidRDefault="00A22F5A" w:rsidP="00A22F5A">
            <w:r>
              <w:t>Journal Officiel</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4.1.3</w:t>
            </w:r>
            <w:r w:rsidRPr="00333DC7">
              <w:rPr>
                <w:bCs/>
              </w:rPr>
              <w:t> : Les outils d'aide  à la décision sont améliorés </w:t>
            </w:r>
          </w:p>
        </w:tc>
        <w:tc>
          <w:tcPr>
            <w:tcW w:w="4384" w:type="dxa"/>
          </w:tcPr>
          <w:p w:rsidR="00A22F5A" w:rsidRPr="00333DC7" w:rsidRDefault="00A22F5A" w:rsidP="00A22F5A">
            <w:pPr>
              <w:ind w:left="360" w:right="111" w:hanging="360"/>
            </w:pPr>
            <w:r>
              <w:t>-Existence des outils d’aide à la décision</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right="112"/>
              <w:rPr>
                <w:b/>
                <w:bCs/>
              </w:rPr>
            </w:pPr>
            <w:r w:rsidRPr="00333DC7">
              <w:rPr>
                <w:b/>
                <w:bCs/>
              </w:rPr>
              <w:t>Effet 4.2</w:t>
            </w:r>
            <w:r w:rsidRPr="00333DC7">
              <w:rPr>
                <w:bCs/>
              </w:rPr>
              <w:t xml:space="preserve"> : L'efficience dans la gestion des finances est améliorée </w:t>
            </w:r>
          </w:p>
        </w:tc>
        <w:tc>
          <w:tcPr>
            <w:tcW w:w="4384" w:type="dxa"/>
          </w:tcPr>
          <w:p w:rsidR="00A22F5A" w:rsidRPr="00333DC7" w:rsidRDefault="00A22F5A" w:rsidP="00A22F5A">
            <w:pPr>
              <w:ind w:left="360" w:right="111" w:hanging="360"/>
            </w:pPr>
            <w:r>
              <w:t>Taux de justification des ressources</w:t>
            </w:r>
          </w:p>
        </w:tc>
        <w:tc>
          <w:tcPr>
            <w:tcW w:w="2556" w:type="dxa"/>
          </w:tcPr>
          <w:p w:rsidR="00A22F5A" w:rsidRPr="00333DC7" w:rsidRDefault="00A22F5A" w:rsidP="00A22F5A">
            <w:r>
              <w:t>Rapport bilan</w:t>
            </w:r>
          </w:p>
        </w:tc>
        <w:tc>
          <w:tcPr>
            <w:tcW w:w="2246" w:type="dxa"/>
            <w:vMerge w:val="restart"/>
            <w:vAlign w:val="center"/>
          </w:tcPr>
          <w:p w:rsidR="00A22F5A" w:rsidRPr="00333DC7" w:rsidRDefault="00A22F5A" w:rsidP="00A22F5A">
            <w:r>
              <w:t>La qualité des ressources humaines</w:t>
            </w:r>
          </w:p>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lastRenderedPageBreak/>
              <w:t>Extrant 4.2.1</w:t>
            </w:r>
            <w:r w:rsidRPr="00333DC7">
              <w:rPr>
                <w:bCs/>
              </w:rPr>
              <w:t> : La maitrise des procédures de l'Etat et des Partenaires Techniques et Financiers est amélioré</w:t>
            </w:r>
          </w:p>
        </w:tc>
        <w:tc>
          <w:tcPr>
            <w:tcW w:w="4384" w:type="dxa"/>
          </w:tcPr>
          <w:p w:rsidR="00A22F5A" w:rsidRDefault="00A22F5A" w:rsidP="00A22F5A">
            <w:pPr>
              <w:ind w:left="360" w:right="111" w:hanging="360"/>
            </w:pPr>
            <w:r>
              <w:t>-Nombre d’agents formés</w:t>
            </w:r>
          </w:p>
          <w:p w:rsidR="00A22F5A" w:rsidRPr="00333DC7" w:rsidRDefault="00A22F5A" w:rsidP="00A22F5A">
            <w:pPr>
              <w:ind w:left="360" w:right="111" w:hanging="360"/>
            </w:pPr>
            <w:r>
              <w:t>-Taux de justification des ressources</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4.2.2</w:t>
            </w:r>
            <w:r w:rsidRPr="00333DC7">
              <w:rPr>
                <w:bCs/>
              </w:rPr>
              <w:t> : Les capacités en gestion financière, en planification et en l'élaboration et exécution du budget sont renforcées </w:t>
            </w:r>
          </w:p>
        </w:tc>
        <w:tc>
          <w:tcPr>
            <w:tcW w:w="4384" w:type="dxa"/>
          </w:tcPr>
          <w:p w:rsidR="00A22F5A" w:rsidRDefault="00A22F5A" w:rsidP="00A22F5A">
            <w:pPr>
              <w:ind w:left="360" w:right="111" w:hanging="360"/>
            </w:pPr>
            <w:r>
              <w:t>-Nombre d’agents formés</w:t>
            </w:r>
          </w:p>
          <w:p w:rsidR="00A22F5A" w:rsidRPr="00333DC7" w:rsidRDefault="00A22F5A" w:rsidP="00A22F5A">
            <w:pPr>
              <w:ind w:left="360" w:right="111" w:hanging="360"/>
            </w:pPr>
            <w:r>
              <w:t>-Taux de justification des ressources</w:t>
            </w:r>
          </w:p>
        </w:tc>
        <w:tc>
          <w:tcPr>
            <w:tcW w:w="2556" w:type="dxa"/>
          </w:tcPr>
          <w:p w:rsidR="00A22F5A" w:rsidRPr="00333DC7" w:rsidRDefault="00A22F5A" w:rsidP="00A22F5A">
            <w:r>
              <w:t>Rapport de formation</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right="112"/>
              <w:rPr>
                <w:b/>
                <w:bCs/>
              </w:rPr>
            </w:pPr>
            <w:r w:rsidRPr="00333DC7">
              <w:rPr>
                <w:b/>
                <w:bCs/>
              </w:rPr>
              <w:t>Effet 4.3</w:t>
            </w:r>
            <w:r w:rsidRPr="00333DC7">
              <w:rPr>
                <w:bCs/>
              </w:rPr>
              <w:t xml:space="preserve"> : La </w:t>
            </w:r>
            <w:r>
              <w:rPr>
                <w:bCs/>
              </w:rPr>
              <w:t>r</w:t>
            </w:r>
            <w:r w:rsidRPr="00846B41">
              <w:rPr>
                <w:bCs/>
              </w:rPr>
              <w:t xml:space="preserve">edevabilité </w:t>
            </w:r>
            <w:r w:rsidRPr="00333DC7">
              <w:rPr>
                <w:bCs/>
              </w:rPr>
              <w:t>est améliorée </w:t>
            </w:r>
          </w:p>
        </w:tc>
        <w:tc>
          <w:tcPr>
            <w:tcW w:w="4384" w:type="dxa"/>
          </w:tcPr>
          <w:p w:rsidR="00A22F5A" w:rsidRPr="00333DC7" w:rsidRDefault="00A22F5A" w:rsidP="00A22F5A">
            <w:pPr>
              <w:ind w:left="360" w:right="111" w:hanging="360"/>
            </w:pPr>
            <w:r>
              <w:t xml:space="preserve">Taux d’exécution des ressources financières </w:t>
            </w:r>
          </w:p>
        </w:tc>
        <w:tc>
          <w:tcPr>
            <w:tcW w:w="2556" w:type="dxa"/>
          </w:tcPr>
          <w:p w:rsidR="00A22F5A" w:rsidRPr="00333DC7" w:rsidRDefault="00A22F5A" w:rsidP="00A22F5A">
            <w:r>
              <w:t>Rapport bilan</w:t>
            </w:r>
          </w:p>
        </w:tc>
        <w:tc>
          <w:tcPr>
            <w:tcW w:w="2246" w:type="dxa"/>
            <w:vMerge w:val="restart"/>
            <w:vAlign w:val="center"/>
          </w:tcPr>
          <w:p w:rsidR="00A22F5A" w:rsidRPr="00333DC7" w:rsidRDefault="00A22F5A" w:rsidP="00A22F5A">
            <w:r>
              <w:t>Des missions de contrôle</w:t>
            </w:r>
          </w:p>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4.3.1 :</w:t>
            </w:r>
            <w:r w:rsidRPr="00333DC7">
              <w:rPr>
                <w:bCs/>
              </w:rPr>
              <w:t xml:space="preserve"> Le suivi, le contrôle et les audits internes et externes de la gestion des ressources matérielles et financières ainsi que la lutte contre la corruption sont renforcés </w:t>
            </w:r>
          </w:p>
        </w:tc>
        <w:tc>
          <w:tcPr>
            <w:tcW w:w="4384" w:type="dxa"/>
          </w:tcPr>
          <w:p w:rsidR="00A22F5A" w:rsidRPr="00333DC7" w:rsidRDefault="00A22F5A" w:rsidP="00A22F5A">
            <w:pPr>
              <w:ind w:left="360" w:right="111" w:hanging="360"/>
            </w:pPr>
            <w:r>
              <w:t xml:space="preserve">Nombre de missions de suivi –contrôle et d’audit </w:t>
            </w:r>
          </w:p>
        </w:tc>
        <w:tc>
          <w:tcPr>
            <w:tcW w:w="2556" w:type="dxa"/>
          </w:tcPr>
          <w:p w:rsidR="00A22F5A" w:rsidRPr="00333DC7" w:rsidRDefault="00A22F5A" w:rsidP="00A22F5A">
            <w:r>
              <w:t>Rapport de mission</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4.3.2</w:t>
            </w:r>
            <w:r w:rsidRPr="00333DC7">
              <w:rPr>
                <w:bCs/>
              </w:rPr>
              <w:t> : Un mécanisme permanant de redevabilité est instauré </w:t>
            </w:r>
          </w:p>
        </w:tc>
        <w:tc>
          <w:tcPr>
            <w:tcW w:w="4384" w:type="dxa"/>
          </w:tcPr>
          <w:p w:rsidR="00A22F5A" w:rsidRPr="00333DC7" w:rsidRDefault="00A22F5A" w:rsidP="00A22F5A">
            <w:pPr>
              <w:ind w:left="360" w:right="111" w:hanging="360"/>
            </w:pPr>
            <w:r>
              <w:t>Existence de texte favorisant la redevabilité</w:t>
            </w:r>
          </w:p>
        </w:tc>
        <w:tc>
          <w:tcPr>
            <w:tcW w:w="2556" w:type="dxa"/>
          </w:tcPr>
          <w:p w:rsidR="00A22F5A" w:rsidRPr="00333DC7" w:rsidRDefault="00A22F5A" w:rsidP="00A22F5A">
            <w:r>
              <w:t>Journal Officiel</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right="112"/>
              <w:rPr>
                <w:b/>
                <w:bCs/>
              </w:rPr>
            </w:pPr>
            <w:r w:rsidRPr="00333DC7">
              <w:rPr>
                <w:b/>
                <w:bCs/>
              </w:rPr>
              <w:t>Effet 4.4</w:t>
            </w:r>
            <w:r w:rsidRPr="00333DC7">
              <w:rPr>
                <w:bCs/>
              </w:rPr>
              <w:t xml:space="preserve"> : L'environnement institutionnel pour un financement durable est renforcé </w:t>
            </w:r>
          </w:p>
        </w:tc>
        <w:tc>
          <w:tcPr>
            <w:tcW w:w="4384" w:type="dxa"/>
          </w:tcPr>
          <w:p w:rsidR="00A22F5A" w:rsidRPr="00333DC7" w:rsidRDefault="00A22F5A" w:rsidP="00A22F5A">
            <w:pPr>
              <w:ind w:left="360" w:right="111" w:hanging="360"/>
            </w:pPr>
            <w:r>
              <w:t>Existence de législatif et règlementaire</w:t>
            </w:r>
          </w:p>
        </w:tc>
        <w:tc>
          <w:tcPr>
            <w:tcW w:w="2556" w:type="dxa"/>
          </w:tcPr>
          <w:p w:rsidR="00A22F5A" w:rsidRPr="00333DC7" w:rsidRDefault="00A22F5A" w:rsidP="00A22F5A">
            <w:r>
              <w:t>Journal Officiel</w:t>
            </w:r>
          </w:p>
        </w:tc>
        <w:tc>
          <w:tcPr>
            <w:tcW w:w="2246" w:type="dxa"/>
            <w:vMerge w:val="restart"/>
            <w:vAlign w:val="center"/>
          </w:tcPr>
          <w:p w:rsidR="00A22F5A" w:rsidRPr="00333DC7" w:rsidRDefault="00A22F5A" w:rsidP="00A22F5A">
            <w:r>
              <w:t>Des initiatives sont prises pour l’élaboration de nouveaux textes</w:t>
            </w:r>
          </w:p>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4.4.1</w:t>
            </w:r>
            <w:r w:rsidRPr="00333DC7">
              <w:rPr>
                <w:bCs/>
              </w:rPr>
              <w:t> : Les collectivités territoriales sont impliquées davantage dans le suivi et le contrôle des mesures prises par l'Etat</w:t>
            </w:r>
          </w:p>
        </w:tc>
        <w:tc>
          <w:tcPr>
            <w:tcW w:w="4384" w:type="dxa"/>
          </w:tcPr>
          <w:p w:rsidR="00A22F5A" w:rsidRPr="00333DC7" w:rsidRDefault="00A22F5A" w:rsidP="00A22F5A">
            <w:pPr>
              <w:ind w:left="360" w:right="111" w:hanging="360"/>
            </w:pPr>
            <w:r>
              <w:t>Existence de cadre de concertation</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
                <w:bCs/>
              </w:rPr>
            </w:pPr>
            <w:r w:rsidRPr="00333DC7">
              <w:rPr>
                <w:b/>
                <w:bCs/>
              </w:rPr>
              <w:t>Extrant 4.4.2</w:t>
            </w:r>
            <w:r w:rsidRPr="00333DC7">
              <w:rPr>
                <w:bCs/>
              </w:rPr>
              <w:t> : La société civile est impliquée dans son rôle de contre-pouvoir pour la négociation de tarifs adéquats et la qualité des prestations des structures sanitaires </w:t>
            </w:r>
          </w:p>
        </w:tc>
        <w:tc>
          <w:tcPr>
            <w:tcW w:w="4384" w:type="dxa"/>
          </w:tcPr>
          <w:p w:rsidR="00A22F5A" w:rsidRPr="00333DC7" w:rsidRDefault="00A22F5A" w:rsidP="00A22F5A">
            <w:pPr>
              <w:ind w:left="360" w:right="111" w:hanging="360"/>
            </w:pPr>
            <w:r>
              <w:t>Existence de cadre de concertation</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Cs/>
              </w:rPr>
            </w:pPr>
            <w:r w:rsidRPr="00333DC7">
              <w:rPr>
                <w:b/>
                <w:bCs/>
              </w:rPr>
              <w:t>Extrant 4.4.3</w:t>
            </w:r>
            <w:r w:rsidRPr="00333DC7">
              <w:rPr>
                <w:bCs/>
              </w:rPr>
              <w:t> : Les groupes vulnérables sont impliqués dans la prise de décision </w:t>
            </w:r>
          </w:p>
        </w:tc>
        <w:tc>
          <w:tcPr>
            <w:tcW w:w="4384" w:type="dxa"/>
          </w:tcPr>
          <w:p w:rsidR="00A22F5A" w:rsidRPr="00333DC7" w:rsidRDefault="00A22F5A" w:rsidP="00A22F5A">
            <w:pPr>
              <w:ind w:left="360" w:right="111" w:hanging="360"/>
            </w:pPr>
            <w:r>
              <w:t>Existence de cadre de concertation</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r w:rsidR="00A22F5A" w:rsidRPr="00333DC7" w:rsidTr="006D0263">
        <w:trPr>
          <w:trHeight w:val="584"/>
        </w:trPr>
        <w:tc>
          <w:tcPr>
            <w:tcW w:w="5529" w:type="dxa"/>
          </w:tcPr>
          <w:p w:rsidR="00A22F5A" w:rsidRPr="00333DC7" w:rsidRDefault="00A22F5A" w:rsidP="00A22F5A">
            <w:pPr>
              <w:ind w:left="709" w:right="112"/>
              <w:rPr>
                <w:bCs/>
              </w:rPr>
            </w:pPr>
            <w:r w:rsidRPr="00333DC7">
              <w:rPr>
                <w:b/>
                <w:bCs/>
              </w:rPr>
              <w:t>Extrant 4.4.4</w:t>
            </w:r>
            <w:r w:rsidRPr="00333DC7">
              <w:rPr>
                <w:bCs/>
              </w:rPr>
              <w:t> : Le cadre de concertation et de coordination entre les Ministères du secteur et le Ministère des Finances est amélioré </w:t>
            </w:r>
          </w:p>
        </w:tc>
        <w:tc>
          <w:tcPr>
            <w:tcW w:w="4384" w:type="dxa"/>
          </w:tcPr>
          <w:p w:rsidR="00A22F5A" w:rsidRPr="00333DC7" w:rsidRDefault="00A22F5A" w:rsidP="00A22F5A">
            <w:pPr>
              <w:ind w:left="360" w:right="111" w:hanging="360"/>
            </w:pPr>
            <w:r>
              <w:t>Existence de cadre de concertation</w:t>
            </w:r>
          </w:p>
        </w:tc>
        <w:tc>
          <w:tcPr>
            <w:tcW w:w="2556" w:type="dxa"/>
          </w:tcPr>
          <w:p w:rsidR="00A22F5A" w:rsidRPr="00333DC7" w:rsidRDefault="00A22F5A" w:rsidP="00A22F5A">
            <w:r>
              <w:t>Rapport d’activité</w:t>
            </w:r>
          </w:p>
        </w:tc>
        <w:tc>
          <w:tcPr>
            <w:tcW w:w="2246" w:type="dxa"/>
            <w:vMerge/>
          </w:tcPr>
          <w:p w:rsidR="00A22F5A" w:rsidRPr="00333DC7" w:rsidRDefault="00A22F5A" w:rsidP="00A22F5A"/>
        </w:tc>
      </w:tr>
    </w:tbl>
    <w:p w:rsidR="00A22F5A" w:rsidRPr="00425A7F" w:rsidRDefault="00A22F5A" w:rsidP="00F24E98">
      <w:pPr>
        <w:widowControl w:val="0"/>
        <w:suppressAutoHyphens/>
        <w:jc w:val="both"/>
      </w:pPr>
    </w:p>
    <w:p w:rsidR="00C03A96" w:rsidRPr="00425A7F" w:rsidRDefault="00C03A96" w:rsidP="00F24E98">
      <w:pPr>
        <w:widowControl w:val="0"/>
        <w:suppressAutoHyphens/>
        <w:jc w:val="both"/>
        <w:rPr>
          <w:lang w:val="fr-CH"/>
        </w:rPr>
      </w:pPr>
      <w:r w:rsidRPr="00425A7F">
        <w:rPr>
          <w:lang w:val="fr-CH"/>
        </w:rPr>
        <w:br w:type="page"/>
      </w:r>
    </w:p>
    <w:p w:rsidR="00E71DA9" w:rsidRPr="00425A7F" w:rsidRDefault="00E71DA9" w:rsidP="00972F59">
      <w:pPr>
        <w:pStyle w:val="Titre2"/>
        <w:sectPr w:rsidR="00E71DA9" w:rsidRPr="00425A7F" w:rsidSect="00E71DA9">
          <w:pgSz w:w="16838" w:h="11906" w:orient="landscape"/>
          <w:pgMar w:top="709" w:right="1418" w:bottom="1418" w:left="1418" w:header="709" w:footer="709" w:gutter="0"/>
          <w:cols w:space="708"/>
          <w:docGrid w:linePitch="360"/>
        </w:sectPr>
      </w:pPr>
    </w:p>
    <w:p w:rsidR="009D2123" w:rsidRPr="00425A7F" w:rsidRDefault="00194A77" w:rsidP="00972F59">
      <w:pPr>
        <w:pStyle w:val="Titre2"/>
        <w:numPr>
          <w:ilvl w:val="0"/>
          <w:numId w:val="0"/>
        </w:numPr>
        <w:ind w:left="720" w:hanging="360"/>
      </w:pPr>
      <w:bookmarkStart w:id="69" w:name="_Toc497294527"/>
      <w:r w:rsidRPr="00425A7F">
        <w:lastRenderedPageBreak/>
        <w:t xml:space="preserve">ANNEXE </w:t>
      </w:r>
      <w:r w:rsidR="00E802F0" w:rsidRPr="00425A7F">
        <w:t>2</w:t>
      </w:r>
      <w:r w:rsidRPr="00425A7F">
        <w:t> : ARCHITECTURE DE L’ASSURANCE MALADIE UNIVERSELLE A TERME</w:t>
      </w:r>
      <w:r w:rsidR="009D2123" w:rsidRPr="00425A7F">
        <w:t xml:space="preserve"> (2023)</w:t>
      </w:r>
      <w:bookmarkEnd w:id="69"/>
    </w:p>
    <w:p w:rsidR="00C86A23" w:rsidRPr="00425A7F" w:rsidRDefault="00C86A23" w:rsidP="00F24E98">
      <w:pPr>
        <w:widowControl w:val="0"/>
        <w:suppressAutoHyphens/>
        <w:jc w:val="both"/>
      </w:pPr>
    </w:p>
    <w:p w:rsidR="00C86A23" w:rsidRPr="00425A7F" w:rsidRDefault="00C86A23" w:rsidP="00F24E98">
      <w:pPr>
        <w:widowControl w:val="0"/>
        <w:suppressAutoHyphens/>
        <w:jc w:val="both"/>
      </w:pPr>
    </w:p>
    <w:p w:rsidR="00C86A23" w:rsidRPr="00425A7F" w:rsidRDefault="00C86A23" w:rsidP="00F24E98">
      <w:pPr>
        <w:widowControl w:val="0"/>
        <w:suppressAutoHyphens/>
        <w:jc w:val="both"/>
      </w:pPr>
    </w:p>
    <w:p w:rsidR="001B63EB" w:rsidRPr="00425A7F" w:rsidRDefault="003069F4" w:rsidP="00F24E98">
      <w:pPr>
        <w:widowControl w:val="0"/>
        <w:suppressAutoHyphens/>
        <w:jc w:val="both"/>
        <w:rPr>
          <w:rFonts w:asciiTheme="minorHAnsi" w:hAnsiTheme="minorHAnsi" w:cstheme="minorBidi"/>
        </w:rPr>
      </w:pPr>
      <w:r w:rsidRPr="00425A7F">
        <w:rPr>
          <w:rFonts w:asciiTheme="minorHAnsi" w:hAnsiTheme="minorHAnsi" w:cstheme="minorBidi"/>
          <w:noProof/>
          <w:lang w:eastAsia="fr-FR"/>
        </w:rPr>
        <mc:AlternateContent>
          <mc:Choice Requires="wps">
            <w:drawing>
              <wp:anchor distT="0" distB="0" distL="114298" distR="114298" simplePos="0" relativeHeight="251682816" behindDoc="0" locked="0" layoutInCell="1" allowOverlap="1" wp14:anchorId="24956E7B" wp14:editId="13BC20EE">
                <wp:simplePos x="0" y="0"/>
                <wp:positionH relativeFrom="column">
                  <wp:posOffset>346074</wp:posOffset>
                </wp:positionH>
                <wp:positionV relativeFrom="paragraph">
                  <wp:posOffset>-156845</wp:posOffset>
                </wp:positionV>
                <wp:extent cx="0" cy="4100195"/>
                <wp:effectExtent l="95250" t="0" r="57150" b="52705"/>
                <wp:wrapNone/>
                <wp:docPr id="293" name="Connecteur droit avec flèch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4100195"/>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w14:anchorId="0BB316E4" id="_x0000_t32" coordsize="21600,21600" o:spt="32" o:oned="t" path="m,l21600,21600e" filled="f">
                <v:path arrowok="t" fillok="f" o:connecttype="none"/>
                <o:lock v:ext="edit" shapetype="t"/>
              </v:shapetype>
              <v:shape id="Connecteur droit avec flèche 22" o:spid="_x0000_s1026" type="#_x0000_t32" style="position:absolute;margin-left:27.25pt;margin-top:-12.35pt;width:0;height:322.85pt;z-index:25168281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" strokecolor="#4a7ebb">
                <v:stroke endarrow="open"/>
                <o:lock v:ext="edit" shapetype="f"/>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688960" behindDoc="0" locked="0" layoutInCell="1" allowOverlap="1" wp14:anchorId="3347FF70" wp14:editId="6C1F2F45">
                <wp:simplePos x="0" y="0"/>
                <wp:positionH relativeFrom="column">
                  <wp:posOffset>1119505</wp:posOffset>
                </wp:positionH>
                <wp:positionV relativeFrom="paragraph">
                  <wp:posOffset>-146685</wp:posOffset>
                </wp:positionV>
                <wp:extent cx="1748155" cy="274955"/>
                <wp:effectExtent l="0" t="0" r="0" b="10795"/>
                <wp:wrapNone/>
                <wp:docPr id="290" name="Zone de texte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48155" cy="274955"/>
                        </a:xfrm>
                        <a:prstGeom prst="rect">
                          <a:avLst/>
                        </a:prstGeom>
                        <a:noFill/>
                        <a:ln>
                          <a:noFill/>
                        </a:ln>
                        <a:effectLst/>
                      </wps:spPr>
                      <wps:txbx>
                        <w:txbxContent>
                          <w:p w:rsidR="0052061B" w:rsidRPr="00E20C2F" w:rsidRDefault="0052061B" w:rsidP="001B63EB">
                            <w:pPr>
                              <w:jc w:val="center"/>
                              <w:rPr>
                                <w:b/>
                                <w:caps/>
                                <w:noProof/>
                                <w:sz w:val="28"/>
                                <w:szCs w:val="28"/>
                              </w:rPr>
                            </w:pPr>
                            <w:r w:rsidRPr="00E20C2F">
                              <w:rPr>
                                <w:b/>
                                <w:caps/>
                                <w:noProof/>
                                <w:sz w:val="28"/>
                                <w:szCs w:val="28"/>
                              </w:rPr>
                              <w:t>Tutelle technique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H relativeFrom="margin">
                  <wp14:pctWidth>0</wp14:pctWidth>
                </wp14:sizeRelH>
                <wp14:sizeRelV relativeFrom="margin">
                  <wp14:pctHeight>0</wp14:pctHeight>
                </wp14:sizeRelV>
              </wp:anchor>
            </w:drawing>
          </mc:Choice>
          <mc:Fallback>
            <w:pict>
              <v:shapetype w14:anchorId="3347FF70" id="_x0000_t202" coordsize="21600,21600" o:spt="202" path="m,l,21600r21600,l21600,xe">
                <v:stroke joinstyle="miter"/>
                <v:path gradientshapeok="t" o:connecttype="rect"/>
              </v:shapetype>
              <v:shape id="Zone de texte 30" o:spid="_x0000_s1026" type="#_x0000_t202" style="position:absolute;left:0;text-align:left;margin-left:88.15pt;margin-top:-11.55pt;width:137.65pt;height:21.6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" filled="f" stroked="f">
                <v:path arrowok="t"/>
                <v:textbox>
                  <w:txbxContent>
                    <w:p w:rsidR="0052061B" w:rsidRPr="00E20C2F" w:rsidRDefault="0052061B" w:rsidP="001B63EB">
                      <w:pPr>
                        <w:jc w:val="center"/>
                        <w:rPr>
                          <w:b/>
                          <w:caps/>
                          <w:noProof/>
                          <w:sz w:val="28"/>
                          <w:szCs w:val="28"/>
                        </w:rPr>
                      </w:pPr>
                      <w:r w:rsidRPr="00E20C2F">
                        <w:rPr>
                          <w:b/>
                          <w:caps/>
                          <w:noProof/>
                          <w:sz w:val="28"/>
                          <w:szCs w:val="28"/>
                        </w:rPr>
                        <w:t>Tutelle technique</w:t>
                      </w:r>
                    </w:p>
                  </w:txbxContent>
                </v:textbox>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675648" behindDoc="0" locked="0" layoutInCell="1" allowOverlap="1" wp14:anchorId="03656421" wp14:editId="63BEF56B">
                <wp:simplePos x="0" y="0"/>
                <wp:positionH relativeFrom="column">
                  <wp:posOffset>4354830</wp:posOffset>
                </wp:positionH>
                <wp:positionV relativeFrom="paragraph">
                  <wp:posOffset>-5715</wp:posOffset>
                </wp:positionV>
                <wp:extent cx="773430" cy="333375"/>
                <wp:effectExtent l="38100" t="0" r="26670" b="66675"/>
                <wp:wrapNone/>
                <wp:docPr id="31" name="Connecteur droit avec flèch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773430" cy="333375"/>
                        </a:xfrm>
                        <a:prstGeom prst="straightConnector1">
                          <a:avLst/>
                        </a:prstGeom>
                        <a:noFill/>
                        <a:ln w="9525" cap="flat" cmpd="sng" algn="ctr">
                          <a:solidFill>
                            <a:srgbClr val="8064A2">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3AC21F44" id="Connecteur droit avec flèche 15" o:spid="_x0000_s1026" type="#_x0000_t32" style="position:absolute;margin-left:342.9pt;margin-top:-.45pt;width:60.9pt;height:26.25pt;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" strokecolor="#7d60a0">
                <v:stroke endarrow="open"/>
                <o:lock v:ext="edit" shapetype="f"/>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674624" behindDoc="0" locked="0" layoutInCell="1" allowOverlap="1" wp14:anchorId="2FD9E2E3" wp14:editId="54E1F036">
                <wp:simplePos x="0" y="0"/>
                <wp:positionH relativeFrom="column">
                  <wp:posOffset>778510</wp:posOffset>
                </wp:positionH>
                <wp:positionV relativeFrom="paragraph">
                  <wp:posOffset>-156210</wp:posOffset>
                </wp:positionV>
                <wp:extent cx="602615" cy="484505"/>
                <wp:effectExtent l="0" t="0" r="83185" b="48895"/>
                <wp:wrapNone/>
                <wp:docPr id="30" name="Connecteur droit avec flèch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2615" cy="484505"/>
                        </a:xfrm>
                        <a:prstGeom prst="straightConnector1">
                          <a:avLst/>
                        </a:prstGeom>
                        <a:noFill/>
                        <a:ln w="9525" cap="flat" cmpd="sng" algn="ctr">
                          <a:solidFill>
                            <a:srgbClr val="7030A0"/>
                          </a:solidFill>
                          <a:prstDash val="solid"/>
                          <a:tailEnd type="arrow"/>
                        </a:ln>
                        <a:effectLst/>
                      </wps:spPr>
                      <wps:bodyPr/>
                    </wps:wsp>
                  </a:graphicData>
                </a:graphic>
                <wp14:sizeRelH relativeFrom="margin">
                  <wp14:pctWidth>0</wp14:pctWidth>
                </wp14:sizeRelH>
                <wp14:sizeRelV relativeFrom="page">
                  <wp14:pctHeight>0</wp14:pctHeight>
                </wp14:sizeRelV>
              </wp:anchor>
            </w:drawing>
          </mc:Choice>
          <mc:Fallback>
            <w:pict>
              <v:shape w14:anchorId="0620B9B4" id="Connecteur droit avec flèche 14" o:spid="_x0000_s1026" type="#_x0000_t32" style="position:absolute;margin-left:61.3pt;margin-top:-12.3pt;width:47.45pt;height:38.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" strokecolor="#7030a0">
                <v:stroke endarrow="open"/>
                <o:lock v:ext="edit" shapetype="f"/>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664384" behindDoc="0" locked="0" layoutInCell="1" allowOverlap="1" wp14:anchorId="7AC927F9" wp14:editId="120F6BED">
                <wp:simplePos x="0" y="0"/>
                <wp:positionH relativeFrom="column">
                  <wp:posOffset>-15875</wp:posOffset>
                </wp:positionH>
                <wp:positionV relativeFrom="paragraph">
                  <wp:posOffset>-397510</wp:posOffset>
                </wp:positionV>
                <wp:extent cx="793750" cy="240665"/>
                <wp:effectExtent l="0" t="0" r="25400" b="26035"/>
                <wp:wrapNone/>
                <wp:docPr id="2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0" cy="240665"/>
                        </a:xfrm>
                        <a:prstGeom prst="rect">
                          <a:avLst/>
                        </a:prstGeom>
                        <a:solidFill>
                          <a:srgbClr val="FFFFFF"/>
                        </a:solidFill>
                        <a:ln w="9525">
                          <a:solidFill>
                            <a:srgbClr val="000000"/>
                          </a:solidFill>
                          <a:miter lim="800000"/>
                          <a:headEnd/>
                          <a:tailEnd/>
                        </a:ln>
                      </wps:spPr>
                      <wps:txbx>
                        <w:txbxContent>
                          <w:p w:rsidR="0052061B" w:rsidRDefault="0052061B" w:rsidP="001B63EB">
                            <w:r>
                              <w:t>MTASH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C927F9" id="Zone de texte 2" o:spid="_x0000_s1027" type="#_x0000_t202" style="position:absolute;left:0;text-align:left;margin-left:-1.25pt;margin-top:-31.3pt;width:62.5pt;height:18.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">
                <v:textbox>
                  <w:txbxContent>
                    <w:p w:rsidR="0052061B" w:rsidRDefault="0052061B" w:rsidP="001B63EB">
                      <w:r>
                        <w:t>MTASH</w:t>
                      </w:r>
                    </w:p>
                  </w:txbxContent>
                </v:textbox>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663360" behindDoc="0" locked="0" layoutInCell="1" allowOverlap="1" wp14:anchorId="74AC2F4C" wp14:editId="0C9F6C66">
                <wp:simplePos x="0" y="0"/>
                <wp:positionH relativeFrom="column">
                  <wp:posOffset>4123055</wp:posOffset>
                </wp:positionH>
                <wp:positionV relativeFrom="paragraph">
                  <wp:posOffset>-470535</wp:posOffset>
                </wp:positionV>
                <wp:extent cx="2119630" cy="461645"/>
                <wp:effectExtent l="0" t="0" r="13970" b="14605"/>
                <wp:wrapNone/>
                <wp:docPr id="299"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9630" cy="461645"/>
                        </a:xfrm>
                        <a:prstGeom prst="rect">
                          <a:avLst/>
                        </a:prstGeom>
                        <a:solidFill>
                          <a:srgbClr val="FFFFFF"/>
                        </a:solidFill>
                        <a:ln w="9525">
                          <a:solidFill>
                            <a:srgbClr val="000000"/>
                          </a:solidFill>
                          <a:miter lim="800000"/>
                          <a:headEnd/>
                          <a:tailEnd/>
                        </a:ln>
                      </wps:spPr>
                      <wps:txbx>
                        <w:txbxContent>
                          <w:p w:rsidR="0052061B" w:rsidRPr="00BC5130" w:rsidRDefault="0052061B" w:rsidP="00BC5130">
                            <w:pPr>
                              <w:jc w:val="center"/>
                              <w:rPr>
                                <w:b/>
                              </w:rPr>
                            </w:pPr>
                            <w:r w:rsidRPr="00BC5130">
                              <w:rPr>
                                <w:b/>
                              </w:rPr>
                              <w:t>Organ</w:t>
                            </w:r>
                            <w:r>
                              <w:rPr>
                                <w:b/>
                              </w:rPr>
                              <w:t>e inter</w:t>
                            </w:r>
                            <w:r w:rsidRPr="00BC5130">
                              <w:rPr>
                                <w:b/>
                              </w:rPr>
                              <w:t>ministériel / supra ministériel de régulation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AC2F4C" id="_x0000_s1028" type="#_x0000_t202" style="position:absolute;left:0;text-align:left;margin-left:324.65pt;margin-top:-37.05pt;width:166.9pt;height:36.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">
                <v:textbox>
                  <w:txbxContent>
                    <w:p w:rsidR="0052061B" w:rsidRPr="00BC5130" w:rsidRDefault="0052061B" w:rsidP="00BC5130">
                      <w:pPr>
                        <w:jc w:val="center"/>
                        <w:rPr>
                          <w:b/>
                        </w:rPr>
                      </w:pPr>
                      <w:r w:rsidRPr="00BC5130">
                        <w:rPr>
                          <w:b/>
                        </w:rPr>
                        <w:t>Organ</w:t>
                      </w:r>
                      <w:r>
                        <w:rPr>
                          <w:b/>
                        </w:rPr>
                        <w:t>e inter</w:t>
                      </w:r>
                      <w:r w:rsidRPr="00BC5130">
                        <w:rPr>
                          <w:b/>
                        </w:rPr>
                        <w:t>ministériel / supra ministériel de régulation</w:t>
                      </w:r>
                    </w:p>
                  </w:txbxContent>
                </v:textbox>
              </v:shape>
            </w:pict>
          </mc:Fallback>
        </mc:AlternateContent>
      </w:r>
    </w:p>
    <w:p w:rsidR="001B63EB" w:rsidRPr="00425A7F" w:rsidRDefault="003069F4" w:rsidP="00F24E98">
      <w:pPr>
        <w:widowControl w:val="0"/>
        <w:suppressAutoHyphens/>
        <w:jc w:val="both"/>
        <w:rPr>
          <w:rFonts w:asciiTheme="minorHAnsi" w:hAnsiTheme="minorHAnsi" w:cstheme="minorBidi"/>
        </w:rPr>
      </w:pPr>
      <w:r w:rsidRPr="00425A7F">
        <w:rPr>
          <w:rFonts w:asciiTheme="minorHAnsi" w:hAnsiTheme="minorHAnsi" w:cstheme="minorBidi"/>
          <w:noProof/>
          <w:lang w:eastAsia="fr-FR"/>
        </w:rPr>
        <mc:AlternateContent>
          <mc:Choice Requires="wps">
            <w:drawing>
              <wp:anchor distT="0" distB="0" distL="114300" distR="114300" simplePos="0" relativeHeight="251660288" behindDoc="0" locked="0" layoutInCell="1" allowOverlap="1" wp14:anchorId="5B0E4D36" wp14:editId="4EB4E762">
                <wp:simplePos x="0" y="0"/>
                <wp:positionH relativeFrom="column">
                  <wp:posOffset>1397000</wp:posOffset>
                </wp:positionH>
                <wp:positionV relativeFrom="paragraph">
                  <wp:posOffset>-4445</wp:posOffset>
                </wp:positionV>
                <wp:extent cx="2983865" cy="2431415"/>
                <wp:effectExtent l="0" t="0" r="26035" b="26035"/>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3865" cy="2431415"/>
                        </a:xfrm>
                        <a:prstGeom prst="rect">
                          <a:avLst/>
                        </a:prstGeom>
                        <a:solidFill>
                          <a:srgbClr val="FFFFFF"/>
                        </a:solidFill>
                        <a:ln w="9525">
                          <a:solidFill>
                            <a:srgbClr val="000000"/>
                          </a:solidFill>
                          <a:miter lim="800000"/>
                          <a:headEnd/>
                          <a:tailEnd/>
                        </a:ln>
                      </wps:spPr>
                      <wps:txbx>
                        <w:txbxContent>
                          <w:p w:rsidR="0052061B" w:rsidRDefault="0052061B" w:rsidP="001B63EB">
                            <w:pPr>
                              <w:pBdr>
                                <w:top w:val="single" w:sz="4" w:space="2" w:color="auto"/>
                                <w:left w:val="single" w:sz="4" w:space="4" w:color="auto"/>
                                <w:bottom w:val="single" w:sz="4" w:space="1" w:color="auto"/>
                                <w:right w:val="single" w:sz="4" w:space="4" w:color="auto"/>
                              </w:pBdr>
                              <w:jc w:val="center"/>
                            </w:pPr>
                            <w:r>
                              <w:t>Organisme de gestion unique de couverture du risque maladie gérant notamment le paquet de base de l’Assurance Maladie Universelle.</w:t>
                            </w:r>
                          </w:p>
                          <w:p w:rsidR="0052061B" w:rsidRDefault="0052061B" w:rsidP="001B63EB">
                            <w:pPr>
                              <w:pBdr>
                                <w:top w:val="single" w:sz="4" w:space="2" w:color="auto"/>
                                <w:left w:val="single" w:sz="4" w:space="4" w:color="auto"/>
                                <w:bottom w:val="single" w:sz="4" w:space="1" w:color="auto"/>
                                <w:right w:val="single" w:sz="4" w:space="4" w:color="auto"/>
                              </w:pBdr>
                            </w:pPr>
                          </w:p>
                          <w:p w:rsidR="0052061B" w:rsidRPr="00250308" w:rsidRDefault="0052061B" w:rsidP="001B63EB">
                            <w:pPr>
                              <w:pBdr>
                                <w:top w:val="single" w:sz="4" w:space="2" w:color="auto"/>
                                <w:left w:val="single" w:sz="4" w:space="4" w:color="auto"/>
                                <w:bottom w:val="single" w:sz="4" w:space="1" w:color="auto"/>
                                <w:right w:val="single" w:sz="4" w:space="4" w:color="auto"/>
                              </w:pBd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0E4D36" id="_x0000_s1029" type="#_x0000_t202" style="position:absolute;left:0;text-align:left;margin-left:110pt;margin-top:-.35pt;width:234.95pt;height:191.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">
                <v:textbox>
                  <w:txbxContent>
                    <w:p w:rsidR="0052061B" w:rsidRDefault="0052061B" w:rsidP="001B63EB">
                      <w:pPr>
                        <w:pBdr>
                          <w:top w:val="single" w:sz="4" w:space="2" w:color="auto"/>
                          <w:left w:val="single" w:sz="4" w:space="4" w:color="auto"/>
                          <w:bottom w:val="single" w:sz="4" w:space="1" w:color="auto"/>
                          <w:right w:val="single" w:sz="4" w:space="4" w:color="auto"/>
                        </w:pBdr>
                        <w:jc w:val="center"/>
                      </w:pPr>
                      <w:r>
                        <w:t>Organisme de gestion unique de couverture du risque maladie gérant notamment le paquet de base de l’Assurance Maladie Universelle.</w:t>
                      </w:r>
                    </w:p>
                    <w:p w:rsidR="0052061B" w:rsidRDefault="0052061B" w:rsidP="001B63EB">
                      <w:pPr>
                        <w:pBdr>
                          <w:top w:val="single" w:sz="4" w:space="2" w:color="auto"/>
                          <w:left w:val="single" w:sz="4" w:space="4" w:color="auto"/>
                          <w:bottom w:val="single" w:sz="4" w:space="1" w:color="auto"/>
                          <w:right w:val="single" w:sz="4" w:space="4" w:color="auto"/>
                        </w:pBdr>
                      </w:pPr>
                    </w:p>
                    <w:p w:rsidR="0052061B" w:rsidRPr="00250308" w:rsidRDefault="0052061B" w:rsidP="001B63EB">
                      <w:pPr>
                        <w:pBdr>
                          <w:top w:val="single" w:sz="4" w:space="2" w:color="auto"/>
                          <w:left w:val="single" w:sz="4" w:space="4" w:color="auto"/>
                          <w:bottom w:val="single" w:sz="4" w:space="1" w:color="auto"/>
                          <w:right w:val="single" w:sz="4" w:space="4" w:color="auto"/>
                        </w:pBdr>
                      </w:pPr>
                    </w:p>
                  </w:txbxContent>
                </v:textbox>
              </v:shape>
            </w:pict>
          </mc:Fallback>
        </mc:AlternateContent>
      </w:r>
    </w:p>
    <w:p w:rsidR="001B63EB" w:rsidRPr="00425A7F" w:rsidRDefault="003069F4" w:rsidP="00F24E98">
      <w:pPr>
        <w:widowControl w:val="0"/>
        <w:suppressAutoHyphens/>
        <w:jc w:val="both"/>
        <w:rPr>
          <w:rFonts w:asciiTheme="minorHAnsi" w:hAnsiTheme="minorHAnsi" w:cstheme="minorBidi"/>
        </w:rPr>
      </w:pPr>
      <w:r w:rsidRPr="00425A7F">
        <w:rPr>
          <w:rFonts w:asciiTheme="minorHAnsi" w:hAnsiTheme="minorHAnsi" w:cstheme="minorBidi"/>
          <w:noProof/>
          <w:lang w:eastAsia="fr-FR"/>
        </w:rPr>
        <mc:AlternateContent>
          <mc:Choice Requires="wps">
            <w:drawing>
              <wp:anchor distT="0" distB="0" distL="114300" distR="114300" simplePos="0" relativeHeight="251704320" behindDoc="0" locked="0" layoutInCell="1" allowOverlap="1" wp14:anchorId="0D1D817B" wp14:editId="3FFD0E38">
                <wp:simplePos x="0" y="0"/>
                <wp:positionH relativeFrom="column">
                  <wp:posOffset>5240020</wp:posOffset>
                </wp:positionH>
                <wp:positionV relativeFrom="paragraph">
                  <wp:posOffset>172085</wp:posOffset>
                </wp:positionV>
                <wp:extent cx="1115060" cy="833755"/>
                <wp:effectExtent l="0" t="0" r="27940" b="23495"/>
                <wp:wrapNone/>
                <wp:docPr id="30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5060" cy="833755"/>
                        </a:xfrm>
                        <a:prstGeom prst="rect">
                          <a:avLst/>
                        </a:prstGeom>
                        <a:solidFill>
                          <a:srgbClr val="FFFFFF"/>
                        </a:solidFill>
                        <a:ln w="9525">
                          <a:solidFill>
                            <a:srgbClr val="000000"/>
                          </a:solidFill>
                          <a:miter lim="800000"/>
                          <a:headEnd/>
                          <a:tailEnd/>
                        </a:ln>
                      </wps:spPr>
                      <wps:txbx>
                        <w:txbxContent>
                          <w:p w:rsidR="0052061B" w:rsidRDefault="0052061B" w:rsidP="001B63EB">
                            <w:r>
                              <w:t>Création d’un fonds ? Lié à la protection sociale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1D817B" id="_x0000_s1030" type="#_x0000_t202" style="position:absolute;left:0;text-align:left;margin-left:412.6pt;margin-top:13.55pt;width:87.8pt;height:65.6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">
                <v:textbox>
                  <w:txbxContent>
                    <w:p w:rsidR="0052061B" w:rsidRDefault="0052061B" w:rsidP="001B63EB">
                      <w:r>
                        <w:t>Création d’un fonds ? Lié à la protection sociale ?</w:t>
                      </w:r>
                    </w:p>
                  </w:txbxContent>
                </v:textbox>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698176" behindDoc="0" locked="0" layoutInCell="1" allowOverlap="1" wp14:anchorId="6A175F92" wp14:editId="1DBA4D17">
                <wp:simplePos x="0" y="0"/>
                <wp:positionH relativeFrom="column">
                  <wp:posOffset>-314960</wp:posOffset>
                </wp:positionH>
                <wp:positionV relativeFrom="paragraph">
                  <wp:posOffset>220980</wp:posOffset>
                </wp:positionV>
                <wp:extent cx="1696085" cy="783590"/>
                <wp:effectExtent l="0" t="19050" r="37465" b="35560"/>
                <wp:wrapNone/>
                <wp:docPr id="295" name="Flèche droite 2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96085" cy="783590"/>
                        </a:xfrm>
                        <a:prstGeom prst="rightArrow">
                          <a:avLst/>
                        </a:prstGeom>
                        <a:solidFill>
                          <a:sysClr val="window" lastClr="FFFFFF"/>
                        </a:solidFill>
                        <a:ln w="25400" cap="flat" cmpd="sng" algn="ctr">
                          <a:solidFill>
                            <a:srgbClr val="4BACC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399EEF9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droite 295" o:spid="_x0000_s1026" type="#_x0000_t13" style="position:absolute;margin-left:-24.8pt;margin-top:17.4pt;width:133.55pt;height:61.7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" adj="16610" fillcolor="window" strokecolor="#4bacc6" strokeweight="2pt">
                <v:path arrowok="t"/>
              </v:shape>
            </w:pict>
          </mc:Fallback>
        </mc:AlternateContent>
      </w:r>
    </w:p>
    <w:p w:rsidR="001B63EB" w:rsidRPr="00425A7F" w:rsidRDefault="003069F4" w:rsidP="00F24E98">
      <w:pPr>
        <w:widowControl w:val="0"/>
        <w:suppressAutoHyphens/>
        <w:jc w:val="both"/>
        <w:rPr>
          <w:rFonts w:asciiTheme="minorHAnsi" w:hAnsiTheme="minorHAnsi" w:cstheme="minorBidi"/>
        </w:rPr>
      </w:pPr>
      <w:r w:rsidRPr="00425A7F">
        <w:rPr>
          <w:rFonts w:asciiTheme="minorHAnsi" w:hAnsiTheme="minorHAnsi" w:cstheme="minorBidi"/>
          <w:noProof/>
          <w:lang w:eastAsia="fr-FR"/>
        </w:rPr>
        <mc:AlternateContent>
          <mc:Choice Requires="wps">
            <w:drawing>
              <wp:anchor distT="0" distB="0" distL="114300" distR="114300" simplePos="0" relativeHeight="251703296" behindDoc="0" locked="0" layoutInCell="1" allowOverlap="1" wp14:anchorId="0F2C3829" wp14:editId="2E733757">
                <wp:simplePos x="0" y="0"/>
                <wp:positionH relativeFrom="column">
                  <wp:posOffset>4365625</wp:posOffset>
                </wp:positionH>
                <wp:positionV relativeFrom="paragraph">
                  <wp:posOffset>200660</wp:posOffset>
                </wp:positionV>
                <wp:extent cx="833755" cy="260350"/>
                <wp:effectExtent l="0" t="19050" r="42545" b="44450"/>
                <wp:wrapNone/>
                <wp:docPr id="302" name="Flèche droite 3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33755" cy="260350"/>
                        </a:xfrm>
                        <a:prstGeom prst="rightArrow">
                          <a:avLst/>
                        </a:prstGeom>
                        <a:solidFill>
                          <a:sysClr val="window" lastClr="FFFFFF"/>
                        </a:solidFill>
                        <a:ln w="25400" cap="flat" cmpd="sng" algn="ctr">
                          <a:solidFill>
                            <a:srgbClr val="C0504D"/>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5D95E071" id="Flèche droite 302" o:spid="_x0000_s1026" type="#_x0000_t13" style="position:absolute;margin-left:343.75pt;margin-top:15.8pt;width:65.65pt;height:20.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" adj="18228" fillcolor="window" strokecolor="#c0504d" strokeweight="2pt">
                <v:path arrowok="t"/>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699200" behindDoc="0" locked="0" layoutInCell="1" allowOverlap="1" wp14:anchorId="151ED229" wp14:editId="5A71224B">
                <wp:simplePos x="0" y="0"/>
                <wp:positionH relativeFrom="column">
                  <wp:posOffset>74295</wp:posOffset>
                </wp:positionH>
                <wp:positionV relativeFrom="paragraph">
                  <wp:posOffset>138430</wp:posOffset>
                </wp:positionV>
                <wp:extent cx="803275" cy="320675"/>
                <wp:effectExtent l="0" t="0" r="0" b="3175"/>
                <wp:wrapNone/>
                <wp:docPr id="29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3275" cy="320675"/>
                        </a:xfrm>
                        <a:prstGeom prst="rect">
                          <a:avLst/>
                        </a:prstGeom>
                        <a:solidFill>
                          <a:srgbClr val="FFFFFF"/>
                        </a:solidFill>
                        <a:ln w="9525">
                          <a:noFill/>
                          <a:miter lim="800000"/>
                          <a:headEnd/>
                          <a:tailEnd/>
                        </a:ln>
                      </wps:spPr>
                      <wps:txbx>
                        <w:txbxContent>
                          <w:p w:rsidR="0052061B" w:rsidRDefault="0052061B" w:rsidP="001B63EB">
                            <w:r>
                              <w:t>Gratuités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1ED229" id="_x0000_s1031" type="#_x0000_t202" style="position:absolute;left:0;text-align:left;margin-left:5.85pt;margin-top:10.9pt;width:63.25pt;height:25.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" stroked="f">
                <v:textbox>
                  <w:txbxContent>
                    <w:p w:rsidR="0052061B" w:rsidRDefault="0052061B" w:rsidP="001B63EB">
                      <w:r>
                        <w:t>Gratuités</w:t>
                      </w:r>
                    </w:p>
                  </w:txbxContent>
                </v:textbox>
              </v:shape>
            </w:pict>
          </mc:Fallback>
        </mc:AlternateContent>
      </w:r>
    </w:p>
    <w:p w:rsidR="001B63EB" w:rsidRPr="00425A7F" w:rsidRDefault="001B63EB" w:rsidP="00F24E98">
      <w:pPr>
        <w:widowControl w:val="0"/>
        <w:tabs>
          <w:tab w:val="left" w:pos="823"/>
        </w:tabs>
        <w:suppressAutoHyphens/>
        <w:jc w:val="both"/>
        <w:rPr>
          <w:rFonts w:asciiTheme="minorHAnsi" w:hAnsiTheme="minorHAnsi" w:cstheme="minorBidi"/>
        </w:rPr>
      </w:pPr>
      <w:r w:rsidRPr="00425A7F">
        <w:rPr>
          <w:rFonts w:asciiTheme="minorHAnsi" w:hAnsiTheme="minorHAnsi" w:cstheme="minorBidi"/>
        </w:rPr>
        <w:tab/>
      </w:r>
    </w:p>
    <w:p w:rsidR="001B63EB" w:rsidRPr="00425A7F" w:rsidRDefault="003069F4" w:rsidP="00F24E98">
      <w:pPr>
        <w:widowControl w:val="0"/>
        <w:suppressAutoHyphens/>
        <w:jc w:val="both"/>
        <w:rPr>
          <w:rFonts w:asciiTheme="minorHAnsi" w:hAnsiTheme="minorHAnsi" w:cstheme="minorBidi"/>
        </w:rPr>
      </w:pPr>
      <w:r w:rsidRPr="00425A7F">
        <w:rPr>
          <w:rFonts w:asciiTheme="minorHAnsi" w:hAnsiTheme="minorHAnsi" w:cstheme="minorBidi"/>
          <w:noProof/>
          <w:lang w:eastAsia="fr-FR"/>
        </w:rPr>
        <mc:AlternateContent>
          <mc:Choice Requires="wps">
            <w:drawing>
              <wp:anchor distT="0" distB="0" distL="114300" distR="114300" simplePos="0" relativeHeight="251711488" behindDoc="0" locked="0" layoutInCell="1" allowOverlap="1" wp14:anchorId="413D8850" wp14:editId="70A34292">
                <wp:simplePos x="0" y="0"/>
                <wp:positionH relativeFrom="column">
                  <wp:posOffset>3014980</wp:posOffset>
                </wp:positionH>
                <wp:positionV relativeFrom="paragraph">
                  <wp:posOffset>36830</wp:posOffset>
                </wp:positionV>
                <wp:extent cx="1309370" cy="636905"/>
                <wp:effectExtent l="0" t="0" r="24130" b="10795"/>
                <wp:wrapNone/>
                <wp:docPr id="2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9370" cy="636905"/>
                        </a:xfrm>
                        <a:prstGeom prst="rect">
                          <a:avLst/>
                        </a:prstGeom>
                        <a:solidFill>
                          <a:srgbClr val="FFFFFF"/>
                        </a:solidFill>
                        <a:ln w="9525">
                          <a:solidFill>
                            <a:srgbClr val="000000"/>
                          </a:solidFill>
                          <a:miter lim="800000"/>
                          <a:headEnd/>
                          <a:tailEnd/>
                        </a:ln>
                      </wps:spPr>
                      <wps:txbx>
                        <w:txbxContent>
                          <w:p w:rsidR="0052061B" w:rsidRDefault="0052061B" w:rsidP="001B63EB">
                            <w:pPr>
                              <w:jc w:val="center"/>
                            </w:pPr>
                            <w:r>
                              <w:t>Pooling du paquet de base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3D8850" id="_x0000_s1032" type="#_x0000_t202" style="position:absolute;left:0;text-align:left;margin-left:237.4pt;margin-top:2.9pt;width:103.1pt;height:50.1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">
                <v:textbox>
                  <w:txbxContent>
                    <w:p w:rsidR="0052061B" w:rsidRDefault="0052061B" w:rsidP="001B63EB">
                      <w:pPr>
                        <w:jc w:val="center"/>
                      </w:pPr>
                      <w:r>
                        <w:t>Pooling du paquet de base</w:t>
                      </w:r>
                    </w:p>
                  </w:txbxContent>
                </v:textbox>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712512" behindDoc="0" locked="0" layoutInCell="1" allowOverlap="1" wp14:anchorId="423DCF41" wp14:editId="5844BFF6">
                <wp:simplePos x="0" y="0"/>
                <wp:positionH relativeFrom="column">
                  <wp:posOffset>1427480</wp:posOffset>
                </wp:positionH>
                <wp:positionV relativeFrom="paragraph">
                  <wp:posOffset>36830</wp:posOffset>
                </wp:positionV>
                <wp:extent cx="1587500" cy="641985"/>
                <wp:effectExtent l="0" t="0" r="12700" b="24765"/>
                <wp:wrapNone/>
                <wp:docPr id="298" name="Zone de texte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7500" cy="641985"/>
                        </a:xfrm>
                        <a:prstGeom prst="rect">
                          <a:avLst/>
                        </a:prstGeom>
                        <a:solidFill>
                          <a:srgbClr val="FFFFFF"/>
                        </a:solidFill>
                        <a:ln w="9525">
                          <a:solidFill>
                            <a:srgbClr val="000000"/>
                          </a:solidFill>
                          <a:miter lim="800000"/>
                          <a:headEnd/>
                          <a:tailEnd/>
                        </a:ln>
                      </wps:spPr>
                      <wps:txbx>
                        <w:txbxContent>
                          <w:p w:rsidR="0052061B" w:rsidRDefault="0052061B" w:rsidP="001B63EB">
                            <w:pPr>
                              <w:jc w:val="center"/>
                            </w:pPr>
                            <w:r>
                              <w:t>Autres fonds (assurances complémentaires, maladies chroniques…)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3DCF41" id="Zone de texte 298" o:spid="_x0000_s1033" type="#_x0000_t202" style="position:absolute;left:0;text-align:left;margin-left:112.4pt;margin-top:2.9pt;width:125pt;height:50.5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">
                <v:textbox>
                  <w:txbxContent>
                    <w:p w:rsidR="0052061B" w:rsidRDefault="0052061B" w:rsidP="001B63EB">
                      <w:pPr>
                        <w:jc w:val="center"/>
                      </w:pPr>
                      <w:r>
                        <w:t>Autres fonds (assurances complémentaires, maladies chroniques…)</w:t>
                      </w:r>
                    </w:p>
                  </w:txbxContent>
                </v:textbox>
              </v:shape>
            </w:pict>
          </mc:Fallback>
        </mc:AlternateContent>
      </w:r>
    </w:p>
    <w:p w:rsidR="001B63EB" w:rsidRPr="00425A7F" w:rsidRDefault="003069F4" w:rsidP="00F24E98">
      <w:pPr>
        <w:widowControl w:val="0"/>
        <w:suppressAutoHyphens/>
        <w:jc w:val="both"/>
        <w:rPr>
          <w:rFonts w:asciiTheme="minorHAnsi" w:hAnsiTheme="minorHAnsi" w:cstheme="minorBidi"/>
        </w:rPr>
      </w:pPr>
      <w:r w:rsidRPr="00425A7F">
        <w:rPr>
          <w:rFonts w:asciiTheme="minorHAnsi" w:hAnsiTheme="minorHAnsi" w:cstheme="minorBidi"/>
          <w:noProof/>
          <w:lang w:eastAsia="fr-FR"/>
        </w:rPr>
        <mc:AlternateContent>
          <mc:Choice Requires="wps">
            <w:drawing>
              <wp:anchor distT="0" distB="0" distL="114300" distR="114300" simplePos="0" relativeHeight="251673600" behindDoc="0" locked="0" layoutInCell="1" allowOverlap="1" wp14:anchorId="608527EB" wp14:editId="6F593D42">
                <wp:simplePos x="0" y="0"/>
                <wp:positionH relativeFrom="column">
                  <wp:posOffset>5390515</wp:posOffset>
                </wp:positionH>
                <wp:positionV relativeFrom="paragraph">
                  <wp:posOffset>-6985</wp:posOffset>
                </wp:positionV>
                <wp:extent cx="602615" cy="240665"/>
                <wp:effectExtent l="0" t="0" r="26035" b="26035"/>
                <wp:wrapNone/>
                <wp:docPr id="2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615" cy="240665"/>
                        </a:xfrm>
                        <a:prstGeom prst="rect">
                          <a:avLst/>
                        </a:prstGeom>
                        <a:solidFill>
                          <a:srgbClr val="FFFFFF"/>
                        </a:solidFill>
                        <a:ln w="9525">
                          <a:solidFill>
                            <a:srgbClr val="000000"/>
                          </a:solidFill>
                          <a:miter lim="800000"/>
                          <a:headEnd/>
                          <a:tailEnd/>
                        </a:ln>
                      </wps:spPr>
                      <wps:txbx>
                        <w:txbxContent>
                          <w:p w:rsidR="0052061B" w:rsidRDefault="0052061B" w:rsidP="001B63EB">
                            <w:r>
                              <w:t>ANAM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8527EB" id="_x0000_s1034" type="#_x0000_t202" style="position:absolute;left:0;text-align:left;margin-left:424.45pt;margin-top:-.55pt;width:47.45pt;height:18.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">
                <v:textbox>
                  <w:txbxContent>
                    <w:p w:rsidR="0052061B" w:rsidRDefault="0052061B" w:rsidP="001B63EB">
                      <w:r>
                        <w:t>ANAM</w:t>
                      </w:r>
                    </w:p>
                  </w:txbxContent>
                </v:textbox>
              </v:shape>
            </w:pict>
          </mc:Fallback>
        </mc:AlternateContent>
      </w:r>
    </w:p>
    <w:p w:rsidR="001B63EB" w:rsidRPr="00425A7F" w:rsidRDefault="003069F4" w:rsidP="00F24E98">
      <w:pPr>
        <w:widowControl w:val="0"/>
        <w:suppressAutoHyphens/>
        <w:jc w:val="both"/>
        <w:rPr>
          <w:rFonts w:asciiTheme="minorHAnsi" w:hAnsiTheme="minorHAnsi" w:cstheme="minorBidi"/>
        </w:rPr>
      </w:pPr>
      <w:r w:rsidRPr="00425A7F">
        <w:rPr>
          <w:rFonts w:asciiTheme="minorHAnsi" w:hAnsiTheme="minorHAnsi" w:cstheme="minorBidi"/>
          <w:noProof/>
          <w:lang w:eastAsia="fr-FR"/>
        </w:rPr>
        <mc:AlternateContent>
          <mc:Choice Requires="wps">
            <w:drawing>
              <wp:anchor distT="0" distB="0" distL="114300" distR="114300" simplePos="0" relativeHeight="251687936" behindDoc="0" locked="0" layoutInCell="1" allowOverlap="1" wp14:anchorId="4D8FF37A" wp14:editId="267C7BBE">
                <wp:simplePos x="0" y="0"/>
                <wp:positionH relativeFrom="column">
                  <wp:posOffset>4782820</wp:posOffset>
                </wp:positionH>
                <wp:positionV relativeFrom="paragraph">
                  <wp:posOffset>164465</wp:posOffset>
                </wp:positionV>
                <wp:extent cx="988060" cy="410845"/>
                <wp:effectExtent l="0" t="114300" r="7620" b="141605"/>
                <wp:wrapNone/>
                <wp:docPr id="29" name="Zone de texte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579065">
                          <a:off x="0" y="0"/>
                          <a:ext cx="988060" cy="410845"/>
                        </a:xfrm>
                        <a:prstGeom prst="rect">
                          <a:avLst/>
                        </a:prstGeom>
                        <a:noFill/>
                        <a:ln>
                          <a:noFill/>
                        </a:ln>
                        <a:effectLst/>
                      </wps:spPr>
                      <wps:txbx>
                        <w:txbxContent>
                          <w:p w:rsidR="0052061B" w:rsidRPr="003E7663" w:rsidRDefault="0052061B" w:rsidP="001B63EB">
                            <w:pPr>
                              <w:jc w:val="center"/>
                              <w:rPr>
                                <w:b/>
                                <w:noProof/>
                                <w:sz w:val="28"/>
                                <w:szCs w:val="28"/>
                              </w:rPr>
                            </w:pPr>
                            <w:r w:rsidRPr="003E7663">
                              <w:rPr>
                                <w:b/>
                                <w:noProof/>
                                <w:sz w:val="28"/>
                                <w:szCs w:val="28"/>
                              </w:rPr>
                              <w:t>absorption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a:scene3d>
                          <a:camera prst="orthographicFront"/>
                          <a:lightRig rig="flat" dir="tl">
                            <a:rot lat="0" lon="0" rev="6600000"/>
                          </a:lightRig>
                        </a:scene3d>
                        <a:sp3d extrusionH="25400" contourW="8890">
                          <a:bevelT w="38100" h="31750"/>
                          <a:contourClr>
                            <a:schemeClr val="accent2">
                              <a:shade val="75000"/>
                            </a:schemeClr>
                          </a:contourClr>
                        </a:sp3d>
                      </wps:bodyPr>
                    </wps:wsp>
                  </a:graphicData>
                </a:graphic>
                <wp14:sizeRelH relativeFrom="page">
                  <wp14:pctWidth>0</wp14:pctWidth>
                </wp14:sizeRelH>
                <wp14:sizeRelV relativeFrom="margin">
                  <wp14:pctHeight>0</wp14:pctHeight>
                </wp14:sizeRelV>
              </wp:anchor>
            </w:drawing>
          </mc:Choice>
          <mc:Fallback>
            <w:pict>
              <v:shape w14:anchorId="4D8FF37A" id="Zone de texte 29" o:spid="_x0000_s1035" type="#_x0000_t202" style="position:absolute;left:0;text-align:left;margin-left:376.6pt;margin-top:12.95pt;width:77.8pt;height:32.35pt;rotation:-1115133fd;z-index:2516879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" filled="f" stroked="f">
                <v:path arrowok="t"/>
                <v:textbox>
                  <w:txbxContent>
                    <w:p w:rsidR="0052061B" w:rsidRPr="003E7663" w:rsidRDefault="0052061B" w:rsidP="001B63EB">
                      <w:pPr>
                        <w:jc w:val="center"/>
                        <w:rPr>
                          <w:b/>
                          <w:noProof/>
                          <w:sz w:val="28"/>
                          <w:szCs w:val="28"/>
                        </w:rPr>
                      </w:pPr>
                      <w:r w:rsidRPr="003E7663">
                        <w:rPr>
                          <w:b/>
                          <w:noProof/>
                          <w:sz w:val="28"/>
                          <w:szCs w:val="28"/>
                        </w:rPr>
                        <w:t>absorption</w:t>
                      </w:r>
                    </w:p>
                  </w:txbxContent>
                </v:textbox>
              </v:shape>
            </w:pict>
          </mc:Fallback>
        </mc:AlternateContent>
      </w:r>
    </w:p>
    <w:p w:rsidR="001B63EB" w:rsidRPr="00425A7F" w:rsidRDefault="003069F4" w:rsidP="00F24E98">
      <w:pPr>
        <w:widowControl w:val="0"/>
        <w:suppressAutoHyphens/>
        <w:jc w:val="both"/>
        <w:rPr>
          <w:rFonts w:asciiTheme="minorHAnsi" w:hAnsiTheme="minorHAnsi" w:cstheme="minorBidi"/>
        </w:rPr>
      </w:pPr>
      <w:r w:rsidRPr="00425A7F">
        <w:rPr>
          <w:rFonts w:asciiTheme="minorHAnsi" w:hAnsiTheme="minorHAnsi" w:cstheme="minorBidi"/>
          <w:noProof/>
          <w:lang w:eastAsia="fr-FR"/>
        </w:rPr>
        <mc:AlternateContent>
          <mc:Choice Requires="wps">
            <w:drawing>
              <wp:anchor distT="0" distB="0" distL="114300" distR="114300" simplePos="0" relativeHeight="251679744" behindDoc="0" locked="0" layoutInCell="1" allowOverlap="1" wp14:anchorId="10A3FB7F" wp14:editId="7DF3F7F2">
                <wp:simplePos x="0" y="0"/>
                <wp:positionH relativeFrom="column">
                  <wp:posOffset>4391025</wp:posOffset>
                </wp:positionH>
                <wp:positionV relativeFrom="paragraph">
                  <wp:posOffset>104775</wp:posOffset>
                </wp:positionV>
                <wp:extent cx="875030" cy="2018030"/>
                <wp:effectExtent l="57150" t="38100" r="20320" b="20320"/>
                <wp:wrapNone/>
                <wp:docPr id="22" name="Connecteur droit avec flèch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75030" cy="2018030"/>
                        </a:xfrm>
                        <a:prstGeom prst="straightConnector1">
                          <a:avLst/>
                        </a:prstGeom>
                        <a:noFill/>
                        <a:ln w="9525">
                          <a:solidFill>
                            <a:srgbClr val="98B954"/>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417A9D5F" id="Connecteur droit avec flèche 19" o:spid="_x0000_s1026" type="#_x0000_t32" style="position:absolute;margin-left:345.75pt;margin-top:8.25pt;width:68.9pt;height:158.9pt;flip:x 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" strokecolor="#98b954">
                <v:stroke endarrow="open"/>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678720" behindDoc="0" locked="0" layoutInCell="1" allowOverlap="1" wp14:anchorId="137C03B1" wp14:editId="17A64BAF">
                <wp:simplePos x="0" y="0"/>
                <wp:positionH relativeFrom="column">
                  <wp:posOffset>4354830</wp:posOffset>
                </wp:positionH>
                <wp:positionV relativeFrom="paragraph">
                  <wp:posOffset>-6350</wp:posOffset>
                </wp:positionV>
                <wp:extent cx="1035685" cy="323215"/>
                <wp:effectExtent l="19050" t="0" r="31115" b="76835"/>
                <wp:wrapNone/>
                <wp:docPr id="21" name="Connecteur droit avec flèch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35685" cy="323215"/>
                        </a:xfrm>
                        <a:prstGeom prst="straightConnector1">
                          <a:avLst/>
                        </a:prstGeom>
                        <a:noFill/>
                        <a:ln w="9525">
                          <a:solidFill>
                            <a:srgbClr val="BE4B48"/>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50C01739" id="Connecteur droit avec flèche 18" o:spid="_x0000_s1026" type="#_x0000_t32" style="position:absolute;margin-left:342.9pt;margin-top:-.5pt;width:81.55pt;height:25.45pt;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" strokecolor="#be4b48">
                <v:stroke endarrow="open"/>
              </v:shape>
            </w:pict>
          </mc:Fallback>
        </mc:AlternateContent>
      </w:r>
      <w:r w:rsidRPr="00425A7F">
        <w:rPr>
          <w:rFonts w:asciiTheme="minorHAnsi" w:hAnsiTheme="minorHAnsi" w:cstheme="minorBidi"/>
          <w:noProof/>
          <w:lang w:eastAsia="fr-FR"/>
        </w:rPr>
        <mc:AlternateContent>
          <mc:Choice Requires="wps">
            <w:drawing>
              <wp:anchor distT="0" distB="0" distL="114298" distR="114298" simplePos="0" relativeHeight="251677696" behindDoc="0" locked="0" layoutInCell="1" allowOverlap="1" wp14:anchorId="61B23CC2" wp14:editId="0DD1C38F">
                <wp:simplePos x="0" y="0"/>
                <wp:positionH relativeFrom="column">
                  <wp:posOffset>2536824</wp:posOffset>
                </wp:positionH>
                <wp:positionV relativeFrom="paragraph">
                  <wp:posOffset>161925</wp:posOffset>
                </wp:positionV>
                <wp:extent cx="0" cy="741045"/>
                <wp:effectExtent l="76200" t="38100" r="57150" b="59055"/>
                <wp:wrapNone/>
                <wp:docPr id="20" name="Connecteur droit avec flèch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741045"/>
                        </a:xfrm>
                        <a:prstGeom prst="straightConnector1">
                          <a:avLst/>
                        </a:prstGeom>
                        <a:noFill/>
                        <a:ln w="9525" cap="flat" cmpd="sng" algn="ctr">
                          <a:solidFill>
                            <a:srgbClr val="4F81BD">
                              <a:shade val="95000"/>
                              <a:satMod val="105000"/>
                            </a:srgbClr>
                          </a:solidFill>
                          <a:prstDash val="solid"/>
                          <a:headEnd type="triangle" w="med" len="med"/>
                          <a:tailEnd type="triangle" w="med" len="med"/>
                        </a:ln>
                        <a:effectLst/>
                      </wps:spPr>
                      <wps:bodyPr/>
                    </wps:wsp>
                  </a:graphicData>
                </a:graphic>
                <wp14:sizeRelH relativeFrom="margin">
                  <wp14:pctWidth>0</wp14:pctWidth>
                </wp14:sizeRelH>
                <wp14:sizeRelV relativeFrom="margin">
                  <wp14:pctHeight>0</wp14:pctHeight>
                </wp14:sizeRelV>
              </wp:anchor>
            </w:drawing>
          </mc:Choice>
          <mc:Fallback>
            <w:pict>
              <v:shape w14:anchorId="5EF8585C" id="Connecteur droit avec flèche 17" o:spid="_x0000_s1026" type="#_x0000_t32" style="position:absolute;margin-left:199.75pt;margin-top:12.75pt;width:0;height:58.35pt;z-index:251677696;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" strokecolor="#4a7ebb">
                <v:stroke startarrow="block" endarrow="block"/>
                <o:lock v:ext="edit" shapetype="f"/>
              </v:shape>
            </w:pict>
          </mc:Fallback>
        </mc:AlternateContent>
      </w:r>
    </w:p>
    <w:p w:rsidR="001B63EB" w:rsidRPr="00425A7F" w:rsidRDefault="003069F4" w:rsidP="00F24E98">
      <w:pPr>
        <w:widowControl w:val="0"/>
        <w:suppressAutoHyphens/>
        <w:jc w:val="both"/>
        <w:rPr>
          <w:rFonts w:asciiTheme="minorHAnsi" w:hAnsiTheme="minorHAnsi" w:cstheme="minorBidi"/>
        </w:rPr>
      </w:pPr>
      <w:r w:rsidRPr="00425A7F">
        <w:rPr>
          <w:rFonts w:asciiTheme="minorHAnsi" w:hAnsiTheme="minorHAnsi" w:cstheme="minorBidi"/>
          <w:noProof/>
          <w:lang w:eastAsia="fr-FR"/>
        </w:rPr>
        <mc:AlternateContent>
          <mc:Choice Requires="wps">
            <w:drawing>
              <wp:anchor distT="0" distB="0" distL="114299" distR="114299" simplePos="0" relativeHeight="251676672" behindDoc="0" locked="0" layoutInCell="1" allowOverlap="1" wp14:anchorId="4347F9B3" wp14:editId="3B431D12">
                <wp:simplePos x="0" y="0"/>
                <wp:positionH relativeFrom="column">
                  <wp:posOffset>1323974</wp:posOffset>
                </wp:positionH>
                <wp:positionV relativeFrom="paragraph">
                  <wp:posOffset>377190</wp:posOffset>
                </wp:positionV>
                <wp:extent cx="734060" cy="0"/>
                <wp:effectExtent l="43180" t="33020" r="52070" b="71120"/>
                <wp:wrapNone/>
                <wp:docPr id="19" name="Connecteur droit avec flèch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a:off x="0" y="0"/>
                          <a:ext cx="734060" cy="0"/>
                        </a:xfrm>
                        <a:prstGeom prst="straightConnector1">
                          <a:avLst/>
                        </a:prstGeom>
                        <a:noFill/>
                        <a:ln w="9525">
                          <a:solidFill>
                            <a:srgbClr val="4A7EBB"/>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26EB45EB" id="Connecteur droit avec flèche 16" o:spid="_x0000_s1026" type="#_x0000_t32" style="position:absolute;margin-left:104.25pt;margin-top:29.7pt;width:57.8pt;height:0;rotation:90;z-index:25167667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" strokecolor="#4a7ebb">
                <v:stroke startarrow="block" endarrow="block"/>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689984" behindDoc="0" locked="0" layoutInCell="1" allowOverlap="1" wp14:anchorId="18BF1B9A" wp14:editId="7692912C">
                <wp:simplePos x="0" y="0"/>
                <wp:positionH relativeFrom="column">
                  <wp:posOffset>3014980</wp:posOffset>
                </wp:positionH>
                <wp:positionV relativeFrom="paragraph">
                  <wp:posOffset>10160</wp:posOffset>
                </wp:positionV>
                <wp:extent cx="1309370" cy="459740"/>
                <wp:effectExtent l="0" t="0" r="24130" b="16510"/>
                <wp:wrapNone/>
                <wp:docPr id="18" name="Zone de texte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9370" cy="459740"/>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rsidR="0052061B" w:rsidRPr="00A33BB9" w:rsidRDefault="0052061B" w:rsidP="001B63EB">
                            <w:pPr>
                              <w:tabs>
                                <w:tab w:val="left" w:pos="6583"/>
                              </w:tabs>
                              <w:jc w:val="center"/>
                              <w:rPr>
                                <w:b/>
                                <w:caps/>
                                <w:noProof/>
                                <w:sz w:val="20"/>
                                <w:szCs w:val="20"/>
                              </w:rPr>
                            </w:pPr>
                            <w:r w:rsidRPr="00A33BB9">
                              <w:rPr>
                                <w:b/>
                                <w:caps/>
                                <w:noProof/>
                                <w:sz w:val="20"/>
                                <w:szCs w:val="20"/>
                              </w:rPr>
                              <w:t>contrat</w:t>
                            </w:r>
                            <w:r>
                              <w:rPr>
                                <w:b/>
                                <w:caps/>
                                <w:noProof/>
                                <w:sz w:val="20"/>
                                <w:szCs w:val="20"/>
                              </w:rPr>
                              <w:t>s</w:t>
                            </w:r>
                            <w:r w:rsidRPr="00A33BB9">
                              <w:rPr>
                                <w:b/>
                                <w:caps/>
                                <w:noProof/>
                                <w:sz w:val="20"/>
                                <w:szCs w:val="20"/>
                              </w:rPr>
                              <w:t xml:space="preserve"> de gestion déléguée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BF1B9A" id="Zone de texte 31" o:spid="_x0000_s1036" type="#_x0000_t202" style="position:absolute;left:0;text-align:left;margin-left:237.4pt;margin-top:.8pt;width:103.1pt;height:36.2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" filled="f" strokecolor="black [3213]">
                <v:textbox>
                  <w:txbxContent>
                    <w:p w:rsidR="0052061B" w:rsidRPr="00A33BB9" w:rsidRDefault="0052061B" w:rsidP="001B63EB">
                      <w:pPr>
                        <w:tabs>
                          <w:tab w:val="left" w:pos="6583"/>
                        </w:tabs>
                        <w:jc w:val="center"/>
                        <w:rPr>
                          <w:b/>
                          <w:caps/>
                          <w:noProof/>
                          <w:sz w:val="20"/>
                          <w:szCs w:val="20"/>
                        </w:rPr>
                      </w:pPr>
                      <w:r w:rsidRPr="00A33BB9">
                        <w:rPr>
                          <w:b/>
                          <w:caps/>
                          <w:noProof/>
                          <w:sz w:val="20"/>
                          <w:szCs w:val="20"/>
                        </w:rPr>
                        <w:t>contrat</w:t>
                      </w:r>
                      <w:r>
                        <w:rPr>
                          <w:b/>
                          <w:caps/>
                          <w:noProof/>
                          <w:sz w:val="20"/>
                          <w:szCs w:val="20"/>
                        </w:rPr>
                        <w:t>s</w:t>
                      </w:r>
                      <w:r w:rsidRPr="00A33BB9">
                        <w:rPr>
                          <w:b/>
                          <w:caps/>
                          <w:noProof/>
                          <w:sz w:val="20"/>
                          <w:szCs w:val="20"/>
                        </w:rPr>
                        <w:t xml:space="preserve"> de gestion déléguée</w:t>
                      </w:r>
                    </w:p>
                  </w:txbxContent>
                </v:textbox>
              </v:shape>
            </w:pict>
          </mc:Fallback>
        </mc:AlternateContent>
      </w:r>
    </w:p>
    <w:p w:rsidR="001B63EB" w:rsidRPr="00425A7F" w:rsidRDefault="003069F4" w:rsidP="00F24E98">
      <w:pPr>
        <w:widowControl w:val="0"/>
        <w:suppressAutoHyphens/>
        <w:jc w:val="both"/>
        <w:rPr>
          <w:rFonts w:asciiTheme="minorHAnsi" w:hAnsiTheme="minorHAnsi" w:cstheme="minorBidi"/>
        </w:rPr>
      </w:pPr>
      <w:r w:rsidRPr="00425A7F">
        <w:rPr>
          <w:rFonts w:asciiTheme="minorHAnsi" w:hAnsiTheme="minorHAnsi" w:cstheme="minorBidi"/>
          <w:noProof/>
          <w:lang w:eastAsia="fr-FR"/>
        </w:rPr>
        <mc:AlternateContent>
          <mc:Choice Requires="wps">
            <w:drawing>
              <wp:anchor distT="0" distB="0" distL="114300" distR="114300" simplePos="0" relativeHeight="251668480" behindDoc="0" locked="0" layoutInCell="1" allowOverlap="1" wp14:anchorId="6FD847F5" wp14:editId="574D6F53">
                <wp:simplePos x="0" y="0"/>
                <wp:positionH relativeFrom="column">
                  <wp:posOffset>4902200</wp:posOffset>
                </wp:positionH>
                <wp:positionV relativeFrom="paragraph">
                  <wp:posOffset>17780</wp:posOffset>
                </wp:positionV>
                <wp:extent cx="492125" cy="260985"/>
                <wp:effectExtent l="0" t="0" r="22225" b="24765"/>
                <wp:wrapNone/>
                <wp:docPr id="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125" cy="260985"/>
                        </a:xfrm>
                        <a:prstGeom prst="rect">
                          <a:avLst/>
                        </a:prstGeom>
                        <a:solidFill>
                          <a:srgbClr val="FFFFFF"/>
                        </a:solidFill>
                        <a:ln w="9525">
                          <a:solidFill>
                            <a:srgbClr val="000000"/>
                          </a:solidFill>
                          <a:prstDash val="lgDashDot"/>
                          <a:miter lim="800000"/>
                          <a:headEnd/>
                          <a:tailEnd/>
                        </a:ln>
                      </wps:spPr>
                      <wps:txbx>
                        <w:txbxContent>
                          <w:p w:rsidR="0052061B" w:rsidRDefault="0052061B" w:rsidP="001B63EB">
                            <w:r>
                              <w:t>UTM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D847F5" id="_x0000_s1037" type="#_x0000_t202" style="position:absolute;left:0;text-align:left;margin-left:386pt;margin-top:1.4pt;width:38.75pt;height:20.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">
                <v:stroke dashstyle="longDashDot"/>
                <v:textbox>
                  <w:txbxContent>
                    <w:p w:rsidR="0052061B" w:rsidRDefault="0052061B" w:rsidP="001B63EB">
                      <w:r>
                        <w:t>UTM</w:t>
                      </w:r>
                    </w:p>
                  </w:txbxContent>
                </v:textbox>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665408" behindDoc="0" locked="0" layoutInCell="1" allowOverlap="1" wp14:anchorId="50B49D97" wp14:editId="3C0E8CE9">
                <wp:simplePos x="0" y="0"/>
                <wp:positionH relativeFrom="column">
                  <wp:posOffset>-14605</wp:posOffset>
                </wp:positionH>
                <wp:positionV relativeFrom="paragraph">
                  <wp:posOffset>103505</wp:posOffset>
                </wp:positionV>
                <wp:extent cx="793750" cy="240665"/>
                <wp:effectExtent l="0" t="0" r="25400" b="26035"/>
                <wp:wrapNone/>
                <wp:docPr id="1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0" cy="240665"/>
                        </a:xfrm>
                        <a:prstGeom prst="rect">
                          <a:avLst/>
                        </a:prstGeom>
                        <a:solidFill>
                          <a:srgbClr val="FFFFFF"/>
                        </a:solidFill>
                        <a:ln w="9525">
                          <a:solidFill>
                            <a:srgbClr val="000000"/>
                          </a:solidFill>
                          <a:miter lim="800000"/>
                          <a:headEnd/>
                          <a:tailEnd/>
                        </a:ln>
                      </wps:spPr>
                      <wps:txbx>
                        <w:txbxContent>
                          <w:p w:rsidR="0052061B" w:rsidRDefault="0052061B" w:rsidP="001B63EB">
                            <w:r>
                              <w:t>DNPSES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B49D97" id="_x0000_s1038" type="#_x0000_t202" style="position:absolute;left:0;text-align:left;margin-left:-1.15pt;margin-top:8.15pt;width:62.5pt;height:18.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">
                <v:textbox>
                  <w:txbxContent>
                    <w:p w:rsidR="0052061B" w:rsidRDefault="0052061B" w:rsidP="001B63EB">
                      <w:r>
                        <w:t>DNPSES</w:t>
                      </w:r>
                    </w:p>
                  </w:txbxContent>
                </v:textbox>
              </v:shape>
            </w:pict>
          </mc:Fallback>
        </mc:AlternateContent>
      </w:r>
    </w:p>
    <w:p w:rsidR="001B63EB" w:rsidRPr="00425A7F" w:rsidRDefault="003069F4" w:rsidP="00F24E98">
      <w:pPr>
        <w:widowControl w:val="0"/>
        <w:tabs>
          <w:tab w:val="left" w:pos="6583"/>
        </w:tabs>
        <w:suppressAutoHyphens/>
        <w:jc w:val="both"/>
        <w:rPr>
          <w:rFonts w:asciiTheme="minorHAnsi" w:hAnsiTheme="minorHAnsi" w:cstheme="minorBidi"/>
        </w:rPr>
      </w:pPr>
      <w:r w:rsidRPr="00425A7F">
        <w:rPr>
          <w:rFonts w:asciiTheme="minorHAnsi" w:hAnsiTheme="minorHAnsi" w:cstheme="minorBidi"/>
          <w:noProof/>
          <w:lang w:eastAsia="fr-FR"/>
        </w:rPr>
        <mc:AlternateContent>
          <mc:Choice Requires="wps">
            <w:drawing>
              <wp:anchor distT="0" distB="0" distL="114300" distR="114300" simplePos="0" relativeHeight="251680768" behindDoc="0" locked="0" layoutInCell="1" allowOverlap="1" wp14:anchorId="1540A56F" wp14:editId="6C173E2E">
                <wp:simplePos x="0" y="0"/>
                <wp:positionH relativeFrom="column">
                  <wp:posOffset>3390900</wp:posOffset>
                </wp:positionH>
                <wp:positionV relativeFrom="paragraph">
                  <wp:posOffset>128270</wp:posOffset>
                </wp:positionV>
                <wp:extent cx="1707515" cy="3315970"/>
                <wp:effectExtent l="38100" t="0" r="26035" b="55880"/>
                <wp:wrapNone/>
                <wp:docPr id="15" name="Connecteur droit avec flèch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07515" cy="3315970"/>
                        </a:xfrm>
                        <a:prstGeom prst="straightConnector1">
                          <a:avLst/>
                        </a:prstGeom>
                        <a:noFill/>
                        <a:ln w="9525">
                          <a:solidFill>
                            <a:srgbClr val="98B954"/>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198623DF" id="Connecteur droit avec flèche 20" o:spid="_x0000_s1026" type="#_x0000_t32" style="position:absolute;margin-left:267pt;margin-top:10.1pt;width:134.45pt;height:261.1pt;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" strokecolor="#98b954">
                <v:stroke endarrow="open"/>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681792" behindDoc="0" locked="0" layoutInCell="1" allowOverlap="1" wp14:anchorId="52B96704" wp14:editId="2DB1EB7B">
                <wp:simplePos x="0" y="0"/>
                <wp:positionH relativeFrom="column">
                  <wp:posOffset>5098415</wp:posOffset>
                </wp:positionH>
                <wp:positionV relativeFrom="paragraph">
                  <wp:posOffset>127635</wp:posOffset>
                </wp:positionV>
                <wp:extent cx="291465" cy="1503045"/>
                <wp:effectExtent l="0" t="0" r="70485" b="59055"/>
                <wp:wrapNone/>
                <wp:docPr id="14" name="Connecteur droit avec flèch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465" cy="1503045"/>
                        </a:xfrm>
                        <a:prstGeom prst="straightConnector1">
                          <a:avLst/>
                        </a:prstGeom>
                        <a:noFill/>
                        <a:ln w="9525">
                          <a:solidFill>
                            <a:srgbClr val="98B954"/>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3AAC0C50" id="Connecteur droit avec flèche 21" o:spid="_x0000_s1026" type="#_x0000_t32" style="position:absolute;margin-left:401.45pt;margin-top:10.05pt;width:22.95pt;height:118.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" strokecolor="#98b954">
                <v:stroke endarrow="open"/>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684864" behindDoc="0" locked="0" layoutInCell="1" allowOverlap="1" wp14:anchorId="1DA39E29" wp14:editId="28F74185">
                <wp:simplePos x="0" y="0"/>
                <wp:positionH relativeFrom="column">
                  <wp:posOffset>3260725</wp:posOffset>
                </wp:positionH>
                <wp:positionV relativeFrom="paragraph">
                  <wp:posOffset>18415</wp:posOffset>
                </wp:positionV>
                <wp:extent cx="574675" cy="3521075"/>
                <wp:effectExtent l="57150" t="38100" r="53975" b="60325"/>
                <wp:wrapNone/>
                <wp:docPr id="13" name="Connecteur droit avec flèch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74675" cy="3521075"/>
                        </a:xfrm>
                        <a:prstGeom prst="straightConnector1">
                          <a:avLst/>
                        </a:prstGeom>
                        <a:noFill/>
                        <a:ln w="9525">
                          <a:solidFill>
                            <a:srgbClr val="4A7EBB"/>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6D59C5D0" id="Connecteur droit avec flèche 24" o:spid="_x0000_s1026" type="#_x0000_t32" style="position:absolute;margin-left:256.75pt;margin-top:1.45pt;width:45.25pt;height:277.25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" strokecolor="#4a7ebb">
                <v:stroke startarrow="block" endarrow="block"/>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709440" behindDoc="0" locked="0" layoutInCell="1" allowOverlap="1" wp14:anchorId="30994EC1" wp14:editId="046F07E0">
                <wp:simplePos x="0" y="0"/>
                <wp:positionH relativeFrom="column">
                  <wp:posOffset>-1280795</wp:posOffset>
                </wp:positionH>
                <wp:positionV relativeFrom="paragraph">
                  <wp:posOffset>1164590</wp:posOffset>
                </wp:positionV>
                <wp:extent cx="2382520" cy="147955"/>
                <wp:effectExtent l="1041082" t="0" r="1039813" b="0"/>
                <wp:wrapNone/>
                <wp:docPr id="8"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2382520" cy="147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2061B" w:rsidRPr="0017126D" w:rsidRDefault="0052061B" w:rsidP="001B63EB">
                            <w:pPr>
                              <w:rPr>
                                <w:b/>
                                <w:sz w:val="20"/>
                                <w:szCs w:val="20"/>
                              </w:rPr>
                            </w:pPr>
                            <w:r w:rsidRPr="00BC5130">
                              <w:rPr>
                                <w:b/>
                                <w:sz w:val="20"/>
                                <w:szCs w:val="20"/>
                              </w:rPr>
                              <w:t>Evolution vers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0994EC1" id="Text Box 22" o:spid="_x0000_s1039" type="#_x0000_t202" style="position:absolute;left:0;text-align:left;margin-left:-100.85pt;margin-top:91.7pt;width:187.6pt;height:11.65pt;rotation:-9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" filled="f" stroked="f">
                <v:textbox>
                  <w:txbxContent>
                    <w:p w:rsidR="0052061B" w:rsidRPr="0017126D" w:rsidRDefault="0052061B" w:rsidP="001B63EB">
                      <w:pPr>
                        <w:rPr>
                          <w:b/>
                          <w:sz w:val="20"/>
                          <w:szCs w:val="20"/>
                        </w:rPr>
                      </w:pPr>
                      <w:r w:rsidRPr="00BC5130">
                        <w:rPr>
                          <w:b/>
                          <w:sz w:val="20"/>
                          <w:szCs w:val="20"/>
                        </w:rPr>
                        <w:t>Evolution vers</w:t>
                      </w:r>
                    </w:p>
                  </w:txbxContent>
                </v:textbox>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706368" behindDoc="0" locked="0" layoutInCell="1" allowOverlap="1" wp14:anchorId="328DD3F9" wp14:editId="0609C8C2">
                <wp:simplePos x="0" y="0"/>
                <wp:positionH relativeFrom="column">
                  <wp:posOffset>4365625</wp:posOffset>
                </wp:positionH>
                <wp:positionV relativeFrom="paragraph">
                  <wp:posOffset>128270</wp:posOffset>
                </wp:positionV>
                <wp:extent cx="732790" cy="502285"/>
                <wp:effectExtent l="38100" t="0" r="29210" b="50165"/>
                <wp:wrapNone/>
                <wp:docPr id="305" name="Connecteur droit avec flèche 3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732790" cy="502285"/>
                        </a:xfrm>
                        <a:prstGeom prst="straightConnector1">
                          <a:avLst/>
                        </a:prstGeom>
                        <a:noFill/>
                        <a:ln w="9525" cap="flat" cmpd="sng" algn="ctr">
                          <a:solidFill>
                            <a:srgbClr val="9BBB59">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515F667" id="Connecteur droit avec flèche 305" o:spid="_x0000_s1026" type="#_x0000_t32" style="position:absolute;margin-left:343.75pt;margin-top:10.1pt;width:57.7pt;height:39.55pt;flip:x;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" strokecolor="#98b954">
                <v:stroke endarrow="open"/>
                <o:lock v:ext="edit" shapetype="f"/>
              </v:shape>
            </w:pict>
          </mc:Fallback>
        </mc:AlternateContent>
      </w:r>
      <w:r w:rsidR="001B63EB" w:rsidRPr="00425A7F">
        <w:rPr>
          <w:rFonts w:asciiTheme="minorHAnsi" w:hAnsiTheme="minorHAnsi" w:cstheme="minorBidi"/>
        </w:rPr>
        <w:tab/>
      </w:r>
    </w:p>
    <w:p w:rsidR="001B63EB" w:rsidRPr="00425A7F" w:rsidRDefault="003069F4" w:rsidP="00F24E98">
      <w:pPr>
        <w:widowControl w:val="0"/>
        <w:suppressAutoHyphens/>
        <w:jc w:val="both"/>
        <w:rPr>
          <w:rFonts w:asciiTheme="minorHAnsi" w:hAnsiTheme="minorHAnsi" w:cstheme="minorBidi"/>
        </w:rPr>
      </w:pPr>
      <w:r w:rsidRPr="00425A7F">
        <w:rPr>
          <w:rFonts w:asciiTheme="minorHAnsi" w:hAnsiTheme="minorHAnsi" w:cstheme="minorBidi"/>
          <w:noProof/>
          <w:lang w:eastAsia="fr-FR"/>
        </w:rPr>
        <mc:AlternateContent>
          <mc:Choice Requires="wps">
            <w:drawing>
              <wp:anchor distT="0" distB="0" distL="114300" distR="114300" simplePos="0" relativeHeight="251705344" behindDoc="0" locked="0" layoutInCell="1" allowOverlap="1" wp14:anchorId="40677106" wp14:editId="5B67D602">
                <wp:simplePos x="0" y="0"/>
                <wp:positionH relativeFrom="column">
                  <wp:posOffset>3099435</wp:posOffset>
                </wp:positionH>
                <wp:positionV relativeFrom="paragraph">
                  <wp:posOffset>3175</wp:posOffset>
                </wp:positionV>
                <wp:extent cx="1175385" cy="461645"/>
                <wp:effectExtent l="0" t="0" r="24765" b="14605"/>
                <wp:wrapNone/>
                <wp:docPr id="30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5385" cy="461645"/>
                        </a:xfrm>
                        <a:prstGeom prst="rect">
                          <a:avLst/>
                        </a:prstGeom>
                        <a:solidFill>
                          <a:srgbClr val="FFFFFF"/>
                        </a:solidFill>
                        <a:ln w="9525">
                          <a:solidFill>
                            <a:srgbClr val="000000"/>
                          </a:solidFill>
                          <a:miter lim="800000"/>
                          <a:headEnd/>
                          <a:tailEnd/>
                        </a:ln>
                      </wps:spPr>
                      <wps:txbx>
                        <w:txbxContent>
                          <w:p w:rsidR="0052061B" w:rsidRDefault="0052061B" w:rsidP="001B63EB">
                            <w:r>
                              <w:t>Fédérations des mutuelles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677106" id="_x0000_s1040" type="#_x0000_t202" style="position:absolute;left:0;text-align:left;margin-left:244.05pt;margin-top:.25pt;width:92.55pt;height:36.3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">
                <v:textbox>
                  <w:txbxContent>
                    <w:p w:rsidR="0052061B" w:rsidRDefault="0052061B" w:rsidP="001B63EB">
                      <w:r>
                        <w:t>Fédérations des mutuelles</w:t>
                      </w:r>
                    </w:p>
                  </w:txbxContent>
                </v:textbox>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691008" behindDoc="0" locked="0" layoutInCell="1" allowOverlap="1" wp14:anchorId="3989FAF8" wp14:editId="7D6DD9AD">
                <wp:simplePos x="0" y="0"/>
                <wp:positionH relativeFrom="column">
                  <wp:posOffset>4782820</wp:posOffset>
                </wp:positionH>
                <wp:positionV relativeFrom="paragraph">
                  <wp:posOffset>148590</wp:posOffset>
                </wp:positionV>
                <wp:extent cx="1301115" cy="734695"/>
                <wp:effectExtent l="0" t="0" r="0" b="8255"/>
                <wp:wrapNone/>
                <wp:docPr id="288" name="Zone de texte 2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01115" cy="734695"/>
                        </a:xfrm>
                        <a:prstGeom prst="rect">
                          <a:avLst/>
                        </a:prstGeom>
                        <a:noFill/>
                        <a:ln>
                          <a:noFill/>
                        </a:ln>
                        <a:effectLst/>
                      </wps:spPr>
                      <wps:txbx>
                        <w:txbxContent>
                          <w:p w:rsidR="0052061B" w:rsidRPr="00894D27" w:rsidRDefault="0052061B" w:rsidP="001B63EB">
                            <w:pPr>
                              <w:rPr>
                                <w:b/>
                                <w:color w:val="9BBB59" w:themeColor="accent3"/>
                              </w:rPr>
                            </w:pPr>
                            <w:r w:rsidRPr="00894D27">
                              <w:rPr>
                                <w:b/>
                                <w:color w:val="9BBB59" w:themeColor="accent3"/>
                              </w:rPr>
                              <w:t>Son rôle et ses fonctions sont</w:t>
                            </w:r>
                            <w:r>
                              <w:rPr>
                                <w:b/>
                                <w:color w:val="9BBB59" w:themeColor="accent3"/>
                              </w:rPr>
                              <w:t xml:space="preserve"> s</w:t>
                            </w:r>
                            <w:r w:rsidRPr="00894D27">
                              <w:rPr>
                                <w:b/>
                                <w:color w:val="9BBB59" w:themeColor="accent3"/>
                              </w:rPr>
                              <w:t>éparées</w:t>
                            </w:r>
                          </w:p>
                          <w:p w:rsidR="0052061B" w:rsidRPr="00894D27" w:rsidRDefault="0052061B" w:rsidP="001B63EB">
                            <w:pPr>
                              <w:jc w:val="center"/>
                              <w:rPr>
                                <w:b/>
                                <w:noProof/>
                                <w:color w:val="9BBB59" w:themeColor="accent3"/>
                                <w:sz w:val="72"/>
                                <w:szCs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flat" dir="t">
                            <a:rot lat="0" lon="0" rev="18900000"/>
                          </a:lightRig>
                        </a:scene3d>
                        <a:sp3d extrusionH="31750" contourW="6350" prstMaterial="powder">
                          <a:bevelT w="19050" h="19050" prst="angle"/>
                          <a:contourClr>
                            <a:schemeClr val="accent3">
                              <a:tint val="100000"/>
                              <a:shade val="100000"/>
                              <a:satMod val="100000"/>
                              <a:hueMod val="100000"/>
                            </a:schemeClr>
                          </a:contourClr>
                        </a:sp3d>
                      </wps:bodyPr>
                    </wps:wsp>
                  </a:graphicData>
                </a:graphic>
                <wp14:sizeRelH relativeFrom="margin">
                  <wp14:pctWidth>0</wp14:pctWidth>
                </wp14:sizeRelH>
                <wp14:sizeRelV relativeFrom="margin">
                  <wp14:pctHeight>0</wp14:pctHeight>
                </wp14:sizeRelV>
              </wp:anchor>
            </w:drawing>
          </mc:Choice>
          <mc:Fallback>
            <w:pict>
              <v:shape w14:anchorId="3989FAF8" id="Zone de texte 288" o:spid="_x0000_s1041" type="#_x0000_t202" style="position:absolute;left:0;text-align:left;margin-left:376.6pt;margin-top:11.7pt;width:102.45pt;height:57.8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" filled="f" stroked="f">
                <v:path arrowok="t"/>
                <v:textbox>
                  <w:txbxContent>
                    <w:p w:rsidR="0052061B" w:rsidRPr="00894D27" w:rsidRDefault="0052061B" w:rsidP="001B63EB">
                      <w:pPr>
                        <w:rPr>
                          <w:b/>
                          <w:color w:val="9BBB59" w:themeColor="accent3"/>
                        </w:rPr>
                      </w:pPr>
                      <w:r w:rsidRPr="00894D27">
                        <w:rPr>
                          <w:b/>
                          <w:color w:val="9BBB59" w:themeColor="accent3"/>
                        </w:rPr>
                        <w:t>Son rôle et ses fonctions sont</w:t>
                      </w:r>
                      <w:r>
                        <w:rPr>
                          <w:b/>
                          <w:color w:val="9BBB59" w:themeColor="accent3"/>
                        </w:rPr>
                        <w:t xml:space="preserve"> s</w:t>
                      </w:r>
                      <w:r w:rsidRPr="00894D27">
                        <w:rPr>
                          <w:b/>
                          <w:color w:val="9BBB59" w:themeColor="accent3"/>
                        </w:rPr>
                        <w:t>éparées</w:t>
                      </w:r>
                    </w:p>
                    <w:p w:rsidR="0052061B" w:rsidRPr="00894D27" w:rsidRDefault="0052061B" w:rsidP="001B63EB">
                      <w:pPr>
                        <w:jc w:val="center"/>
                        <w:rPr>
                          <w:b/>
                          <w:noProof/>
                          <w:color w:val="9BBB59" w:themeColor="accent3"/>
                          <w:sz w:val="72"/>
                          <w:szCs w:val="72"/>
                        </w:rPr>
                      </w:pPr>
                    </w:p>
                  </w:txbxContent>
                </v:textbox>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708416" behindDoc="0" locked="0" layoutInCell="1" allowOverlap="1" wp14:anchorId="7A44BD07" wp14:editId="3A14A70F">
                <wp:simplePos x="0" y="0"/>
                <wp:positionH relativeFrom="column">
                  <wp:posOffset>155575</wp:posOffset>
                </wp:positionH>
                <wp:positionV relativeFrom="paragraph">
                  <wp:posOffset>307340</wp:posOffset>
                </wp:positionV>
                <wp:extent cx="391795" cy="1647825"/>
                <wp:effectExtent l="19050" t="0" r="27305" b="47625"/>
                <wp:wrapNone/>
                <wp:docPr id="309" name="Flèche vers le bas 3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1795" cy="1647825"/>
                        </a:xfrm>
                        <a:prstGeom prst="downArrow">
                          <a:avLst/>
                        </a:prstGeom>
                        <a:solidFill>
                          <a:sysClr val="window" lastClr="FFFFFF"/>
                        </a:solidFill>
                        <a:ln w="25400" cap="flat" cmpd="sng" algn="ctr">
                          <a:solidFill>
                            <a:srgbClr val="8064A2"/>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7042BF20"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èche vers le bas 309" o:spid="_x0000_s1026" type="#_x0000_t67" style="position:absolute;margin-left:12.25pt;margin-top:24.2pt;width:30.85pt;height:129.7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" adj="19032" fillcolor="window" strokecolor="#8064a2" strokeweight="2pt">
                <v:path arrowok="t"/>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692032" behindDoc="0" locked="0" layoutInCell="1" allowOverlap="1" wp14:anchorId="4559CB7B" wp14:editId="20E01024">
                <wp:simplePos x="0" y="0"/>
                <wp:positionH relativeFrom="column">
                  <wp:posOffset>346075</wp:posOffset>
                </wp:positionH>
                <wp:positionV relativeFrom="paragraph">
                  <wp:posOffset>307340</wp:posOffset>
                </wp:positionV>
                <wp:extent cx="2270760" cy="1386205"/>
                <wp:effectExtent l="0" t="0" r="72390" b="61595"/>
                <wp:wrapNone/>
                <wp:docPr id="289" name="Connecteur droit avec flèche 2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70760" cy="1386205"/>
                        </a:xfrm>
                        <a:prstGeom prst="straightConnector1">
                          <a:avLst/>
                        </a:prstGeom>
                        <a:noFill/>
                        <a:ln w="9525" cap="flat" cmpd="sng" algn="ctr">
                          <a:solidFill>
                            <a:srgbClr val="F79646">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88FCB1D" id="Connecteur droit avec flèche 289" o:spid="_x0000_s1026" type="#_x0000_t32" style="position:absolute;margin-left:27.25pt;margin-top:24.2pt;width:178.8pt;height:109.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" strokecolor="#f69240">
                <v:stroke endarrow="open"/>
                <o:lock v:ext="edit" shapetype="f"/>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686912" behindDoc="0" locked="0" layoutInCell="1" allowOverlap="1" wp14:anchorId="4ED8027A" wp14:editId="4FE3F483">
                <wp:simplePos x="0" y="0"/>
                <wp:positionH relativeFrom="column">
                  <wp:posOffset>346075</wp:posOffset>
                </wp:positionH>
                <wp:positionV relativeFrom="paragraph">
                  <wp:posOffset>307340</wp:posOffset>
                </wp:positionV>
                <wp:extent cx="2200275" cy="2752725"/>
                <wp:effectExtent l="0" t="0" r="66675" b="47625"/>
                <wp:wrapNone/>
                <wp:docPr id="28" name="Connecteur droit avec flèch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00275" cy="2752725"/>
                        </a:xfrm>
                        <a:prstGeom prst="straightConnector1">
                          <a:avLst/>
                        </a:prstGeom>
                        <a:noFill/>
                        <a:ln w="9525" cap="flat" cmpd="sng" algn="ctr">
                          <a:solidFill>
                            <a:srgbClr val="F79646">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2DDF9FB8" id="Connecteur droit avec flèche 28" o:spid="_x0000_s1026" type="#_x0000_t32" style="position:absolute;margin-left:27.25pt;margin-top:24.2pt;width:173.25pt;height:216.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" strokecolor="#f69240">
                <v:stroke endarrow="open"/>
                <o:lock v:ext="edit" shapetype="f"/>
              </v:shape>
            </w:pict>
          </mc:Fallback>
        </mc:AlternateContent>
      </w:r>
    </w:p>
    <w:p w:rsidR="001B63EB" w:rsidRPr="00425A7F" w:rsidRDefault="003069F4" w:rsidP="00F24E98">
      <w:pPr>
        <w:widowControl w:val="0"/>
        <w:suppressAutoHyphens/>
        <w:jc w:val="both"/>
        <w:rPr>
          <w:rFonts w:asciiTheme="minorHAnsi" w:hAnsiTheme="minorHAnsi" w:cstheme="minorBidi"/>
        </w:rPr>
      </w:pPr>
      <w:r w:rsidRPr="00425A7F">
        <w:rPr>
          <w:rFonts w:asciiTheme="minorHAnsi" w:hAnsiTheme="minorHAnsi" w:cstheme="minorBidi"/>
          <w:noProof/>
          <w:lang w:eastAsia="fr-FR"/>
        </w:rPr>
        <mc:AlternateContent>
          <mc:Choice Requires="wps">
            <w:drawing>
              <wp:anchor distT="0" distB="0" distL="114300" distR="114300" simplePos="0" relativeHeight="251666432" behindDoc="0" locked="0" layoutInCell="1" allowOverlap="1" wp14:anchorId="77281888" wp14:editId="58421C88">
                <wp:simplePos x="0" y="0"/>
                <wp:positionH relativeFrom="column">
                  <wp:posOffset>1427480</wp:posOffset>
                </wp:positionH>
                <wp:positionV relativeFrom="paragraph">
                  <wp:posOffset>2540</wp:posOffset>
                </wp:positionV>
                <wp:extent cx="793750" cy="240665"/>
                <wp:effectExtent l="0" t="0" r="25400" b="26035"/>
                <wp:wrapNone/>
                <wp:docPr id="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0" cy="240665"/>
                        </a:xfrm>
                        <a:prstGeom prst="rect">
                          <a:avLst/>
                        </a:prstGeom>
                        <a:solidFill>
                          <a:srgbClr val="FFFFFF"/>
                        </a:solidFill>
                        <a:ln w="9525">
                          <a:solidFill>
                            <a:srgbClr val="000000"/>
                          </a:solidFill>
                          <a:miter lim="800000"/>
                          <a:headEnd/>
                          <a:tailEnd/>
                        </a:ln>
                      </wps:spPr>
                      <wps:txbx>
                        <w:txbxContent>
                          <w:p w:rsidR="0052061B" w:rsidRDefault="0052061B" w:rsidP="001B63EB">
                            <w:r>
                              <w:t>INPS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281888" id="_x0000_s1042" type="#_x0000_t202" style="position:absolute;left:0;text-align:left;margin-left:112.4pt;margin-top:.2pt;width:62.5pt;height:18.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">
                <v:textbox>
                  <w:txbxContent>
                    <w:p w:rsidR="0052061B" w:rsidRDefault="0052061B" w:rsidP="001B63EB">
                      <w:r>
                        <w:t>INPS</w:t>
                      </w:r>
                    </w:p>
                  </w:txbxContent>
                </v:textbox>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667456" behindDoc="0" locked="0" layoutInCell="1" allowOverlap="1" wp14:anchorId="7B4D6272" wp14:editId="62C6B5D5">
                <wp:simplePos x="0" y="0"/>
                <wp:positionH relativeFrom="column">
                  <wp:posOffset>2221230</wp:posOffset>
                </wp:positionH>
                <wp:positionV relativeFrom="paragraph">
                  <wp:posOffset>2540</wp:posOffset>
                </wp:positionV>
                <wp:extent cx="793750" cy="240665"/>
                <wp:effectExtent l="0" t="0" r="25400" b="26035"/>
                <wp:wrapNone/>
                <wp:docPr id="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0" cy="240665"/>
                        </a:xfrm>
                        <a:prstGeom prst="rect">
                          <a:avLst/>
                        </a:prstGeom>
                        <a:solidFill>
                          <a:srgbClr val="FFFFFF"/>
                        </a:solidFill>
                        <a:ln w="9525">
                          <a:solidFill>
                            <a:srgbClr val="000000"/>
                          </a:solidFill>
                          <a:miter lim="800000"/>
                          <a:headEnd/>
                          <a:tailEnd/>
                        </a:ln>
                      </wps:spPr>
                      <wps:txbx>
                        <w:txbxContent>
                          <w:p w:rsidR="0052061B" w:rsidRDefault="0052061B" w:rsidP="001B63EB">
                            <w:r>
                              <w:t>CNSS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4D6272" id="_x0000_s1043" type="#_x0000_t202" style="position:absolute;left:0;text-align:left;margin-left:174.9pt;margin-top:.2pt;width:62.5pt;height:18.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">
                <v:textbox>
                  <w:txbxContent>
                    <w:p w:rsidR="0052061B" w:rsidRDefault="0052061B" w:rsidP="001B63EB">
                      <w:r>
                        <w:t>CNSS</w:t>
                      </w:r>
                    </w:p>
                  </w:txbxContent>
                </v:textbox>
              </v:shape>
            </w:pict>
          </mc:Fallback>
        </mc:AlternateContent>
      </w:r>
    </w:p>
    <w:p w:rsidR="001B63EB" w:rsidRPr="00425A7F" w:rsidRDefault="003069F4" w:rsidP="00F24E98">
      <w:pPr>
        <w:widowControl w:val="0"/>
        <w:suppressAutoHyphens/>
        <w:jc w:val="both"/>
        <w:rPr>
          <w:rFonts w:asciiTheme="minorHAnsi" w:hAnsiTheme="minorHAnsi" w:cstheme="minorBidi"/>
        </w:rPr>
      </w:pPr>
      <w:r w:rsidRPr="00425A7F">
        <w:rPr>
          <w:rFonts w:asciiTheme="minorHAnsi" w:hAnsiTheme="minorHAnsi" w:cstheme="minorBidi"/>
          <w:noProof/>
          <w:lang w:eastAsia="fr-FR"/>
        </w:rPr>
        <mc:AlternateContent>
          <mc:Choice Requires="wps">
            <w:drawing>
              <wp:anchor distT="0" distB="0" distL="114300" distR="114300" simplePos="0" relativeHeight="251693056" behindDoc="0" locked="0" layoutInCell="1" allowOverlap="1" wp14:anchorId="7C3AA77C" wp14:editId="71382A98">
                <wp:simplePos x="0" y="0"/>
                <wp:positionH relativeFrom="column">
                  <wp:posOffset>779145</wp:posOffset>
                </wp:positionH>
                <wp:positionV relativeFrom="paragraph">
                  <wp:posOffset>142875</wp:posOffset>
                </wp:positionV>
                <wp:extent cx="2320290" cy="1607185"/>
                <wp:effectExtent l="0" t="38100" r="60960" b="31115"/>
                <wp:wrapNone/>
                <wp:docPr id="5" name="Connecteur droit avec flèche 2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320290" cy="1607185"/>
                        </a:xfrm>
                        <a:prstGeom prst="straightConnector1">
                          <a:avLst/>
                        </a:prstGeom>
                        <a:noFill/>
                        <a:ln w="9525">
                          <a:solidFill>
                            <a:srgbClr val="7D60A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806B4B6" id="Connecteur droit avec flèche 290" o:spid="_x0000_s1026" type="#_x0000_t32" style="position:absolute;margin-left:61.35pt;margin-top:11.25pt;width:182.7pt;height:126.55pt;flip:y;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" strokecolor="#7d60a0">
                <v:stroke endarrow="open"/>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683840" behindDoc="0" locked="0" layoutInCell="1" allowOverlap="1" wp14:anchorId="12C6EE73" wp14:editId="74B67489">
                <wp:simplePos x="0" y="0"/>
                <wp:positionH relativeFrom="column">
                  <wp:posOffset>3099435</wp:posOffset>
                </wp:positionH>
                <wp:positionV relativeFrom="paragraph">
                  <wp:posOffset>142875</wp:posOffset>
                </wp:positionV>
                <wp:extent cx="161290" cy="2926715"/>
                <wp:effectExtent l="76200" t="0" r="29210" b="64135"/>
                <wp:wrapNone/>
                <wp:docPr id="4" name="Connecteur droit avec flèch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61290" cy="2926715"/>
                        </a:xfrm>
                        <a:prstGeom prst="straightConnector1">
                          <a:avLst/>
                        </a:prstGeom>
                        <a:noFill/>
                        <a:ln w="9525">
                          <a:solidFill>
                            <a:srgbClr val="4A7EBB"/>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441FC5BA" id="Connecteur droit avec flèche 23" o:spid="_x0000_s1026" type="#_x0000_t32" style="position:absolute;margin-left:244.05pt;margin-top:11.25pt;width:12.7pt;height:230.45pt;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" strokecolor="#4a7ebb">
                <v:stroke endarrow="open"/>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685888" behindDoc="0" locked="0" layoutInCell="1" allowOverlap="1" wp14:anchorId="16A1A5E8" wp14:editId="52666BC1">
                <wp:simplePos x="0" y="0"/>
                <wp:positionH relativeFrom="column">
                  <wp:posOffset>471170</wp:posOffset>
                </wp:positionH>
                <wp:positionV relativeFrom="paragraph">
                  <wp:posOffset>73025</wp:posOffset>
                </wp:positionV>
                <wp:extent cx="2490470" cy="2931795"/>
                <wp:effectExtent l="0" t="0" r="81280" b="59055"/>
                <wp:wrapNone/>
                <wp:docPr id="3" name="Connecteur droit avec flèch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0470" cy="2931795"/>
                        </a:xfrm>
                        <a:prstGeom prst="straightConnector1">
                          <a:avLst/>
                        </a:prstGeom>
                        <a:noFill/>
                        <a:ln w="9525">
                          <a:solidFill>
                            <a:srgbClr val="7D60A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4DEC0892" id="Connecteur droit avec flèche 26" o:spid="_x0000_s1026" type="#_x0000_t32" style="position:absolute;margin-left:37.1pt;margin-top:5.75pt;width:196.1pt;height:230.8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" strokecolor="#7d60a0">
                <v:stroke endarrow="open"/>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707392" behindDoc="0" locked="0" layoutInCell="1" allowOverlap="1" wp14:anchorId="3E40A6FA" wp14:editId="515292D2">
                <wp:simplePos x="0" y="0"/>
                <wp:positionH relativeFrom="column">
                  <wp:posOffset>1100455</wp:posOffset>
                </wp:positionH>
                <wp:positionV relativeFrom="paragraph">
                  <wp:posOffset>111125</wp:posOffset>
                </wp:positionV>
                <wp:extent cx="2141220" cy="1958340"/>
                <wp:effectExtent l="0" t="38100" r="49530" b="22860"/>
                <wp:wrapNone/>
                <wp:docPr id="2" name="Connecteur droit avec flèche 3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41220" cy="1958340"/>
                        </a:xfrm>
                        <a:prstGeom prst="straightConnector1">
                          <a:avLst/>
                        </a:prstGeom>
                        <a:noFill/>
                        <a:ln w="9525">
                          <a:solidFill>
                            <a:srgbClr val="7D60A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w14:anchorId="7199011B" id="Connecteur droit avec flèche 308" o:spid="_x0000_s1026" type="#_x0000_t32" style="position:absolute;margin-left:86.65pt;margin-top:8.75pt;width:168.6pt;height:154.2pt;flip: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" strokecolor="#7d60a0">
                <v:stroke endarrow="open"/>
              </v:shape>
            </w:pict>
          </mc:Fallback>
        </mc:AlternateContent>
      </w:r>
    </w:p>
    <w:p w:rsidR="001B63EB" w:rsidRPr="00425A7F" w:rsidRDefault="003069F4" w:rsidP="00F24E98">
      <w:pPr>
        <w:widowControl w:val="0"/>
        <w:suppressAutoHyphens/>
        <w:jc w:val="both"/>
        <w:rPr>
          <w:rFonts w:asciiTheme="minorHAnsi" w:hAnsiTheme="minorHAnsi" w:cstheme="minorBidi"/>
        </w:rPr>
      </w:pPr>
      <w:r w:rsidRPr="00425A7F">
        <w:rPr>
          <w:rFonts w:asciiTheme="minorHAnsi" w:hAnsiTheme="minorHAnsi" w:cstheme="minorBidi"/>
          <w:noProof/>
          <w:lang w:eastAsia="fr-FR"/>
        </w:rPr>
        <mc:AlternateContent>
          <mc:Choice Requires="wps">
            <w:drawing>
              <wp:anchor distT="0" distB="0" distL="114300" distR="114300" simplePos="0" relativeHeight="251695104" behindDoc="0" locked="0" layoutInCell="1" allowOverlap="1" wp14:anchorId="67D75F7F" wp14:editId="4C7789D7">
                <wp:simplePos x="0" y="0"/>
                <wp:positionH relativeFrom="column">
                  <wp:posOffset>877570</wp:posOffset>
                </wp:positionH>
                <wp:positionV relativeFrom="paragraph">
                  <wp:posOffset>39370</wp:posOffset>
                </wp:positionV>
                <wp:extent cx="923925" cy="421640"/>
                <wp:effectExtent l="0" t="0" r="0" b="0"/>
                <wp:wrapNone/>
                <wp:docPr id="292" name="Zone de texte 2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23925" cy="421640"/>
                        </a:xfrm>
                        <a:prstGeom prst="rect">
                          <a:avLst/>
                        </a:prstGeom>
                        <a:noFill/>
                        <a:ln>
                          <a:noFill/>
                        </a:ln>
                        <a:effectLst/>
                      </wps:spPr>
                      <wps:txbx>
                        <w:txbxContent>
                          <w:p w:rsidR="0052061B" w:rsidRPr="00E20C2F" w:rsidRDefault="0052061B" w:rsidP="001B63EB">
                            <w:pPr>
                              <w:jc w:val="center"/>
                              <w:rPr>
                                <w:b/>
                                <w:color w:val="FFFEFD" w:themeColor="accent6" w:themeTint="02"/>
                                <w:spacing w:val="10"/>
                                <w:sz w:val="32"/>
                                <w:szCs w:val="32"/>
                              </w:rPr>
                            </w:pPr>
                            <w:r w:rsidRPr="00E20C2F">
                              <w:rPr>
                                <w:b/>
                                <w:color w:val="FFFEFD" w:themeColor="accent6" w:themeTint="02"/>
                                <w:spacing w:val="10"/>
                                <w:sz w:val="32"/>
                                <w:szCs w:val="32"/>
                              </w:rPr>
                              <w:t>Appuis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D75F7F" id="Zone de texte 292" o:spid="_x0000_s1044" type="#_x0000_t202" style="position:absolute;left:0;text-align:left;margin-left:69.1pt;margin-top:3.1pt;width:72.75pt;height:33.2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" filled="f" stroked="f">
                <v:path arrowok="t"/>
                <v:textbox>
                  <w:txbxContent>
                    <w:p w:rsidR="0052061B" w:rsidRPr="00E20C2F" w:rsidRDefault="0052061B" w:rsidP="001B63EB">
                      <w:pPr>
                        <w:jc w:val="center"/>
                        <w:rPr>
                          <w:b/>
                          <w:color w:val="FFFEFD" w:themeColor="accent6" w:themeTint="02"/>
                          <w:spacing w:val="10"/>
                          <w:sz w:val="32"/>
                          <w:szCs w:val="32"/>
                        </w:rPr>
                      </w:pPr>
                      <w:r w:rsidRPr="00E20C2F">
                        <w:rPr>
                          <w:b/>
                          <w:color w:val="FFFEFD" w:themeColor="accent6" w:themeTint="02"/>
                          <w:spacing w:val="10"/>
                          <w:sz w:val="32"/>
                          <w:szCs w:val="32"/>
                        </w:rPr>
                        <w:t>Appuis</w:t>
                      </w:r>
                    </w:p>
                  </w:txbxContent>
                </v:textbox>
              </v:shape>
            </w:pict>
          </mc:Fallback>
        </mc:AlternateContent>
      </w:r>
    </w:p>
    <w:p w:rsidR="001B63EB" w:rsidRPr="00425A7F" w:rsidRDefault="001B63EB" w:rsidP="00F24E98">
      <w:pPr>
        <w:widowControl w:val="0"/>
        <w:suppressAutoHyphens/>
        <w:jc w:val="both"/>
        <w:rPr>
          <w:rFonts w:asciiTheme="minorHAnsi" w:hAnsiTheme="minorHAnsi" w:cstheme="minorBidi"/>
        </w:rPr>
      </w:pPr>
    </w:p>
    <w:p w:rsidR="001B63EB" w:rsidRPr="00425A7F" w:rsidRDefault="001B63EB" w:rsidP="00F24E98">
      <w:pPr>
        <w:widowControl w:val="0"/>
        <w:suppressAutoHyphens/>
        <w:jc w:val="both"/>
        <w:rPr>
          <w:rFonts w:asciiTheme="minorHAnsi" w:hAnsiTheme="minorHAnsi" w:cstheme="minorBidi"/>
        </w:rPr>
      </w:pPr>
    </w:p>
    <w:p w:rsidR="001B63EB" w:rsidRPr="00425A7F" w:rsidRDefault="003069F4" w:rsidP="00F24E98">
      <w:pPr>
        <w:widowControl w:val="0"/>
        <w:suppressAutoHyphens/>
        <w:jc w:val="both"/>
        <w:rPr>
          <w:rFonts w:asciiTheme="minorHAnsi" w:hAnsiTheme="minorHAnsi" w:cstheme="minorBidi"/>
        </w:rPr>
      </w:pPr>
      <w:r w:rsidRPr="00425A7F">
        <w:rPr>
          <w:rFonts w:asciiTheme="minorHAnsi" w:hAnsiTheme="minorHAnsi" w:cstheme="minorBidi"/>
          <w:noProof/>
          <w:lang w:eastAsia="fr-FR"/>
        </w:rPr>
        <mc:AlternateContent>
          <mc:Choice Requires="wps">
            <w:drawing>
              <wp:anchor distT="0" distB="0" distL="114300" distR="114300" simplePos="0" relativeHeight="251697152" behindDoc="0" locked="0" layoutInCell="1" allowOverlap="1" wp14:anchorId="20EFDCDE" wp14:editId="2CF8E95F">
                <wp:simplePos x="0" y="0"/>
                <wp:positionH relativeFrom="column">
                  <wp:posOffset>1345565</wp:posOffset>
                </wp:positionH>
                <wp:positionV relativeFrom="paragraph">
                  <wp:posOffset>259715</wp:posOffset>
                </wp:positionV>
                <wp:extent cx="1196340" cy="277495"/>
                <wp:effectExtent l="0" t="0" r="0" b="0"/>
                <wp:wrapNone/>
                <wp:docPr id="294" name="Zone de texte 2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96340" cy="277495"/>
                        </a:xfrm>
                        <a:prstGeom prst="rect">
                          <a:avLst/>
                        </a:prstGeom>
                        <a:noFill/>
                        <a:ln>
                          <a:noFill/>
                        </a:ln>
                        <a:effectLst/>
                      </wps:spPr>
                      <wps:txbx>
                        <w:txbxContent>
                          <w:p w:rsidR="0052061B" w:rsidRPr="00565C3F" w:rsidRDefault="0052061B" w:rsidP="001B63EB">
                            <w:pPr>
                              <w:jc w:val="center"/>
                              <w:rPr>
                                <w:b/>
                                <w:noProof/>
                                <w:sz w:val="24"/>
                                <w:szCs w:val="24"/>
                              </w:rPr>
                            </w:pPr>
                            <w:r w:rsidRPr="00565C3F">
                              <w:rPr>
                                <w:b/>
                                <w:noProof/>
                                <w:sz w:val="24"/>
                                <w:szCs w:val="24"/>
                              </w:rPr>
                              <w:t>Règlementation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a:scene3d>
                          <a:camera prst="orthographicFront">
                            <a:rot lat="0" lon="0" rev="0"/>
                          </a:camera>
                          <a:lightRig rig="glow" dir="t">
                            <a:rot lat="0" lon="0" rev="3600000"/>
                          </a:lightRig>
                        </a:scene3d>
                        <a:sp3d prstMaterial="softEdge">
                          <a:bevelT w="29210" h="16510"/>
                          <a:contourClr>
                            <a:schemeClr val="accent4">
                              <a:alpha val="95000"/>
                            </a:schemeClr>
                          </a:contourClr>
                        </a:sp3d>
                      </wps:bodyPr>
                    </wps:wsp>
                  </a:graphicData>
                </a:graphic>
                <wp14:sizeRelH relativeFrom="page">
                  <wp14:pctWidth>0</wp14:pctWidth>
                </wp14:sizeRelH>
                <wp14:sizeRelV relativeFrom="page">
                  <wp14:pctHeight>0</wp14:pctHeight>
                </wp14:sizeRelV>
              </wp:anchor>
            </w:drawing>
          </mc:Choice>
          <mc:Fallback>
            <w:pict>
              <v:shape w14:anchorId="20EFDCDE" id="Zone de texte 294" o:spid="_x0000_s1045" type="#_x0000_t202" style="position:absolute;left:0;text-align:left;margin-left:105.95pt;margin-top:20.45pt;width:94.2pt;height:21.85pt;z-index:2516971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" filled="f" stroked="f">
                <v:path arrowok="t"/>
                <v:textbox style="mso-fit-shape-to-text:t">
                  <w:txbxContent>
                    <w:p w:rsidR="0052061B" w:rsidRPr="00565C3F" w:rsidRDefault="0052061B" w:rsidP="001B63EB">
                      <w:pPr>
                        <w:jc w:val="center"/>
                        <w:rPr>
                          <w:b/>
                          <w:noProof/>
                          <w:sz w:val="24"/>
                          <w:szCs w:val="24"/>
                        </w:rPr>
                      </w:pPr>
                      <w:r w:rsidRPr="00565C3F">
                        <w:rPr>
                          <w:b/>
                          <w:noProof/>
                          <w:sz w:val="24"/>
                          <w:szCs w:val="24"/>
                        </w:rPr>
                        <w:t>Règlementation</w:t>
                      </w:r>
                    </w:p>
                  </w:txbxContent>
                </v:textbox>
              </v:shape>
            </w:pict>
          </mc:Fallback>
        </mc:AlternateContent>
      </w:r>
    </w:p>
    <w:p w:rsidR="001B63EB" w:rsidRPr="00425A7F" w:rsidRDefault="001B63EB" w:rsidP="00F24E98">
      <w:pPr>
        <w:widowControl w:val="0"/>
        <w:suppressAutoHyphens/>
        <w:jc w:val="both"/>
        <w:rPr>
          <w:rFonts w:asciiTheme="minorHAnsi" w:hAnsiTheme="minorHAnsi" w:cstheme="minorBidi"/>
        </w:rPr>
      </w:pPr>
    </w:p>
    <w:p w:rsidR="001B63EB" w:rsidRPr="00425A7F" w:rsidRDefault="003069F4" w:rsidP="00F24E98">
      <w:pPr>
        <w:widowControl w:val="0"/>
        <w:suppressAutoHyphens/>
        <w:jc w:val="both"/>
        <w:rPr>
          <w:rFonts w:asciiTheme="minorHAnsi" w:hAnsiTheme="minorHAnsi" w:cstheme="minorBidi"/>
        </w:rPr>
      </w:pPr>
      <w:r w:rsidRPr="00425A7F">
        <w:rPr>
          <w:rFonts w:asciiTheme="minorHAnsi" w:hAnsiTheme="minorHAnsi" w:cstheme="minorBidi"/>
          <w:noProof/>
          <w:lang w:eastAsia="fr-FR"/>
        </w:rPr>
        <mc:AlternateContent>
          <mc:Choice Requires="wps">
            <w:drawing>
              <wp:anchor distT="0" distB="0" distL="114300" distR="114300" simplePos="0" relativeHeight="251669504" behindDoc="0" locked="0" layoutInCell="1" allowOverlap="1" wp14:anchorId="641DA83E" wp14:editId="60CC3E58">
                <wp:simplePos x="0" y="0"/>
                <wp:positionH relativeFrom="column">
                  <wp:posOffset>4756785</wp:posOffset>
                </wp:positionH>
                <wp:positionV relativeFrom="paragraph">
                  <wp:posOffset>95885</wp:posOffset>
                </wp:positionV>
                <wp:extent cx="1485900" cy="589280"/>
                <wp:effectExtent l="0" t="0" r="19050" b="20320"/>
                <wp:wrapNone/>
                <wp:docPr id="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589280"/>
                        </a:xfrm>
                        <a:prstGeom prst="rect">
                          <a:avLst/>
                        </a:prstGeom>
                        <a:solidFill>
                          <a:srgbClr val="FFFFFF"/>
                        </a:solidFill>
                        <a:ln w="9525">
                          <a:solidFill>
                            <a:srgbClr val="000000"/>
                          </a:solidFill>
                          <a:miter lim="800000"/>
                          <a:headEnd/>
                          <a:tailEnd/>
                        </a:ln>
                      </wps:spPr>
                      <wps:txbx>
                        <w:txbxContent>
                          <w:p w:rsidR="0052061B" w:rsidRDefault="0052061B" w:rsidP="001B63EB">
                            <w:r>
                              <w:t>Organismes d’appui technique aux mutuelles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1DA83E" id="_x0000_s1046" type="#_x0000_t202" style="position:absolute;left:0;text-align:left;margin-left:374.55pt;margin-top:7.55pt;width:117pt;height:46.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">
                <v:textbox>
                  <w:txbxContent>
                    <w:p w:rsidR="0052061B" w:rsidRDefault="0052061B" w:rsidP="001B63EB">
                      <w:r>
                        <w:t>Organismes d’appui technique aux mutuelles</w:t>
                      </w:r>
                    </w:p>
                  </w:txbxContent>
                </v:textbox>
              </v:shape>
            </w:pict>
          </mc:Fallback>
        </mc:AlternateContent>
      </w:r>
    </w:p>
    <w:p w:rsidR="00C86A23" w:rsidRPr="00425A7F" w:rsidRDefault="003069F4" w:rsidP="00F24E98">
      <w:pPr>
        <w:widowControl w:val="0"/>
        <w:suppressAutoHyphens/>
        <w:jc w:val="both"/>
      </w:pPr>
      <w:r w:rsidRPr="00425A7F">
        <w:rPr>
          <w:rFonts w:asciiTheme="minorHAnsi" w:hAnsiTheme="minorHAnsi" w:cstheme="minorBidi"/>
          <w:noProof/>
          <w:lang w:eastAsia="fr-FR"/>
        </w:rPr>
        <mc:AlternateContent>
          <mc:Choice Requires="wps">
            <w:drawing>
              <wp:anchor distT="0" distB="0" distL="114300" distR="114300" simplePos="0" relativeHeight="251670528" behindDoc="0" locked="0" layoutInCell="1" allowOverlap="1" wp14:anchorId="16809E6C" wp14:editId="5F4A50A7">
                <wp:simplePos x="0" y="0"/>
                <wp:positionH relativeFrom="column">
                  <wp:posOffset>2635250</wp:posOffset>
                </wp:positionH>
                <wp:positionV relativeFrom="paragraph">
                  <wp:posOffset>63500</wp:posOffset>
                </wp:positionV>
                <wp:extent cx="1486535" cy="260985"/>
                <wp:effectExtent l="0" t="0" r="18415" b="24765"/>
                <wp:wrapNone/>
                <wp:docPr id="1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6535" cy="260985"/>
                        </a:xfrm>
                        <a:prstGeom prst="rect">
                          <a:avLst/>
                        </a:prstGeom>
                        <a:solidFill>
                          <a:srgbClr val="FFFFFF"/>
                        </a:solidFill>
                        <a:ln w="9525">
                          <a:solidFill>
                            <a:srgbClr val="000000"/>
                          </a:solidFill>
                          <a:miter lim="800000"/>
                          <a:headEnd/>
                          <a:tailEnd/>
                        </a:ln>
                      </wps:spPr>
                      <wps:txbx>
                        <w:txbxContent>
                          <w:p w:rsidR="0052061B" w:rsidRDefault="0052061B" w:rsidP="001B63EB">
                            <w:r>
                              <w:t>Faîtières de mutuelles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809E6C" id="_x0000_s1047" type="#_x0000_t202" style="position:absolute;left:0;text-align:left;margin-left:207.5pt;margin-top:5pt;width:117.05pt;height:20.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">
                <v:textbox>
                  <w:txbxContent>
                    <w:p w:rsidR="0052061B" w:rsidRDefault="0052061B" w:rsidP="001B63EB">
                      <w:r>
                        <w:t>Faîtières de mutuelles</w:t>
                      </w:r>
                    </w:p>
                  </w:txbxContent>
                </v:textbox>
              </v:shape>
            </w:pict>
          </mc:Fallback>
        </mc:AlternateContent>
      </w:r>
    </w:p>
    <w:p w:rsidR="001B63EB" w:rsidRPr="00425A7F" w:rsidRDefault="003069F4" w:rsidP="00F24E98">
      <w:pPr>
        <w:widowControl w:val="0"/>
        <w:suppressAutoHyphens/>
        <w:jc w:val="both"/>
      </w:pPr>
      <w:r w:rsidRPr="00425A7F">
        <w:rPr>
          <w:rFonts w:asciiTheme="minorHAnsi" w:hAnsiTheme="minorHAnsi" w:cstheme="minorBidi"/>
          <w:noProof/>
          <w:lang w:eastAsia="fr-FR"/>
        </w:rPr>
        <mc:AlternateContent>
          <mc:Choice Requires="wps">
            <w:drawing>
              <wp:anchor distT="4294967294" distB="4294967294" distL="114300" distR="114300" simplePos="0" relativeHeight="251710464" behindDoc="0" locked="0" layoutInCell="1" allowOverlap="1" wp14:anchorId="4104F215" wp14:editId="75C7DA2E">
                <wp:simplePos x="0" y="0"/>
                <wp:positionH relativeFrom="column">
                  <wp:posOffset>4072890</wp:posOffset>
                </wp:positionH>
                <wp:positionV relativeFrom="paragraph">
                  <wp:posOffset>34924</wp:posOffset>
                </wp:positionV>
                <wp:extent cx="655320" cy="0"/>
                <wp:effectExtent l="38100" t="76200" r="0" b="114300"/>
                <wp:wrapNone/>
                <wp:docPr id="27" name="Connecteur droit avec flèch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55320" cy="0"/>
                        </a:xfrm>
                        <a:prstGeom prst="straightConnector1">
                          <a:avLst/>
                        </a:prstGeom>
                        <a:noFill/>
                        <a:ln w="9525" cap="flat" cmpd="sng" algn="ctr">
                          <a:solidFill>
                            <a:srgbClr val="F79646">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47E18122" id="Connecteur droit avec flèche 27" o:spid="_x0000_s1026" type="#_x0000_t32" style="position:absolute;margin-left:320.7pt;margin-top:2.75pt;width:51.6pt;height:0;flip:x;z-index:2517104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" strokecolor="#f69240">
                <v:stroke endarrow="open"/>
                <o:lock v:ext="edit" shapetype="f"/>
              </v:shape>
            </w:pict>
          </mc:Fallback>
        </mc:AlternateContent>
      </w:r>
    </w:p>
    <w:p w:rsidR="001B63EB" w:rsidRPr="00425A7F" w:rsidRDefault="001B63EB" w:rsidP="00F24E98">
      <w:pPr>
        <w:widowControl w:val="0"/>
        <w:suppressAutoHyphens/>
        <w:jc w:val="both"/>
      </w:pPr>
    </w:p>
    <w:p w:rsidR="001B63EB" w:rsidRPr="00425A7F" w:rsidRDefault="003069F4" w:rsidP="00F24E98">
      <w:pPr>
        <w:widowControl w:val="0"/>
        <w:suppressAutoHyphens/>
        <w:jc w:val="both"/>
      </w:pPr>
      <w:r w:rsidRPr="00425A7F">
        <w:rPr>
          <w:rFonts w:asciiTheme="minorHAnsi" w:hAnsiTheme="minorHAnsi" w:cstheme="minorBidi"/>
          <w:noProof/>
          <w:lang w:eastAsia="fr-FR"/>
        </w:rPr>
        <mc:AlternateContent>
          <mc:Choice Requires="wps">
            <w:drawing>
              <wp:anchor distT="0" distB="0" distL="114300" distR="114300" simplePos="0" relativeHeight="251694080" behindDoc="0" locked="0" layoutInCell="1" allowOverlap="1" wp14:anchorId="0F0A0CA7" wp14:editId="0F94128D">
                <wp:simplePos x="0" y="0"/>
                <wp:positionH relativeFrom="column">
                  <wp:posOffset>3390900</wp:posOffset>
                </wp:positionH>
                <wp:positionV relativeFrom="paragraph">
                  <wp:posOffset>3175</wp:posOffset>
                </wp:positionV>
                <wp:extent cx="1526540" cy="1296035"/>
                <wp:effectExtent l="38100" t="0" r="16510" b="56515"/>
                <wp:wrapNone/>
                <wp:docPr id="291" name="Connecteur droit avec flèche 29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1526540" cy="1296035"/>
                        </a:xfrm>
                        <a:prstGeom prst="straightConnector1">
                          <a:avLst/>
                        </a:prstGeom>
                        <a:noFill/>
                        <a:ln w="9525" cap="flat" cmpd="sng" algn="ctr">
                          <a:solidFill>
                            <a:srgbClr val="F79646">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1903103C" id="Connecteur droit avec flèche 291" o:spid="_x0000_s1026" type="#_x0000_t32" style="position:absolute;margin-left:267pt;margin-top:.25pt;width:120.2pt;height:102.05pt;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" strokecolor="#f69240">
                <v:stroke endarrow="open"/>
                <o:lock v:ext="edit" shapetype="f"/>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672576" behindDoc="0" locked="0" layoutInCell="1" allowOverlap="1" wp14:anchorId="3E986152" wp14:editId="76DA662B">
                <wp:simplePos x="0" y="0"/>
                <wp:positionH relativeFrom="column">
                  <wp:posOffset>-314960</wp:posOffset>
                </wp:positionH>
                <wp:positionV relativeFrom="paragraph">
                  <wp:posOffset>83185</wp:posOffset>
                </wp:positionV>
                <wp:extent cx="1406525" cy="733425"/>
                <wp:effectExtent l="0" t="0" r="22225" b="28575"/>
                <wp:wrapNone/>
                <wp:docPr id="1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6525" cy="733425"/>
                        </a:xfrm>
                        <a:prstGeom prst="rect">
                          <a:avLst/>
                        </a:prstGeom>
                        <a:solidFill>
                          <a:srgbClr val="FFFFFF"/>
                        </a:solidFill>
                        <a:ln w="9525">
                          <a:solidFill>
                            <a:srgbClr val="000000"/>
                          </a:solidFill>
                          <a:miter lim="800000"/>
                          <a:headEnd/>
                          <a:tailEnd/>
                        </a:ln>
                      </wps:spPr>
                      <wps:txbx>
                        <w:txbxContent>
                          <w:p w:rsidR="0052061B" w:rsidRDefault="0052061B" w:rsidP="001B63EB">
                            <w:r>
                              <w:t>Etablissement Administratif à créer (règlement UEMOA)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986152" id="_x0000_s1048" type="#_x0000_t202" style="position:absolute;left:0;text-align:left;margin-left:-24.8pt;margin-top:6.55pt;width:110.75pt;height:57.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">
                <v:textbox>
                  <w:txbxContent>
                    <w:p w:rsidR="0052061B" w:rsidRDefault="0052061B" w:rsidP="001B63EB">
                      <w:r>
                        <w:t>Etablissement Administratif à créer (règlement UEMOA)</w:t>
                      </w:r>
                    </w:p>
                  </w:txbxContent>
                </v:textbox>
              </v:shape>
            </w:pict>
          </mc:Fallback>
        </mc:AlternateContent>
      </w:r>
    </w:p>
    <w:p w:rsidR="001B63EB" w:rsidRPr="00425A7F" w:rsidRDefault="001B63EB" w:rsidP="00F24E98">
      <w:pPr>
        <w:widowControl w:val="0"/>
        <w:suppressAutoHyphens/>
        <w:jc w:val="both"/>
      </w:pPr>
    </w:p>
    <w:p w:rsidR="001B63EB" w:rsidRPr="00425A7F" w:rsidRDefault="001B63EB" w:rsidP="00F24E98">
      <w:pPr>
        <w:widowControl w:val="0"/>
        <w:suppressAutoHyphens/>
        <w:jc w:val="both"/>
      </w:pPr>
    </w:p>
    <w:p w:rsidR="001B63EB" w:rsidRPr="00425A7F" w:rsidRDefault="003069F4" w:rsidP="00F24E98">
      <w:pPr>
        <w:widowControl w:val="0"/>
        <w:suppressAutoHyphens/>
        <w:jc w:val="both"/>
      </w:pPr>
      <w:r w:rsidRPr="00425A7F">
        <w:rPr>
          <w:rFonts w:asciiTheme="minorHAnsi" w:hAnsiTheme="minorHAnsi" w:cstheme="minorBidi"/>
          <w:noProof/>
          <w:lang w:eastAsia="fr-FR"/>
        </w:rPr>
        <mc:AlternateContent>
          <mc:Choice Requires="wps">
            <w:drawing>
              <wp:anchor distT="0" distB="0" distL="114300" distR="114300" simplePos="0" relativeHeight="251671552" behindDoc="0" locked="0" layoutInCell="1" allowOverlap="1" wp14:anchorId="338E8897" wp14:editId="7E1AE431">
                <wp:simplePos x="0" y="0"/>
                <wp:positionH relativeFrom="column">
                  <wp:posOffset>2777490</wp:posOffset>
                </wp:positionH>
                <wp:positionV relativeFrom="paragraph">
                  <wp:posOffset>852805</wp:posOffset>
                </wp:positionV>
                <wp:extent cx="793750" cy="281305"/>
                <wp:effectExtent l="0" t="0" r="25400" b="23495"/>
                <wp:wrapNone/>
                <wp:docPr id="1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3750" cy="281305"/>
                        </a:xfrm>
                        <a:prstGeom prst="rect">
                          <a:avLst/>
                        </a:prstGeom>
                        <a:solidFill>
                          <a:srgbClr val="FFFFFF"/>
                        </a:solidFill>
                        <a:ln w="9525">
                          <a:solidFill>
                            <a:srgbClr val="000000"/>
                          </a:solidFill>
                          <a:miter lim="800000"/>
                          <a:headEnd/>
                          <a:tailEnd/>
                        </a:ln>
                      </wps:spPr>
                      <wps:txbx>
                        <w:txbxContent>
                          <w:p w:rsidR="0052061B" w:rsidRDefault="0052061B" w:rsidP="001B63EB">
                            <w:r>
                              <w:t>Mutuelles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8E8897" id="_x0000_s1049" type="#_x0000_t202" style="position:absolute;left:0;text-align:left;margin-left:218.7pt;margin-top:67.15pt;width:62.5pt;height:22.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">
                <v:textbox>
                  <w:txbxContent>
                    <w:p w:rsidR="0052061B" w:rsidRDefault="0052061B" w:rsidP="001B63EB">
                      <w:r>
                        <w:t>Mutuelles</w:t>
                      </w:r>
                    </w:p>
                  </w:txbxContent>
                </v:textbox>
              </v:shape>
            </w:pict>
          </mc:Fallback>
        </mc:AlternateContent>
      </w:r>
      <w:r w:rsidRPr="00425A7F">
        <w:rPr>
          <w:rFonts w:asciiTheme="minorHAnsi" w:hAnsiTheme="minorHAnsi" w:cstheme="minorBidi"/>
          <w:noProof/>
          <w:lang w:eastAsia="fr-FR"/>
        </w:rPr>
        <mc:AlternateContent>
          <mc:Choice Requires="wps">
            <w:drawing>
              <wp:anchor distT="0" distB="0" distL="114300" distR="114300" simplePos="0" relativeHeight="251659264" behindDoc="0" locked="0" layoutInCell="1" allowOverlap="1" wp14:anchorId="68B115BF" wp14:editId="6C9C3A98">
                <wp:simplePos x="0" y="0"/>
                <wp:positionH relativeFrom="column">
                  <wp:posOffset>2134235</wp:posOffset>
                </wp:positionH>
                <wp:positionV relativeFrom="paragraph">
                  <wp:posOffset>520065</wp:posOffset>
                </wp:positionV>
                <wp:extent cx="2190115" cy="803275"/>
                <wp:effectExtent l="0" t="0" r="19685" b="15875"/>
                <wp:wrapNone/>
                <wp:docPr id="2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115" cy="803275"/>
                        </a:xfrm>
                        <a:prstGeom prst="rect">
                          <a:avLst/>
                        </a:prstGeom>
                        <a:solidFill>
                          <a:srgbClr val="FFFFFF"/>
                        </a:solidFill>
                        <a:ln w="9525">
                          <a:solidFill>
                            <a:srgbClr val="000000"/>
                          </a:solidFill>
                          <a:miter lim="800000"/>
                          <a:headEnd/>
                          <a:tailEnd/>
                        </a:ln>
                      </wps:spPr>
                      <wps:txbx>
                        <w:txbxContent>
                          <w:p w:rsidR="0052061B" w:rsidRDefault="0052061B" w:rsidP="001B63EB">
                            <w:pPr>
                              <w:ind w:firstLine="708"/>
                            </w:pPr>
                            <w:r>
                              <w:t>Commune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8B115BF" id="_x0000_s1050" type="#_x0000_t202" style="position:absolute;left:0;text-align:left;margin-left:168.05pt;margin-top:40.95pt;width:172.45pt;height:6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">
                <v:textbox>
                  <w:txbxContent>
                    <w:p w:rsidR="0052061B" w:rsidRDefault="0052061B" w:rsidP="001B63EB">
                      <w:pPr>
                        <w:ind w:firstLine="708"/>
                      </w:pPr>
                      <w:r>
                        <w:t>Commune</w:t>
                      </w:r>
                    </w:p>
                  </w:txbxContent>
                </v:textbox>
              </v:shape>
            </w:pict>
          </mc:Fallback>
        </mc:AlternateContent>
      </w:r>
    </w:p>
    <w:p w:rsidR="00C51BDE" w:rsidRPr="00425A7F" w:rsidRDefault="00C51BDE" w:rsidP="00F24E98">
      <w:pPr>
        <w:widowControl w:val="0"/>
        <w:suppressAutoHyphens/>
        <w:jc w:val="both"/>
        <w:sectPr w:rsidR="00C51BDE" w:rsidRPr="00425A7F" w:rsidSect="00E71DA9">
          <w:pgSz w:w="11906" w:h="16838"/>
          <w:pgMar w:top="1418" w:right="709" w:bottom="1418" w:left="1418" w:header="709" w:footer="709" w:gutter="0"/>
          <w:cols w:space="708"/>
          <w:docGrid w:linePitch="360"/>
        </w:sectPr>
      </w:pPr>
    </w:p>
    <w:p w:rsidR="001B63EB" w:rsidRPr="00425A7F" w:rsidRDefault="00972F59" w:rsidP="00972F59">
      <w:pPr>
        <w:pStyle w:val="Titre2"/>
        <w:numPr>
          <w:ilvl w:val="0"/>
          <w:numId w:val="0"/>
        </w:numPr>
        <w:ind w:left="720" w:hanging="360"/>
      </w:pPr>
      <w:bookmarkStart w:id="70" w:name="_Toc497294528"/>
      <w:r w:rsidRPr="00425A7F">
        <w:lastRenderedPageBreak/>
        <w:t xml:space="preserve">ANNEXE </w:t>
      </w:r>
      <w:r w:rsidR="00E802F0" w:rsidRPr="00425A7F">
        <w:t>3</w:t>
      </w:r>
      <w:r w:rsidRPr="00425A7F">
        <w:t xml:space="preserve"> : </w:t>
      </w:r>
      <w:r w:rsidR="00655DCD" w:rsidRPr="00425A7F">
        <w:t>C</w:t>
      </w:r>
      <w:r w:rsidR="00C51BDE" w:rsidRPr="00425A7F">
        <w:t>roissance de la couverture de la population par l’Assurance Maladie Universelle et subventions d’Etat</w:t>
      </w:r>
      <w:bookmarkEnd w:id="70"/>
      <w:r w:rsidR="00C51BDE" w:rsidRPr="00425A7F">
        <w:t xml:space="preserve"> </w:t>
      </w:r>
    </w:p>
    <w:p w:rsidR="00972F59" w:rsidRPr="00425A7F" w:rsidRDefault="00327443" w:rsidP="00972F59">
      <w:pPr>
        <w:rPr>
          <w:lang w:val="fr-CH"/>
        </w:rPr>
      </w:pPr>
      <w:r w:rsidRPr="00425A7F">
        <w:rPr>
          <w:noProof/>
          <w:lang w:eastAsia="fr-FR"/>
        </w:rPr>
        <w:drawing>
          <wp:inline distT="0" distB="0" distL="0" distR="0" wp14:anchorId="43ECEE7D" wp14:editId="7386185C">
            <wp:extent cx="8891270" cy="1858978"/>
            <wp:effectExtent l="0" t="0" r="5080" b="8255"/>
            <wp:docPr id="48" name="Imag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891270" cy="1858978"/>
                    </a:xfrm>
                    <a:prstGeom prst="rect">
                      <a:avLst/>
                    </a:prstGeom>
                    <a:noFill/>
                    <a:ln>
                      <a:noFill/>
                    </a:ln>
                  </pic:spPr>
                </pic:pic>
              </a:graphicData>
            </a:graphic>
          </wp:inline>
        </w:drawing>
      </w:r>
    </w:p>
    <w:p w:rsidR="00CD3F6F" w:rsidRPr="00425A7F" w:rsidRDefault="00CD3F6F" w:rsidP="00EA65F3">
      <w:pPr>
        <w:widowControl w:val="0"/>
        <w:suppressAutoHyphens/>
        <w:jc w:val="center"/>
      </w:pPr>
    </w:p>
    <w:p w:rsidR="004C5D8F" w:rsidRPr="00425A7F" w:rsidRDefault="001C3D51" w:rsidP="00F24E98">
      <w:pPr>
        <w:widowControl w:val="0"/>
        <w:suppressAutoHyphens/>
        <w:jc w:val="both"/>
      </w:pPr>
      <w:r w:rsidRPr="00425A7F">
        <w:rPr>
          <w:b/>
          <w:noProof/>
          <w:sz w:val="20"/>
          <w:szCs w:val="20"/>
          <w:lang w:eastAsia="fr-FR"/>
        </w:rPr>
        <mc:AlternateContent>
          <mc:Choice Requires="wps">
            <w:drawing>
              <wp:anchor distT="0" distB="0" distL="114300" distR="114300" simplePos="0" relativeHeight="251714560" behindDoc="0" locked="0" layoutInCell="0" allowOverlap="1" wp14:anchorId="5EEF1230" wp14:editId="1499B2CD">
                <wp:simplePos x="0" y="0"/>
                <wp:positionH relativeFrom="page">
                  <wp:posOffset>6142008</wp:posOffset>
                </wp:positionH>
                <wp:positionV relativeFrom="page">
                  <wp:posOffset>2777706</wp:posOffset>
                </wp:positionV>
                <wp:extent cx="3571240" cy="3364302"/>
                <wp:effectExtent l="38100" t="38100" r="29210" b="45720"/>
                <wp:wrapSquare wrapText="bothSides"/>
                <wp:docPr id="696"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1240" cy="3364302"/>
                        </a:xfrm>
                        <a:prstGeom prst="rect">
                          <a:avLst/>
                        </a:prstGeom>
                        <a:noFill/>
                        <a:ln w="76200" cmpd="thickThin">
                          <a:solidFill>
                            <a:srgbClr val="622423"/>
                          </a:solidFill>
                          <a:miter lim="800000"/>
                          <a:headEnd/>
                          <a:tailEnd/>
                        </a:ln>
                        <a:extLst>
                          <a:ext uri="{909E8E84-426E-40DD-AFC4-6F175D3DCCD1}">
                            <a14:hiddenFill xmlns:a14="http://schemas.microsoft.com/office/drawing/2010/main">
                              <a:solidFill>
                                <a:srgbClr val="FFFFFF"/>
                              </a:solidFill>
                            </a14:hiddenFill>
                          </a:ext>
                        </a:extLst>
                      </wps:spPr>
                      <wps:txbx>
                        <w:txbxContent>
                          <w:p w:rsidR="0052061B" w:rsidRDefault="0052061B" w:rsidP="00BF79E9">
                            <w:pPr>
                              <w:widowControl w:val="0"/>
                              <w:suppressAutoHyphens/>
                              <w:jc w:val="both"/>
                              <w:rPr>
                                <w:b/>
                                <w:sz w:val="20"/>
                                <w:szCs w:val="20"/>
                              </w:rPr>
                            </w:pPr>
                            <w:r w:rsidRPr="00176120">
                              <w:rPr>
                                <w:b/>
                                <w:sz w:val="20"/>
                                <w:szCs w:val="20"/>
                              </w:rPr>
                              <w:t xml:space="preserve">Hypothèses : </w:t>
                            </w:r>
                          </w:p>
                          <w:p w:rsidR="0052061B" w:rsidRPr="00176120" w:rsidRDefault="0052061B" w:rsidP="00BF79E9">
                            <w:pPr>
                              <w:widowControl w:val="0"/>
                              <w:suppressAutoHyphens/>
                              <w:jc w:val="both"/>
                              <w:rPr>
                                <w:b/>
                                <w:sz w:val="20"/>
                                <w:szCs w:val="20"/>
                              </w:rPr>
                            </w:pPr>
                          </w:p>
                          <w:p w:rsidR="0052061B" w:rsidRDefault="0052061B" w:rsidP="00BF79E9">
                            <w:pPr>
                              <w:widowControl w:val="0"/>
                              <w:suppressAutoHyphens/>
                              <w:jc w:val="both"/>
                              <w:rPr>
                                <w:sz w:val="20"/>
                                <w:szCs w:val="20"/>
                              </w:rPr>
                            </w:pPr>
                            <w:r>
                              <w:rPr>
                                <w:sz w:val="20"/>
                                <w:szCs w:val="20"/>
                              </w:rPr>
                              <w:t>Croissance du PNB de 4,80% par an ; Croissance démographique de 3,6% par an ; p</w:t>
                            </w:r>
                            <w:r w:rsidRPr="00BF79E9">
                              <w:rPr>
                                <w:sz w:val="20"/>
                                <w:szCs w:val="20"/>
                              </w:rPr>
                              <w:t>aquet (universel) de base à FCFA 6.600</w:t>
                            </w:r>
                            <w:r>
                              <w:rPr>
                                <w:sz w:val="20"/>
                                <w:szCs w:val="20"/>
                              </w:rPr>
                              <w:t xml:space="preserve"> (2016)</w:t>
                            </w:r>
                            <w:r w:rsidRPr="00BF79E9">
                              <w:rPr>
                                <w:sz w:val="20"/>
                                <w:szCs w:val="20"/>
                              </w:rPr>
                              <w:t xml:space="preserve"> par habitant, avec un coût évoluant au rythme de +6% par an</w:t>
                            </w:r>
                            <w:r>
                              <w:rPr>
                                <w:sz w:val="20"/>
                                <w:szCs w:val="20"/>
                              </w:rPr>
                              <w:t xml:space="preserve"> pour tenir compte de l’inflation et de la hausse spécifique du coût de la santé</w:t>
                            </w:r>
                            <w:r w:rsidRPr="00BF79E9">
                              <w:rPr>
                                <w:sz w:val="20"/>
                                <w:szCs w:val="20"/>
                              </w:rPr>
                              <w:t> </w:t>
                            </w:r>
                            <w:r>
                              <w:rPr>
                                <w:sz w:val="20"/>
                                <w:szCs w:val="20"/>
                              </w:rPr>
                              <w:t xml:space="preserve">(soit 7.416 en 2018) </w:t>
                            </w:r>
                            <w:r w:rsidRPr="00BF79E9">
                              <w:rPr>
                                <w:sz w:val="20"/>
                                <w:szCs w:val="20"/>
                              </w:rPr>
                              <w:t>; 5% de la population totalement pris en charge ; la population du secteur formel (17%) paie exactement le prix du paquet de base ; la population du secteur informel non pauvre (78%) contribue à hauteur de 20% du co</w:t>
                            </w:r>
                            <w:r>
                              <w:rPr>
                                <w:sz w:val="20"/>
                                <w:szCs w:val="20"/>
                              </w:rPr>
                              <w:t>ût du paquet de base (FCFA 1.483</w:t>
                            </w:r>
                            <w:r w:rsidRPr="00BF79E9">
                              <w:rPr>
                                <w:sz w:val="20"/>
                                <w:szCs w:val="20"/>
                              </w:rPr>
                              <w:t xml:space="preserve"> </w:t>
                            </w:r>
                            <w:r>
                              <w:rPr>
                                <w:sz w:val="20"/>
                                <w:szCs w:val="20"/>
                              </w:rPr>
                              <w:t xml:space="preserve">théorique </w:t>
                            </w:r>
                            <w:r w:rsidRPr="00BF79E9">
                              <w:rPr>
                                <w:sz w:val="20"/>
                                <w:szCs w:val="20"/>
                              </w:rPr>
                              <w:t xml:space="preserve">par habitant en </w:t>
                            </w:r>
                            <w:r>
                              <w:rPr>
                                <w:sz w:val="20"/>
                                <w:szCs w:val="20"/>
                              </w:rPr>
                              <w:t>2018</w:t>
                            </w:r>
                            <w:r w:rsidRPr="00BF79E9">
                              <w:rPr>
                                <w:sz w:val="20"/>
                                <w:szCs w:val="20"/>
                              </w:rPr>
                              <w:t xml:space="preserve">, ajusté tous les 3 ans) ; </w:t>
                            </w:r>
                            <w:r>
                              <w:rPr>
                                <w:sz w:val="20"/>
                                <w:szCs w:val="20"/>
                              </w:rPr>
                              <w:t>59% du secteur formel est couvert</w:t>
                            </w:r>
                            <w:r w:rsidRPr="00BF79E9">
                              <w:rPr>
                                <w:sz w:val="20"/>
                                <w:szCs w:val="20"/>
                              </w:rPr>
                              <w:t xml:space="preserve"> </w:t>
                            </w:r>
                            <w:r>
                              <w:rPr>
                                <w:sz w:val="20"/>
                                <w:szCs w:val="20"/>
                              </w:rPr>
                              <w:t>en 2023, soit 2.368.801 personnes</w:t>
                            </w:r>
                            <w:r w:rsidRPr="00BF79E9">
                              <w:rPr>
                                <w:sz w:val="20"/>
                                <w:szCs w:val="20"/>
                              </w:rPr>
                              <w:t xml:space="preserve"> (en bleu) ; la totalité des démunis est couverte en 2020 (en rouge)</w:t>
                            </w:r>
                            <w:r>
                              <w:rPr>
                                <w:sz w:val="20"/>
                                <w:szCs w:val="20"/>
                              </w:rPr>
                              <w:t xml:space="preserve"> soit 1.174.786 personnes</w:t>
                            </w:r>
                            <w:r w:rsidRPr="00BF79E9">
                              <w:rPr>
                                <w:sz w:val="20"/>
                                <w:szCs w:val="20"/>
                              </w:rPr>
                              <w:t xml:space="preserve"> ; la population du secteur informel non pauvre est couverte à hauteur de </w:t>
                            </w:r>
                            <w:r>
                              <w:rPr>
                                <w:sz w:val="20"/>
                                <w:szCs w:val="20"/>
                              </w:rPr>
                              <w:t>21</w:t>
                            </w:r>
                            <w:r w:rsidRPr="00BF79E9">
                              <w:rPr>
                                <w:sz w:val="20"/>
                                <w:szCs w:val="20"/>
                              </w:rPr>
                              <w:t>% en 2023</w:t>
                            </w:r>
                            <w:r>
                              <w:rPr>
                                <w:sz w:val="20"/>
                                <w:szCs w:val="20"/>
                              </w:rPr>
                              <w:t>, soit 3.848.598 personnes</w:t>
                            </w:r>
                            <w:r w:rsidRPr="00BF79E9">
                              <w:rPr>
                                <w:sz w:val="20"/>
                                <w:szCs w:val="20"/>
                              </w:rPr>
                              <w:t xml:space="preserve"> (en vert).</w:t>
                            </w:r>
                          </w:p>
                          <w:p w:rsidR="0052061B" w:rsidRDefault="0052061B" w:rsidP="00BF79E9">
                            <w:pPr>
                              <w:widowControl w:val="0"/>
                              <w:suppressAutoHyphens/>
                              <w:jc w:val="both"/>
                              <w:rPr>
                                <w:sz w:val="20"/>
                                <w:szCs w:val="20"/>
                              </w:rPr>
                            </w:pPr>
                          </w:p>
                          <w:p w:rsidR="0052061B" w:rsidRPr="00BF79E9" w:rsidRDefault="0052061B" w:rsidP="00BF79E9">
                            <w:pPr>
                              <w:widowControl w:val="0"/>
                              <w:suppressAutoHyphens/>
                              <w:jc w:val="both"/>
                              <w:rPr>
                                <w:sz w:val="20"/>
                                <w:szCs w:val="20"/>
                              </w:rPr>
                            </w:pPr>
                            <w:r>
                              <w:rPr>
                                <w:sz w:val="20"/>
                                <w:szCs w:val="20"/>
                              </w:rPr>
                              <w:t>Au total 7.392.185 maliens bénéficient de l’assurance maladie universelle.</w:t>
                            </w:r>
                          </w:p>
                          <w:p w:rsidR="0052061B" w:rsidRPr="00A86D1B" w:rsidRDefault="0052061B" w:rsidP="00BF79E9">
                            <w:pPr>
                              <w:widowControl w:val="0"/>
                              <w:suppressAutoHyphens/>
                              <w:jc w:val="both"/>
                              <w:rPr>
                                <w:b/>
                              </w:rPr>
                            </w:pPr>
                          </w:p>
                          <w:p w:rsidR="0052061B" w:rsidRDefault="0052061B">
                            <w:pPr>
                              <w:spacing w:line="360" w:lineRule="auto"/>
                              <w:jc w:val="center"/>
                              <w:rPr>
                                <w:rFonts w:asciiTheme="majorHAnsi" w:eastAsiaTheme="majorEastAsia" w:hAnsiTheme="majorHAnsi" w:cstheme="majorBidi"/>
                                <w:i/>
                                <w:iCs/>
                                <w:sz w:val="28"/>
                                <w:szCs w:val="28"/>
                              </w:rPr>
                            </w:pPr>
                          </w:p>
                        </w:txbxContent>
                      </wps:txbx>
                      <wps:bodyPr rot="0" vert="horz" wrap="square" lIns="137160" tIns="91440" rIns="137160" bIns="91440" anchor="ctr" anchorCtr="0" upright="1">
                        <a:noAutofit/>
                      </wps:bodyPr>
                    </wps:wsp>
                  </a:graphicData>
                </a:graphic>
                <wp14:sizeRelH relativeFrom="margin">
                  <wp14:pctWidth>0</wp14:pctWidth>
                </wp14:sizeRelH>
                <wp14:sizeRelV relativeFrom="page">
                  <wp14:pctHeight>0</wp14:pctHeight>
                </wp14:sizeRelV>
              </wp:anchor>
            </w:drawing>
          </mc:Choice>
          <mc:Fallback>
            <w:pict>
              <v:shape w14:anchorId="5EEF1230" id="_x0000_s1051" type="#_x0000_t202" style="position:absolute;left:0;text-align:left;margin-left:483.6pt;margin-top:218.7pt;width:281.2pt;height:264.9pt;z-index:251714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" o:allowincell="f" filled="f" strokecolor="#622423" strokeweight="6pt">
                <v:stroke linestyle="thickThin"/>
                <v:textbox inset="10.8pt,7.2pt,10.8pt,7.2pt">
                  <w:txbxContent>
                    <w:p w:rsidR="0052061B" w:rsidRDefault="0052061B" w:rsidP="00BF79E9">
                      <w:pPr>
                        <w:widowControl w:val="0"/>
                        <w:suppressAutoHyphens/>
                        <w:jc w:val="both"/>
                        <w:rPr>
                          <w:b/>
                          <w:sz w:val="20"/>
                          <w:szCs w:val="20"/>
                        </w:rPr>
                      </w:pPr>
                      <w:r w:rsidRPr="00176120">
                        <w:rPr>
                          <w:b/>
                          <w:sz w:val="20"/>
                          <w:szCs w:val="20"/>
                        </w:rPr>
                        <w:t xml:space="preserve">Hypothèses : </w:t>
                      </w:r>
                    </w:p>
                    <w:p w:rsidR="0052061B" w:rsidRPr="00176120" w:rsidRDefault="0052061B" w:rsidP="00BF79E9">
                      <w:pPr>
                        <w:widowControl w:val="0"/>
                        <w:suppressAutoHyphens/>
                        <w:jc w:val="both"/>
                        <w:rPr>
                          <w:b/>
                          <w:sz w:val="20"/>
                          <w:szCs w:val="20"/>
                        </w:rPr>
                      </w:pPr>
                    </w:p>
                    <w:p w:rsidR="0052061B" w:rsidRDefault="0052061B" w:rsidP="00BF79E9">
                      <w:pPr>
                        <w:widowControl w:val="0"/>
                        <w:suppressAutoHyphens/>
                        <w:jc w:val="both"/>
                        <w:rPr>
                          <w:sz w:val="20"/>
                          <w:szCs w:val="20"/>
                        </w:rPr>
                      </w:pPr>
                      <w:r>
                        <w:rPr>
                          <w:sz w:val="20"/>
                          <w:szCs w:val="20"/>
                        </w:rPr>
                        <w:t>Croissance du PNB de 4,80% par an ; Croissance démographique de 3,6% par an ; p</w:t>
                      </w:r>
                      <w:r w:rsidRPr="00BF79E9">
                        <w:rPr>
                          <w:sz w:val="20"/>
                          <w:szCs w:val="20"/>
                        </w:rPr>
                        <w:t>aquet (universel) de base à FCFA 6.600</w:t>
                      </w:r>
                      <w:r>
                        <w:rPr>
                          <w:sz w:val="20"/>
                          <w:szCs w:val="20"/>
                        </w:rPr>
                        <w:t xml:space="preserve"> (2016)</w:t>
                      </w:r>
                      <w:r w:rsidRPr="00BF79E9">
                        <w:rPr>
                          <w:sz w:val="20"/>
                          <w:szCs w:val="20"/>
                        </w:rPr>
                        <w:t xml:space="preserve"> par habitant, avec un coût évoluant au rythme de +6% par an</w:t>
                      </w:r>
                      <w:r>
                        <w:rPr>
                          <w:sz w:val="20"/>
                          <w:szCs w:val="20"/>
                        </w:rPr>
                        <w:t xml:space="preserve"> pour tenir compte de l’inflation et de la hausse spécifique du coût de la santé</w:t>
                      </w:r>
                      <w:r w:rsidRPr="00BF79E9">
                        <w:rPr>
                          <w:sz w:val="20"/>
                          <w:szCs w:val="20"/>
                        </w:rPr>
                        <w:t> </w:t>
                      </w:r>
                      <w:r>
                        <w:rPr>
                          <w:sz w:val="20"/>
                          <w:szCs w:val="20"/>
                        </w:rPr>
                        <w:t xml:space="preserve">(soit 7.416 en 2018) </w:t>
                      </w:r>
                      <w:r w:rsidRPr="00BF79E9">
                        <w:rPr>
                          <w:sz w:val="20"/>
                          <w:szCs w:val="20"/>
                        </w:rPr>
                        <w:t>; 5% de la population totalement pris en charge ; la population du secteur formel (17%) paie exactement le prix du paquet de base ; la population du secteur informel non pauvre (78%) contribue à hauteur de 20% du co</w:t>
                      </w:r>
                      <w:r>
                        <w:rPr>
                          <w:sz w:val="20"/>
                          <w:szCs w:val="20"/>
                        </w:rPr>
                        <w:t>ût du paquet de base (FCFA 1.483</w:t>
                      </w:r>
                      <w:r w:rsidRPr="00BF79E9">
                        <w:rPr>
                          <w:sz w:val="20"/>
                          <w:szCs w:val="20"/>
                        </w:rPr>
                        <w:t xml:space="preserve"> </w:t>
                      </w:r>
                      <w:r>
                        <w:rPr>
                          <w:sz w:val="20"/>
                          <w:szCs w:val="20"/>
                        </w:rPr>
                        <w:t xml:space="preserve">théorique </w:t>
                      </w:r>
                      <w:r w:rsidRPr="00BF79E9">
                        <w:rPr>
                          <w:sz w:val="20"/>
                          <w:szCs w:val="20"/>
                        </w:rPr>
                        <w:t xml:space="preserve">par habitant en </w:t>
                      </w:r>
                      <w:r>
                        <w:rPr>
                          <w:sz w:val="20"/>
                          <w:szCs w:val="20"/>
                        </w:rPr>
                        <w:t>2018</w:t>
                      </w:r>
                      <w:r w:rsidRPr="00BF79E9">
                        <w:rPr>
                          <w:sz w:val="20"/>
                          <w:szCs w:val="20"/>
                        </w:rPr>
                        <w:t xml:space="preserve">, ajusté tous les 3 ans) ; </w:t>
                      </w:r>
                      <w:r>
                        <w:rPr>
                          <w:sz w:val="20"/>
                          <w:szCs w:val="20"/>
                        </w:rPr>
                        <w:t>59% du secteur formel est couvert</w:t>
                      </w:r>
                      <w:r w:rsidRPr="00BF79E9">
                        <w:rPr>
                          <w:sz w:val="20"/>
                          <w:szCs w:val="20"/>
                        </w:rPr>
                        <w:t xml:space="preserve"> </w:t>
                      </w:r>
                      <w:r>
                        <w:rPr>
                          <w:sz w:val="20"/>
                          <w:szCs w:val="20"/>
                        </w:rPr>
                        <w:t>en 2023, soit 2.368.801 personnes</w:t>
                      </w:r>
                      <w:r w:rsidRPr="00BF79E9">
                        <w:rPr>
                          <w:sz w:val="20"/>
                          <w:szCs w:val="20"/>
                        </w:rPr>
                        <w:t xml:space="preserve"> (en bleu) ; la totalité des démunis est couverte en 2020 (en rouge)</w:t>
                      </w:r>
                      <w:r>
                        <w:rPr>
                          <w:sz w:val="20"/>
                          <w:szCs w:val="20"/>
                        </w:rPr>
                        <w:t xml:space="preserve"> soit 1.174.786 personnes</w:t>
                      </w:r>
                      <w:r w:rsidRPr="00BF79E9">
                        <w:rPr>
                          <w:sz w:val="20"/>
                          <w:szCs w:val="20"/>
                        </w:rPr>
                        <w:t xml:space="preserve"> ; la population du secteur informel non pauvre est couverte à hauteur de </w:t>
                      </w:r>
                      <w:r>
                        <w:rPr>
                          <w:sz w:val="20"/>
                          <w:szCs w:val="20"/>
                        </w:rPr>
                        <w:t>21</w:t>
                      </w:r>
                      <w:r w:rsidRPr="00BF79E9">
                        <w:rPr>
                          <w:sz w:val="20"/>
                          <w:szCs w:val="20"/>
                        </w:rPr>
                        <w:t>% en 2023</w:t>
                      </w:r>
                      <w:r>
                        <w:rPr>
                          <w:sz w:val="20"/>
                          <w:szCs w:val="20"/>
                        </w:rPr>
                        <w:t>, soit 3.848.598 personnes</w:t>
                      </w:r>
                      <w:r w:rsidRPr="00BF79E9">
                        <w:rPr>
                          <w:sz w:val="20"/>
                          <w:szCs w:val="20"/>
                        </w:rPr>
                        <w:t xml:space="preserve"> (en vert).</w:t>
                      </w:r>
                    </w:p>
                    <w:p w:rsidR="0052061B" w:rsidRDefault="0052061B" w:rsidP="00BF79E9">
                      <w:pPr>
                        <w:widowControl w:val="0"/>
                        <w:suppressAutoHyphens/>
                        <w:jc w:val="both"/>
                        <w:rPr>
                          <w:sz w:val="20"/>
                          <w:szCs w:val="20"/>
                        </w:rPr>
                      </w:pPr>
                    </w:p>
                    <w:p w:rsidR="0052061B" w:rsidRPr="00BF79E9" w:rsidRDefault="0052061B" w:rsidP="00BF79E9">
                      <w:pPr>
                        <w:widowControl w:val="0"/>
                        <w:suppressAutoHyphens/>
                        <w:jc w:val="both"/>
                        <w:rPr>
                          <w:sz w:val="20"/>
                          <w:szCs w:val="20"/>
                        </w:rPr>
                      </w:pPr>
                      <w:r>
                        <w:rPr>
                          <w:sz w:val="20"/>
                          <w:szCs w:val="20"/>
                        </w:rPr>
                        <w:t>Au total 7.392.185 maliens bénéficient de l’assurance maladie universelle.</w:t>
                      </w:r>
                    </w:p>
                    <w:p w:rsidR="0052061B" w:rsidRPr="00A86D1B" w:rsidRDefault="0052061B" w:rsidP="00BF79E9">
                      <w:pPr>
                        <w:widowControl w:val="0"/>
                        <w:suppressAutoHyphens/>
                        <w:jc w:val="both"/>
                        <w:rPr>
                          <w:b/>
                        </w:rPr>
                      </w:pPr>
                    </w:p>
                    <w:p w:rsidR="0052061B" w:rsidRDefault="0052061B">
                      <w:pPr>
                        <w:spacing w:line="360" w:lineRule="auto"/>
                        <w:jc w:val="center"/>
                        <w:rPr>
                          <w:rFonts w:asciiTheme="majorHAnsi" w:eastAsiaTheme="majorEastAsia" w:hAnsiTheme="majorHAnsi" w:cstheme="majorBidi"/>
                          <w:i/>
                          <w:iCs/>
                          <w:sz w:val="28"/>
                          <w:szCs w:val="28"/>
                        </w:rPr>
                      </w:pPr>
                    </w:p>
                  </w:txbxContent>
                </v:textbox>
                <w10:wrap type="square" anchorx="page" anchory="page"/>
              </v:shape>
            </w:pict>
          </mc:Fallback>
        </mc:AlternateContent>
      </w:r>
      <w:r w:rsidR="00327443" w:rsidRPr="00425A7F">
        <w:rPr>
          <w:noProof/>
          <w:lang w:eastAsia="fr-FR"/>
        </w:rPr>
        <w:drawing>
          <wp:inline distT="0" distB="0" distL="0" distR="0" wp14:anchorId="15B1D5FA">
            <wp:extent cx="4964055" cy="2984740"/>
            <wp:effectExtent l="0" t="0" r="8255" b="6350"/>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968360" cy="2987328"/>
                    </a:xfrm>
                    <a:prstGeom prst="rect">
                      <a:avLst/>
                    </a:prstGeom>
                    <a:noFill/>
                  </pic:spPr>
                </pic:pic>
              </a:graphicData>
            </a:graphic>
          </wp:inline>
        </w:drawing>
      </w:r>
    </w:p>
    <w:p w:rsidR="00972F59" w:rsidRPr="00425A7F" w:rsidRDefault="00972F59" w:rsidP="00F24E98">
      <w:pPr>
        <w:widowControl w:val="0"/>
        <w:suppressAutoHyphens/>
        <w:jc w:val="both"/>
        <w:rPr>
          <w:b/>
          <w:sz w:val="20"/>
          <w:szCs w:val="20"/>
        </w:rPr>
      </w:pPr>
    </w:p>
    <w:p w:rsidR="00176120" w:rsidRPr="00425A7F" w:rsidRDefault="001C3D51" w:rsidP="00F24E98">
      <w:pPr>
        <w:widowControl w:val="0"/>
        <w:suppressAutoHyphens/>
        <w:jc w:val="both"/>
        <w:rPr>
          <w:b/>
          <w:sz w:val="20"/>
          <w:szCs w:val="20"/>
        </w:rPr>
      </w:pPr>
      <w:r w:rsidRPr="00425A7F">
        <w:rPr>
          <w:b/>
          <w:sz w:val="20"/>
          <w:szCs w:val="20"/>
        </w:rPr>
        <w:t>C</w:t>
      </w:r>
      <w:r w:rsidR="00176120" w:rsidRPr="00425A7F">
        <w:rPr>
          <w:b/>
          <w:sz w:val="20"/>
          <w:szCs w:val="20"/>
        </w:rPr>
        <w:t xml:space="preserve">oût </w:t>
      </w:r>
      <w:r w:rsidRPr="00425A7F">
        <w:rPr>
          <w:b/>
          <w:sz w:val="20"/>
          <w:szCs w:val="20"/>
        </w:rPr>
        <w:t>pour l’Etat</w:t>
      </w:r>
      <w:r w:rsidR="00176120" w:rsidRPr="00425A7F">
        <w:rPr>
          <w:b/>
          <w:sz w:val="20"/>
          <w:szCs w:val="20"/>
        </w:rPr>
        <w:t>:</w:t>
      </w:r>
    </w:p>
    <w:p w:rsidR="00176120" w:rsidRPr="00425A7F" w:rsidRDefault="001C3D51" w:rsidP="00487AB2">
      <w:pPr>
        <w:pStyle w:val="Paragraphedeliste"/>
        <w:widowControl w:val="0"/>
        <w:numPr>
          <w:ilvl w:val="0"/>
          <w:numId w:val="3"/>
        </w:numPr>
        <w:suppressAutoHyphens/>
        <w:spacing w:after="0" w:line="240" w:lineRule="auto"/>
        <w:contextualSpacing w:val="0"/>
        <w:jc w:val="both"/>
        <w:rPr>
          <w:sz w:val="20"/>
          <w:szCs w:val="20"/>
        </w:rPr>
      </w:pPr>
      <w:r w:rsidRPr="00425A7F">
        <w:rPr>
          <w:sz w:val="20"/>
          <w:szCs w:val="20"/>
        </w:rPr>
        <w:t>L’Etat paie sa part employeur mais ne subventionne pas l’Etablissement de gestion ;</w:t>
      </w:r>
    </w:p>
    <w:p w:rsidR="00176120" w:rsidRDefault="00BF79E9" w:rsidP="00487AB2">
      <w:pPr>
        <w:pStyle w:val="Paragraphedeliste"/>
        <w:widowControl w:val="0"/>
        <w:numPr>
          <w:ilvl w:val="0"/>
          <w:numId w:val="3"/>
        </w:numPr>
        <w:suppressAutoHyphens/>
        <w:spacing w:after="0" w:line="240" w:lineRule="auto"/>
        <w:contextualSpacing w:val="0"/>
        <w:jc w:val="both"/>
        <w:rPr>
          <w:sz w:val="20"/>
          <w:szCs w:val="20"/>
        </w:rPr>
      </w:pPr>
      <w:r w:rsidRPr="00425A7F">
        <w:rPr>
          <w:sz w:val="20"/>
          <w:szCs w:val="20"/>
        </w:rPr>
        <w:t>5</w:t>
      </w:r>
      <w:r w:rsidR="00F329C3" w:rsidRPr="00425A7F">
        <w:rPr>
          <w:sz w:val="20"/>
          <w:szCs w:val="20"/>
        </w:rPr>
        <w:t>0,09</w:t>
      </w:r>
      <w:r w:rsidR="00176120" w:rsidRPr="00425A7F">
        <w:rPr>
          <w:sz w:val="20"/>
          <w:szCs w:val="20"/>
        </w:rPr>
        <w:t xml:space="preserve"> milliards de subvention</w:t>
      </w:r>
      <w:r w:rsidRPr="00425A7F">
        <w:rPr>
          <w:sz w:val="20"/>
          <w:szCs w:val="20"/>
        </w:rPr>
        <w:t xml:space="preserve"> au secteur informel</w:t>
      </w:r>
      <w:r w:rsidR="00176120" w:rsidRPr="00425A7F">
        <w:rPr>
          <w:sz w:val="20"/>
          <w:szCs w:val="20"/>
        </w:rPr>
        <w:t xml:space="preserve"> </w:t>
      </w:r>
      <w:r w:rsidRPr="00425A7F">
        <w:rPr>
          <w:sz w:val="20"/>
          <w:szCs w:val="20"/>
        </w:rPr>
        <w:t>es</w:t>
      </w:r>
      <w:r w:rsidR="00F329C3" w:rsidRPr="00425A7F">
        <w:rPr>
          <w:sz w:val="20"/>
          <w:szCs w:val="20"/>
        </w:rPr>
        <w:t>t payé en 2023, représentant 3,61</w:t>
      </w:r>
      <w:r w:rsidRPr="00425A7F">
        <w:rPr>
          <w:sz w:val="20"/>
          <w:szCs w:val="20"/>
        </w:rPr>
        <w:t>% des dépenses courantes de l’Etat.</w:t>
      </w:r>
    </w:p>
    <w:p w:rsidR="007B55BD" w:rsidRDefault="007B55BD" w:rsidP="007B55BD">
      <w:pPr>
        <w:widowControl w:val="0"/>
        <w:suppressAutoHyphens/>
        <w:jc w:val="both"/>
        <w:rPr>
          <w:sz w:val="20"/>
          <w:szCs w:val="20"/>
        </w:rPr>
      </w:pPr>
    </w:p>
    <w:p w:rsidR="007B55BD" w:rsidRDefault="007B55BD" w:rsidP="007B55BD">
      <w:pPr>
        <w:pStyle w:val="Titre2"/>
        <w:numPr>
          <w:ilvl w:val="0"/>
          <w:numId w:val="0"/>
        </w:numPr>
        <w:ind w:left="720" w:hanging="360"/>
      </w:pPr>
      <w:bookmarkStart w:id="71" w:name="_Toc497294529"/>
      <w:r w:rsidRPr="00425A7F">
        <w:lastRenderedPageBreak/>
        <w:t xml:space="preserve">ANNEXE </w:t>
      </w:r>
      <w:r>
        <w:t>4</w:t>
      </w:r>
      <w:r w:rsidRPr="00425A7F">
        <w:t xml:space="preserve"> : </w:t>
      </w:r>
      <w:r w:rsidR="00501F44">
        <w:t xml:space="preserve">Matrice des activités du </w:t>
      </w:r>
      <w:r>
        <w:t>Plan d’Actions 2018 – 2022 de la Stratégie Nationale de Financement de la Santé pour la Couverture Universelle</w:t>
      </w:r>
      <w:bookmarkEnd w:id="71"/>
    </w:p>
    <w:p w:rsidR="007B55BD" w:rsidRPr="007B55BD" w:rsidRDefault="007B55BD" w:rsidP="007B55BD">
      <w:pPr>
        <w:rPr>
          <w:lang w:val="fr-CH"/>
        </w:rPr>
      </w:pPr>
    </w:p>
    <w:p w:rsidR="00501F44" w:rsidRDefault="00501F44" w:rsidP="007B55BD">
      <w:pPr>
        <w:widowControl w:val="0"/>
        <w:suppressAutoHyphens/>
        <w:jc w:val="both"/>
      </w:pPr>
    </w:p>
    <w:p w:rsidR="00ED7D4A" w:rsidRDefault="00ED7D4A" w:rsidP="007B55BD">
      <w:pPr>
        <w:widowControl w:val="0"/>
        <w:suppressAutoHyphens/>
        <w:jc w:val="both"/>
      </w:pPr>
    </w:p>
    <w:p w:rsidR="00501F44" w:rsidRDefault="00501F44" w:rsidP="007B55BD">
      <w:pPr>
        <w:widowControl w:val="0"/>
        <w:suppressAutoHyphens/>
        <w:jc w:val="both"/>
      </w:pPr>
    </w:p>
    <w:p w:rsidR="00501F44" w:rsidRDefault="00501F44" w:rsidP="007B55BD">
      <w:pPr>
        <w:widowControl w:val="0"/>
        <w:suppressAutoHyphens/>
        <w:jc w:val="both"/>
      </w:pPr>
    </w:p>
    <w:p w:rsidR="00501F44" w:rsidRDefault="00ED7D4A" w:rsidP="007B55BD">
      <w:pPr>
        <w:widowControl w:val="0"/>
        <w:suppressAutoHyphens/>
        <w:jc w:val="both"/>
      </w:pPr>
      <w:r w:rsidRPr="00ED7D4A">
        <w:rPr>
          <w:noProof/>
          <w:lang w:eastAsia="fr-FR"/>
        </w:rPr>
        <w:drawing>
          <wp:inline distT="0" distB="0" distL="0" distR="0">
            <wp:extent cx="8891270" cy="3182853"/>
            <wp:effectExtent l="0" t="0" r="5080" b="0"/>
            <wp:docPr id="674" name="Image 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891270" cy="3182853"/>
                    </a:xfrm>
                    <a:prstGeom prst="rect">
                      <a:avLst/>
                    </a:prstGeom>
                    <a:noFill/>
                    <a:ln>
                      <a:noFill/>
                    </a:ln>
                  </pic:spPr>
                </pic:pic>
              </a:graphicData>
            </a:graphic>
          </wp:inline>
        </w:drawing>
      </w: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r w:rsidRPr="00ED7D4A">
        <w:rPr>
          <w:noProof/>
          <w:lang w:eastAsia="fr-FR"/>
        </w:rPr>
        <w:drawing>
          <wp:inline distT="0" distB="0" distL="0" distR="0">
            <wp:extent cx="8891270" cy="3991386"/>
            <wp:effectExtent l="0" t="0" r="5080" b="9525"/>
            <wp:docPr id="677" name="Image 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8891270" cy="3991386"/>
                    </a:xfrm>
                    <a:prstGeom prst="rect">
                      <a:avLst/>
                    </a:prstGeom>
                    <a:noFill/>
                    <a:ln>
                      <a:noFill/>
                    </a:ln>
                  </pic:spPr>
                </pic:pic>
              </a:graphicData>
            </a:graphic>
          </wp:inline>
        </w:drawing>
      </w: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r w:rsidRPr="00ED7D4A">
        <w:rPr>
          <w:noProof/>
          <w:lang w:eastAsia="fr-FR"/>
        </w:rPr>
        <w:lastRenderedPageBreak/>
        <w:drawing>
          <wp:inline distT="0" distB="0" distL="0" distR="0">
            <wp:extent cx="8891270" cy="5099298"/>
            <wp:effectExtent l="0" t="0" r="5080" b="6350"/>
            <wp:docPr id="688" name="Image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8891270" cy="5099298"/>
                    </a:xfrm>
                    <a:prstGeom prst="rect">
                      <a:avLst/>
                    </a:prstGeom>
                    <a:noFill/>
                    <a:ln>
                      <a:noFill/>
                    </a:ln>
                  </pic:spPr>
                </pic:pic>
              </a:graphicData>
            </a:graphic>
          </wp:inline>
        </w:drawing>
      </w: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r w:rsidRPr="00ED7D4A">
        <w:rPr>
          <w:noProof/>
          <w:lang w:eastAsia="fr-FR"/>
        </w:rPr>
        <w:drawing>
          <wp:inline distT="0" distB="0" distL="0" distR="0">
            <wp:extent cx="8891270" cy="5981899"/>
            <wp:effectExtent l="0" t="0" r="5080" b="0"/>
            <wp:docPr id="697" name="Image 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8891270" cy="5981899"/>
                    </a:xfrm>
                    <a:prstGeom prst="rect">
                      <a:avLst/>
                    </a:prstGeom>
                    <a:noFill/>
                    <a:ln>
                      <a:noFill/>
                    </a:ln>
                  </pic:spPr>
                </pic:pic>
              </a:graphicData>
            </a:graphic>
          </wp:inline>
        </w:drawing>
      </w:r>
    </w:p>
    <w:p w:rsidR="00ED7D4A" w:rsidRDefault="00ED7D4A" w:rsidP="007B55BD">
      <w:pPr>
        <w:widowControl w:val="0"/>
        <w:suppressAutoHyphens/>
        <w:jc w:val="both"/>
      </w:pPr>
    </w:p>
    <w:p w:rsidR="00ED7D4A" w:rsidRDefault="00ED7D4A" w:rsidP="007B55BD">
      <w:pPr>
        <w:widowControl w:val="0"/>
        <w:suppressAutoHyphens/>
        <w:jc w:val="both"/>
      </w:pPr>
      <w:r w:rsidRPr="00ED7D4A">
        <w:rPr>
          <w:noProof/>
          <w:lang w:eastAsia="fr-FR"/>
        </w:rPr>
        <w:lastRenderedPageBreak/>
        <w:drawing>
          <wp:inline distT="0" distB="0" distL="0" distR="0">
            <wp:extent cx="8890436" cy="6133722"/>
            <wp:effectExtent l="0" t="0" r="6350" b="635"/>
            <wp:docPr id="698" name="Image 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894403" cy="6136459"/>
                    </a:xfrm>
                    <a:prstGeom prst="rect">
                      <a:avLst/>
                    </a:prstGeom>
                    <a:noFill/>
                    <a:ln>
                      <a:noFill/>
                    </a:ln>
                  </pic:spPr>
                </pic:pic>
              </a:graphicData>
            </a:graphic>
          </wp:inline>
        </w:drawing>
      </w:r>
    </w:p>
    <w:p w:rsidR="00ED7D4A" w:rsidRDefault="00ED7D4A" w:rsidP="007B55BD">
      <w:pPr>
        <w:widowControl w:val="0"/>
        <w:suppressAutoHyphens/>
        <w:jc w:val="both"/>
      </w:pPr>
      <w:r w:rsidRPr="00ED7D4A">
        <w:rPr>
          <w:noProof/>
          <w:lang w:eastAsia="fr-FR"/>
        </w:rPr>
        <w:lastRenderedPageBreak/>
        <w:drawing>
          <wp:inline distT="0" distB="0" distL="0" distR="0">
            <wp:extent cx="8891270" cy="4556478"/>
            <wp:effectExtent l="0" t="0" r="5080" b="0"/>
            <wp:docPr id="699" name="Image 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8891270" cy="4556478"/>
                    </a:xfrm>
                    <a:prstGeom prst="rect">
                      <a:avLst/>
                    </a:prstGeom>
                    <a:noFill/>
                    <a:ln>
                      <a:noFill/>
                    </a:ln>
                  </pic:spPr>
                </pic:pic>
              </a:graphicData>
            </a:graphic>
          </wp:inline>
        </w:drawing>
      </w: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A53B13" w:rsidP="007B55BD">
      <w:pPr>
        <w:widowControl w:val="0"/>
        <w:suppressAutoHyphens/>
        <w:jc w:val="both"/>
      </w:pPr>
      <w:r w:rsidRPr="00A53B13">
        <w:rPr>
          <w:noProof/>
          <w:lang w:eastAsia="fr-FR"/>
        </w:rPr>
        <w:lastRenderedPageBreak/>
        <w:drawing>
          <wp:inline distT="0" distB="0" distL="0" distR="0">
            <wp:extent cx="8890558" cy="6138249"/>
            <wp:effectExtent l="0" t="0" r="6350" b="0"/>
            <wp:docPr id="701" name="Image 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895611" cy="6141738"/>
                    </a:xfrm>
                    <a:prstGeom prst="rect">
                      <a:avLst/>
                    </a:prstGeom>
                    <a:noFill/>
                    <a:ln>
                      <a:noFill/>
                    </a:ln>
                  </pic:spPr>
                </pic:pic>
              </a:graphicData>
            </a:graphic>
          </wp:inline>
        </w:drawing>
      </w:r>
    </w:p>
    <w:p w:rsidR="00DF7AA2" w:rsidRDefault="00DF7AA2" w:rsidP="007B55BD">
      <w:pPr>
        <w:widowControl w:val="0"/>
        <w:suppressAutoHyphens/>
        <w:jc w:val="both"/>
      </w:pPr>
      <w:r w:rsidRPr="00DF7AA2">
        <w:rPr>
          <w:noProof/>
          <w:lang w:eastAsia="fr-FR"/>
        </w:rPr>
        <w:lastRenderedPageBreak/>
        <w:drawing>
          <wp:inline distT="0" distB="0" distL="0" distR="0">
            <wp:extent cx="8891270" cy="6295264"/>
            <wp:effectExtent l="0" t="0" r="5080" b="0"/>
            <wp:docPr id="702" name="Image 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8891270" cy="6295264"/>
                    </a:xfrm>
                    <a:prstGeom prst="rect">
                      <a:avLst/>
                    </a:prstGeom>
                    <a:noFill/>
                    <a:ln>
                      <a:noFill/>
                    </a:ln>
                  </pic:spPr>
                </pic:pic>
              </a:graphicData>
            </a:graphic>
          </wp:inline>
        </w:drawing>
      </w:r>
    </w:p>
    <w:p w:rsidR="00DF7AA2" w:rsidRDefault="00DF7AA2" w:rsidP="007B55BD">
      <w:pPr>
        <w:widowControl w:val="0"/>
        <w:suppressAutoHyphens/>
        <w:jc w:val="both"/>
      </w:pPr>
      <w:r w:rsidRPr="00DF7AA2">
        <w:rPr>
          <w:noProof/>
          <w:lang w:eastAsia="fr-FR"/>
        </w:rPr>
        <w:lastRenderedPageBreak/>
        <w:drawing>
          <wp:inline distT="0" distB="0" distL="0" distR="0">
            <wp:extent cx="8891270" cy="5213767"/>
            <wp:effectExtent l="0" t="0" r="5080" b="6350"/>
            <wp:docPr id="703" name="Image 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8891270" cy="5213767"/>
                    </a:xfrm>
                    <a:prstGeom prst="rect">
                      <a:avLst/>
                    </a:prstGeom>
                    <a:noFill/>
                    <a:ln>
                      <a:noFill/>
                    </a:ln>
                  </pic:spPr>
                </pic:pic>
              </a:graphicData>
            </a:graphic>
          </wp:inline>
        </w:drawing>
      </w: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r w:rsidRPr="00DF7AA2">
        <w:rPr>
          <w:noProof/>
          <w:lang w:eastAsia="fr-FR"/>
        </w:rPr>
        <w:lastRenderedPageBreak/>
        <w:drawing>
          <wp:inline distT="0" distB="0" distL="0" distR="0">
            <wp:extent cx="8891181" cy="6206150"/>
            <wp:effectExtent l="0" t="0" r="5715" b="4445"/>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8893630" cy="6207860"/>
                    </a:xfrm>
                    <a:prstGeom prst="rect">
                      <a:avLst/>
                    </a:prstGeom>
                    <a:noFill/>
                    <a:ln>
                      <a:noFill/>
                    </a:ln>
                  </pic:spPr>
                </pic:pic>
              </a:graphicData>
            </a:graphic>
          </wp:inline>
        </w:drawing>
      </w:r>
    </w:p>
    <w:p w:rsidR="00DF7AA2" w:rsidRDefault="00DF7AA2" w:rsidP="007B55BD">
      <w:pPr>
        <w:widowControl w:val="0"/>
        <w:suppressAutoHyphens/>
        <w:jc w:val="both"/>
      </w:pPr>
      <w:r w:rsidRPr="00DF7AA2">
        <w:rPr>
          <w:noProof/>
          <w:lang w:eastAsia="fr-FR"/>
        </w:rPr>
        <w:lastRenderedPageBreak/>
        <w:drawing>
          <wp:inline distT="0" distB="0" distL="0" distR="0">
            <wp:extent cx="8891270" cy="5863287"/>
            <wp:effectExtent l="0" t="0" r="5080" b="4445"/>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8891270" cy="5863287"/>
                    </a:xfrm>
                    <a:prstGeom prst="rect">
                      <a:avLst/>
                    </a:prstGeom>
                    <a:noFill/>
                    <a:ln>
                      <a:noFill/>
                    </a:ln>
                  </pic:spPr>
                </pic:pic>
              </a:graphicData>
            </a:graphic>
          </wp:inline>
        </w:drawing>
      </w:r>
    </w:p>
    <w:p w:rsidR="00DF7AA2" w:rsidRDefault="00DF7AA2" w:rsidP="007B55BD">
      <w:pPr>
        <w:widowControl w:val="0"/>
        <w:suppressAutoHyphens/>
        <w:jc w:val="both"/>
      </w:pPr>
      <w:r w:rsidRPr="00DF7AA2">
        <w:rPr>
          <w:noProof/>
          <w:lang w:eastAsia="fr-FR"/>
        </w:rPr>
        <w:lastRenderedPageBreak/>
        <w:drawing>
          <wp:inline distT="0" distB="0" distL="0" distR="0">
            <wp:extent cx="8890479" cy="6246891"/>
            <wp:effectExtent l="0" t="0" r="6350" b="1905"/>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8893059" cy="6248704"/>
                    </a:xfrm>
                    <a:prstGeom prst="rect">
                      <a:avLst/>
                    </a:prstGeom>
                    <a:noFill/>
                    <a:ln>
                      <a:noFill/>
                    </a:ln>
                  </pic:spPr>
                </pic:pic>
              </a:graphicData>
            </a:graphic>
          </wp:inline>
        </w:drawing>
      </w:r>
    </w:p>
    <w:p w:rsidR="00DF7AA2" w:rsidRDefault="00DF7AA2" w:rsidP="007B55BD">
      <w:pPr>
        <w:widowControl w:val="0"/>
        <w:suppressAutoHyphens/>
        <w:jc w:val="both"/>
      </w:pPr>
      <w:r w:rsidRPr="00DF7AA2">
        <w:rPr>
          <w:noProof/>
          <w:lang w:eastAsia="fr-FR"/>
        </w:rPr>
        <w:lastRenderedPageBreak/>
        <w:drawing>
          <wp:inline distT="0" distB="0" distL="0" distR="0">
            <wp:extent cx="8891094" cy="6233310"/>
            <wp:effectExtent l="0" t="0" r="5715" b="0"/>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8892647" cy="6234399"/>
                    </a:xfrm>
                    <a:prstGeom prst="rect">
                      <a:avLst/>
                    </a:prstGeom>
                    <a:noFill/>
                    <a:ln>
                      <a:noFill/>
                    </a:ln>
                  </pic:spPr>
                </pic:pic>
              </a:graphicData>
            </a:graphic>
          </wp:inline>
        </w:drawing>
      </w:r>
    </w:p>
    <w:p w:rsidR="00DF7AA2" w:rsidRDefault="00DF7AA2" w:rsidP="007B55BD">
      <w:pPr>
        <w:widowControl w:val="0"/>
        <w:suppressAutoHyphens/>
        <w:jc w:val="both"/>
      </w:pPr>
      <w:r w:rsidRPr="00DF7AA2">
        <w:rPr>
          <w:noProof/>
          <w:lang w:eastAsia="fr-FR"/>
        </w:rPr>
        <w:lastRenderedPageBreak/>
        <w:drawing>
          <wp:inline distT="0" distB="0" distL="0" distR="0">
            <wp:extent cx="8891270" cy="4870361"/>
            <wp:effectExtent l="0" t="0" r="5080" b="6985"/>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8891270" cy="4870361"/>
                    </a:xfrm>
                    <a:prstGeom prst="rect">
                      <a:avLst/>
                    </a:prstGeom>
                    <a:noFill/>
                    <a:ln>
                      <a:noFill/>
                    </a:ln>
                  </pic:spPr>
                </pic:pic>
              </a:graphicData>
            </a:graphic>
          </wp:inline>
        </w:drawing>
      </w: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r w:rsidRPr="00DF7AA2">
        <w:rPr>
          <w:noProof/>
          <w:lang w:eastAsia="fr-FR"/>
        </w:rPr>
        <w:drawing>
          <wp:inline distT="0" distB="0" distL="0" distR="0">
            <wp:extent cx="8891270" cy="3167832"/>
            <wp:effectExtent l="0" t="0" r="5080" b="0"/>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8891270" cy="3167832"/>
                    </a:xfrm>
                    <a:prstGeom prst="rect">
                      <a:avLst/>
                    </a:prstGeom>
                    <a:noFill/>
                    <a:ln>
                      <a:noFill/>
                    </a:ln>
                  </pic:spPr>
                </pic:pic>
              </a:graphicData>
            </a:graphic>
          </wp:inline>
        </w:drawing>
      </w:r>
    </w:p>
    <w:p w:rsidR="00DF7AA2" w:rsidRDefault="00DF7AA2"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ED7D4A" w:rsidRDefault="00ED7D4A"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r w:rsidRPr="00DF7AA2">
        <w:rPr>
          <w:noProof/>
          <w:lang w:eastAsia="fr-FR"/>
        </w:rPr>
        <w:drawing>
          <wp:inline distT="0" distB="0" distL="0" distR="0">
            <wp:extent cx="8891270" cy="5195120"/>
            <wp:effectExtent l="0" t="0" r="5080" b="5715"/>
            <wp:docPr id="51" name="Imag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8891270" cy="5195120"/>
                    </a:xfrm>
                    <a:prstGeom prst="rect">
                      <a:avLst/>
                    </a:prstGeom>
                    <a:noFill/>
                    <a:ln>
                      <a:noFill/>
                    </a:ln>
                  </pic:spPr>
                </pic:pic>
              </a:graphicData>
            </a:graphic>
          </wp:inline>
        </w:drawing>
      </w: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r w:rsidRPr="00DF7AA2">
        <w:rPr>
          <w:noProof/>
          <w:lang w:eastAsia="fr-FR"/>
        </w:rPr>
        <w:drawing>
          <wp:inline distT="0" distB="0" distL="0" distR="0">
            <wp:extent cx="8891270" cy="3286445"/>
            <wp:effectExtent l="0" t="0" r="5080" b="9525"/>
            <wp:docPr id="52" name="Imag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8891270" cy="3286445"/>
                    </a:xfrm>
                    <a:prstGeom prst="rect">
                      <a:avLst/>
                    </a:prstGeom>
                    <a:noFill/>
                    <a:ln>
                      <a:noFill/>
                    </a:ln>
                  </pic:spPr>
                </pic:pic>
              </a:graphicData>
            </a:graphic>
          </wp:inline>
        </w:drawing>
      </w: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r w:rsidRPr="00DF7AA2">
        <w:rPr>
          <w:noProof/>
          <w:lang w:eastAsia="fr-FR"/>
        </w:rPr>
        <w:drawing>
          <wp:inline distT="0" distB="0" distL="0" distR="0">
            <wp:extent cx="8891270" cy="3481715"/>
            <wp:effectExtent l="0" t="0" r="5080" b="4445"/>
            <wp:docPr id="53"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8891270" cy="3481715"/>
                    </a:xfrm>
                    <a:prstGeom prst="rect">
                      <a:avLst/>
                    </a:prstGeom>
                    <a:noFill/>
                    <a:ln>
                      <a:noFill/>
                    </a:ln>
                  </pic:spPr>
                </pic:pic>
              </a:graphicData>
            </a:graphic>
          </wp:inline>
        </w:drawing>
      </w: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r w:rsidRPr="00DF7AA2">
        <w:rPr>
          <w:noProof/>
          <w:lang w:eastAsia="fr-FR"/>
        </w:rPr>
        <w:drawing>
          <wp:inline distT="0" distB="0" distL="0" distR="0">
            <wp:extent cx="8891270" cy="4032304"/>
            <wp:effectExtent l="0" t="0" r="5080" b="6350"/>
            <wp:docPr id="54" name="Imag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8891270" cy="4032304"/>
                    </a:xfrm>
                    <a:prstGeom prst="rect">
                      <a:avLst/>
                    </a:prstGeom>
                    <a:noFill/>
                    <a:ln>
                      <a:noFill/>
                    </a:ln>
                  </pic:spPr>
                </pic:pic>
              </a:graphicData>
            </a:graphic>
          </wp:inline>
        </w:drawing>
      </w: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p>
    <w:p w:rsidR="00DF7AA2" w:rsidRDefault="00DF7AA2" w:rsidP="007B55BD">
      <w:pPr>
        <w:widowControl w:val="0"/>
        <w:suppressAutoHyphens/>
        <w:jc w:val="both"/>
      </w:pPr>
      <w:r w:rsidRPr="00DF7AA2">
        <w:rPr>
          <w:noProof/>
          <w:lang w:eastAsia="fr-FR"/>
        </w:rPr>
        <w:drawing>
          <wp:inline distT="0" distB="0" distL="0" distR="0">
            <wp:extent cx="8891270" cy="4855340"/>
            <wp:effectExtent l="0" t="0" r="5080" b="2540"/>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8891270" cy="4855340"/>
                    </a:xfrm>
                    <a:prstGeom prst="rect">
                      <a:avLst/>
                    </a:prstGeom>
                    <a:noFill/>
                    <a:ln>
                      <a:noFill/>
                    </a:ln>
                  </pic:spPr>
                </pic:pic>
              </a:graphicData>
            </a:graphic>
          </wp:inline>
        </w:drawing>
      </w:r>
    </w:p>
    <w:p w:rsidR="001F55E0" w:rsidRDefault="001F55E0" w:rsidP="001F55E0">
      <w:pPr>
        <w:widowControl w:val="0"/>
        <w:suppressAutoHyphens/>
        <w:jc w:val="both"/>
      </w:pPr>
    </w:p>
    <w:p w:rsidR="001F55E0" w:rsidRDefault="001F55E0" w:rsidP="001F55E0">
      <w:pPr>
        <w:widowControl w:val="0"/>
        <w:suppressAutoHyphens/>
        <w:jc w:val="both"/>
      </w:pPr>
    </w:p>
    <w:p w:rsidR="001F55E0" w:rsidRDefault="001F55E0" w:rsidP="001F55E0">
      <w:pPr>
        <w:widowControl w:val="0"/>
        <w:suppressAutoHyphens/>
        <w:jc w:val="both"/>
      </w:pPr>
    </w:p>
    <w:p w:rsidR="001F55E0" w:rsidRDefault="001F55E0" w:rsidP="007B55BD">
      <w:pPr>
        <w:widowControl w:val="0"/>
        <w:suppressAutoHyphens/>
        <w:jc w:val="both"/>
      </w:pPr>
    </w:p>
    <w:sectPr w:rsidR="001F55E0" w:rsidSect="00C51BDE">
      <w:pgSz w:w="16838" w:h="11906" w:orient="landscape"/>
      <w:pgMar w:top="709"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47C9" w:rsidRDefault="001147C9" w:rsidP="00214AEC">
      <w:r>
        <w:separator/>
      </w:r>
    </w:p>
  </w:endnote>
  <w:endnote w:type="continuationSeparator" w:id="0">
    <w:p w:rsidR="001147C9" w:rsidRDefault="001147C9" w:rsidP="00214A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PT Sans">
    <w:altName w:val="PT Sans"/>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599486"/>
      <w:docPartObj>
        <w:docPartGallery w:val="Page Numbers (Bottom of Page)"/>
        <w:docPartUnique/>
      </w:docPartObj>
    </w:sdtPr>
    <w:sdtContent>
      <w:p w:rsidR="0052061B" w:rsidRDefault="0052061B" w:rsidP="00B31F40">
        <w:pPr>
          <w:pStyle w:val="Pieddepage"/>
          <w:pBdr>
            <w:top w:val="single" w:sz="4" w:space="1" w:color="auto"/>
          </w:pBdr>
          <w:jc w:val="center"/>
        </w:pPr>
        <w:r>
          <w:fldChar w:fldCharType="begin"/>
        </w:r>
        <w:r>
          <w:instrText xml:space="preserve"> PAGE   \* MERGEFORMAT </w:instrText>
        </w:r>
        <w:r>
          <w:fldChar w:fldCharType="separate"/>
        </w:r>
        <w:r w:rsidR="00E775BF">
          <w:rPr>
            <w:noProof/>
          </w:rPr>
          <w:t>4</w:t>
        </w:r>
        <w:r>
          <w:rPr>
            <w:noProof/>
          </w:rPr>
          <w:fldChar w:fldCharType="end"/>
        </w:r>
      </w:p>
    </w:sdtContent>
  </w:sdt>
  <w:p w:rsidR="0052061B" w:rsidRDefault="0052061B">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47C9" w:rsidRDefault="001147C9" w:rsidP="00214AEC">
      <w:r>
        <w:separator/>
      </w:r>
    </w:p>
  </w:footnote>
  <w:footnote w:type="continuationSeparator" w:id="0">
    <w:p w:rsidR="001147C9" w:rsidRDefault="001147C9" w:rsidP="00214AEC">
      <w:r>
        <w:continuationSeparator/>
      </w:r>
    </w:p>
  </w:footnote>
  <w:footnote w:id="1">
    <w:p w:rsidR="0052061B" w:rsidRDefault="0052061B" w:rsidP="00F423F9">
      <w:pPr>
        <w:pStyle w:val="Notedebasdepage"/>
      </w:pPr>
      <w:r>
        <w:rPr>
          <w:rStyle w:val="Appelnotedebasdep"/>
        </w:rPr>
        <w:footnoteRef/>
      </w:r>
      <w:r>
        <w:t xml:space="preserve"> DPBEP (2018-2020), tableau 9, paragraphe 92, p32.</w:t>
      </w:r>
    </w:p>
  </w:footnote>
  <w:footnote w:id="2">
    <w:p w:rsidR="0052061B" w:rsidRDefault="0052061B" w:rsidP="00BF7533">
      <w:pPr>
        <w:pStyle w:val="Notedebasdepage"/>
      </w:pPr>
      <w:r w:rsidRPr="00425A7F">
        <w:rPr>
          <w:rStyle w:val="Appelnotedebasdep"/>
        </w:rPr>
        <w:footnoteRef/>
      </w:r>
      <w:r w:rsidRPr="00425A7F">
        <w:t xml:space="preserve"> P4H est une plateforme mondiale de collaboration en protection sociale santé qui en 2016 regroupe : OMS, Banque Mondiale, BIT, ADB, GFTAM, les coopérations française, allemande, suisse, espagnole, américaine. </w:t>
      </w:r>
      <w:hyperlink r:id="rId1" w:history="1">
        <w:r w:rsidRPr="00425A7F">
          <w:rPr>
            <w:rStyle w:val="Lienhypertexte"/>
          </w:rPr>
          <w:t>https://p4h.world/en</w:t>
        </w:r>
      </w:hyperlink>
      <w:r>
        <w:t xml:space="preserve"> </w:t>
      </w:r>
    </w:p>
  </w:footnote>
  <w:footnote w:id="3">
    <w:p w:rsidR="0052061B" w:rsidRDefault="0052061B">
      <w:pPr>
        <w:pStyle w:val="Notedebasdepage"/>
      </w:pPr>
      <w:r>
        <w:rPr>
          <w:rStyle w:val="Appelnotedebasdep"/>
        </w:rPr>
        <w:footnoteRef/>
      </w:r>
      <w:r>
        <w:t xml:space="preserve"> NB : la programmation budgétaire 2018-2020 prévoit déjà 11.95% en 2020 (cf. DPBEP 29, 92, 32)</w:t>
      </w:r>
    </w:p>
  </w:footnote>
  <w:footnote w:id="4">
    <w:p w:rsidR="0052061B" w:rsidRPr="00761EBA" w:rsidRDefault="0052061B">
      <w:pPr>
        <w:pStyle w:val="Notedebasdepage"/>
        <w:rPr>
          <w:lang w:val="en-US"/>
        </w:rPr>
      </w:pPr>
      <w:r>
        <w:rPr>
          <w:rStyle w:val="Appelnotedebasdep"/>
        </w:rPr>
        <w:footnoteRef/>
      </w:r>
      <w:r w:rsidRPr="00761EBA">
        <w:rPr>
          <w:lang w:val="en-US"/>
        </w:rPr>
        <w:t xml:space="preserve"> </w:t>
      </w:r>
      <w:r w:rsidRPr="00F82CF7">
        <w:rPr>
          <w:lang w:val="en-US"/>
        </w:rPr>
        <w:t>Sambo et al. International Archives of Medicine 2013, 6:10 ; http://www.intarchmed.com/content/6/1/10</w:t>
      </w:r>
    </w:p>
  </w:footnote>
  <w:footnote w:id="5">
    <w:p w:rsidR="0052061B" w:rsidRDefault="0052061B">
      <w:pPr>
        <w:pStyle w:val="Notedebasdepage"/>
      </w:pPr>
      <w:r>
        <w:rPr>
          <w:rStyle w:val="Appelnotedebasdep"/>
        </w:rPr>
        <w:footnoteRef/>
      </w:r>
      <w:r>
        <w:t xml:space="preserve"> DPBEP (2018-2020)</w:t>
      </w:r>
    </w:p>
  </w:footnote>
  <w:footnote w:id="6">
    <w:p w:rsidR="0052061B" w:rsidRDefault="0052061B">
      <w:pPr>
        <w:pStyle w:val="Notedebasdepage"/>
      </w:pPr>
      <w:r>
        <w:rPr>
          <w:rStyle w:val="Appelnotedebasdep"/>
        </w:rPr>
        <w:footnoteRef/>
      </w:r>
      <w:r>
        <w:t xml:space="preserve"> </w:t>
      </w:r>
      <w:r w:rsidRPr="007D16C9">
        <w:t>MEF, FMI (7ème revue FEC, mai 2017), mai 2017, Rapport des services du FMI sur les Politiques communes des Etats membres de l’UEMOA, mars 2016.</w:t>
      </w:r>
    </w:p>
  </w:footnote>
  <w:footnote w:id="7">
    <w:p w:rsidR="0052061B" w:rsidRPr="00761EBA" w:rsidRDefault="0052061B">
      <w:pPr>
        <w:pStyle w:val="Notedebasdepage"/>
        <w:rPr>
          <w:lang w:val="en-US"/>
        </w:rPr>
      </w:pPr>
      <w:r>
        <w:rPr>
          <w:rStyle w:val="Appelnotedebasdep"/>
        </w:rPr>
        <w:footnoteRef/>
      </w:r>
      <w:r w:rsidRPr="00761EBA">
        <w:rPr>
          <w:lang w:val="en-US"/>
        </w:rPr>
        <w:t xml:space="preserve"> MEF, FMI staff estimates and projections.</w:t>
      </w:r>
    </w:p>
  </w:footnote>
  <w:footnote w:id="8">
    <w:p w:rsidR="0052061B" w:rsidRDefault="0052061B">
      <w:pPr>
        <w:pStyle w:val="Notedebasdepage"/>
      </w:pPr>
      <w:r>
        <w:rPr>
          <w:rStyle w:val="Appelnotedebasdep"/>
        </w:rPr>
        <w:footnoteRef/>
      </w:r>
      <w:r>
        <w:t xml:space="preserve"> DPBEP (2018-2020), figure n°3, paragraphe 38, p17.</w:t>
      </w:r>
    </w:p>
  </w:footnote>
  <w:footnote w:id="9">
    <w:p w:rsidR="0052061B" w:rsidRDefault="0052061B" w:rsidP="001B7333">
      <w:pPr>
        <w:pStyle w:val="Notedebasdepage"/>
      </w:pPr>
      <w:r>
        <w:rPr>
          <w:rStyle w:val="Appelnotedebasdep"/>
        </w:rPr>
        <w:footnoteRef/>
      </w:r>
      <w:r>
        <w:t xml:space="preserve"> DPBEP (2018-2020), paragraphe  61, 62, 63 &amp; 64 p25</w:t>
      </w:r>
    </w:p>
  </w:footnote>
  <w:footnote w:id="10">
    <w:p w:rsidR="0052061B" w:rsidRDefault="0052061B">
      <w:pPr>
        <w:pStyle w:val="Notedebasdepage"/>
      </w:pPr>
      <w:r>
        <w:rPr>
          <w:rStyle w:val="Appelnotedebasdep"/>
        </w:rPr>
        <w:footnoteRef/>
      </w:r>
      <w:r>
        <w:t xml:space="preserve"> </w:t>
      </w:r>
      <w:hyperlink r:id="rId2" w:history="1">
        <w:r w:rsidRPr="002E07B0">
          <w:rPr>
            <w:rStyle w:val="Lienhypertexte"/>
          </w:rPr>
          <w:t>https://www.populationdata.net/palmares/idh/</w:t>
        </w:r>
      </w:hyperlink>
      <w:r>
        <w:t xml:space="preserve"> </w:t>
      </w:r>
    </w:p>
  </w:footnote>
  <w:footnote w:id="11">
    <w:p w:rsidR="0052061B" w:rsidRDefault="0052061B">
      <w:pPr>
        <w:pStyle w:val="Notedebasdepage"/>
      </w:pPr>
      <w:r>
        <w:rPr>
          <w:rStyle w:val="Appelnotedebasdep"/>
        </w:rPr>
        <w:footnoteRef/>
      </w:r>
      <w:r>
        <w:t xml:space="preserve"> DPBEP (2018-2020), paragraphe 65, p25</w:t>
      </w:r>
    </w:p>
  </w:footnote>
  <w:footnote w:id="12">
    <w:p w:rsidR="0052061B" w:rsidRPr="00761EBA" w:rsidRDefault="0052061B">
      <w:pPr>
        <w:pStyle w:val="Notedebasdepage"/>
        <w:rPr>
          <w:lang w:val="en-US"/>
        </w:rPr>
      </w:pPr>
      <w:r>
        <w:rPr>
          <w:rStyle w:val="Appelnotedebasdep"/>
        </w:rPr>
        <w:footnoteRef/>
      </w:r>
      <w:r w:rsidRPr="00761EBA">
        <w:rPr>
          <w:lang w:val="en-US"/>
        </w:rPr>
        <w:t xml:space="preserve"> </w:t>
      </w:r>
      <w:r w:rsidRPr="00761EBA">
        <w:rPr>
          <w:rFonts w:cs="PT Sans"/>
          <w:color w:val="000000"/>
          <w:sz w:val="16"/>
          <w:szCs w:val="16"/>
          <w:lang w:val="en-US"/>
        </w:rPr>
        <w:t xml:space="preserve">Stenberg, K., O. Hanssen, T. Edejer, M. Bertram, C. Brindley, et al. 2017. “Financing Transformative Health Systems towards Achievement of the Health Sustainable Development Goals: A Model for Projected Resource Needs in 67 Low-income and Middle-income Countries.” </w:t>
      </w:r>
      <w:r w:rsidRPr="00761EBA">
        <w:rPr>
          <w:rFonts w:cs="PT Sans"/>
          <w:i/>
          <w:iCs/>
          <w:color w:val="000000"/>
          <w:sz w:val="16"/>
          <w:szCs w:val="16"/>
          <w:lang w:val="en-US"/>
        </w:rPr>
        <w:t xml:space="preserve">The Lancet Global Health </w:t>
      </w:r>
      <w:r w:rsidRPr="00761EBA">
        <w:rPr>
          <w:rFonts w:cs="PT Sans"/>
          <w:color w:val="000000"/>
          <w:sz w:val="16"/>
          <w:szCs w:val="16"/>
          <w:lang w:val="en-US"/>
        </w:rPr>
        <w:t>doi: http://dx.doi.org/10.1016/S2214-</w:t>
      </w:r>
      <w:proofErr w:type="gramStart"/>
      <w:r w:rsidRPr="00761EBA">
        <w:rPr>
          <w:rFonts w:cs="PT Sans"/>
          <w:color w:val="000000"/>
          <w:sz w:val="16"/>
          <w:szCs w:val="16"/>
          <w:lang w:val="en-US"/>
        </w:rPr>
        <w:t>109X(</w:t>
      </w:r>
      <w:proofErr w:type="gramEnd"/>
      <w:r w:rsidRPr="00761EBA">
        <w:rPr>
          <w:rFonts w:cs="PT Sans"/>
          <w:color w:val="000000"/>
          <w:sz w:val="16"/>
          <w:szCs w:val="16"/>
          <w:lang w:val="en-US"/>
        </w:rPr>
        <w:t>17)30263-2.</w:t>
      </w:r>
    </w:p>
  </w:footnote>
  <w:footnote w:id="13">
    <w:p w:rsidR="0052061B" w:rsidRDefault="0052061B" w:rsidP="008F06AF">
      <w:pPr>
        <w:pStyle w:val="Notedebasdepage"/>
        <w:jc w:val="both"/>
      </w:pPr>
      <w:r>
        <w:rPr>
          <w:rStyle w:val="Appelnotedebasdep"/>
        </w:rPr>
        <w:footnoteRef/>
      </w:r>
      <w:r>
        <w:t xml:space="preserve"> Le « COMPACT » est un engagement éthique et moral entre le Gouvernement du Mali et ses partenaires pour soutenir la mise en œuvre du PRODESS à l’effet d’accélérer l’atteinte des OMD.</w:t>
      </w:r>
    </w:p>
  </w:footnote>
  <w:footnote w:id="14">
    <w:p w:rsidR="0052061B" w:rsidRDefault="0052061B">
      <w:pPr>
        <w:pStyle w:val="Notedebasdepage"/>
      </w:pPr>
      <w:r>
        <w:rPr>
          <w:rStyle w:val="Appelnotedebasdep"/>
        </w:rPr>
        <w:footnoteRef/>
      </w:r>
      <w:r>
        <w:t xml:space="preserve"> Cf. étude dite « des passerelles », Ministère de l’Action Sociale, 2013.</w:t>
      </w:r>
    </w:p>
  </w:footnote>
  <w:footnote w:id="15">
    <w:p w:rsidR="0052061B" w:rsidRPr="008B08DE" w:rsidRDefault="0052061B" w:rsidP="00C52D14">
      <w:pPr>
        <w:autoSpaceDE w:val="0"/>
        <w:autoSpaceDN w:val="0"/>
        <w:adjustRightInd w:val="0"/>
        <w:jc w:val="both"/>
        <w:rPr>
          <w:lang w:val="en-US"/>
        </w:rPr>
      </w:pPr>
      <w:r>
        <w:rPr>
          <w:rStyle w:val="Appelnotedebasdep"/>
        </w:rPr>
        <w:footnoteRef/>
      </w:r>
      <w:r w:rsidRPr="008B08DE">
        <w:rPr>
          <w:lang w:val="en-US"/>
        </w:rPr>
        <w:t xml:space="preserve"> </w:t>
      </w:r>
      <w:r w:rsidRPr="00F82CF7">
        <w:rPr>
          <w:sz w:val="20"/>
          <w:szCs w:val="20"/>
          <w:lang w:val="en-US"/>
        </w:rPr>
        <w:t>Sambo et al. International Archives of Medicine 2013, 6:10 ; http://www.intarchmed.com/content/6/1/10</w:t>
      </w:r>
    </w:p>
  </w:footnote>
  <w:footnote w:id="16">
    <w:p w:rsidR="0052061B" w:rsidRDefault="0052061B" w:rsidP="007D7A58">
      <w:pPr>
        <w:pStyle w:val="Notedebasdepage"/>
      </w:pPr>
      <w:r>
        <w:rPr>
          <w:rStyle w:val="Appelnotedebasdep"/>
        </w:rPr>
        <w:footnoteRef/>
      </w:r>
      <w:r>
        <w:t xml:space="preserve"> Chiffre DGB : </w:t>
      </w:r>
      <w:r w:rsidRPr="007D4A0B">
        <w:t>98</w:t>
      </w:r>
      <w:r>
        <w:t>.</w:t>
      </w:r>
      <w:r w:rsidRPr="007D4A0B">
        <w:t>749</w:t>
      </w:r>
      <w:r>
        <w:t>.</w:t>
      </w:r>
      <w:r w:rsidRPr="007D4A0B">
        <w:t>555</w:t>
      </w:r>
      <w:r>
        <w:t>.</w:t>
      </w:r>
      <w:r w:rsidRPr="007D4A0B">
        <w:t>603</w:t>
      </w:r>
      <w:r>
        <w:t xml:space="preserve"> FCFA</w:t>
      </w:r>
    </w:p>
  </w:footnote>
  <w:footnote w:id="17">
    <w:p w:rsidR="0052061B" w:rsidRDefault="0052061B" w:rsidP="003C51E5">
      <w:pPr>
        <w:pStyle w:val="Notedebasdepage"/>
      </w:pPr>
      <w:r>
        <w:rPr>
          <w:rStyle w:val="Appelnotedebasdep"/>
        </w:rPr>
        <w:footnoteRef/>
      </w:r>
      <w:r>
        <w:t xml:space="preserve"> On ne comptabilise pas ici les dépenses de l’Etat afférentes aux départements (logique AMU) mais ceux de la CANAM qui sont pratiquement nulles à présent (40 millions).</w:t>
      </w:r>
    </w:p>
  </w:footnote>
  <w:footnote w:id="18">
    <w:p w:rsidR="0052061B" w:rsidRDefault="0052061B" w:rsidP="005D3FAE">
      <w:pPr>
        <w:pStyle w:val="Notedebasdepage"/>
        <w:jc w:val="both"/>
      </w:pPr>
      <w:r>
        <w:rPr>
          <w:rStyle w:val="Appelnotedebasdep"/>
        </w:rPr>
        <w:footnoteRef/>
      </w:r>
      <w:r>
        <w:t xml:space="preserve"> </w:t>
      </w:r>
      <w:r w:rsidRPr="00CC34B8">
        <w:t>Extrait Synthèse des rapports d’activités du programme opérationnel 2010 et programmation 2012 du PRODESS</w:t>
      </w:r>
    </w:p>
  </w:footnote>
  <w:footnote w:id="19">
    <w:p w:rsidR="0052061B" w:rsidRDefault="0052061B" w:rsidP="003125B5">
      <w:pPr>
        <w:pStyle w:val="Notedebasdepage"/>
      </w:pPr>
      <w:r>
        <w:rPr>
          <w:rStyle w:val="Appelnotedebasdep"/>
        </w:rPr>
        <w:footnoteRef/>
      </w:r>
      <w:r>
        <w:t xml:space="preserve"> NB : la programmation budgétaire 2018-2020 prévoit déjà 11.95% en 2020 (cf. DPBEP 29, 92, 32)</w:t>
      </w:r>
    </w:p>
  </w:footnote>
  <w:footnote w:id="20">
    <w:p w:rsidR="0052061B" w:rsidRPr="00761EBA" w:rsidRDefault="0052061B" w:rsidP="00C75ED0">
      <w:pPr>
        <w:pStyle w:val="Notedebasdepage"/>
        <w:rPr>
          <w:lang w:val="en-US"/>
        </w:rPr>
      </w:pPr>
      <w:r>
        <w:rPr>
          <w:rStyle w:val="Appelnotedebasdep"/>
        </w:rPr>
        <w:footnoteRef/>
      </w:r>
      <w:r w:rsidRPr="00761EBA">
        <w:rPr>
          <w:lang w:val="en-US"/>
        </w:rPr>
        <w:t xml:space="preserve"> </w:t>
      </w:r>
      <w:r w:rsidRPr="00F82CF7">
        <w:rPr>
          <w:lang w:val="en-US"/>
        </w:rPr>
        <w:t>Sambo et al. International Archives of Medicine 2013, 6:10 ; http://www.intarchmed.com/content/6/1/10</w:t>
      </w:r>
    </w:p>
  </w:footnote>
  <w:footnote w:id="21">
    <w:p w:rsidR="0052061B" w:rsidRDefault="0052061B">
      <w:pPr>
        <w:pStyle w:val="Notedebasdepage"/>
      </w:pPr>
      <w:r>
        <w:rPr>
          <w:rStyle w:val="Appelnotedebasdep"/>
        </w:rPr>
        <w:footnoteRef/>
      </w:r>
      <w:r>
        <w:t xml:space="preserve"> Par lesquelles la population tombe dans la pauvreté.</w:t>
      </w:r>
    </w:p>
  </w:footnote>
  <w:footnote w:id="22">
    <w:p w:rsidR="0052061B" w:rsidRDefault="0052061B">
      <w:pPr>
        <w:pStyle w:val="Notedebasdepage"/>
      </w:pPr>
      <w:r>
        <w:rPr>
          <w:rStyle w:val="Appelnotedebasdep"/>
        </w:rPr>
        <w:footnoteRef/>
      </w:r>
      <w:r>
        <w:t xml:space="preserve"> Cf. en annexe 1 le cadre logique simplifié qui reprend les axes stratégiques et la stratégie de mise en oeuvre sous la forme d’un tableau.</w:t>
      </w:r>
    </w:p>
  </w:footnote>
  <w:footnote w:id="23">
    <w:p w:rsidR="0052061B" w:rsidRDefault="0052061B">
      <w:pPr>
        <w:pStyle w:val="Notedebasdepage"/>
      </w:pPr>
      <w:r>
        <w:rPr>
          <w:rStyle w:val="Appelnotedebasdep"/>
        </w:rPr>
        <w:footnoteRef/>
      </w:r>
      <w:r>
        <w:t xml:space="preserve"> DPBEP (2018-2020), tableau 9, paragraphe 92, p32.</w:t>
      </w:r>
    </w:p>
  </w:footnote>
  <w:footnote w:id="24">
    <w:p w:rsidR="0052061B" w:rsidRDefault="0052061B" w:rsidP="001F462C">
      <w:pPr>
        <w:pStyle w:val="Notedebasdepage"/>
      </w:pPr>
      <w:r>
        <w:rPr>
          <w:rStyle w:val="Appelnotedebasdep"/>
        </w:rPr>
        <w:footnoteRef/>
      </w:r>
      <w:r>
        <w:t xml:space="preserve"> DPBEP (2018-2020) Paragraphe 94 p 32</w:t>
      </w:r>
    </w:p>
  </w:footnote>
  <w:footnote w:id="25">
    <w:p w:rsidR="0052061B" w:rsidRDefault="0052061B">
      <w:pPr>
        <w:pStyle w:val="Notedebasdepage"/>
      </w:pPr>
      <w:r>
        <w:rPr>
          <w:rStyle w:val="Appelnotedebasdep"/>
        </w:rPr>
        <w:footnoteRef/>
      </w:r>
      <w:r>
        <w:t xml:space="preserve"> DGB, Sous-Direction « préparation et suivi du budget</w:t>
      </w:r>
    </w:p>
  </w:footnote>
  <w:footnote w:id="26">
    <w:p w:rsidR="0052061B" w:rsidRDefault="0052061B" w:rsidP="001A03D9">
      <w:pPr>
        <w:pStyle w:val="Notedebasdepage"/>
      </w:pPr>
      <w:r>
        <w:rPr>
          <w:rStyle w:val="Appelnotedebasdep"/>
        </w:rPr>
        <w:footnoteRef/>
      </w:r>
      <w:r>
        <w:t xml:space="preserve"> Sur la base des projections du DPBEP 2018-2020, extrapolées jusqu’en 2023.</w:t>
      </w:r>
    </w:p>
  </w:footnote>
  <w:footnote w:id="27">
    <w:p w:rsidR="0052061B" w:rsidRDefault="0052061B">
      <w:pPr>
        <w:pStyle w:val="Notedebasdepage"/>
      </w:pPr>
      <w:r>
        <w:rPr>
          <w:rStyle w:val="Appelnotedebasdep"/>
        </w:rPr>
        <w:footnoteRef/>
      </w:r>
      <w:r>
        <w:t xml:space="preserve"> DPBEP 2018-2020, tableau 40, paragraphe 128, p 35</w:t>
      </w:r>
    </w:p>
  </w:footnote>
  <w:footnote w:id="28">
    <w:p w:rsidR="0052061B" w:rsidRDefault="0052061B" w:rsidP="00BF5ACF">
      <w:pPr>
        <w:pStyle w:val="Notedebasdepage"/>
      </w:pPr>
      <w:r>
        <w:rPr>
          <w:rStyle w:val="Appelnotedebasdep"/>
        </w:rPr>
        <w:footnoteRef/>
      </w:r>
      <w:r>
        <w:t xml:space="preserve"> DPBEP (2018-2020) Paragraphe 94 p 32</w:t>
      </w:r>
    </w:p>
  </w:footnote>
  <w:footnote w:id="29">
    <w:p w:rsidR="0052061B" w:rsidRDefault="0052061B" w:rsidP="00BF5ACF">
      <w:pPr>
        <w:pStyle w:val="Notedebasdepage"/>
      </w:pPr>
      <w:r>
        <w:rPr>
          <w:rStyle w:val="Appelnotedebasdep"/>
        </w:rPr>
        <w:footnoteRef/>
      </w:r>
      <w:r>
        <w:t xml:space="preserve"> DGB, Sous-Direction « préparation et suivi du budget</w:t>
      </w:r>
    </w:p>
  </w:footnote>
  <w:footnote w:id="30">
    <w:p w:rsidR="0052061B" w:rsidRDefault="0052061B">
      <w:pPr>
        <w:pStyle w:val="Notedebasdepage"/>
      </w:pPr>
      <w:r>
        <w:rPr>
          <w:rStyle w:val="Appelnotedebasdep"/>
        </w:rPr>
        <w:footnoteRef/>
      </w:r>
      <w:r>
        <w:t xml:space="preserve"> Cet appui éventuel n’est pas pris en compte dans les simulations mais peut être un objectif.</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E41CF"/>
    <w:multiLevelType w:val="hybridMultilevel"/>
    <w:tmpl w:val="DBCE1DF8"/>
    <w:lvl w:ilvl="0" w:tplc="EC681A92">
      <w:start w:val="1"/>
      <w:numFmt w:val="decimal"/>
      <w:lvlText w:val="%1."/>
      <w:lvlJc w:val="left"/>
      <w:pPr>
        <w:ind w:left="927" w:hanging="36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1" w15:restartNumberingAfterBreak="0">
    <w:nsid w:val="246856B7"/>
    <w:multiLevelType w:val="hybridMultilevel"/>
    <w:tmpl w:val="DE308B08"/>
    <w:lvl w:ilvl="0" w:tplc="C4B00E66">
      <w:start w:val="1"/>
      <w:numFmt w:val="lowerRoman"/>
      <w:lvlText w:val="%1."/>
      <w:lvlJc w:val="left"/>
      <w:pPr>
        <w:ind w:left="1571" w:hanging="720"/>
      </w:pPr>
      <w:rPr>
        <w:rFonts w:hint="default"/>
      </w:rPr>
    </w:lvl>
    <w:lvl w:ilvl="1" w:tplc="040C0019" w:tentative="1">
      <w:start w:val="1"/>
      <w:numFmt w:val="lowerLetter"/>
      <w:lvlText w:val="%2."/>
      <w:lvlJc w:val="left"/>
      <w:pPr>
        <w:ind w:left="1931" w:hanging="360"/>
      </w:pPr>
    </w:lvl>
    <w:lvl w:ilvl="2" w:tplc="040C001B" w:tentative="1">
      <w:start w:val="1"/>
      <w:numFmt w:val="lowerRoman"/>
      <w:lvlText w:val="%3."/>
      <w:lvlJc w:val="right"/>
      <w:pPr>
        <w:ind w:left="2651" w:hanging="180"/>
      </w:pPr>
    </w:lvl>
    <w:lvl w:ilvl="3" w:tplc="040C000F" w:tentative="1">
      <w:start w:val="1"/>
      <w:numFmt w:val="decimal"/>
      <w:lvlText w:val="%4."/>
      <w:lvlJc w:val="left"/>
      <w:pPr>
        <w:ind w:left="3371" w:hanging="360"/>
      </w:pPr>
    </w:lvl>
    <w:lvl w:ilvl="4" w:tplc="040C0019" w:tentative="1">
      <w:start w:val="1"/>
      <w:numFmt w:val="lowerLetter"/>
      <w:lvlText w:val="%5."/>
      <w:lvlJc w:val="left"/>
      <w:pPr>
        <w:ind w:left="4091" w:hanging="360"/>
      </w:pPr>
    </w:lvl>
    <w:lvl w:ilvl="5" w:tplc="040C001B" w:tentative="1">
      <w:start w:val="1"/>
      <w:numFmt w:val="lowerRoman"/>
      <w:lvlText w:val="%6."/>
      <w:lvlJc w:val="right"/>
      <w:pPr>
        <w:ind w:left="4811" w:hanging="180"/>
      </w:pPr>
    </w:lvl>
    <w:lvl w:ilvl="6" w:tplc="040C000F" w:tentative="1">
      <w:start w:val="1"/>
      <w:numFmt w:val="decimal"/>
      <w:lvlText w:val="%7."/>
      <w:lvlJc w:val="left"/>
      <w:pPr>
        <w:ind w:left="5531" w:hanging="360"/>
      </w:pPr>
    </w:lvl>
    <w:lvl w:ilvl="7" w:tplc="040C0019" w:tentative="1">
      <w:start w:val="1"/>
      <w:numFmt w:val="lowerLetter"/>
      <w:lvlText w:val="%8."/>
      <w:lvlJc w:val="left"/>
      <w:pPr>
        <w:ind w:left="6251" w:hanging="360"/>
      </w:pPr>
    </w:lvl>
    <w:lvl w:ilvl="8" w:tplc="040C001B" w:tentative="1">
      <w:start w:val="1"/>
      <w:numFmt w:val="lowerRoman"/>
      <w:lvlText w:val="%9."/>
      <w:lvlJc w:val="right"/>
      <w:pPr>
        <w:ind w:left="6971" w:hanging="180"/>
      </w:pPr>
    </w:lvl>
  </w:abstractNum>
  <w:abstractNum w:abstractNumId="2" w15:restartNumberingAfterBreak="0">
    <w:nsid w:val="292E0313"/>
    <w:multiLevelType w:val="hybridMultilevel"/>
    <w:tmpl w:val="24588898"/>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AD971AA"/>
    <w:multiLevelType w:val="hybridMultilevel"/>
    <w:tmpl w:val="A61639B4"/>
    <w:lvl w:ilvl="0" w:tplc="048A75F0">
      <w:start w:val="1"/>
      <w:numFmt w:val="bullet"/>
      <w:lvlText w:val="-"/>
      <w:lvlJc w:val="left"/>
      <w:pPr>
        <w:ind w:left="6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DD22482">
      <w:start w:val="1"/>
      <w:numFmt w:val="bullet"/>
      <w:lvlText w:val="o"/>
      <w:lvlJc w:val="left"/>
      <w:pPr>
        <w:ind w:left="14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078453A">
      <w:start w:val="1"/>
      <w:numFmt w:val="bullet"/>
      <w:lvlText w:val="▪"/>
      <w:lvlJc w:val="left"/>
      <w:pPr>
        <w:ind w:left="22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C5C28C8">
      <w:start w:val="1"/>
      <w:numFmt w:val="bullet"/>
      <w:lvlText w:val="•"/>
      <w:lvlJc w:val="left"/>
      <w:pPr>
        <w:ind w:left="29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060ABCE">
      <w:start w:val="1"/>
      <w:numFmt w:val="bullet"/>
      <w:lvlText w:val="o"/>
      <w:lvlJc w:val="left"/>
      <w:pPr>
        <w:ind w:left="36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AB6D926">
      <w:start w:val="1"/>
      <w:numFmt w:val="bullet"/>
      <w:lvlText w:val="▪"/>
      <w:lvlJc w:val="left"/>
      <w:pPr>
        <w:ind w:left="43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8DCD2EA">
      <w:start w:val="1"/>
      <w:numFmt w:val="bullet"/>
      <w:lvlText w:val="•"/>
      <w:lvlJc w:val="left"/>
      <w:pPr>
        <w:ind w:left="50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0726996">
      <w:start w:val="1"/>
      <w:numFmt w:val="bullet"/>
      <w:lvlText w:val="o"/>
      <w:lvlJc w:val="left"/>
      <w:pPr>
        <w:ind w:left="58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AB6CD4E">
      <w:start w:val="1"/>
      <w:numFmt w:val="bullet"/>
      <w:lvlText w:val="▪"/>
      <w:lvlJc w:val="left"/>
      <w:pPr>
        <w:ind w:left="65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3A1A2B30"/>
    <w:multiLevelType w:val="hybridMultilevel"/>
    <w:tmpl w:val="60FE4536"/>
    <w:lvl w:ilvl="0" w:tplc="CB18EF98">
      <w:start w:val="5"/>
      <w:numFmt w:val="bullet"/>
      <w:lvlText w:val=""/>
      <w:lvlJc w:val="left"/>
      <w:pPr>
        <w:ind w:left="1080" w:hanging="360"/>
      </w:pPr>
      <w:rPr>
        <w:rFonts w:ascii="Symbol" w:eastAsiaTheme="minorHAnsi" w:hAnsi="Symbol" w:cstheme="minorBidi"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3B7E2018"/>
    <w:multiLevelType w:val="hybridMultilevel"/>
    <w:tmpl w:val="97D2EDEE"/>
    <w:lvl w:ilvl="0" w:tplc="ADCCFA64">
      <w:start w:val="3"/>
      <w:numFmt w:val="bullet"/>
      <w:lvlText w:val=""/>
      <w:lvlJc w:val="left"/>
      <w:pPr>
        <w:ind w:left="720" w:hanging="360"/>
      </w:pPr>
      <w:rPr>
        <w:rFonts w:ascii="Wingdings" w:eastAsiaTheme="minorHAns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DC90270"/>
    <w:multiLevelType w:val="hybridMultilevel"/>
    <w:tmpl w:val="C388E144"/>
    <w:lvl w:ilvl="0" w:tplc="5D8C23CC">
      <w:start w:val="1"/>
      <w:numFmt w:val="lowerRoman"/>
      <w:lvlText w:val="%1."/>
      <w:lvlJc w:val="left"/>
      <w:pPr>
        <w:ind w:left="720" w:hanging="72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 w15:restartNumberingAfterBreak="0">
    <w:nsid w:val="48E54E10"/>
    <w:multiLevelType w:val="hybridMultilevel"/>
    <w:tmpl w:val="7EA6360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4A363A15"/>
    <w:multiLevelType w:val="hybridMultilevel"/>
    <w:tmpl w:val="93CEE7FC"/>
    <w:lvl w:ilvl="0" w:tplc="40B60AFA">
      <w:start w:val="1"/>
      <w:numFmt w:val="decimal"/>
      <w:pStyle w:val="Titre2"/>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505E7367"/>
    <w:multiLevelType w:val="hybridMultilevel"/>
    <w:tmpl w:val="F8602024"/>
    <w:lvl w:ilvl="0" w:tplc="040C000D">
      <w:start w:val="1"/>
      <w:numFmt w:val="bullet"/>
      <w:lvlText w:val=""/>
      <w:lvlJc w:val="left"/>
      <w:pPr>
        <w:ind w:left="720" w:hanging="360"/>
      </w:pPr>
      <w:rPr>
        <w:rFonts w:ascii="Wingdings" w:hAnsi="Wingding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522A5358"/>
    <w:multiLevelType w:val="hybridMultilevel"/>
    <w:tmpl w:val="191C9D0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28C06DB"/>
    <w:multiLevelType w:val="multilevel"/>
    <w:tmpl w:val="E97CD19A"/>
    <w:lvl w:ilvl="0">
      <w:start w:val="1"/>
      <w:numFmt w:val="decimal"/>
      <w:lvlText w:val="%1."/>
      <w:lvlJc w:val="left"/>
      <w:pPr>
        <w:ind w:left="720" w:hanging="360"/>
      </w:pPr>
      <w:rPr>
        <w:rFonts w:ascii="Calibri" w:hAnsi="Calibri" w:hint="default"/>
        <w:b/>
        <w:i w:val="0"/>
        <w:caps w:val="0"/>
        <w:strike w:val="0"/>
        <w:dstrike w:val="0"/>
        <w:vanish w:val="0"/>
        <w:color w:val="000000"/>
        <w:spacing w:val="0"/>
        <w:w w:val="100"/>
        <w:kern w:val="0"/>
        <w:position w:val="0"/>
        <w:sz w:val="28"/>
        <w:vertAlign w:val="baseline"/>
      </w:rPr>
    </w:lvl>
    <w:lvl w:ilvl="1">
      <w:start w:val="1"/>
      <w:numFmt w:val="decimal"/>
      <w:isLgl/>
      <w:lvlText w:val="%1.%2"/>
      <w:lvlJc w:val="left"/>
      <w:pPr>
        <w:ind w:left="644"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5DCC380A"/>
    <w:multiLevelType w:val="hybridMultilevel"/>
    <w:tmpl w:val="099AD31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3D65A02"/>
    <w:multiLevelType w:val="hybridMultilevel"/>
    <w:tmpl w:val="813A27E2"/>
    <w:lvl w:ilvl="0" w:tplc="0ECABDBC">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66173BCF"/>
    <w:multiLevelType w:val="hybridMultilevel"/>
    <w:tmpl w:val="498A91A2"/>
    <w:lvl w:ilvl="0" w:tplc="5576FB6E">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5" w15:restartNumberingAfterBreak="0">
    <w:nsid w:val="77414EEB"/>
    <w:multiLevelType w:val="hybridMultilevel"/>
    <w:tmpl w:val="255A6B32"/>
    <w:lvl w:ilvl="0" w:tplc="ED9648AA">
      <w:start w:val="4"/>
      <w:numFmt w:val="bullet"/>
      <w:lvlText w:val="-"/>
      <w:lvlJc w:val="left"/>
      <w:pPr>
        <w:ind w:left="720" w:hanging="360"/>
      </w:pPr>
      <w:rPr>
        <w:rFonts w:ascii="Calibri" w:eastAsiaTheme="minorHAns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7A40367A"/>
    <w:multiLevelType w:val="hybridMultilevel"/>
    <w:tmpl w:val="F91E943E"/>
    <w:lvl w:ilvl="0" w:tplc="941A396A">
      <w:start w:val="49"/>
      <w:numFmt w:val="bullet"/>
      <w:lvlText w:val=""/>
      <w:lvlJc w:val="left"/>
      <w:pPr>
        <w:ind w:left="720" w:hanging="360"/>
      </w:pPr>
      <w:rPr>
        <w:rFonts w:ascii="Wingdings" w:eastAsiaTheme="minorHAns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7F391402"/>
    <w:multiLevelType w:val="hybridMultilevel"/>
    <w:tmpl w:val="E560487E"/>
    <w:lvl w:ilvl="0" w:tplc="964A0BF4">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15"/>
  </w:num>
  <w:num w:numId="3">
    <w:abstractNumId w:val="4"/>
  </w:num>
  <w:num w:numId="4">
    <w:abstractNumId w:val="12"/>
  </w:num>
  <w:num w:numId="5">
    <w:abstractNumId w:val="11"/>
    <w:lvlOverride w:ilvl="0">
      <w:startOverride w:val="1"/>
    </w:lvlOverride>
  </w:num>
  <w:num w:numId="6">
    <w:abstractNumId w:val="17"/>
  </w:num>
  <w:num w:numId="7">
    <w:abstractNumId w:val="13"/>
  </w:num>
  <w:num w:numId="8">
    <w:abstractNumId w:val="11"/>
    <w:lvlOverride w:ilvl="0">
      <w:startOverride w:val="1"/>
    </w:lvlOverride>
  </w:num>
  <w:num w:numId="9">
    <w:abstractNumId w:val="1"/>
  </w:num>
  <w:num w:numId="10">
    <w:abstractNumId w:val="0"/>
  </w:num>
  <w:num w:numId="11">
    <w:abstractNumId w:val="14"/>
  </w:num>
  <w:num w:numId="12">
    <w:abstractNumId w:val="7"/>
  </w:num>
  <w:num w:numId="13">
    <w:abstractNumId w:val="5"/>
  </w:num>
  <w:num w:numId="14">
    <w:abstractNumId w:val="8"/>
  </w:num>
  <w:num w:numId="15">
    <w:abstractNumId w:val="16"/>
  </w:num>
  <w:num w:numId="16">
    <w:abstractNumId w:val="6"/>
  </w:num>
  <w:num w:numId="17">
    <w:abstractNumId w:val="3"/>
  </w:num>
  <w:num w:numId="18">
    <w:abstractNumId w:val="10"/>
  </w:num>
  <w:num w:numId="19">
    <w:abstractNumId w:val="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595D"/>
    <w:rsid w:val="00000A03"/>
    <w:rsid w:val="00005E53"/>
    <w:rsid w:val="00012507"/>
    <w:rsid w:val="00013861"/>
    <w:rsid w:val="0002032B"/>
    <w:rsid w:val="00021570"/>
    <w:rsid w:val="00022F7D"/>
    <w:rsid w:val="00025041"/>
    <w:rsid w:val="0002595D"/>
    <w:rsid w:val="00030E21"/>
    <w:rsid w:val="0003191C"/>
    <w:rsid w:val="00032FF8"/>
    <w:rsid w:val="00042175"/>
    <w:rsid w:val="00042DCA"/>
    <w:rsid w:val="00053E31"/>
    <w:rsid w:val="00072DDD"/>
    <w:rsid w:val="000734F1"/>
    <w:rsid w:val="000842A2"/>
    <w:rsid w:val="00086300"/>
    <w:rsid w:val="000867D2"/>
    <w:rsid w:val="00086A69"/>
    <w:rsid w:val="000A2146"/>
    <w:rsid w:val="000A2BB9"/>
    <w:rsid w:val="000B0BBC"/>
    <w:rsid w:val="000B4DC9"/>
    <w:rsid w:val="000B4DDC"/>
    <w:rsid w:val="000B7539"/>
    <w:rsid w:val="000C307E"/>
    <w:rsid w:val="000D2B69"/>
    <w:rsid w:val="000E0B3B"/>
    <w:rsid w:val="000E1387"/>
    <w:rsid w:val="000E4F8B"/>
    <w:rsid w:val="000F4A2B"/>
    <w:rsid w:val="00100AF0"/>
    <w:rsid w:val="0010261B"/>
    <w:rsid w:val="00102663"/>
    <w:rsid w:val="00113EF7"/>
    <w:rsid w:val="001147C9"/>
    <w:rsid w:val="00121E57"/>
    <w:rsid w:val="001314B5"/>
    <w:rsid w:val="00131CC4"/>
    <w:rsid w:val="00146FB1"/>
    <w:rsid w:val="001511DD"/>
    <w:rsid w:val="00155FE4"/>
    <w:rsid w:val="00161174"/>
    <w:rsid w:val="00170436"/>
    <w:rsid w:val="001710F1"/>
    <w:rsid w:val="0017126D"/>
    <w:rsid w:val="00175CC8"/>
    <w:rsid w:val="00176120"/>
    <w:rsid w:val="00177D88"/>
    <w:rsid w:val="001810F5"/>
    <w:rsid w:val="00187442"/>
    <w:rsid w:val="0019172B"/>
    <w:rsid w:val="00194A77"/>
    <w:rsid w:val="00194CCA"/>
    <w:rsid w:val="00196008"/>
    <w:rsid w:val="001967B3"/>
    <w:rsid w:val="0019726B"/>
    <w:rsid w:val="001A03D9"/>
    <w:rsid w:val="001A3507"/>
    <w:rsid w:val="001B002C"/>
    <w:rsid w:val="001B2E4B"/>
    <w:rsid w:val="001B48E3"/>
    <w:rsid w:val="001B63EB"/>
    <w:rsid w:val="001B7333"/>
    <w:rsid w:val="001C143D"/>
    <w:rsid w:val="001C3D51"/>
    <w:rsid w:val="001C6471"/>
    <w:rsid w:val="001C74A3"/>
    <w:rsid w:val="001D5877"/>
    <w:rsid w:val="001D7D54"/>
    <w:rsid w:val="001E0FD6"/>
    <w:rsid w:val="001E1668"/>
    <w:rsid w:val="001E205C"/>
    <w:rsid w:val="001E446F"/>
    <w:rsid w:val="001F462C"/>
    <w:rsid w:val="001F55E0"/>
    <w:rsid w:val="00201F0B"/>
    <w:rsid w:val="0020254C"/>
    <w:rsid w:val="002027B2"/>
    <w:rsid w:val="00207E70"/>
    <w:rsid w:val="00214AEC"/>
    <w:rsid w:val="00214D9B"/>
    <w:rsid w:val="0022076B"/>
    <w:rsid w:val="00220975"/>
    <w:rsid w:val="00222DE0"/>
    <w:rsid w:val="0022318E"/>
    <w:rsid w:val="00225EDE"/>
    <w:rsid w:val="00230666"/>
    <w:rsid w:val="002360C7"/>
    <w:rsid w:val="00246D00"/>
    <w:rsid w:val="002516D7"/>
    <w:rsid w:val="0025438E"/>
    <w:rsid w:val="00264B94"/>
    <w:rsid w:val="00267878"/>
    <w:rsid w:val="002821A5"/>
    <w:rsid w:val="002826EC"/>
    <w:rsid w:val="0029235C"/>
    <w:rsid w:val="0029547C"/>
    <w:rsid w:val="00295B07"/>
    <w:rsid w:val="00297F9A"/>
    <w:rsid w:val="002A698C"/>
    <w:rsid w:val="002A7FE1"/>
    <w:rsid w:val="002B031F"/>
    <w:rsid w:val="002B33AC"/>
    <w:rsid w:val="002B5026"/>
    <w:rsid w:val="002B59CD"/>
    <w:rsid w:val="002C2DD2"/>
    <w:rsid w:val="002C37D7"/>
    <w:rsid w:val="002E277D"/>
    <w:rsid w:val="002F3BDE"/>
    <w:rsid w:val="002F623B"/>
    <w:rsid w:val="003069F4"/>
    <w:rsid w:val="00307694"/>
    <w:rsid w:val="00312571"/>
    <w:rsid w:val="003125B5"/>
    <w:rsid w:val="00314954"/>
    <w:rsid w:val="00314C95"/>
    <w:rsid w:val="003173E6"/>
    <w:rsid w:val="00325837"/>
    <w:rsid w:val="0032685D"/>
    <w:rsid w:val="00327443"/>
    <w:rsid w:val="003322A9"/>
    <w:rsid w:val="00335F22"/>
    <w:rsid w:val="00341F9A"/>
    <w:rsid w:val="003461B9"/>
    <w:rsid w:val="00347420"/>
    <w:rsid w:val="003514DF"/>
    <w:rsid w:val="00354161"/>
    <w:rsid w:val="0037665B"/>
    <w:rsid w:val="003800EA"/>
    <w:rsid w:val="003852A8"/>
    <w:rsid w:val="003910B1"/>
    <w:rsid w:val="00394648"/>
    <w:rsid w:val="003A16B5"/>
    <w:rsid w:val="003A52AB"/>
    <w:rsid w:val="003B0835"/>
    <w:rsid w:val="003B6F88"/>
    <w:rsid w:val="003C51E5"/>
    <w:rsid w:val="003D07B4"/>
    <w:rsid w:val="003D09F0"/>
    <w:rsid w:val="003D3912"/>
    <w:rsid w:val="003D4838"/>
    <w:rsid w:val="003D7143"/>
    <w:rsid w:val="003E343B"/>
    <w:rsid w:val="003E4263"/>
    <w:rsid w:val="003E560E"/>
    <w:rsid w:val="003E5671"/>
    <w:rsid w:val="003E6645"/>
    <w:rsid w:val="003F0AF9"/>
    <w:rsid w:val="004122BF"/>
    <w:rsid w:val="00417DFD"/>
    <w:rsid w:val="004223E4"/>
    <w:rsid w:val="0042314B"/>
    <w:rsid w:val="00424FF5"/>
    <w:rsid w:val="00425A7F"/>
    <w:rsid w:val="0042726D"/>
    <w:rsid w:val="0044215B"/>
    <w:rsid w:val="004477CF"/>
    <w:rsid w:val="00447E9F"/>
    <w:rsid w:val="00447F14"/>
    <w:rsid w:val="00456837"/>
    <w:rsid w:val="00462B0F"/>
    <w:rsid w:val="0046602A"/>
    <w:rsid w:val="00472816"/>
    <w:rsid w:val="00485100"/>
    <w:rsid w:val="00487AB2"/>
    <w:rsid w:val="004927AA"/>
    <w:rsid w:val="004930BE"/>
    <w:rsid w:val="00494CB5"/>
    <w:rsid w:val="004A1BF9"/>
    <w:rsid w:val="004A3268"/>
    <w:rsid w:val="004B4F90"/>
    <w:rsid w:val="004B778F"/>
    <w:rsid w:val="004C1489"/>
    <w:rsid w:val="004C1B7D"/>
    <w:rsid w:val="004C28F5"/>
    <w:rsid w:val="004C2BA0"/>
    <w:rsid w:val="004C5D8F"/>
    <w:rsid w:val="004D3233"/>
    <w:rsid w:val="004E12B9"/>
    <w:rsid w:val="004E5B20"/>
    <w:rsid w:val="004E691A"/>
    <w:rsid w:val="004E6B45"/>
    <w:rsid w:val="004F0A94"/>
    <w:rsid w:val="004F308F"/>
    <w:rsid w:val="004F4321"/>
    <w:rsid w:val="00501F44"/>
    <w:rsid w:val="00512DD6"/>
    <w:rsid w:val="0052061B"/>
    <w:rsid w:val="005266A3"/>
    <w:rsid w:val="0052771A"/>
    <w:rsid w:val="00532DF7"/>
    <w:rsid w:val="005424D1"/>
    <w:rsid w:val="0054277D"/>
    <w:rsid w:val="00543259"/>
    <w:rsid w:val="005474B7"/>
    <w:rsid w:val="0054788B"/>
    <w:rsid w:val="005547B6"/>
    <w:rsid w:val="00571FF8"/>
    <w:rsid w:val="00574F4E"/>
    <w:rsid w:val="00583BA0"/>
    <w:rsid w:val="00585D5F"/>
    <w:rsid w:val="00592DAB"/>
    <w:rsid w:val="005A2AE1"/>
    <w:rsid w:val="005A2CC9"/>
    <w:rsid w:val="005A33D5"/>
    <w:rsid w:val="005A7156"/>
    <w:rsid w:val="005B25BF"/>
    <w:rsid w:val="005C2586"/>
    <w:rsid w:val="005C374E"/>
    <w:rsid w:val="005C7A04"/>
    <w:rsid w:val="005D3FAE"/>
    <w:rsid w:val="005E03CB"/>
    <w:rsid w:val="005E6672"/>
    <w:rsid w:val="005E70D2"/>
    <w:rsid w:val="005F7BA6"/>
    <w:rsid w:val="006121E7"/>
    <w:rsid w:val="00614B71"/>
    <w:rsid w:val="006160C9"/>
    <w:rsid w:val="0062321F"/>
    <w:rsid w:val="006239D2"/>
    <w:rsid w:val="00630E99"/>
    <w:rsid w:val="00633B25"/>
    <w:rsid w:val="006365BE"/>
    <w:rsid w:val="00637141"/>
    <w:rsid w:val="0064341F"/>
    <w:rsid w:val="0064768A"/>
    <w:rsid w:val="00647CFC"/>
    <w:rsid w:val="00653212"/>
    <w:rsid w:val="00655DCD"/>
    <w:rsid w:val="0066504C"/>
    <w:rsid w:val="00667943"/>
    <w:rsid w:val="00675D7C"/>
    <w:rsid w:val="006802D4"/>
    <w:rsid w:val="00693C9D"/>
    <w:rsid w:val="00696E09"/>
    <w:rsid w:val="006A37A0"/>
    <w:rsid w:val="006A6453"/>
    <w:rsid w:val="006B00F0"/>
    <w:rsid w:val="006B059B"/>
    <w:rsid w:val="006B17B9"/>
    <w:rsid w:val="006B2A1B"/>
    <w:rsid w:val="006B3079"/>
    <w:rsid w:val="006B5DBE"/>
    <w:rsid w:val="006B5FAE"/>
    <w:rsid w:val="006C6F92"/>
    <w:rsid w:val="006D0263"/>
    <w:rsid w:val="006D13B8"/>
    <w:rsid w:val="006E1099"/>
    <w:rsid w:val="006E4231"/>
    <w:rsid w:val="006F051E"/>
    <w:rsid w:val="006F667B"/>
    <w:rsid w:val="007147F8"/>
    <w:rsid w:val="00717E50"/>
    <w:rsid w:val="007207FF"/>
    <w:rsid w:val="00723032"/>
    <w:rsid w:val="007246E1"/>
    <w:rsid w:val="0073473B"/>
    <w:rsid w:val="007350D8"/>
    <w:rsid w:val="0073716A"/>
    <w:rsid w:val="0074002E"/>
    <w:rsid w:val="00746564"/>
    <w:rsid w:val="00747E43"/>
    <w:rsid w:val="007509BA"/>
    <w:rsid w:val="00754449"/>
    <w:rsid w:val="00761EBA"/>
    <w:rsid w:val="00762E77"/>
    <w:rsid w:val="00767E16"/>
    <w:rsid w:val="00767E80"/>
    <w:rsid w:val="00772AEE"/>
    <w:rsid w:val="0077763F"/>
    <w:rsid w:val="007A5FE8"/>
    <w:rsid w:val="007A66B7"/>
    <w:rsid w:val="007B09A2"/>
    <w:rsid w:val="007B2712"/>
    <w:rsid w:val="007B55BD"/>
    <w:rsid w:val="007B55C3"/>
    <w:rsid w:val="007C0746"/>
    <w:rsid w:val="007C32AD"/>
    <w:rsid w:val="007D16C9"/>
    <w:rsid w:val="007D4A0B"/>
    <w:rsid w:val="007D64BF"/>
    <w:rsid w:val="007D7A58"/>
    <w:rsid w:val="007E5E92"/>
    <w:rsid w:val="007E686C"/>
    <w:rsid w:val="007E757B"/>
    <w:rsid w:val="00813ADA"/>
    <w:rsid w:val="008145C0"/>
    <w:rsid w:val="008167EF"/>
    <w:rsid w:val="00822796"/>
    <w:rsid w:val="008260D0"/>
    <w:rsid w:val="00826E86"/>
    <w:rsid w:val="00836588"/>
    <w:rsid w:val="00836C5A"/>
    <w:rsid w:val="00845D40"/>
    <w:rsid w:val="00855319"/>
    <w:rsid w:val="008555D3"/>
    <w:rsid w:val="00865CB6"/>
    <w:rsid w:val="008712B6"/>
    <w:rsid w:val="00887AD3"/>
    <w:rsid w:val="00893C9B"/>
    <w:rsid w:val="00897311"/>
    <w:rsid w:val="008A0F12"/>
    <w:rsid w:val="008A5073"/>
    <w:rsid w:val="008A56F8"/>
    <w:rsid w:val="008A6543"/>
    <w:rsid w:val="008B08DE"/>
    <w:rsid w:val="008B4E72"/>
    <w:rsid w:val="008C0968"/>
    <w:rsid w:val="008D7C5F"/>
    <w:rsid w:val="008F06AF"/>
    <w:rsid w:val="008F1066"/>
    <w:rsid w:val="00902139"/>
    <w:rsid w:val="00904488"/>
    <w:rsid w:val="00904A12"/>
    <w:rsid w:val="0091063F"/>
    <w:rsid w:val="00915A61"/>
    <w:rsid w:val="009272EE"/>
    <w:rsid w:val="00940C80"/>
    <w:rsid w:val="00942BA3"/>
    <w:rsid w:val="00944F04"/>
    <w:rsid w:val="00952350"/>
    <w:rsid w:val="009534B1"/>
    <w:rsid w:val="00963A4B"/>
    <w:rsid w:val="009647AE"/>
    <w:rsid w:val="0097262C"/>
    <w:rsid w:val="00972F59"/>
    <w:rsid w:val="00983143"/>
    <w:rsid w:val="00983973"/>
    <w:rsid w:val="009847B0"/>
    <w:rsid w:val="00991954"/>
    <w:rsid w:val="00992F13"/>
    <w:rsid w:val="009A4AB0"/>
    <w:rsid w:val="009B0EC4"/>
    <w:rsid w:val="009B27ED"/>
    <w:rsid w:val="009B2F0A"/>
    <w:rsid w:val="009B338F"/>
    <w:rsid w:val="009B43A6"/>
    <w:rsid w:val="009C212E"/>
    <w:rsid w:val="009D2123"/>
    <w:rsid w:val="009D5425"/>
    <w:rsid w:val="009F2488"/>
    <w:rsid w:val="00A15A39"/>
    <w:rsid w:val="00A20443"/>
    <w:rsid w:val="00A22F5A"/>
    <w:rsid w:val="00A2310C"/>
    <w:rsid w:val="00A2767F"/>
    <w:rsid w:val="00A30AD2"/>
    <w:rsid w:val="00A3335C"/>
    <w:rsid w:val="00A337E9"/>
    <w:rsid w:val="00A44B62"/>
    <w:rsid w:val="00A44D6D"/>
    <w:rsid w:val="00A5076A"/>
    <w:rsid w:val="00A528DE"/>
    <w:rsid w:val="00A537B9"/>
    <w:rsid w:val="00A53B13"/>
    <w:rsid w:val="00A56F7F"/>
    <w:rsid w:val="00A630A3"/>
    <w:rsid w:val="00A64902"/>
    <w:rsid w:val="00A66DC3"/>
    <w:rsid w:val="00A72E23"/>
    <w:rsid w:val="00A84EDE"/>
    <w:rsid w:val="00A86D1B"/>
    <w:rsid w:val="00A86D28"/>
    <w:rsid w:val="00A87CD0"/>
    <w:rsid w:val="00A967EF"/>
    <w:rsid w:val="00AA38B2"/>
    <w:rsid w:val="00AA5B02"/>
    <w:rsid w:val="00AB3341"/>
    <w:rsid w:val="00AC041E"/>
    <w:rsid w:val="00AC3448"/>
    <w:rsid w:val="00AC5D62"/>
    <w:rsid w:val="00AC7F8A"/>
    <w:rsid w:val="00AD0B85"/>
    <w:rsid w:val="00AD0F30"/>
    <w:rsid w:val="00AD4889"/>
    <w:rsid w:val="00AE0253"/>
    <w:rsid w:val="00AE495D"/>
    <w:rsid w:val="00AE68CE"/>
    <w:rsid w:val="00AE781F"/>
    <w:rsid w:val="00AF0886"/>
    <w:rsid w:val="00B0421F"/>
    <w:rsid w:val="00B1337E"/>
    <w:rsid w:val="00B14E50"/>
    <w:rsid w:val="00B169F5"/>
    <w:rsid w:val="00B225AD"/>
    <w:rsid w:val="00B22FD0"/>
    <w:rsid w:val="00B23424"/>
    <w:rsid w:val="00B31F40"/>
    <w:rsid w:val="00B3429C"/>
    <w:rsid w:val="00B35E93"/>
    <w:rsid w:val="00B40A41"/>
    <w:rsid w:val="00B4698E"/>
    <w:rsid w:val="00B46F1C"/>
    <w:rsid w:val="00B502CB"/>
    <w:rsid w:val="00B5091F"/>
    <w:rsid w:val="00B56989"/>
    <w:rsid w:val="00B61C71"/>
    <w:rsid w:val="00B627AB"/>
    <w:rsid w:val="00B63D22"/>
    <w:rsid w:val="00B84212"/>
    <w:rsid w:val="00B91D46"/>
    <w:rsid w:val="00B92AAC"/>
    <w:rsid w:val="00B931F1"/>
    <w:rsid w:val="00B93473"/>
    <w:rsid w:val="00BA2227"/>
    <w:rsid w:val="00BA605B"/>
    <w:rsid w:val="00BA6147"/>
    <w:rsid w:val="00BB1A41"/>
    <w:rsid w:val="00BB45AB"/>
    <w:rsid w:val="00BB76E0"/>
    <w:rsid w:val="00BC193C"/>
    <w:rsid w:val="00BC5130"/>
    <w:rsid w:val="00BD52F7"/>
    <w:rsid w:val="00BE2E59"/>
    <w:rsid w:val="00BE37D2"/>
    <w:rsid w:val="00BF5ACF"/>
    <w:rsid w:val="00BF7533"/>
    <w:rsid w:val="00BF79E9"/>
    <w:rsid w:val="00C03A96"/>
    <w:rsid w:val="00C1159C"/>
    <w:rsid w:val="00C11BAF"/>
    <w:rsid w:val="00C131E7"/>
    <w:rsid w:val="00C160A7"/>
    <w:rsid w:val="00C23205"/>
    <w:rsid w:val="00C31CB6"/>
    <w:rsid w:val="00C34FB4"/>
    <w:rsid w:val="00C3515A"/>
    <w:rsid w:val="00C35C98"/>
    <w:rsid w:val="00C43D97"/>
    <w:rsid w:val="00C46C02"/>
    <w:rsid w:val="00C51B9A"/>
    <w:rsid w:val="00C51BDE"/>
    <w:rsid w:val="00C52415"/>
    <w:rsid w:val="00C52863"/>
    <w:rsid w:val="00C52D14"/>
    <w:rsid w:val="00C5718B"/>
    <w:rsid w:val="00C57D03"/>
    <w:rsid w:val="00C64A5C"/>
    <w:rsid w:val="00C72625"/>
    <w:rsid w:val="00C75ED0"/>
    <w:rsid w:val="00C85933"/>
    <w:rsid w:val="00C86A23"/>
    <w:rsid w:val="00C91D85"/>
    <w:rsid w:val="00C959CC"/>
    <w:rsid w:val="00CA6D53"/>
    <w:rsid w:val="00CB12C4"/>
    <w:rsid w:val="00CB1713"/>
    <w:rsid w:val="00CB1C71"/>
    <w:rsid w:val="00CC34B8"/>
    <w:rsid w:val="00CD1C11"/>
    <w:rsid w:val="00CD22F5"/>
    <w:rsid w:val="00CD3F6F"/>
    <w:rsid w:val="00CE2735"/>
    <w:rsid w:val="00CF1A08"/>
    <w:rsid w:val="00CF4437"/>
    <w:rsid w:val="00CF5F50"/>
    <w:rsid w:val="00CF7F33"/>
    <w:rsid w:val="00D0233B"/>
    <w:rsid w:val="00D03180"/>
    <w:rsid w:val="00D10A21"/>
    <w:rsid w:val="00D12B73"/>
    <w:rsid w:val="00D1355A"/>
    <w:rsid w:val="00D13C82"/>
    <w:rsid w:val="00D142E2"/>
    <w:rsid w:val="00D3273D"/>
    <w:rsid w:val="00D41849"/>
    <w:rsid w:val="00D45BAD"/>
    <w:rsid w:val="00D45FBA"/>
    <w:rsid w:val="00D46492"/>
    <w:rsid w:val="00D53287"/>
    <w:rsid w:val="00D548EA"/>
    <w:rsid w:val="00D5697A"/>
    <w:rsid w:val="00D6265D"/>
    <w:rsid w:val="00D67407"/>
    <w:rsid w:val="00D67DD3"/>
    <w:rsid w:val="00D71CD3"/>
    <w:rsid w:val="00D72EA0"/>
    <w:rsid w:val="00D80BB2"/>
    <w:rsid w:val="00D8279E"/>
    <w:rsid w:val="00D9289D"/>
    <w:rsid w:val="00D95C7C"/>
    <w:rsid w:val="00DA4112"/>
    <w:rsid w:val="00DB2B9F"/>
    <w:rsid w:val="00DC0631"/>
    <w:rsid w:val="00DC3551"/>
    <w:rsid w:val="00DD1DA2"/>
    <w:rsid w:val="00DD30C3"/>
    <w:rsid w:val="00DD3776"/>
    <w:rsid w:val="00DD3D84"/>
    <w:rsid w:val="00DE0075"/>
    <w:rsid w:val="00DE0D12"/>
    <w:rsid w:val="00DE2D23"/>
    <w:rsid w:val="00DF7AA2"/>
    <w:rsid w:val="00E02F25"/>
    <w:rsid w:val="00E0756F"/>
    <w:rsid w:val="00E11CE3"/>
    <w:rsid w:val="00E167E8"/>
    <w:rsid w:val="00E22C9A"/>
    <w:rsid w:val="00E234C4"/>
    <w:rsid w:val="00E25070"/>
    <w:rsid w:val="00E254BE"/>
    <w:rsid w:val="00E42382"/>
    <w:rsid w:val="00E42E41"/>
    <w:rsid w:val="00E478BC"/>
    <w:rsid w:val="00E56AF4"/>
    <w:rsid w:val="00E61420"/>
    <w:rsid w:val="00E71DA9"/>
    <w:rsid w:val="00E75695"/>
    <w:rsid w:val="00E775BF"/>
    <w:rsid w:val="00E802F0"/>
    <w:rsid w:val="00E85972"/>
    <w:rsid w:val="00E85CF0"/>
    <w:rsid w:val="00E91CA3"/>
    <w:rsid w:val="00E94EE8"/>
    <w:rsid w:val="00E96250"/>
    <w:rsid w:val="00E96A14"/>
    <w:rsid w:val="00EA4356"/>
    <w:rsid w:val="00EA65F3"/>
    <w:rsid w:val="00EB1345"/>
    <w:rsid w:val="00EB67A7"/>
    <w:rsid w:val="00EC21AA"/>
    <w:rsid w:val="00ED0716"/>
    <w:rsid w:val="00ED5DD7"/>
    <w:rsid w:val="00ED7D4A"/>
    <w:rsid w:val="00EE020C"/>
    <w:rsid w:val="00EE49DC"/>
    <w:rsid w:val="00EE7B79"/>
    <w:rsid w:val="00EF49B6"/>
    <w:rsid w:val="00EF5066"/>
    <w:rsid w:val="00EF55B2"/>
    <w:rsid w:val="00F01031"/>
    <w:rsid w:val="00F01C7C"/>
    <w:rsid w:val="00F02A58"/>
    <w:rsid w:val="00F12579"/>
    <w:rsid w:val="00F24E98"/>
    <w:rsid w:val="00F327A7"/>
    <w:rsid w:val="00F329C3"/>
    <w:rsid w:val="00F34198"/>
    <w:rsid w:val="00F41172"/>
    <w:rsid w:val="00F423F9"/>
    <w:rsid w:val="00F42A26"/>
    <w:rsid w:val="00F42AEC"/>
    <w:rsid w:val="00F43A03"/>
    <w:rsid w:val="00F43A67"/>
    <w:rsid w:val="00F45A15"/>
    <w:rsid w:val="00F534B8"/>
    <w:rsid w:val="00F562B0"/>
    <w:rsid w:val="00F636D8"/>
    <w:rsid w:val="00F72C85"/>
    <w:rsid w:val="00F76985"/>
    <w:rsid w:val="00F8178F"/>
    <w:rsid w:val="00F81804"/>
    <w:rsid w:val="00F82C78"/>
    <w:rsid w:val="00F82CF7"/>
    <w:rsid w:val="00F84302"/>
    <w:rsid w:val="00F85D02"/>
    <w:rsid w:val="00F93401"/>
    <w:rsid w:val="00FA62C6"/>
    <w:rsid w:val="00FA6B6B"/>
    <w:rsid w:val="00FB7241"/>
    <w:rsid w:val="00FC015A"/>
    <w:rsid w:val="00FC2030"/>
    <w:rsid w:val="00FC3CE9"/>
    <w:rsid w:val="00FD2D00"/>
    <w:rsid w:val="00FD6D1E"/>
    <w:rsid w:val="00FD7ADD"/>
    <w:rsid w:val="00FE158D"/>
    <w:rsid w:val="00FE173F"/>
    <w:rsid w:val="00FF54C7"/>
    <w:rsid w:val="00FF77A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docId w15:val="{77AA33B2-37E8-46D8-A795-A588BA57F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595D"/>
    <w:pPr>
      <w:spacing w:after="0" w:line="240" w:lineRule="auto"/>
    </w:pPr>
    <w:rPr>
      <w:rFonts w:ascii="Calibri" w:hAnsi="Calibri" w:cs="Times New Roman"/>
    </w:rPr>
  </w:style>
  <w:style w:type="paragraph" w:styleId="Titre1">
    <w:name w:val="heading 1"/>
    <w:basedOn w:val="Normal"/>
    <w:next w:val="Normal"/>
    <w:link w:val="Titre1Car"/>
    <w:autoRedefine/>
    <w:uiPriority w:val="9"/>
    <w:qFormat/>
    <w:rsid w:val="00EA65F3"/>
    <w:pPr>
      <w:widowControl w:val="0"/>
      <w:suppressAutoHyphens/>
      <w:spacing w:after="120"/>
      <w:jc w:val="both"/>
      <w:outlineLvl w:val="0"/>
    </w:pPr>
    <w:rPr>
      <w:rFonts w:eastAsiaTheme="majorEastAsia" w:cstheme="majorBidi"/>
      <w:b/>
      <w:bCs/>
      <w:sz w:val="32"/>
      <w:szCs w:val="28"/>
      <w:lang w:val="fr-CH"/>
    </w:rPr>
  </w:style>
  <w:style w:type="paragraph" w:styleId="Titre2">
    <w:name w:val="heading 2"/>
    <w:basedOn w:val="Normal"/>
    <w:next w:val="Normal"/>
    <w:link w:val="Titre2Car"/>
    <w:autoRedefine/>
    <w:uiPriority w:val="9"/>
    <w:unhideWhenUsed/>
    <w:qFormat/>
    <w:rsid w:val="00D9289D"/>
    <w:pPr>
      <w:keepNext/>
      <w:keepLines/>
      <w:widowControl w:val="0"/>
      <w:numPr>
        <w:numId w:val="14"/>
      </w:numPr>
      <w:suppressAutoHyphens/>
      <w:spacing w:after="120"/>
      <w:jc w:val="both"/>
      <w:outlineLvl w:val="1"/>
    </w:pPr>
    <w:rPr>
      <w:b/>
      <w:sz w:val="28"/>
      <w:szCs w:val="26"/>
      <w:lang w:val="fr-CH"/>
    </w:rPr>
  </w:style>
  <w:style w:type="paragraph" w:styleId="Titre3">
    <w:name w:val="heading 3"/>
    <w:basedOn w:val="Normal"/>
    <w:next w:val="Normal"/>
    <w:link w:val="Titre3Car"/>
    <w:autoRedefine/>
    <w:uiPriority w:val="9"/>
    <w:unhideWhenUsed/>
    <w:qFormat/>
    <w:rsid w:val="001A03D9"/>
    <w:pPr>
      <w:widowControl w:val="0"/>
      <w:suppressAutoHyphens/>
      <w:spacing w:after="120"/>
      <w:ind w:left="851"/>
      <w:jc w:val="both"/>
      <w:outlineLvl w:val="2"/>
    </w:pPr>
    <w:rPr>
      <w:rFonts w:eastAsiaTheme="majorEastAsia" w:cstheme="majorBidi"/>
      <w:b/>
      <w:bCs/>
      <w:sz w:val="24"/>
      <w:lang w:val="fr-CH"/>
    </w:rPr>
  </w:style>
  <w:style w:type="paragraph" w:styleId="Titre4">
    <w:name w:val="heading 4"/>
    <w:basedOn w:val="Normal"/>
    <w:next w:val="Normal"/>
    <w:link w:val="Titre4Car"/>
    <w:autoRedefine/>
    <w:uiPriority w:val="9"/>
    <w:unhideWhenUsed/>
    <w:qFormat/>
    <w:rsid w:val="00DB2B9F"/>
    <w:pPr>
      <w:widowControl w:val="0"/>
      <w:suppressAutoHyphens/>
      <w:spacing w:after="120"/>
      <w:ind w:left="1276"/>
      <w:jc w:val="both"/>
      <w:outlineLvl w:val="3"/>
    </w:pPr>
    <w:rPr>
      <w:rFonts w:asciiTheme="majorHAnsi" w:eastAsia="Times New Roman" w:hAnsiTheme="majorHAnsi" w:cstheme="majorBidi"/>
      <w:b/>
      <w:bCs/>
      <w:i/>
      <w:iCs/>
      <w:lang w:val="fr-CH" w:eastAsia="fr-FR"/>
    </w:rPr>
  </w:style>
  <w:style w:type="paragraph" w:styleId="Titre5">
    <w:name w:val="heading 5"/>
    <w:basedOn w:val="Normal"/>
    <w:next w:val="Normal"/>
    <w:link w:val="Titre5Car"/>
    <w:uiPriority w:val="9"/>
    <w:unhideWhenUsed/>
    <w:qFormat/>
    <w:rsid w:val="00230666"/>
    <w:pPr>
      <w:keepNext/>
      <w:keepLines/>
      <w:spacing w:before="20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A65F3"/>
    <w:rPr>
      <w:rFonts w:ascii="Calibri" w:eastAsiaTheme="majorEastAsia" w:hAnsi="Calibri" w:cstheme="majorBidi"/>
      <w:b/>
      <w:bCs/>
      <w:sz w:val="32"/>
      <w:szCs w:val="28"/>
      <w:lang w:val="fr-CH"/>
    </w:rPr>
  </w:style>
  <w:style w:type="character" w:customStyle="1" w:styleId="Titre2Car">
    <w:name w:val="Titre 2 Car"/>
    <w:basedOn w:val="Policepardfaut"/>
    <w:link w:val="Titre2"/>
    <w:uiPriority w:val="9"/>
    <w:rsid w:val="00D9289D"/>
    <w:rPr>
      <w:rFonts w:ascii="Calibri" w:hAnsi="Calibri" w:cs="Times New Roman"/>
      <w:b/>
      <w:sz w:val="28"/>
      <w:szCs w:val="26"/>
      <w:lang w:val="fr-CH"/>
    </w:rPr>
  </w:style>
  <w:style w:type="character" w:customStyle="1" w:styleId="Titre3Car">
    <w:name w:val="Titre 3 Car"/>
    <w:basedOn w:val="Policepardfaut"/>
    <w:link w:val="Titre3"/>
    <w:uiPriority w:val="9"/>
    <w:rsid w:val="001A03D9"/>
    <w:rPr>
      <w:rFonts w:ascii="Calibri" w:eastAsiaTheme="majorEastAsia" w:hAnsi="Calibri" w:cstheme="majorBidi"/>
      <w:b/>
      <w:bCs/>
      <w:sz w:val="24"/>
      <w:lang w:val="fr-CH"/>
    </w:rPr>
  </w:style>
  <w:style w:type="character" w:customStyle="1" w:styleId="Titre4Car">
    <w:name w:val="Titre 4 Car"/>
    <w:basedOn w:val="Policepardfaut"/>
    <w:link w:val="Titre4"/>
    <w:uiPriority w:val="9"/>
    <w:rsid w:val="00DB2B9F"/>
    <w:rPr>
      <w:rFonts w:asciiTheme="majorHAnsi" w:eastAsia="Times New Roman" w:hAnsiTheme="majorHAnsi" w:cstheme="majorBidi"/>
      <w:b/>
      <w:bCs/>
      <w:i/>
      <w:iCs/>
      <w:lang w:val="fr-CH" w:eastAsia="fr-FR"/>
    </w:rPr>
  </w:style>
  <w:style w:type="character" w:customStyle="1" w:styleId="Titre5Car">
    <w:name w:val="Titre 5 Car"/>
    <w:basedOn w:val="Policepardfaut"/>
    <w:link w:val="Titre5"/>
    <w:uiPriority w:val="9"/>
    <w:rsid w:val="00230666"/>
    <w:rPr>
      <w:rFonts w:asciiTheme="majorHAnsi" w:eastAsiaTheme="majorEastAsia" w:hAnsiTheme="majorHAnsi" w:cstheme="majorBidi"/>
      <w:color w:val="243F60" w:themeColor="accent1" w:themeShade="7F"/>
    </w:rPr>
  </w:style>
  <w:style w:type="paragraph" w:styleId="Notedebasdepage">
    <w:name w:val="footnote text"/>
    <w:aliases w:val="ALTS FOOTNOTE,fn,single space,FOOTNOTES,Fodnotetekst Tegn,Footnote Text1,footnote text Char,Fodnotetekst Tegn Char,single space Char,footnote text Char Char Char,Fodnotetekst Tegn Char1,single space Char1,footnote text Char Char1,ADB"/>
    <w:basedOn w:val="Normal"/>
    <w:link w:val="NotedebasdepageCar"/>
    <w:uiPriority w:val="99"/>
    <w:unhideWhenUsed/>
    <w:rsid w:val="00214AEC"/>
    <w:rPr>
      <w:sz w:val="20"/>
      <w:szCs w:val="20"/>
    </w:rPr>
  </w:style>
  <w:style w:type="character" w:customStyle="1" w:styleId="NotedebasdepageCar">
    <w:name w:val="Note de bas de page Car"/>
    <w:aliases w:val="ALTS FOOTNOTE Car,fn Car,single space Car,FOOTNOTES Car,Fodnotetekst Tegn Car,Footnote Text1 Car,footnote text Char Car,Fodnotetekst Tegn Char Car,single space Char Car,footnote text Char Char Char Car,Fodnotetekst Tegn Char1 Car"/>
    <w:basedOn w:val="Policepardfaut"/>
    <w:link w:val="Notedebasdepage"/>
    <w:uiPriority w:val="99"/>
    <w:rsid w:val="00214AEC"/>
    <w:rPr>
      <w:rFonts w:ascii="Calibri" w:hAnsi="Calibri" w:cs="Times New Roman"/>
      <w:sz w:val="20"/>
      <w:szCs w:val="20"/>
    </w:rPr>
  </w:style>
  <w:style w:type="character" w:styleId="Appelnotedebasdep">
    <w:name w:val="footnote reference"/>
    <w:aliases w:val="Car Car Char Car Char Car Car Char Car Char Char,Car Car Car Car Car Car Car Car Char Car Car Char Car Car Car Char Car Char Char Char,ftref,BVI fnr, Car Car Char Car Char Car Car Char Car Char Char,16 Point,Superscript 6 Point"/>
    <w:basedOn w:val="Policepardfaut"/>
    <w:uiPriority w:val="99"/>
    <w:unhideWhenUsed/>
    <w:rsid w:val="00214AEC"/>
    <w:rPr>
      <w:vertAlign w:val="superscript"/>
    </w:rPr>
  </w:style>
  <w:style w:type="paragraph" w:styleId="Sansinterligne">
    <w:name w:val="No Spacing"/>
    <w:link w:val="SansinterligneCar"/>
    <w:uiPriority w:val="1"/>
    <w:qFormat/>
    <w:rsid w:val="008D7C5F"/>
    <w:pPr>
      <w:spacing w:after="0" w:line="240" w:lineRule="auto"/>
    </w:pPr>
    <w:rPr>
      <w:rFonts w:ascii="Calibri" w:hAnsi="Calibri" w:cs="Times New Roman"/>
    </w:rPr>
  </w:style>
  <w:style w:type="character" w:styleId="Lienhypertexte">
    <w:name w:val="Hyperlink"/>
    <w:basedOn w:val="Policepardfaut"/>
    <w:uiPriority w:val="99"/>
    <w:unhideWhenUsed/>
    <w:rsid w:val="00A56F7F"/>
    <w:rPr>
      <w:color w:val="0000FF" w:themeColor="hyperlink"/>
      <w:u w:val="single"/>
    </w:rPr>
  </w:style>
  <w:style w:type="paragraph" w:styleId="Paragraphedeliste">
    <w:name w:val="List Paragraph"/>
    <w:aliases w:val="Titre1"/>
    <w:basedOn w:val="Normal"/>
    <w:link w:val="ParagraphedelisteCar"/>
    <w:uiPriority w:val="34"/>
    <w:qFormat/>
    <w:rsid w:val="00A56F7F"/>
    <w:pPr>
      <w:spacing w:after="200" w:line="276" w:lineRule="auto"/>
      <w:ind w:left="720"/>
      <w:contextualSpacing/>
    </w:pPr>
    <w:rPr>
      <w:rFonts w:asciiTheme="minorHAnsi" w:hAnsiTheme="minorHAnsi" w:cstheme="minorBidi"/>
    </w:rPr>
  </w:style>
  <w:style w:type="character" w:styleId="Emphaseintense">
    <w:name w:val="Intense Emphasis"/>
    <w:basedOn w:val="Policepardfaut"/>
    <w:uiPriority w:val="21"/>
    <w:qFormat/>
    <w:rsid w:val="000F4A2B"/>
    <w:rPr>
      <w:b/>
      <w:bCs/>
      <w:i/>
      <w:iCs/>
      <w:color w:val="4F81BD" w:themeColor="accent1"/>
    </w:rPr>
  </w:style>
  <w:style w:type="character" w:styleId="Accentuation">
    <w:name w:val="Emphasis"/>
    <w:basedOn w:val="Policepardfaut"/>
    <w:uiPriority w:val="20"/>
    <w:qFormat/>
    <w:rsid w:val="000F4A2B"/>
    <w:rPr>
      <w:i/>
      <w:iCs/>
    </w:rPr>
  </w:style>
  <w:style w:type="character" w:customStyle="1" w:styleId="SansinterligneCar">
    <w:name w:val="Sans interligne Car"/>
    <w:basedOn w:val="Policepardfaut"/>
    <w:link w:val="Sansinterligne"/>
    <w:uiPriority w:val="1"/>
    <w:rsid w:val="007E5E92"/>
    <w:rPr>
      <w:rFonts w:ascii="Calibri" w:hAnsi="Calibri" w:cs="Times New Roman"/>
    </w:rPr>
  </w:style>
  <w:style w:type="character" w:customStyle="1" w:styleId="ParagraphedelisteCar">
    <w:name w:val="Paragraphe de liste Car"/>
    <w:aliases w:val="Titre1 Car"/>
    <w:basedOn w:val="Policepardfaut"/>
    <w:link w:val="Paragraphedeliste"/>
    <w:locked/>
    <w:rsid w:val="007E5E92"/>
  </w:style>
  <w:style w:type="paragraph" w:styleId="Textedebulles">
    <w:name w:val="Balloon Text"/>
    <w:basedOn w:val="Normal"/>
    <w:link w:val="TextedebullesCar"/>
    <w:uiPriority w:val="99"/>
    <w:semiHidden/>
    <w:unhideWhenUsed/>
    <w:rsid w:val="007E5E92"/>
    <w:rPr>
      <w:rFonts w:ascii="Tahoma" w:hAnsi="Tahoma" w:cs="Tahoma"/>
      <w:sz w:val="16"/>
      <w:szCs w:val="16"/>
    </w:rPr>
  </w:style>
  <w:style w:type="character" w:customStyle="1" w:styleId="TextedebullesCar">
    <w:name w:val="Texte de bulles Car"/>
    <w:basedOn w:val="Policepardfaut"/>
    <w:link w:val="Textedebulles"/>
    <w:uiPriority w:val="99"/>
    <w:semiHidden/>
    <w:rsid w:val="007E5E92"/>
    <w:rPr>
      <w:rFonts w:ascii="Tahoma" w:hAnsi="Tahoma" w:cs="Tahoma"/>
      <w:sz w:val="16"/>
      <w:szCs w:val="16"/>
    </w:rPr>
  </w:style>
  <w:style w:type="paragraph" w:styleId="En-ttedetabledesmatires">
    <w:name w:val="TOC Heading"/>
    <w:basedOn w:val="Titre1"/>
    <w:next w:val="Normal"/>
    <w:uiPriority w:val="39"/>
    <w:semiHidden/>
    <w:unhideWhenUsed/>
    <w:qFormat/>
    <w:rsid w:val="00A86D28"/>
    <w:pPr>
      <w:spacing w:line="276" w:lineRule="auto"/>
      <w:outlineLvl w:val="9"/>
    </w:pPr>
    <w:rPr>
      <w:lang w:eastAsia="fr-FR"/>
    </w:rPr>
  </w:style>
  <w:style w:type="paragraph" w:styleId="TM1">
    <w:name w:val="toc 1"/>
    <w:basedOn w:val="Normal"/>
    <w:next w:val="Normal"/>
    <w:autoRedefine/>
    <w:uiPriority w:val="39"/>
    <w:unhideWhenUsed/>
    <w:rsid w:val="00F02A58"/>
    <w:pPr>
      <w:tabs>
        <w:tab w:val="left" w:pos="440"/>
        <w:tab w:val="right" w:leader="dot" w:pos="9062"/>
      </w:tabs>
      <w:spacing w:after="100"/>
      <w:jc w:val="both"/>
    </w:pPr>
  </w:style>
  <w:style w:type="paragraph" w:styleId="TM2">
    <w:name w:val="toc 2"/>
    <w:basedOn w:val="Normal"/>
    <w:next w:val="Normal"/>
    <w:autoRedefine/>
    <w:uiPriority w:val="39"/>
    <w:unhideWhenUsed/>
    <w:rsid w:val="00E234C4"/>
    <w:pPr>
      <w:tabs>
        <w:tab w:val="left" w:pos="660"/>
        <w:tab w:val="right" w:leader="dot" w:pos="9062"/>
      </w:tabs>
      <w:spacing w:after="100"/>
      <w:ind w:left="220"/>
      <w:jc w:val="both"/>
    </w:pPr>
  </w:style>
  <w:style w:type="paragraph" w:styleId="TM3">
    <w:name w:val="toc 3"/>
    <w:basedOn w:val="Normal"/>
    <w:next w:val="Normal"/>
    <w:autoRedefine/>
    <w:uiPriority w:val="39"/>
    <w:unhideWhenUsed/>
    <w:rsid w:val="007B55C3"/>
    <w:pPr>
      <w:tabs>
        <w:tab w:val="left" w:pos="709"/>
        <w:tab w:val="right" w:leader="dot" w:pos="9062"/>
      </w:tabs>
      <w:spacing w:after="100"/>
      <w:ind w:left="440"/>
    </w:pPr>
  </w:style>
  <w:style w:type="paragraph" w:styleId="En-tte">
    <w:name w:val="header"/>
    <w:basedOn w:val="Normal"/>
    <w:link w:val="En-tteCar"/>
    <w:uiPriority w:val="99"/>
    <w:unhideWhenUsed/>
    <w:rsid w:val="00C86A23"/>
    <w:pPr>
      <w:tabs>
        <w:tab w:val="center" w:pos="4536"/>
        <w:tab w:val="right" w:pos="9072"/>
      </w:tabs>
    </w:pPr>
  </w:style>
  <w:style w:type="character" w:customStyle="1" w:styleId="En-tteCar">
    <w:name w:val="En-tête Car"/>
    <w:basedOn w:val="Policepardfaut"/>
    <w:link w:val="En-tte"/>
    <w:uiPriority w:val="99"/>
    <w:rsid w:val="00C86A23"/>
    <w:rPr>
      <w:rFonts w:ascii="Calibri" w:hAnsi="Calibri" w:cs="Times New Roman"/>
    </w:rPr>
  </w:style>
  <w:style w:type="paragraph" w:styleId="Pieddepage">
    <w:name w:val="footer"/>
    <w:basedOn w:val="Normal"/>
    <w:link w:val="PieddepageCar"/>
    <w:uiPriority w:val="99"/>
    <w:unhideWhenUsed/>
    <w:rsid w:val="00C86A23"/>
    <w:pPr>
      <w:tabs>
        <w:tab w:val="center" w:pos="4536"/>
        <w:tab w:val="right" w:pos="9072"/>
      </w:tabs>
    </w:pPr>
  </w:style>
  <w:style w:type="character" w:customStyle="1" w:styleId="PieddepageCar">
    <w:name w:val="Pied de page Car"/>
    <w:basedOn w:val="Policepardfaut"/>
    <w:link w:val="Pieddepage"/>
    <w:uiPriority w:val="99"/>
    <w:rsid w:val="00C86A23"/>
    <w:rPr>
      <w:rFonts w:ascii="Calibri" w:hAnsi="Calibri" w:cs="Times New Roman"/>
    </w:rPr>
  </w:style>
  <w:style w:type="table" w:styleId="Grilledutableau">
    <w:name w:val="Table Grid"/>
    <w:basedOn w:val="TableauNormal"/>
    <w:uiPriority w:val="39"/>
    <w:rsid w:val="00FB72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eclaire-Accent11">
    <w:name w:val="Liste claire - Accent 11"/>
    <w:basedOn w:val="TableauNormal"/>
    <w:uiPriority w:val="61"/>
    <w:rsid w:val="00FB7241"/>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Marquedecommentaire">
    <w:name w:val="annotation reference"/>
    <w:basedOn w:val="Policepardfaut"/>
    <w:uiPriority w:val="99"/>
    <w:semiHidden/>
    <w:unhideWhenUsed/>
    <w:rsid w:val="00944F04"/>
    <w:rPr>
      <w:sz w:val="16"/>
      <w:szCs w:val="16"/>
    </w:rPr>
  </w:style>
  <w:style w:type="paragraph" w:styleId="Commentaire">
    <w:name w:val="annotation text"/>
    <w:basedOn w:val="Normal"/>
    <w:link w:val="CommentaireCar"/>
    <w:uiPriority w:val="99"/>
    <w:semiHidden/>
    <w:unhideWhenUsed/>
    <w:rsid w:val="00944F04"/>
    <w:rPr>
      <w:sz w:val="20"/>
      <w:szCs w:val="20"/>
    </w:rPr>
  </w:style>
  <w:style w:type="character" w:customStyle="1" w:styleId="CommentaireCar">
    <w:name w:val="Commentaire Car"/>
    <w:basedOn w:val="Policepardfaut"/>
    <w:link w:val="Commentaire"/>
    <w:uiPriority w:val="99"/>
    <w:semiHidden/>
    <w:rsid w:val="00944F04"/>
    <w:rPr>
      <w:rFonts w:ascii="Calibri" w:hAnsi="Calibri" w:cs="Times New Roman"/>
      <w:sz w:val="20"/>
      <w:szCs w:val="20"/>
    </w:rPr>
  </w:style>
  <w:style w:type="paragraph" w:styleId="Objetducommentaire">
    <w:name w:val="annotation subject"/>
    <w:basedOn w:val="Commentaire"/>
    <w:next w:val="Commentaire"/>
    <w:link w:val="ObjetducommentaireCar"/>
    <w:uiPriority w:val="99"/>
    <w:semiHidden/>
    <w:unhideWhenUsed/>
    <w:rsid w:val="00944F04"/>
    <w:rPr>
      <w:b/>
      <w:bCs/>
    </w:rPr>
  </w:style>
  <w:style w:type="character" w:customStyle="1" w:styleId="ObjetducommentaireCar">
    <w:name w:val="Objet du commentaire Car"/>
    <w:basedOn w:val="CommentaireCar"/>
    <w:link w:val="Objetducommentaire"/>
    <w:uiPriority w:val="99"/>
    <w:semiHidden/>
    <w:rsid w:val="00944F04"/>
    <w:rPr>
      <w:rFonts w:ascii="Calibri" w:hAnsi="Calibri" w:cs="Times New Roman"/>
      <w:b/>
      <w:bCs/>
      <w:sz w:val="20"/>
      <w:szCs w:val="20"/>
    </w:rPr>
  </w:style>
  <w:style w:type="table" w:styleId="Listeclaire-Accent5">
    <w:name w:val="Light List Accent 5"/>
    <w:basedOn w:val="TableauNormal"/>
    <w:uiPriority w:val="61"/>
    <w:rsid w:val="00C51BDE"/>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Corpsdetexte2">
    <w:name w:val="Body Text 2"/>
    <w:basedOn w:val="Normal"/>
    <w:link w:val="Corpsdetexte2Car"/>
    <w:unhideWhenUsed/>
    <w:rsid w:val="00904488"/>
    <w:pPr>
      <w:spacing w:after="120" w:line="480" w:lineRule="auto"/>
    </w:pPr>
    <w:rPr>
      <w:rFonts w:eastAsia="Calibri"/>
    </w:rPr>
  </w:style>
  <w:style w:type="character" w:customStyle="1" w:styleId="Corpsdetexte2Car">
    <w:name w:val="Corps de texte 2 Car"/>
    <w:basedOn w:val="Policepardfaut"/>
    <w:link w:val="Corpsdetexte2"/>
    <w:rsid w:val="00904488"/>
    <w:rPr>
      <w:rFonts w:ascii="Calibri" w:eastAsia="Calibri" w:hAnsi="Calibri" w:cs="Times New Roman"/>
    </w:rPr>
  </w:style>
  <w:style w:type="paragraph" w:styleId="Lgende">
    <w:name w:val="caption"/>
    <w:basedOn w:val="Normal"/>
    <w:next w:val="Normal"/>
    <w:uiPriority w:val="35"/>
    <w:unhideWhenUsed/>
    <w:qFormat/>
    <w:rsid w:val="000B4DC9"/>
    <w:pPr>
      <w:spacing w:after="200"/>
    </w:pPr>
    <w:rPr>
      <w:b/>
      <w:bCs/>
      <w:color w:val="4F81BD" w:themeColor="accent1"/>
      <w:sz w:val="18"/>
      <w:szCs w:val="18"/>
    </w:rPr>
  </w:style>
  <w:style w:type="table" w:customStyle="1" w:styleId="LightList-Accent11">
    <w:name w:val="Light List - Accent 11"/>
    <w:basedOn w:val="TableauNormal"/>
    <w:uiPriority w:val="61"/>
    <w:rsid w:val="002E277D"/>
    <w:pPr>
      <w:spacing w:after="0" w:line="240" w:lineRule="auto"/>
    </w:pPr>
    <w:rPr>
      <w:lang w:val="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M4">
    <w:name w:val="toc 4"/>
    <w:basedOn w:val="Normal"/>
    <w:next w:val="Normal"/>
    <w:autoRedefine/>
    <w:uiPriority w:val="39"/>
    <w:unhideWhenUsed/>
    <w:rsid w:val="0073716A"/>
    <w:pPr>
      <w:spacing w:after="100"/>
      <w:ind w:left="660"/>
    </w:pPr>
  </w:style>
  <w:style w:type="paragraph" w:customStyle="1" w:styleId="Default">
    <w:name w:val="Default"/>
    <w:rsid w:val="00312571"/>
    <w:pPr>
      <w:autoSpaceDE w:val="0"/>
      <w:autoSpaceDN w:val="0"/>
      <w:adjustRightInd w:val="0"/>
      <w:spacing w:after="0" w:line="240" w:lineRule="auto"/>
    </w:pPr>
    <w:rPr>
      <w:rFonts w:ascii="Times New Roman" w:hAnsi="Times New Roman" w:cs="Times New Roman"/>
      <w:color w:val="000000"/>
      <w:sz w:val="24"/>
      <w:szCs w:val="24"/>
    </w:rPr>
  </w:style>
  <w:style w:type="table" w:customStyle="1" w:styleId="TableGrid">
    <w:name w:val="TableGrid"/>
    <w:rsid w:val="00A22F5A"/>
    <w:pPr>
      <w:spacing w:after="0" w:line="240" w:lineRule="auto"/>
    </w:pPr>
    <w:rPr>
      <w:rFonts w:eastAsiaTheme="minorEastAsia"/>
      <w:lang w:eastAsia="fr-FR"/>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459323">
      <w:bodyDiv w:val="1"/>
      <w:marLeft w:val="0"/>
      <w:marRight w:val="0"/>
      <w:marTop w:val="0"/>
      <w:marBottom w:val="0"/>
      <w:divBdr>
        <w:top w:val="none" w:sz="0" w:space="0" w:color="auto"/>
        <w:left w:val="none" w:sz="0" w:space="0" w:color="auto"/>
        <w:bottom w:val="none" w:sz="0" w:space="0" w:color="auto"/>
        <w:right w:val="none" w:sz="0" w:space="0" w:color="auto"/>
      </w:divBdr>
    </w:div>
    <w:div w:id="150947856">
      <w:bodyDiv w:val="1"/>
      <w:marLeft w:val="0"/>
      <w:marRight w:val="0"/>
      <w:marTop w:val="0"/>
      <w:marBottom w:val="0"/>
      <w:divBdr>
        <w:top w:val="none" w:sz="0" w:space="0" w:color="auto"/>
        <w:left w:val="none" w:sz="0" w:space="0" w:color="auto"/>
        <w:bottom w:val="none" w:sz="0" w:space="0" w:color="auto"/>
        <w:right w:val="none" w:sz="0" w:space="0" w:color="auto"/>
      </w:divBdr>
    </w:div>
    <w:div w:id="374040175">
      <w:bodyDiv w:val="1"/>
      <w:marLeft w:val="0"/>
      <w:marRight w:val="0"/>
      <w:marTop w:val="0"/>
      <w:marBottom w:val="0"/>
      <w:divBdr>
        <w:top w:val="none" w:sz="0" w:space="0" w:color="auto"/>
        <w:left w:val="none" w:sz="0" w:space="0" w:color="auto"/>
        <w:bottom w:val="none" w:sz="0" w:space="0" w:color="auto"/>
        <w:right w:val="none" w:sz="0" w:space="0" w:color="auto"/>
      </w:divBdr>
    </w:div>
    <w:div w:id="532766686">
      <w:bodyDiv w:val="1"/>
      <w:marLeft w:val="0"/>
      <w:marRight w:val="0"/>
      <w:marTop w:val="0"/>
      <w:marBottom w:val="0"/>
      <w:divBdr>
        <w:top w:val="none" w:sz="0" w:space="0" w:color="auto"/>
        <w:left w:val="none" w:sz="0" w:space="0" w:color="auto"/>
        <w:bottom w:val="none" w:sz="0" w:space="0" w:color="auto"/>
        <w:right w:val="none" w:sz="0" w:space="0" w:color="auto"/>
      </w:divBdr>
    </w:div>
    <w:div w:id="654727999">
      <w:bodyDiv w:val="1"/>
      <w:marLeft w:val="0"/>
      <w:marRight w:val="0"/>
      <w:marTop w:val="0"/>
      <w:marBottom w:val="0"/>
      <w:divBdr>
        <w:top w:val="none" w:sz="0" w:space="0" w:color="auto"/>
        <w:left w:val="none" w:sz="0" w:space="0" w:color="auto"/>
        <w:bottom w:val="none" w:sz="0" w:space="0" w:color="auto"/>
        <w:right w:val="none" w:sz="0" w:space="0" w:color="auto"/>
      </w:divBdr>
    </w:div>
    <w:div w:id="888607895">
      <w:bodyDiv w:val="1"/>
      <w:marLeft w:val="0"/>
      <w:marRight w:val="0"/>
      <w:marTop w:val="0"/>
      <w:marBottom w:val="0"/>
      <w:divBdr>
        <w:top w:val="none" w:sz="0" w:space="0" w:color="auto"/>
        <w:left w:val="none" w:sz="0" w:space="0" w:color="auto"/>
        <w:bottom w:val="none" w:sz="0" w:space="0" w:color="auto"/>
        <w:right w:val="none" w:sz="0" w:space="0" w:color="auto"/>
      </w:divBdr>
    </w:div>
    <w:div w:id="1154251888">
      <w:bodyDiv w:val="1"/>
      <w:marLeft w:val="0"/>
      <w:marRight w:val="0"/>
      <w:marTop w:val="0"/>
      <w:marBottom w:val="0"/>
      <w:divBdr>
        <w:top w:val="none" w:sz="0" w:space="0" w:color="auto"/>
        <w:left w:val="none" w:sz="0" w:space="0" w:color="auto"/>
        <w:bottom w:val="none" w:sz="0" w:space="0" w:color="auto"/>
        <w:right w:val="none" w:sz="0" w:space="0" w:color="auto"/>
      </w:divBdr>
    </w:div>
    <w:div w:id="1265573511">
      <w:bodyDiv w:val="1"/>
      <w:marLeft w:val="0"/>
      <w:marRight w:val="0"/>
      <w:marTop w:val="0"/>
      <w:marBottom w:val="0"/>
      <w:divBdr>
        <w:top w:val="none" w:sz="0" w:space="0" w:color="auto"/>
        <w:left w:val="none" w:sz="0" w:space="0" w:color="auto"/>
        <w:bottom w:val="none" w:sz="0" w:space="0" w:color="auto"/>
        <w:right w:val="none" w:sz="0" w:space="0" w:color="auto"/>
      </w:divBdr>
    </w:div>
    <w:div w:id="1266041942">
      <w:bodyDiv w:val="1"/>
      <w:marLeft w:val="0"/>
      <w:marRight w:val="0"/>
      <w:marTop w:val="0"/>
      <w:marBottom w:val="0"/>
      <w:divBdr>
        <w:top w:val="none" w:sz="0" w:space="0" w:color="auto"/>
        <w:left w:val="none" w:sz="0" w:space="0" w:color="auto"/>
        <w:bottom w:val="none" w:sz="0" w:space="0" w:color="auto"/>
        <w:right w:val="none" w:sz="0" w:space="0" w:color="auto"/>
      </w:divBdr>
    </w:div>
    <w:div w:id="1309095635">
      <w:bodyDiv w:val="1"/>
      <w:marLeft w:val="0"/>
      <w:marRight w:val="0"/>
      <w:marTop w:val="0"/>
      <w:marBottom w:val="0"/>
      <w:divBdr>
        <w:top w:val="none" w:sz="0" w:space="0" w:color="auto"/>
        <w:left w:val="none" w:sz="0" w:space="0" w:color="auto"/>
        <w:bottom w:val="none" w:sz="0" w:space="0" w:color="auto"/>
        <w:right w:val="none" w:sz="0" w:space="0" w:color="auto"/>
      </w:divBdr>
    </w:div>
    <w:div w:id="1615135958">
      <w:bodyDiv w:val="1"/>
      <w:marLeft w:val="0"/>
      <w:marRight w:val="0"/>
      <w:marTop w:val="0"/>
      <w:marBottom w:val="0"/>
      <w:divBdr>
        <w:top w:val="none" w:sz="0" w:space="0" w:color="auto"/>
        <w:left w:val="none" w:sz="0" w:space="0" w:color="auto"/>
        <w:bottom w:val="none" w:sz="0" w:space="0" w:color="auto"/>
        <w:right w:val="none" w:sz="0" w:space="0" w:color="auto"/>
      </w:divBdr>
    </w:div>
    <w:div w:id="1646279716">
      <w:bodyDiv w:val="1"/>
      <w:marLeft w:val="0"/>
      <w:marRight w:val="0"/>
      <w:marTop w:val="0"/>
      <w:marBottom w:val="0"/>
      <w:divBdr>
        <w:top w:val="none" w:sz="0" w:space="0" w:color="auto"/>
        <w:left w:val="none" w:sz="0" w:space="0" w:color="auto"/>
        <w:bottom w:val="none" w:sz="0" w:space="0" w:color="auto"/>
        <w:right w:val="none" w:sz="0" w:space="0" w:color="auto"/>
      </w:divBdr>
    </w:div>
    <w:div w:id="1662540622">
      <w:bodyDiv w:val="1"/>
      <w:marLeft w:val="0"/>
      <w:marRight w:val="0"/>
      <w:marTop w:val="0"/>
      <w:marBottom w:val="0"/>
      <w:divBdr>
        <w:top w:val="none" w:sz="0" w:space="0" w:color="auto"/>
        <w:left w:val="none" w:sz="0" w:space="0" w:color="auto"/>
        <w:bottom w:val="none" w:sz="0" w:space="0" w:color="auto"/>
        <w:right w:val="none" w:sz="0" w:space="0" w:color="auto"/>
      </w:divBdr>
    </w:div>
    <w:div w:id="1846552176">
      <w:bodyDiv w:val="1"/>
      <w:marLeft w:val="0"/>
      <w:marRight w:val="0"/>
      <w:marTop w:val="0"/>
      <w:marBottom w:val="0"/>
      <w:divBdr>
        <w:top w:val="none" w:sz="0" w:space="0" w:color="auto"/>
        <w:left w:val="none" w:sz="0" w:space="0" w:color="auto"/>
        <w:bottom w:val="none" w:sz="0" w:space="0" w:color="auto"/>
        <w:right w:val="none" w:sz="0" w:space="0" w:color="auto"/>
      </w:divBdr>
    </w:div>
    <w:div w:id="1880238259">
      <w:bodyDiv w:val="1"/>
      <w:marLeft w:val="0"/>
      <w:marRight w:val="0"/>
      <w:marTop w:val="0"/>
      <w:marBottom w:val="0"/>
      <w:divBdr>
        <w:top w:val="none" w:sz="0" w:space="0" w:color="auto"/>
        <w:left w:val="none" w:sz="0" w:space="0" w:color="auto"/>
        <w:bottom w:val="none" w:sz="0" w:space="0" w:color="auto"/>
        <w:right w:val="none" w:sz="0" w:space="0" w:color="auto"/>
      </w:divBdr>
    </w:div>
    <w:div w:id="1881895968">
      <w:bodyDiv w:val="1"/>
      <w:marLeft w:val="0"/>
      <w:marRight w:val="0"/>
      <w:marTop w:val="0"/>
      <w:marBottom w:val="0"/>
      <w:divBdr>
        <w:top w:val="none" w:sz="0" w:space="0" w:color="auto"/>
        <w:left w:val="none" w:sz="0" w:space="0" w:color="auto"/>
        <w:bottom w:val="none" w:sz="0" w:space="0" w:color="auto"/>
        <w:right w:val="none" w:sz="0" w:space="0" w:color="auto"/>
      </w:divBdr>
    </w:div>
    <w:div w:id="1957173437">
      <w:bodyDiv w:val="1"/>
      <w:marLeft w:val="0"/>
      <w:marRight w:val="0"/>
      <w:marTop w:val="0"/>
      <w:marBottom w:val="0"/>
      <w:divBdr>
        <w:top w:val="none" w:sz="0" w:space="0" w:color="auto"/>
        <w:left w:val="none" w:sz="0" w:space="0" w:color="auto"/>
        <w:bottom w:val="none" w:sz="0" w:space="0" w:color="auto"/>
        <w:right w:val="none" w:sz="0" w:space="0" w:color="auto"/>
      </w:divBdr>
    </w:div>
    <w:div w:id="2077630970">
      <w:bodyDiv w:val="1"/>
      <w:marLeft w:val="0"/>
      <w:marRight w:val="0"/>
      <w:marTop w:val="0"/>
      <w:marBottom w:val="0"/>
      <w:divBdr>
        <w:top w:val="none" w:sz="0" w:space="0" w:color="auto"/>
        <w:left w:val="none" w:sz="0" w:space="0" w:color="auto"/>
        <w:bottom w:val="none" w:sz="0" w:space="0" w:color="auto"/>
        <w:right w:val="none" w:sz="0" w:space="0" w:color="auto"/>
      </w:divBdr>
    </w:div>
    <w:div w:id="2089574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emf"/><Relationship Id="rId18" Type="http://schemas.openxmlformats.org/officeDocument/2006/relationships/image" Target="media/image11.emf"/><Relationship Id="rId26" Type="http://schemas.openxmlformats.org/officeDocument/2006/relationships/image" Target="media/image18.emf"/><Relationship Id="rId39" Type="http://schemas.openxmlformats.org/officeDocument/2006/relationships/image" Target="media/image31.emf"/><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image" Target="media/image26.emf"/><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emf"/><Relationship Id="rId33" Type="http://schemas.openxmlformats.org/officeDocument/2006/relationships/image" Target="media/image25.emf"/><Relationship Id="rId38" Type="http://schemas.openxmlformats.org/officeDocument/2006/relationships/image" Target="media/image30.emf"/><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2.emf"/><Relationship Id="rId29" Type="http://schemas.openxmlformats.org/officeDocument/2006/relationships/image" Target="media/image21.emf"/><Relationship Id="rId41" Type="http://schemas.openxmlformats.org/officeDocument/2006/relationships/image" Target="media/image3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emf"/><Relationship Id="rId32" Type="http://schemas.openxmlformats.org/officeDocument/2006/relationships/image" Target="media/image24.emf"/><Relationship Id="rId37" Type="http://schemas.openxmlformats.org/officeDocument/2006/relationships/image" Target="media/image29.emf"/><Relationship Id="rId40" Type="http://schemas.openxmlformats.org/officeDocument/2006/relationships/image" Target="media/image32.emf"/><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5.emf"/><Relationship Id="rId28" Type="http://schemas.openxmlformats.org/officeDocument/2006/relationships/image" Target="media/image20.emf"/><Relationship Id="rId36" Type="http://schemas.openxmlformats.org/officeDocument/2006/relationships/image" Target="media/image28.emf"/><Relationship Id="rId10" Type="http://schemas.openxmlformats.org/officeDocument/2006/relationships/image" Target="media/image3.emf"/><Relationship Id="rId19" Type="http://schemas.openxmlformats.org/officeDocument/2006/relationships/footer" Target="footer1.xml"/><Relationship Id="rId31" Type="http://schemas.openxmlformats.org/officeDocument/2006/relationships/image" Target="media/image2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png"/><Relationship Id="rId22" Type="http://schemas.openxmlformats.org/officeDocument/2006/relationships/image" Target="media/image14.emf"/><Relationship Id="rId27" Type="http://schemas.openxmlformats.org/officeDocument/2006/relationships/image" Target="media/image19.emf"/><Relationship Id="rId30" Type="http://schemas.openxmlformats.org/officeDocument/2006/relationships/image" Target="media/image22.emf"/><Relationship Id="rId35" Type="http://schemas.openxmlformats.org/officeDocument/2006/relationships/image" Target="media/image27.emf"/><Relationship Id="rId43"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populationdata.net/palmares/idh/" TargetMode="External"/><Relationship Id="rId1" Type="http://schemas.openxmlformats.org/officeDocument/2006/relationships/hyperlink" Target="https://p4h.world/en"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BFA0C8-78FB-4BC5-9FA5-53DCE40315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670</TotalTime>
  <Pages>71</Pages>
  <Words>17766</Words>
  <Characters>97718</Characters>
  <Application>Microsoft Office Word</Application>
  <DocSecurity>0</DocSecurity>
  <Lines>814</Lines>
  <Paragraphs>230</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115254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Alexis Bigeard;Cheickna TOURE</dc:creator>
  <cp:keywords/>
  <dc:description/>
  <cp:lastModifiedBy>MSAHRN-CT</cp:lastModifiedBy>
  <cp:revision>20</cp:revision>
  <cp:lastPrinted>2014-03-31T11:41:00Z</cp:lastPrinted>
  <dcterms:created xsi:type="dcterms:W3CDTF">2017-10-28T16:54:00Z</dcterms:created>
  <dcterms:modified xsi:type="dcterms:W3CDTF">2017-11-01T10:12:00Z</dcterms:modified>
</cp:coreProperties>
</file>