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omments.xml" ContentType="application/vnd.openxmlformats-officedocument.wordprocessingml.comments+xml"/>
  <Override PartName="/word/commentsExtended.xml" ContentType="application/vnd.openxmlformats-officedocument.wordprocessingml.commentsExtended+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B46641" w14:textId="77777777" w:rsidR="002C73A3" w:rsidRPr="00F3749A" w:rsidRDefault="002C73A3" w:rsidP="00F3749A">
      <w:pPr>
        <w:pStyle w:val="NoSpacing"/>
        <w:spacing w:line="480" w:lineRule="auto"/>
        <w:jc w:val="center"/>
        <w:rPr>
          <w:rFonts w:ascii="Californian FB" w:hAnsi="Californian FB"/>
          <w:color w:val="4F81BD" w:themeColor="accent1"/>
        </w:rPr>
      </w:pPr>
      <w:r w:rsidRPr="00F3749A">
        <w:rPr>
          <w:rFonts w:ascii="Californian FB" w:hAnsi="Californian FB"/>
          <w:noProof/>
          <w:color w:val="4F81BD" w:themeColor="accent1"/>
        </w:rPr>
        <mc:AlternateContent>
          <mc:Choice Requires="wps">
            <w:drawing>
              <wp:anchor distT="0" distB="0" distL="114300" distR="114300" simplePos="0" relativeHeight="251649024" behindDoc="0" locked="0" layoutInCell="1" allowOverlap="1" wp14:anchorId="19EFB42A" wp14:editId="1BDF6103">
                <wp:simplePos x="0" y="0"/>
                <wp:positionH relativeFrom="column">
                  <wp:posOffset>-50800</wp:posOffset>
                </wp:positionH>
                <wp:positionV relativeFrom="paragraph">
                  <wp:posOffset>-482600</wp:posOffset>
                </wp:positionV>
                <wp:extent cx="5715000" cy="1435100"/>
                <wp:effectExtent l="0" t="0" r="19050" b="12700"/>
                <wp:wrapNone/>
                <wp:docPr id="1028" name="Rectangle 1028"/>
                <wp:cNvGraphicFramePr/>
                <a:graphic xmlns:a="http://schemas.openxmlformats.org/drawingml/2006/main">
                  <a:graphicData uri="http://schemas.microsoft.com/office/word/2010/wordprocessingShape">
                    <wps:wsp>
                      <wps:cNvSpPr/>
                      <wps:spPr>
                        <a:xfrm>
                          <a:off x="0" y="0"/>
                          <a:ext cx="5715000" cy="1435100"/>
                        </a:xfrm>
                        <a:prstGeom prst="rect">
                          <a:avLst/>
                        </a:prstGeom>
                        <a:noFill/>
                        <a:ln w="3175">
                          <a:prstDash val="lgDashDotDot"/>
                        </a:ln>
                      </wps:spPr>
                      <wps:style>
                        <a:lnRef idx="2">
                          <a:schemeClr val="accent1">
                            <a:shade val="50000"/>
                          </a:schemeClr>
                        </a:lnRef>
                        <a:fillRef idx="1">
                          <a:schemeClr val="accent1"/>
                        </a:fillRef>
                        <a:effectRef idx="0">
                          <a:schemeClr val="accent1"/>
                        </a:effectRef>
                        <a:fontRef idx="minor">
                          <a:schemeClr val="lt1"/>
                        </a:fontRef>
                      </wps:style>
                      <wps:txbx>
                        <w:txbxContent>
                          <w:p w14:paraId="062D22C4" w14:textId="77777777" w:rsidR="00D20DC2" w:rsidRDefault="00D20DC2" w:rsidP="00F3749A">
                            <w:pPr>
                              <w:spacing w:after="0"/>
                              <w:jc w:val="center"/>
                              <w:rPr>
                                <w:rFonts w:asciiTheme="majorHAnsi" w:hAnsiTheme="majorHAnsi"/>
                                <w:b/>
                                <w:color w:val="365F91" w:themeColor="accent1" w:themeShade="BF"/>
                                <w:sz w:val="36"/>
                                <w:szCs w:val="44"/>
                              </w:rPr>
                            </w:pPr>
                            <w:r>
                              <w:rPr>
                                <w:rFonts w:asciiTheme="majorHAnsi" w:hAnsiTheme="majorHAnsi"/>
                                <w:b/>
                                <w:color w:val="365F91" w:themeColor="accent1" w:themeShade="BF"/>
                                <w:sz w:val="36"/>
                                <w:szCs w:val="44"/>
                              </w:rPr>
                              <w:t>REPUBLIC OF KENYA</w:t>
                            </w:r>
                          </w:p>
                          <w:p w14:paraId="0C9B69FC" w14:textId="77777777" w:rsidR="00D20DC2" w:rsidRDefault="00D20DC2" w:rsidP="00F3749A">
                            <w:pPr>
                              <w:spacing w:after="0"/>
                              <w:jc w:val="center"/>
                              <w:rPr>
                                <w:rFonts w:asciiTheme="majorHAnsi" w:hAnsiTheme="majorHAnsi"/>
                                <w:b/>
                                <w:color w:val="365F91" w:themeColor="accent1" w:themeShade="BF"/>
                                <w:sz w:val="36"/>
                                <w:szCs w:val="44"/>
                              </w:rPr>
                            </w:pPr>
                          </w:p>
                          <w:p w14:paraId="413DA58A" w14:textId="77777777" w:rsidR="00D20DC2" w:rsidRPr="00270242" w:rsidRDefault="00D20DC2" w:rsidP="00F3749A">
                            <w:pPr>
                              <w:spacing w:after="0"/>
                              <w:jc w:val="center"/>
                              <w:rPr>
                                <w:rFonts w:asciiTheme="majorHAnsi" w:hAnsiTheme="majorHAnsi"/>
                                <w:b/>
                                <w:color w:val="365F91" w:themeColor="accent1" w:themeShade="BF"/>
                                <w:sz w:val="36"/>
                                <w:szCs w:val="44"/>
                              </w:rPr>
                            </w:pPr>
                            <w:r>
                              <w:rPr>
                                <w:rFonts w:asciiTheme="majorHAnsi" w:hAnsiTheme="majorHAnsi"/>
                                <w:b/>
                                <w:color w:val="365F91" w:themeColor="accent1" w:themeShade="BF"/>
                                <w:sz w:val="36"/>
                                <w:szCs w:val="44"/>
                              </w:rPr>
                              <w:t>MINISTRY OF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19EFB42A" id="Rectangle 1028" o:spid="_x0000_s1026" style="position:absolute;left:0;text-align:left;margin-left:-4pt;margin-top:-38pt;width:450pt;height:1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" filled="f" strokecolor="#243f60 [1604]" strokeweight=".25pt">
                <v:stroke dashstyle="longDashDotDot"/>
                <v:textbox>
                  <w:txbxContent>
                    <w:p w14:paraId="062D22C4" w14:textId="77777777" w:rsidR="00D20DC2" w:rsidRDefault="00D20DC2" w:rsidP="00F3749A">
                      <w:pPr>
                        <w:spacing w:after="0"/>
                        <w:jc w:val="center"/>
                        <w:rPr>
                          <w:rFonts w:asciiTheme="majorHAnsi" w:hAnsiTheme="majorHAnsi"/>
                          <w:b/>
                          <w:color w:val="365F91" w:themeColor="accent1" w:themeShade="BF"/>
                          <w:sz w:val="36"/>
                          <w:szCs w:val="44"/>
                        </w:rPr>
                      </w:pPr>
                      <w:r>
                        <w:rPr>
                          <w:rFonts w:asciiTheme="majorHAnsi" w:hAnsiTheme="majorHAnsi"/>
                          <w:b/>
                          <w:color w:val="365F91" w:themeColor="accent1" w:themeShade="BF"/>
                          <w:sz w:val="36"/>
                          <w:szCs w:val="44"/>
                        </w:rPr>
                        <w:t>REPUBLIC OF KENYA</w:t>
                      </w:r>
                    </w:p>
                    <w:p w14:paraId="0C9B69FC" w14:textId="77777777" w:rsidR="00D20DC2" w:rsidRDefault="00D20DC2" w:rsidP="00F3749A">
                      <w:pPr>
                        <w:spacing w:after="0"/>
                        <w:jc w:val="center"/>
                        <w:rPr>
                          <w:rFonts w:asciiTheme="majorHAnsi" w:hAnsiTheme="majorHAnsi"/>
                          <w:b/>
                          <w:color w:val="365F91" w:themeColor="accent1" w:themeShade="BF"/>
                          <w:sz w:val="36"/>
                          <w:szCs w:val="44"/>
                        </w:rPr>
                      </w:pPr>
                    </w:p>
                    <w:p w14:paraId="413DA58A" w14:textId="77777777" w:rsidR="00D20DC2" w:rsidRPr="00270242" w:rsidRDefault="00D20DC2" w:rsidP="00F3749A">
                      <w:pPr>
                        <w:spacing w:after="0"/>
                        <w:jc w:val="center"/>
                        <w:rPr>
                          <w:rFonts w:asciiTheme="majorHAnsi" w:hAnsiTheme="majorHAnsi"/>
                          <w:b/>
                          <w:color w:val="365F91" w:themeColor="accent1" w:themeShade="BF"/>
                          <w:sz w:val="36"/>
                          <w:szCs w:val="44"/>
                        </w:rPr>
                      </w:pPr>
                      <w:r>
                        <w:rPr>
                          <w:rFonts w:asciiTheme="majorHAnsi" w:hAnsiTheme="majorHAnsi"/>
                          <w:b/>
                          <w:color w:val="365F91" w:themeColor="accent1" w:themeShade="BF"/>
                          <w:sz w:val="36"/>
                          <w:szCs w:val="44"/>
                        </w:rPr>
                        <w:t>MINISTRY OF HEALTH</w:t>
                      </w:r>
                    </w:p>
                  </w:txbxContent>
                </v:textbox>
              </v:rect>
            </w:pict>
          </mc:Fallback>
        </mc:AlternateContent>
      </w:r>
    </w:p>
    <w:sdt>
      <w:sdtPr>
        <w:rPr>
          <w:rFonts w:ascii="Californian FB" w:eastAsiaTheme="minorHAnsi" w:hAnsi="Californian FB"/>
          <w:color w:val="4F81BD" w:themeColor="accent1"/>
        </w:rPr>
        <w:id w:val="-1869593805"/>
        <w:docPartObj>
          <w:docPartGallery w:val="Cover Pages"/>
          <w:docPartUnique/>
        </w:docPartObj>
      </w:sdtPr>
      <w:sdtEndPr>
        <w:rPr>
          <w:color w:val="595959" w:themeColor="text1" w:themeTint="A6"/>
          <w:sz w:val="24"/>
          <w:szCs w:val="20"/>
        </w:rPr>
      </w:sdtEndPr>
      <w:sdtContent>
        <w:p w14:paraId="51C37B1E" w14:textId="77777777" w:rsidR="002C73A3" w:rsidRDefault="002C73A3" w:rsidP="00F3749A">
          <w:pPr>
            <w:pStyle w:val="NoSpacing"/>
            <w:spacing w:line="480" w:lineRule="auto"/>
            <w:jc w:val="center"/>
            <w:rPr>
              <w:rFonts w:ascii="Californian FB" w:eastAsiaTheme="minorHAnsi" w:hAnsi="Californian FB"/>
              <w:color w:val="4F81BD" w:themeColor="accent1"/>
            </w:rPr>
          </w:pPr>
        </w:p>
        <w:p w14:paraId="53570DE1" w14:textId="77777777" w:rsidR="00F3749A" w:rsidRDefault="00F3749A" w:rsidP="00F3749A">
          <w:pPr>
            <w:pStyle w:val="NoSpacing"/>
            <w:spacing w:line="480" w:lineRule="auto"/>
            <w:jc w:val="center"/>
            <w:rPr>
              <w:rFonts w:ascii="Californian FB" w:eastAsiaTheme="minorHAnsi" w:hAnsi="Californian FB"/>
              <w:color w:val="4F81BD" w:themeColor="accent1"/>
            </w:rPr>
          </w:pPr>
        </w:p>
        <w:p w14:paraId="4DBC64BA" w14:textId="77777777" w:rsidR="00F3749A" w:rsidRDefault="00F3749A" w:rsidP="00F3749A">
          <w:pPr>
            <w:pStyle w:val="NoSpacing"/>
            <w:spacing w:line="480" w:lineRule="auto"/>
            <w:jc w:val="center"/>
            <w:rPr>
              <w:rFonts w:ascii="Californian FB" w:eastAsiaTheme="minorHAnsi" w:hAnsi="Californian FB"/>
              <w:color w:val="4F81BD" w:themeColor="accent1"/>
            </w:rPr>
          </w:pPr>
        </w:p>
        <w:p w14:paraId="4F71144D" w14:textId="77777777" w:rsidR="00F3749A" w:rsidRDefault="00F3749A" w:rsidP="00F3749A">
          <w:pPr>
            <w:pStyle w:val="NoSpacing"/>
            <w:spacing w:line="480" w:lineRule="auto"/>
            <w:jc w:val="center"/>
            <w:rPr>
              <w:rFonts w:ascii="Californian FB" w:eastAsiaTheme="minorHAnsi" w:hAnsi="Californian FB"/>
              <w:color w:val="4F81BD" w:themeColor="accent1"/>
            </w:rPr>
          </w:pPr>
          <w:r w:rsidRPr="00F3749A">
            <w:rPr>
              <w:rFonts w:ascii="Californian FB" w:hAnsi="Californian FB"/>
              <w:noProof/>
              <w:color w:val="4F81BD" w:themeColor="accent1"/>
            </w:rPr>
            <w:drawing>
              <wp:inline distT="0" distB="0" distL="0" distR="0" wp14:anchorId="63997AF1" wp14:editId="120E5B00">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p w14:paraId="4024BAEB" w14:textId="77777777" w:rsidR="00F3749A" w:rsidRPr="00F3749A" w:rsidRDefault="00F3749A" w:rsidP="00F3749A">
          <w:pPr>
            <w:pStyle w:val="NoSpacing"/>
            <w:spacing w:line="480" w:lineRule="auto"/>
            <w:jc w:val="center"/>
            <w:rPr>
              <w:rFonts w:ascii="Californian FB" w:hAnsi="Californian FB"/>
              <w:color w:val="4F81BD" w:themeColor="accent1"/>
            </w:rPr>
          </w:pPr>
        </w:p>
        <w:sdt>
          <w:sdtPr>
            <w:rPr>
              <w:rFonts w:ascii="Californian FB" w:eastAsiaTheme="majorEastAsia" w:hAnsi="Californian FB" w:cstheme="majorBidi"/>
              <w:caps/>
              <w:color w:val="4F81BD" w:themeColor="accent1"/>
              <w:sz w:val="40"/>
              <w:szCs w:val="80"/>
            </w:rPr>
            <w:alias w:val="Title"/>
            <w:tag w:val=""/>
            <w:id w:val="1735040861"/>
            <w:dataBinding w:prefixMappings="xmlns:ns0='http://purl.org/dc/elements/1.1/' xmlns:ns1='http://schemas.openxmlformats.org/package/2006/metadata/core-properties' " w:xpath="/ns1:coreProperties[1]/ns0:title[1]" w:storeItemID="{6C3C8BC8-F283-45AE-878A-BAB7291924A1}"/>
            <w:text/>
          </w:sdtPr>
          <w:sdtEndPr/>
          <w:sdtContent>
            <w:p w14:paraId="5C23A741" w14:textId="77777777" w:rsidR="002C73A3" w:rsidRPr="00C57EFC" w:rsidRDefault="004631B3" w:rsidP="00C57EFC">
              <w:pPr>
                <w:pStyle w:val="NoSpacing"/>
                <w:pBdr>
                  <w:top w:val="single" w:sz="6" w:space="6" w:color="4F81BD" w:themeColor="accent1"/>
                  <w:bottom w:val="single" w:sz="6" w:space="26" w:color="4F81BD" w:themeColor="accent1"/>
                </w:pBdr>
                <w:spacing w:line="360" w:lineRule="auto"/>
                <w:jc w:val="center"/>
                <w:rPr>
                  <w:rFonts w:ascii="Californian FB" w:eastAsiaTheme="majorEastAsia" w:hAnsi="Californian FB" w:cstheme="majorBidi"/>
                  <w:caps/>
                  <w:color w:val="4F81BD" w:themeColor="accent1"/>
                  <w:sz w:val="56"/>
                  <w:szCs w:val="80"/>
                </w:rPr>
              </w:pPr>
              <w:r>
                <w:rPr>
                  <w:rFonts w:ascii="Californian FB" w:eastAsiaTheme="majorEastAsia" w:hAnsi="Californian FB" w:cstheme="majorBidi"/>
                  <w:caps/>
                  <w:color w:val="4F81BD" w:themeColor="accent1"/>
                  <w:sz w:val="40"/>
                  <w:szCs w:val="80"/>
                </w:rPr>
                <w:t>MONITORING AND EVALUATION FRAMEWORK FOR UNIVERSAL HEALTH COVERAGE IN KENYA</w:t>
              </w:r>
            </w:p>
          </w:sdtContent>
        </w:sdt>
        <w:sdt>
          <w:sdtPr>
            <w:rPr>
              <w:rFonts w:ascii="Californian FB" w:hAnsi="Californian FB"/>
              <w:color w:val="4F81BD" w:themeColor="accent1"/>
              <w:sz w:val="28"/>
              <w:szCs w:val="28"/>
            </w:rPr>
            <w:alias w:val="Subtitle"/>
            <w:tag w:val=""/>
            <w:id w:val="328029620"/>
            <w:showingPlcHdr/>
            <w:dataBinding w:prefixMappings="xmlns:ns0='http://purl.org/dc/elements/1.1/' xmlns:ns1='http://schemas.openxmlformats.org/package/2006/metadata/core-properties' " w:xpath="/ns1:coreProperties[1]/ns0:subject[1]" w:storeItemID="{6C3C8BC8-F283-45AE-878A-BAB7291924A1}"/>
            <w:text/>
          </w:sdtPr>
          <w:sdtEndPr/>
          <w:sdtContent>
            <w:p w14:paraId="5ED4594E" w14:textId="77777777" w:rsidR="002C73A3" w:rsidRPr="00F3749A" w:rsidRDefault="00783DFF" w:rsidP="00F3749A">
              <w:pPr>
                <w:pStyle w:val="NoSpacing"/>
                <w:spacing w:line="480" w:lineRule="auto"/>
                <w:jc w:val="center"/>
                <w:rPr>
                  <w:rFonts w:ascii="Californian FB" w:hAnsi="Californian FB"/>
                  <w:color w:val="4F81BD" w:themeColor="accent1"/>
                  <w:sz w:val="28"/>
                  <w:szCs w:val="28"/>
                </w:rPr>
              </w:pPr>
              <w:r w:rsidRPr="00F3749A">
                <w:rPr>
                  <w:rFonts w:ascii="Californian FB" w:hAnsi="Californian FB"/>
                  <w:color w:val="4F81BD" w:themeColor="accent1"/>
                  <w:sz w:val="28"/>
                  <w:szCs w:val="28"/>
                </w:rPr>
                <w:t xml:space="preserve">     </w:t>
              </w:r>
            </w:p>
          </w:sdtContent>
        </w:sdt>
        <w:p w14:paraId="1372E65F" w14:textId="77777777" w:rsidR="002C73A3" w:rsidRPr="00F3749A" w:rsidRDefault="002C73A3" w:rsidP="00F3749A">
          <w:pPr>
            <w:pStyle w:val="NoSpacing"/>
            <w:spacing w:line="480" w:lineRule="auto"/>
            <w:jc w:val="center"/>
            <w:rPr>
              <w:rFonts w:ascii="Californian FB" w:hAnsi="Californian FB"/>
              <w:color w:val="4F81BD" w:themeColor="accent1"/>
            </w:rPr>
          </w:pPr>
          <w:r w:rsidRPr="00F3749A">
            <w:rPr>
              <w:rFonts w:ascii="Californian FB" w:hAnsi="Californian FB"/>
              <w:noProof/>
              <w:color w:val="4F81BD" w:themeColor="accent1"/>
            </w:rPr>
            <mc:AlternateContent>
              <mc:Choice Requires="wps">
                <w:drawing>
                  <wp:anchor distT="0" distB="0" distL="114300" distR="114300" simplePos="0" relativeHeight="251648000" behindDoc="0" locked="0" layoutInCell="1" allowOverlap="1" wp14:anchorId="4BC5D49C" wp14:editId="7F7A34B1">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F81BD" w:themeColor="accent1"/>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46CD03B3" w14:textId="77777777" w:rsidR="00D20DC2" w:rsidRDefault="00D20DC2">
                                    <w:pPr>
                                      <w:pStyle w:val="NoSpacing"/>
                                      <w:spacing w:after="40"/>
                                      <w:jc w:val="center"/>
                                      <w:rPr>
                                        <w:caps/>
                                        <w:color w:val="4F81BD" w:themeColor="accent1"/>
                                        <w:sz w:val="28"/>
                                        <w:szCs w:val="28"/>
                                      </w:rPr>
                                    </w:pPr>
                                    <w:r>
                                      <w:rPr>
                                        <w:caps/>
                                        <w:color w:val="4F81BD" w:themeColor="accent1"/>
                                        <w:sz w:val="28"/>
                                        <w:szCs w:val="28"/>
                                      </w:rPr>
                                      <w:t>2018.</w:t>
                                    </w:r>
                                  </w:p>
                                </w:sdtContent>
                              </w:sdt>
                              <w:p w14:paraId="4213C178" w14:textId="77777777" w:rsidR="00D20DC2" w:rsidRDefault="00D20DC2">
                                <w:pPr>
                                  <w:pStyle w:val="NoSpacing"/>
                                  <w:jc w:val="center"/>
                                  <w:rPr>
                                    <w:color w:val="4F81BD" w:themeColor="accent1"/>
                                  </w:rPr>
                                </w:pPr>
                                <w:r>
                                  <w:rPr>
                                    <w:caps/>
                                    <w:color w:val="4F81BD" w:themeColor="accent1"/>
                                  </w:rPr>
                                  <w:t>mINISTRY OF HEALTH, aFYA HOUSE</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4BC5D49C" id="_x0000_t202" coordsize="21600,21600" o:spt="202" path="m,l,21600r21600,l21600,xe">
                    <v:stroke joinstyle="miter"/>
                    <v:path gradientshapeok="t" o:connecttype="rect"/>
                  </v:shapetype>
                  <v:shape id="Text Box 142" o:spid="_x0000_s1027" type="#_x0000_t202" style="position:absolute;left:0;text-align:left;margin-left:0;margin-top:0;width:516pt;height:43.9pt;z-index:25165158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TjOdwIAAF0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" filled="f" stroked="f" strokeweight=".5pt">
                    <v:textbox style="mso-fit-shape-to-text:t" inset="0,0,0,0">
                      <w:txbxContent>
                        <w:sdt>
                          <w:sdtPr>
                            <w:rPr>
                              <w:caps/>
                              <w:color w:val="4F81BD" w:themeColor="accent1"/>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46CD03B3" w14:textId="77777777" w:rsidR="00D20DC2" w:rsidRDefault="00D20DC2">
                              <w:pPr>
                                <w:pStyle w:val="NoSpacing"/>
                                <w:spacing w:after="40"/>
                                <w:jc w:val="center"/>
                                <w:rPr>
                                  <w:caps/>
                                  <w:color w:val="4F81BD" w:themeColor="accent1"/>
                                  <w:sz w:val="28"/>
                                  <w:szCs w:val="28"/>
                                </w:rPr>
                              </w:pPr>
                              <w:r>
                                <w:rPr>
                                  <w:caps/>
                                  <w:color w:val="4F81BD" w:themeColor="accent1"/>
                                  <w:sz w:val="28"/>
                                  <w:szCs w:val="28"/>
                                </w:rPr>
                                <w:t>2018.</w:t>
                              </w:r>
                            </w:p>
                          </w:sdtContent>
                        </w:sdt>
                        <w:p w14:paraId="4213C178" w14:textId="77777777" w:rsidR="00D20DC2" w:rsidRDefault="00D20DC2">
                          <w:pPr>
                            <w:pStyle w:val="NoSpacing"/>
                            <w:jc w:val="center"/>
                            <w:rPr>
                              <w:color w:val="4F81BD" w:themeColor="accent1"/>
                            </w:rPr>
                          </w:pPr>
                          <w:r>
                            <w:rPr>
                              <w:caps/>
                              <w:color w:val="4F81BD" w:themeColor="accent1"/>
                            </w:rPr>
                            <w:t>mINISTRY OF HEALTH, aFYA HOUSE</w:t>
                          </w:r>
                        </w:p>
                      </w:txbxContent>
                    </v:textbox>
                    <w10:wrap anchorx="margin" anchory="page"/>
                  </v:shape>
                </w:pict>
              </mc:Fallback>
            </mc:AlternateContent>
          </w:r>
          <w:r w:rsidRPr="00F3749A">
            <w:rPr>
              <w:rFonts w:ascii="Californian FB" w:hAnsi="Californian FB"/>
              <w:noProof/>
              <w:color w:val="4F81BD" w:themeColor="accent1"/>
            </w:rPr>
            <w:drawing>
              <wp:inline distT="0" distB="0" distL="0" distR="0" wp14:anchorId="0E446A35" wp14:editId="71AB2920">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39FC869B" w14:textId="77777777" w:rsidR="002C73A3" w:rsidRPr="00F3749A" w:rsidRDefault="002C73A3" w:rsidP="00F3749A">
          <w:pPr>
            <w:spacing w:after="0" w:line="480" w:lineRule="auto"/>
            <w:rPr>
              <w:rFonts w:ascii="Californian FB" w:eastAsiaTheme="minorEastAsia" w:hAnsi="Californian FB"/>
              <w:color w:val="595959" w:themeColor="text1" w:themeTint="A6"/>
              <w:sz w:val="24"/>
              <w:szCs w:val="20"/>
            </w:rPr>
          </w:pPr>
          <w:r w:rsidRPr="00F3749A">
            <w:rPr>
              <w:rFonts w:ascii="Californian FB" w:eastAsiaTheme="minorEastAsia" w:hAnsi="Californian FB"/>
              <w:color w:val="595959" w:themeColor="text1" w:themeTint="A6"/>
              <w:sz w:val="24"/>
              <w:szCs w:val="20"/>
            </w:rPr>
            <w:br w:type="page"/>
          </w:r>
        </w:p>
      </w:sdtContent>
    </w:sdt>
    <w:p w14:paraId="27C4B5B6" w14:textId="77777777" w:rsidR="002C73A3" w:rsidRPr="00F3749A" w:rsidRDefault="002C73A3" w:rsidP="00F3749A">
      <w:pPr>
        <w:spacing w:after="0"/>
        <w:rPr>
          <w:rFonts w:ascii="Californian FB" w:hAnsi="Californian FB"/>
        </w:rPr>
      </w:pPr>
    </w:p>
    <w:sdt>
      <w:sdtPr>
        <w:rPr>
          <w:rFonts w:asciiTheme="minorHAnsi" w:eastAsiaTheme="minorHAnsi" w:hAnsiTheme="minorHAnsi" w:cstheme="minorBidi"/>
          <w:color w:val="auto"/>
          <w:sz w:val="22"/>
          <w:szCs w:val="22"/>
        </w:rPr>
        <w:id w:val="-152382358"/>
        <w:docPartObj>
          <w:docPartGallery w:val="Table of Contents"/>
          <w:docPartUnique/>
        </w:docPartObj>
      </w:sdtPr>
      <w:sdtEndPr>
        <w:rPr>
          <w:b/>
          <w:bCs/>
          <w:noProof/>
        </w:rPr>
      </w:sdtEndPr>
      <w:sdtContent>
        <w:p w14:paraId="656A6DF6" w14:textId="4266C3E2" w:rsidR="00616506" w:rsidRDefault="00616506">
          <w:pPr>
            <w:pStyle w:val="TOCHeading"/>
          </w:pPr>
          <w:r>
            <w:t>Contents</w:t>
          </w:r>
        </w:p>
        <w:p w14:paraId="00FB1FA2" w14:textId="77777777" w:rsidR="007E346A" w:rsidRDefault="00616506">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520793093" w:history="1">
            <w:r w:rsidR="007E346A" w:rsidRPr="00ED64CE">
              <w:rPr>
                <w:rStyle w:val="Hyperlink"/>
                <w:rFonts w:ascii="Californian FB" w:hAnsi="Californian FB"/>
                <w:noProof/>
              </w:rPr>
              <w:t>SECTION 1: INTRODUCTION AND BACKGROUND</w:t>
            </w:r>
            <w:r w:rsidR="007E346A">
              <w:rPr>
                <w:noProof/>
                <w:webHidden/>
              </w:rPr>
              <w:tab/>
            </w:r>
            <w:r w:rsidR="007E346A">
              <w:rPr>
                <w:noProof/>
                <w:webHidden/>
              </w:rPr>
              <w:fldChar w:fldCharType="begin"/>
            </w:r>
            <w:r w:rsidR="007E346A">
              <w:rPr>
                <w:noProof/>
                <w:webHidden/>
              </w:rPr>
              <w:instrText xml:space="preserve"> PAGEREF _Toc520793093 \h </w:instrText>
            </w:r>
            <w:r w:rsidR="007E346A">
              <w:rPr>
                <w:noProof/>
                <w:webHidden/>
              </w:rPr>
            </w:r>
            <w:r w:rsidR="007E346A">
              <w:rPr>
                <w:noProof/>
                <w:webHidden/>
              </w:rPr>
              <w:fldChar w:fldCharType="separate"/>
            </w:r>
            <w:r w:rsidR="007E346A">
              <w:rPr>
                <w:noProof/>
                <w:webHidden/>
              </w:rPr>
              <w:t>0</w:t>
            </w:r>
            <w:r w:rsidR="007E346A">
              <w:rPr>
                <w:noProof/>
                <w:webHidden/>
              </w:rPr>
              <w:fldChar w:fldCharType="end"/>
            </w:r>
          </w:hyperlink>
        </w:p>
        <w:p w14:paraId="3CF92C18" w14:textId="77777777" w:rsidR="007E346A" w:rsidRDefault="00C366BF">
          <w:pPr>
            <w:pStyle w:val="TOC2"/>
            <w:rPr>
              <w:rFonts w:eastAsiaTheme="minorEastAsia"/>
              <w:noProof/>
            </w:rPr>
          </w:pPr>
          <w:hyperlink w:anchor="_Toc520793094" w:history="1">
            <w:r w:rsidR="007E346A" w:rsidRPr="00ED64CE">
              <w:rPr>
                <w:rStyle w:val="Hyperlink"/>
                <w:rFonts w:ascii="Californian FB" w:hAnsi="Californian FB"/>
                <w:noProof/>
              </w:rPr>
              <w:t>1.1</w:t>
            </w:r>
            <w:r w:rsidR="007E346A">
              <w:rPr>
                <w:rFonts w:eastAsiaTheme="minorEastAsia"/>
                <w:noProof/>
              </w:rPr>
              <w:tab/>
            </w:r>
            <w:r w:rsidR="007E346A" w:rsidRPr="00ED64CE">
              <w:rPr>
                <w:rStyle w:val="Hyperlink"/>
                <w:rFonts w:ascii="Californian FB" w:hAnsi="Californian FB"/>
                <w:noProof/>
              </w:rPr>
              <w:t>Overview of the Sustainable Development Goals</w:t>
            </w:r>
            <w:r w:rsidR="007E346A">
              <w:rPr>
                <w:noProof/>
                <w:webHidden/>
              </w:rPr>
              <w:tab/>
            </w:r>
            <w:r w:rsidR="007E346A">
              <w:rPr>
                <w:noProof/>
                <w:webHidden/>
              </w:rPr>
              <w:fldChar w:fldCharType="begin"/>
            </w:r>
            <w:r w:rsidR="007E346A">
              <w:rPr>
                <w:noProof/>
                <w:webHidden/>
              </w:rPr>
              <w:instrText xml:space="preserve"> PAGEREF _Toc520793094 \h </w:instrText>
            </w:r>
            <w:r w:rsidR="007E346A">
              <w:rPr>
                <w:noProof/>
                <w:webHidden/>
              </w:rPr>
            </w:r>
            <w:r w:rsidR="007E346A">
              <w:rPr>
                <w:noProof/>
                <w:webHidden/>
              </w:rPr>
              <w:fldChar w:fldCharType="separate"/>
            </w:r>
            <w:r w:rsidR="007E346A">
              <w:rPr>
                <w:noProof/>
                <w:webHidden/>
              </w:rPr>
              <w:t>1</w:t>
            </w:r>
            <w:r w:rsidR="007E346A">
              <w:rPr>
                <w:noProof/>
                <w:webHidden/>
              </w:rPr>
              <w:fldChar w:fldCharType="end"/>
            </w:r>
          </w:hyperlink>
        </w:p>
        <w:p w14:paraId="3E1D6EEF" w14:textId="77777777" w:rsidR="007E346A" w:rsidRDefault="00C366BF">
          <w:pPr>
            <w:pStyle w:val="TOC2"/>
            <w:rPr>
              <w:rFonts w:eastAsiaTheme="minorEastAsia"/>
              <w:noProof/>
            </w:rPr>
          </w:pPr>
          <w:hyperlink w:anchor="_Toc520793095" w:history="1">
            <w:r w:rsidR="007E346A" w:rsidRPr="00ED64CE">
              <w:rPr>
                <w:rStyle w:val="Hyperlink"/>
                <w:rFonts w:ascii="Californian FB" w:hAnsi="Californian FB"/>
                <w:noProof/>
              </w:rPr>
              <w:t>1.2</w:t>
            </w:r>
            <w:r w:rsidR="007E346A">
              <w:rPr>
                <w:rFonts w:eastAsiaTheme="minorEastAsia"/>
                <w:noProof/>
              </w:rPr>
              <w:tab/>
            </w:r>
            <w:r w:rsidR="007E346A" w:rsidRPr="00ED64CE">
              <w:rPr>
                <w:rStyle w:val="Hyperlink"/>
                <w:rFonts w:ascii="Californian FB" w:hAnsi="Californian FB"/>
                <w:noProof/>
              </w:rPr>
              <w:t>Positioning Universal Health Coverage within the SDGs</w:t>
            </w:r>
            <w:r w:rsidR="007E346A">
              <w:rPr>
                <w:noProof/>
                <w:webHidden/>
              </w:rPr>
              <w:tab/>
            </w:r>
            <w:r w:rsidR="007E346A">
              <w:rPr>
                <w:noProof/>
                <w:webHidden/>
              </w:rPr>
              <w:fldChar w:fldCharType="begin"/>
            </w:r>
            <w:r w:rsidR="007E346A">
              <w:rPr>
                <w:noProof/>
                <w:webHidden/>
              </w:rPr>
              <w:instrText xml:space="preserve"> PAGEREF _Toc520793095 \h </w:instrText>
            </w:r>
            <w:r w:rsidR="007E346A">
              <w:rPr>
                <w:noProof/>
                <w:webHidden/>
              </w:rPr>
            </w:r>
            <w:r w:rsidR="007E346A">
              <w:rPr>
                <w:noProof/>
                <w:webHidden/>
              </w:rPr>
              <w:fldChar w:fldCharType="separate"/>
            </w:r>
            <w:r w:rsidR="007E346A">
              <w:rPr>
                <w:noProof/>
                <w:webHidden/>
              </w:rPr>
              <w:t>1</w:t>
            </w:r>
            <w:r w:rsidR="007E346A">
              <w:rPr>
                <w:noProof/>
                <w:webHidden/>
              </w:rPr>
              <w:fldChar w:fldCharType="end"/>
            </w:r>
          </w:hyperlink>
        </w:p>
        <w:p w14:paraId="0A35A071" w14:textId="77777777" w:rsidR="007E346A" w:rsidRDefault="00C366BF">
          <w:pPr>
            <w:pStyle w:val="TOC2"/>
            <w:rPr>
              <w:rFonts w:eastAsiaTheme="minorEastAsia"/>
              <w:noProof/>
            </w:rPr>
          </w:pPr>
          <w:hyperlink w:anchor="_Toc520793096" w:history="1">
            <w:r w:rsidR="007E346A" w:rsidRPr="00ED64CE">
              <w:rPr>
                <w:rStyle w:val="Hyperlink"/>
                <w:rFonts w:ascii="Californian FB" w:hAnsi="Californian FB"/>
                <w:noProof/>
              </w:rPr>
              <w:t>1.3. What Universal Health Coverage entails</w:t>
            </w:r>
            <w:r w:rsidR="007E346A">
              <w:rPr>
                <w:noProof/>
                <w:webHidden/>
              </w:rPr>
              <w:tab/>
            </w:r>
            <w:r w:rsidR="007E346A">
              <w:rPr>
                <w:noProof/>
                <w:webHidden/>
              </w:rPr>
              <w:fldChar w:fldCharType="begin"/>
            </w:r>
            <w:r w:rsidR="007E346A">
              <w:rPr>
                <w:noProof/>
                <w:webHidden/>
              </w:rPr>
              <w:instrText xml:space="preserve"> PAGEREF _Toc520793096 \h </w:instrText>
            </w:r>
            <w:r w:rsidR="007E346A">
              <w:rPr>
                <w:noProof/>
                <w:webHidden/>
              </w:rPr>
            </w:r>
            <w:r w:rsidR="007E346A">
              <w:rPr>
                <w:noProof/>
                <w:webHidden/>
              </w:rPr>
              <w:fldChar w:fldCharType="separate"/>
            </w:r>
            <w:r w:rsidR="007E346A">
              <w:rPr>
                <w:noProof/>
                <w:webHidden/>
              </w:rPr>
              <w:t>3</w:t>
            </w:r>
            <w:r w:rsidR="007E346A">
              <w:rPr>
                <w:noProof/>
                <w:webHidden/>
              </w:rPr>
              <w:fldChar w:fldCharType="end"/>
            </w:r>
          </w:hyperlink>
        </w:p>
        <w:p w14:paraId="4658CBD1" w14:textId="77777777" w:rsidR="007E346A" w:rsidRDefault="00C366BF">
          <w:pPr>
            <w:pStyle w:val="TOC2"/>
            <w:rPr>
              <w:rFonts w:eastAsiaTheme="minorEastAsia"/>
              <w:noProof/>
            </w:rPr>
          </w:pPr>
          <w:hyperlink w:anchor="_Toc520793097" w:history="1">
            <w:r w:rsidR="007E346A" w:rsidRPr="00ED64CE">
              <w:rPr>
                <w:rStyle w:val="Hyperlink"/>
                <w:rFonts w:ascii="Californian FB" w:hAnsi="Californian FB"/>
                <w:noProof/>
              </w:rPr>
              <w:t>1.3 Universal Health Coverage and Funding Mechanism</w:t>
            </w:r>
            <w:r w:rsidR="007E346A">
              <w:rPr>
                <w:noProof/>
                <w:webHidden/>
              </w:rPr>
              <w:tab/>
            </w:r>
            <w:r w:rsidR="007E346A">
              <w:rPr>
                <w:noProof/>
                <w:webHidden/>
              </w:rPr>
              <w:fldChar w:fldCharType="begin"/>
            </w:r>
            <w:r w:rsidR="007E346A">
              <w:rPr>
                <w:noProof/>
                <w:webHidden/>
              </w:rPr>
              <w:instrText xml:space="preserve"> PAGEREF _Toc520793097 \h </w:instrText>
            </w:r>
            <w:r w:rsidR="007E346A">
              <w:rPr>
                <w:noProof/>
                <w:webHidden/>
              </w:rPr>
            </w:r>
            <w:r w:rsidR="007E346A">
              <w:rPr>
                <w:noProof/>
                <w:webHidden/>
              </w:rPr>
              <w:fldChar w:fldCharType="separate"/>
            </w:r>
            <w:r w:rsidR="007E346A">
              <w:rPr>
                <w:noProof/>
                <w:webHidden/>
              </w:rPr>
              <w:t>6</w:t>
            </w:r>
            <w:r w:rsidR="007E346A">
              <w:rPr>
                <w:noProof/>
                <w:webHidden/>
              </w:rPr>
              <w:fldChar w:fldCharType="end"/>
            </w:r>
          </w:hyperlink>
        </w:p>
        <w:p w14:paraId="578FF6AD" w14:textId="77777777" w:rsidR="007E346A" w:rsidRDefault="00C366BF">
          <w:pPr>
            <w:pStyle w:val="TOC2"/>
            <w:rPr>
              <w:rFonts w:eastAsiaTheme="minorEastAsia"/>
              <w:noProof/>
            </w:rPr>
          </w:pPr>
          <w:hyperlink w:anchor="_Toc520793098" w:history="1">
            <w:r w:rsidR="007E346A" w:rsidRPr="00ED64CE">
              <w:rPr>
                <w:rStyle w:val="Hyperlink"/>
                <w:rFonts w:ascii="Californian FB" w:hAnsi="Californian FB"/>
                <w:noProof/>
              </w:rPr>
              <w:t>1.3.1 Revenue Mobilization</w:t>
            </w:r>
            <w:r w:rsidR="007E346A">
              <w:rPr>
                <w:noProof/>
                <w:webHidden/>
              </w:rPr>
              <w:tab/>
            </w:r>
            <w:r w:rsidR="007E346A">
              <w:rPr>
                <w:noProof/>
                <w:webHidden/>
              </w:rPr>
              <w:fldChar w:fldCharType="begin"/>
            </w:r>
            <w:r w:rsidR="007E346A">
              <w:rPr>
                <w:noProof/>
                <w:webHidden/>
              </w:rPr>
              <w:instrText xml:space="preserve"> PAGEREF _Toc520793098 \h </w:instrText>
            </w:r>
            <w:r w:rsidR="007E346A">
              <w:rPr>
                <w:noProof/>
                <w:webHidden/>
              </w:rPr>
            </w:r>
            <w:r w:rsidR="007E346A">
              <w:rPr>
                <w:noProof/>
                <w:webHidden/>
              </w:rPr>
              <w:fldChar w:fldCharType="separate"/>
            </w:r>
            <w:r w:rsidR="007E346A">
              <w:rPr>
                <w:noProof/>
                <w:webHidden/>
              </w:rPr>
              <w:t>6</w:t>
            </w:r>
            <w:r w:rsidR="007E346A">
              <w:rPr>
                <w:noProof/>
                <w:webHidden/>
              </w:rPr>
              <w:fldChar w:fldCharType="end"/>
            </w:r>
          </w:hyperlink>
        </w:p>
        <w:p w14:paraId="48F73E50" w14:textId="77777777" w:rsidR="007E346A" w:rsidRDefault="00C366BF">
          <w:pPr>
            <w:pStyle w:val="TOC2"/>
            <w:rPr>
              <w:rFonts w:eastAsiaTheme="minorEastAsia"/>
              <w:noProof/>
            </w:rPr>
          </w:pPr>
          <w:hyperlink w:anchor="_Toc520793099" w:history="1">
            <w:r w:rsidR="007E346A" w:rsidRPr="00ED64CE">
              <w:rPr>
                <w:rStyle w:val="Hyperlink"/>
                <w:rFonts w:ascii="Californian FB" w:hAnsi="Californian FB"/>
                <w:noProof/>
              </w:rPr>
              <w:t>1.3.2 Revenue Pooling and Management</w:t>
            </w:r>
            <w:r w:rsidR="007E346A">
              <w:rPr>
                <w:noProof/>
                <w:webHidden/>
              </w:rPr>
              <w:tab/>
            </w:r>
            <w:r w:rsidR="007E346A">
              <w:rPr>
                <w:noProof/>
                <w:webHidden/>
              </w:rPr>
              <w:fldChar w:fldCharType="begin"/>
            </w:r>
            <w:r w:rsidR="007E346A">
              <w:rPr>
                <w:noProof/>
                <w:webHidden/>
              </w:rPr>
              <w:instrText xml:space="preserve"> PAGEREF _Toc520793099 \h </w:instrText>
            </w:r>
            <w:r w:rsidR="007E346A">
              <w:rPr>
                <w:noProof/>
                <w:webHidden/>
              </w:rPr>
            </w:r>
            <w:r w:rsidR="007E346A">
              <w:rPr>
                <w:noProof/>
                <w:webHidden/>
              </w:rPr>
              <w:fldChar w:fldCharType="separate"/>
            </w:r>
            <w:r w:rsidR="007E346A">
              <w:rPr>
                <w:noProof/>
                <w:webHidden/>
              </w:rPr>
              <w:t>7</w:t>
            </w:r>
            <w:r w:rsidR="007E346A">
              <w:rPr>
                <w:noProof/>
                <w:webHidden/>
              </w:rPr>
              <w:fldChar w:fldCharType="end"/>
            </w:r>
          </w:hyperlink>
        </w:p>
        <w:p w14:paraId="501E5961" w14:textId="77777777" w:rsidR="007E346A" w:rsidRDefault="00C366BF">
          <w:pPr>
            <w:pStyle w:val="TOC2"/>
            <w:rPr>
              <w:rFonts w:eastAsiaTheme="minorEastAsia"/>
              <w:noProof/>
            </w:rPr>
          </w:pPr>
          <w:hyperlink w:anchor="_Toc520793100" w:history="1">
            <w:r w:rsidR="007E346A" w:rsidRPr="00ED64CE">
              <w:rPr>
                <w:rStyle w:val="Hyperlink"/>
                <w:rFonts w:ascii="Californian FB" w:hAnsi="Californian FB"/>
                <w:noProof/>
              </w:rPr>
              <w:t>1.3.3.  From passive to strategic purchasing</w:t>
            </w:r>
            <w:r w:rsidR="007E346A">
              <w:rPr>
                <w:noProof/>
                <w:webHidden/>
              </w:rPr>
              <w:tab/>
            </w:r>
            <w:r w:rsidR="007E346A">
              <w:rPr>
                <w:noProof/>
                <w:webHidden/>
              </w:rPr>
              <w:fldChar w:fldCharType="begin"/>
            </w:r>
            <w:r w:rsidR="007E346A">
              <w:rPr>
                <w:noProof/>
                <w:webHidden/>
              </w:rPr>
              <w:instrText xml:space="preserve"> PAGEREF _Toc520793100 \h </w:instrText>
            </w:r>
            <w:r w:rsidR="007E346A">
              <w:rPr>
                <w:noProof/>
                <w:webHidden/>
              </w:rPr>
            </w:r>
            <w:r w:rsidR="007E346A">
              <w:rPr>
                <w:noProof/>
                <w:webHidden/>
              </w:rPr>
              <w:fldChar w:fldCharType="separate"/>
            </w:r>
            <w:r w:rsidR="007E346A">
              <w:rPr>
                <w:noProof/>
                <w:webHidden/>
              </w:rPr>
              <w:t>7</w:t>
            </w:r>
            <w:r w:rsidR="007E346A">
              <w:rPr>
                <w:noProof/>
                <w:webHidden/>
              </w:rPr>
              <w:fldChar w:fldCharType="end"/>
            </w:r>
          </w:hyperlink>
        </w:p>
        <w:p w14:paraId="3757C1AB" w14:textId="77777777" w:rsidR="007E346A" w:rsidRDefault="00C366BF">
          <w:pPr>
            <w:pStyle w:val="TOC2"/>
            <w:rPr>
              <w:rFonts w:eastAsiaTheme="minorEastAsia"/>
              <w:noProof/>
            </w:rPr>
          </w:pPr>
          <w:hyperlink w:anchor="_Toc520793101" w:history="1">
            <w:r w:rsidR="007E346A" w:rsidRPr="00ED64CE">
              <w:rPr>
                <w:rStyle w:val="Hyperlink"/>
                <w:rFonts w:ascii="Californian FB" w:hAnsi="Californian FB"/>
                <w:noProof/>
              </w:rPr>
              <w:t>1.4 Purpose of the Monitoring &amp; Evaluation Plan</w:t>
            </w:r>
            <w:r w:rsidR="007E346A">
              <w:rPr>
                <w:noProof/>
                <w:webHidden/>
              </w:rPr>
              <w:tab/>
            </w:r>
            <w:r w:rsidR="007E346A">
              <w:rPr>
                <w:noProof/>
                <w:webHidden/>
              </w:rPr>
              <w:fldChar w:fldCharType="begin"/>
            </w:r>
            <w:r w:rsidR="007E346A">
              <w:rPr>
                <w:noProof/>
                <w:webHidden/>
              </w:rPr>
              <w:instrText xml:space="preserve"> PAGEREF _Toc520793101 \h </w:instrText>
            </w:r>
            <w:r w:rsidR="007E346A">
              <w:rPr>
                <w:noProof/>
                <w:webHidden/>
              </w:rPr>
            </w:r>
            <w:r w:rsidR="007E346A">
              <w:rPr>
                <w:noProof/>
                <w:webHidden/>
              </w:rPr>
              <w:fldChar w:fldCharType="separate"/>
            </w:r>
            <w:r w:rsidR="007E346A">
              <w:rPr>
                <w:noProof/>
                <w:webHidden/>
              </w:rPr>
              <w:t>8</w:t>
            </w:r>
            <w:r w:rsidR="007E346A">
              <w:rPr>
                <w:noProof/>
                <w:webHidden/>
              </w:rPr>
              <w:fldChar w:fldCharType="end"/>
            </w:r>
          </w:hyperlink>
        </w:p>
        <w:p w14:paraId="3CAD9862" w14:textId="77777777" w:rsidR="007E346A" w:rsidRDefault="00C366BF">
          <w:pPr>
            <w:pStyle w:val="TOC2"/>
            <w:rPr>
              <w:rFonts w:eastAsiaTheme="minorEastAsia"/>
              <w:noProof/>
            </w:rPr>
          </w:pPr>
          <w:hyperlink w:anchor="_Toc520793102" w:history="1">
            <w:r w:rsidR="007E346A" w:rsidRPr="00ED64CE">
              <w:rPr>
                <w:rStyle w:val="Hyperlink"/>
                <w:noProof/>
              </w:rPr>
              <w:t>1.5. Goals and Objectives of the M&amp;E Plan</w:t>
            </w:r>
            <w:r w:rsidR="007E346A">
              <w:rPr>
                <w:noProof/>
                <w:webHidden/>
              </w:rPr>
              <w:tab/>
            </w:r>
            <w:r w:rsidR="007E346A">
              <w:rPr>
                <w:noProof/>
                <w:webHidden/>
              </w:rPr>
              <w:fldChar w:fldCharType="begin"/>
            </w:r>
            <w:r w:rsidR="007E346A">
              <w:rPr>
                <w:noProof/>
                <w:webHidden/>
              </w:rPr>
              <w:instrText xml:space="preserve"> PAGEREF _Toc520793102 \h </w:instrText>
            </w:r>
            <w:r w:rsidR="007E346A">
              <w:rPr>
                <w:noProof/>
                <w:webHidden/>
              </w:rPr>
            </w:r>
            <w:r w:rsidR="007E346A">
              <w:rPr>
                <w:noProof/>
                <w:webHidden/>
              </w:rPr>
              <w:fldChar w:fldCharType="separate"/>
            </w:r>
            <w:r w:rsidR="007E346A">
              <w:rPr>
                <w:noProof/>
                <w:webHidden/>
              </w:rPr>
              <w:t>10</w:t>
            </w:r>
            <w:r w:rsidR="007E346A">
              <w:rPr>
                <w:noProof/>
                <w:webHidden/>
              </w:rPr>
              <w:fldChar w:fldCharType="end"/>
            </w:r>
          </w:hyperlink>
        </w:p>
        <w:p w14:paraId="6ABBCA94" w14:textId="77777777" w:rsidR="007E346A" w:rsidRDefault="00C366BF">
          <w:pPr>
            <w:pStyle w:val="TOC2"/>
            <w:rPr>
              <w:rFonts w:eastAsiaTheme="minorEastAsia"/>
              <w:noProof/>
            </w:rPr>
          </w:pPr>
          <w:hyperlink w:anchor="_Toc520793103" w:history="1">
            <w:r w:rsidR="007E346A" w:rsidRPr="00ED64CE">
              <w:rPr>
                <w:rStyle w:val="Hyperlink"/>
                <w:noProof/>
              </w:rPr>
              <w:t>1.5.1. Goal of the UHC M&amp;E Plan</w:t>
            </w:r>
            <w:r w:rsidR="007E346A">
              <w:rPr>
                <w:noProof/>
                <w:webHidden/>
              </w:rPr>
              <w:tab/>
            </w:r>
            <w:r w:rsidR="007E346A">
              <w:rPr>
                <w:noProof/>
                <w:webHidden/>
              </w:rPr>
              <w:fldChar w:fldCharType="begin"/>
            </w:r>
            <w:r w:rsidR="007E346A">
              <w:rPr>
                <w:noProof/>
                <w:webHidden/>
              </w:rPr>
              <w:instrText xml:space="preserve"> PAGEREF _Toc520793103 \h </w:instrText>
            </w:r>
            <w:r w:rsidR="007E346A">
              <w:rPr>
                <w:noProof/>
                <w:webHidden/>
              </w:rPr>
            </w:r>
            <w:r w:rsidR="007E346A">
              <w:rPr>
                <w:noProof/>
                <w:webHidden/>
              </w:rPr>
              <w:fldChar w:fldCharType="separate"/>
            </w:r>
            <w:r w:rsidR="007E346A">
              <w:rPr>
                <w:noProof/>
                <w:webHidden/>
              </w:rPr>
              <w:t>11</w:t>
            </w:r>
            <w:r w:rsidR="007E346A">
              <w:rPr>
                <w:noProof/>
                <w:webHidden/>
              </w:rPr>
              <w:fldChar w:fldCharType="end"/>
            </w:r>
          </w:hyperlink>
        </w:p>
        <w:p w14:paraId="41578DF2" w14:textId="77777777" w:rsidR="007E346A" w:rsidRDefault="00C366BF">
          <w:pPr>
            <w:pStyle w:val="TOC2"/>
            <w:rPr>
              <w:rFonts w:eastAsiaTheme="minorEastAsia"/>
              <w:noProof/>
            </w:rPr>
          </w:pPr>
          <w:hyperlink w:anchor="_Toc520793104" w:history="1">
            <w:r w:rsidR="007E346A" w:rsidRPr="00ED64CE">
              <w:rPr>
                <w:rStyle w:val="Hyperlink"/>
                <w:noProof/>
              </w:rPr>
              <w:t>1.5.2 Objectives of the UHC M&amp;E Plan</w:t>
            </w:r>
            <w:r w:rsidR="007E346A">
              <w:rPr>
                <w:noProof/>
                <w:webHidden/>
              </w:rPr>
              <w:tab/>
            </w:r>
            <w:r w:rsidR="007E346A">
              <w:rPr>
                <w:noProof/>
                <w:webHidden/>
              </w:rPr>
              <w:fldChar w:fldCharType="begin"/>
            </w:r>
            <w:r w:rsidR="007E346A">
              <w:rPr>
                <w:noProof/>
                <w:webHidden/>
              </w:rPr>
              <w:instrText xml:space="preserve"> PAGEREF _Toc520793104 \h </w:instrText>
            </w:r>
            <w:r w:rsidR="007E346A">
              <w:rPr>
                <w:noProof/>
                <w:webHidden/>
              </w:rPr>
            </w:r>
            <w:r w:rsidR="007E346A">
              <w:rPr>
                <w:noProof/>
                <w:webHidden/>
              </w:rPr>
              <w:fldChar w:fldCharType="separate"/>
            </w:r>
            <w:r w:rsidR="007E346A">
              <w:rPr>
                <w:noProof/>
                <w:webHidden/>
              </w:rPr>
              <w:t>11</w:t>
            </w:r>
            <w:r w:rsidR="007E346A">
              <w:rPr>
                <w:noProof/>
                <w:webHidden/>
              </w:rPr>
              <w:fldChar w:fldCharType="end"/>
            </w:r>
          </w:hyperlink>
        </w:p>
        <w:p w14:paraId="56ED5242" w14:textId="77777777" w:rsidR="007E346A" w:rsidRDefault="00C366BF">
          <w:pPr>
            <w:pStyle w:val="TOC2"/>
            <w:rPr>
              <w:rFonts w:eastAsiaTheme="minorEastAsia"/>
              <w:noProof/>
            </w:rPr>
          </w:pPr>
          <w:hyperlink w:anchor="_Toc520793105" w:history="1">
            <w:r w:rsidR="007E346A" w:rsidRPr="00ED64CE">
              <w:rPr>
                <w:rStyle w:val="Hyperlink"/>
                <w:noProof/>
              </w:rPr>
              <w:t>1.5.3 Outputs of the M &amp; E Framework</w:t>
            </w:r>
            <w:r w:rsidR="007E346A">
              <w:rPr>
                <w:noProof/>
                <w:webHidden/>
              </w:rPr>
              <w:tab/>
            </w:r>
            <w:r w:rsidR="007E346A">
              <w:rPr>
                <w:noProof/>
                <w:webHidden/>
              </w:rPr>
              <w:fldChar w:fldCharType="begin"/>
            </w:r>
            <w:r w:rsidR="007E346A">
              <w:rPr>
                <w:noProof/>
                <w:webHidden/>
              </w:rPr>
              <w:instrText xml:space="preserve"> PAGEREF _Toc520793105 \h </w:instrText>
            </w:r>
            <w:r w:rsidR="007E346A">
              <w:rPr>
                <w:noProof/>
                <w:webHidden/>
              </w:rPr>
            </w:r>
            <w:r w:rsidR="007E346A">
              <w:rPr>
                <w:noProof/>
                <w:webHidden/>
              </w:rPr>
              <w:fldChar w:fldCharType="separate"/>
            </w:r>
            <w:r w:rsidR="007E346A">
              <w:rPr>
                <w:noProof/>
                <w:webHidden/>
              </w:rPr>
              <w:t>11</w:t>
            </w:r>
            <w:r w:rsidR="007E346A">
              <w:rPr>
                <w:noProof/>
                <w:webHidden/>
              </w:rPr>
              <w:fldChar w:fldCharType="end"/>
            </w:r>
          </w:hyperlink>
        </w:p>
        <w:p w14:paraId="6979838B" w14:textId="77777777" w:rsidR="007E346A" w:rsidRDefault="00C366BF">
          <w:pPr>
            <w:pStyle w:val="TOC2"/>
            <w:rPr>
              <w:rFonts w:eastAsiaTheme="minorEastAsia"/>
              <w:noProof/>
            </w:rPr>
          </w:pPr>
          <w:hyperlink w:anchor="_Toc520793106" w:history="1">
            <w:r w:rsidR="007E346A" w:rsidRPr="00ED64CE">
              <w:rPr>
                <w:rStyle w:val="Hyperlink"/>
                <w:noProof/>
              </w:rPr>
              <w:t>1.5.4. Implications for M &amp; E</w:t>
            </w:r>
            <w:r w:rsidR="007E346A">
              <w:rPr>
                <w:noProof/>
                <w:webHidden/>
              </w:rPr>
              <w:tab/>
            </w:r>
            <w:r w:rsidR="007E346A">
              <w:rPr>
                <w:noProof/>
                <w:webHidden/>
              </w:rPr>
              <w:fldChar w:fldCharType="begin"/>
            </w:r>
            <w:r w:rsidR="007E346A">
              <w:rPr>
                <w:noProof/>
                <w:webHidden/>
              </w:rPr>
              <w:instrText xml:space="preserve"> PAGEREF _Toc520793106 \h </w:instrText>
            </w:r>
            <w:r w:rsidR="007E346A">
              <w:rPr>
                <w:noProof/>
                <w:webHidden/>
              </w:rPr>
            </w:r>
            <w:r w:rsidR="007E346A">
              <w:rPr>
                <w:noProof/>
                <w:webHidden/>
              </w:rPr>
              <w:fldChar w:fldCharType="separate"/>
            </w:r>
            <w:r w:rsidR="007E346A">
              <w:rPr>
                <w:noProof/>
                <w:webHidden/>
              </w:rPr>
              <w:t>11</w:t>
            </w:r>
            <w:r w:rsidR="007E346A">
              <w:rPr>
                <w:noProof/>
                <w:webHidden/>
              </w:rPr>
              <w:fldChar w:fldCharType="end"/>
            </w:r>
          </w:hyperlink>
        </w:p>
        <w:p w14:paraId="75B855F7" w14:textId="77777777" w:rsidR="007E346A" w:rsidRDefault="00C366BF">
          <w:pPr>
            <w:pStyle w:val="TOC2"/>
            <w:rPr>
              <w:rFonts w:eastAsiaTheme="minorEastAsia"/>
              <w:noProof/>
            </w:rPr>
          </w:pPr>
          <w:hyperlink w:anchor="_Toc520793107" w:history="1">
            <w:r w:rsidR="007E346A" w:rsidRPr="00ED64CE">
              <w:rPr>
                <w:rStyle w:val="Hyperlink"/>
                <w:noProof/>
              </w:rPr>
              <w:t>1.5.5. Alignment of the M &amp; E framework with existing legal framework and polices</w:t>
            </w:r>
            <w:r w:rsidR="007E346A">
              <w:rPr>
                <w:noProof/>
                <w:webHidden/>
              </w:rPr>
              <w:tab/>
            </w:r>
            <w:r w:rsidR="007E346A">
              <w:rPr>
                <w:noProof/>
                <w:webHidden/>
              </w:rPr>
              <w:fldChar w:fldCharType="begin"/>
            </w:r>
            <w:r w:rsidR="007E346A">
              <w:rPr>
                <w:noProof/>
                <w:webHidden/>
              </w:rPr>
              <w:instrText xml:space="preserve"> PAGEREF _Toc520793107 \h </w:instrText>
            </w:r>
            <w:r w:rsidR="007E346A">
              <w:rPr>
                <w:noProof/>
                <w:webHidden/>
              </w:rPr>
            </w:r>
            <w:r w:rsidR="007E346A">
              <w:rPr>
                <w:noProof/>
                <w:webHidden/>
              </w:rPr>
              <w:fldChar w:fldCharType="separate"/>
            </w:r>
            <w:r w:rsidR="007E346A">
              <w:rPr>
                <w:noProof/>
                <w:webHidden/>
              </w:rPr>
              <w:t>12</w:t>
            </w:r>
            <w:r w:rsidR="007E346A">
              <w:rPr>
                <w:noProof/>
                <w:webHidden/>
              </w:rPr>
              <w:fldChar w:fldCharType="end"/>
            </w:r>
          </w:hyperlink>
        </w:p>
        <w:p w14:paraId="3BC6E934" w14:textId="77777777" w:rsidR="007E346A" w:rsidRDefault="00C366BF">
          <w:pPr>
            <w:pStyle w:val="TOC2"/>
            <w:rPr>
              <w:rFonts w:eastAsiaTheme="minorEastAsia"/>
              <w:noProof/>
            </w:rPr>
          </w:pPr>
          <w:hyperlink w:anchor="_Toc520793108" w:history="1">
            <w:r w:rsidR="007E346A" w:rsidRPr="00ED64CE">
              <w:rPr>
                <w:rStyle w:val="Hyperlink"/>
                <w:noProof/>
              </w:rPr>
              <w:t>1.5.6. Organization of the M&amp;E framework</w:t>
            </w:r>
            <w:r w:rsidR="007E346A">
              <w:rPr>
                <w:noProof/>
                <w:webHidden/>
              </w:rPr>
              <w:tab/>
            </w:r>
            <w:r w:rsidR="007E346A">
              <w:rPr>
                <w:noProof/>
                <w:webHidden/>
              </w:rPr>
              <w:fldChar w:fldCharType="begin"/>
            </w:r>
            <w:r w:rsidR="007E346A">
              <w:rPr>
                <w:noProof/>
                <w:webHidden/>
              </w:rPr>
              <w:instrText xml:space="preserve"> PAGEREF _Toc520793108 \h </w:instrText>
            </w:r>
            <w:r w:rsidR="007E346A">
              <w:rPr>
                <w:noProof/>
                <w:webHidden/>
              </w:rPr>
            </w:r>
            <w:r w:rsidR="007E346A">
              <w:rPr>
                <w:noProof/>
                <w:webHidden/>
              </w:rPr>
              <w:fldChar w:fldCharType="separate"/>
            </w:r>
            <w:r w:rsidR="007E346A">
              <w:rPr>
                <w:noProof/>
                <w:webHidden/>
              </w:rPr>
              <w:t>12</w:t>
            </w:r>
            <w:r w:rsidR="007E346A">
              <w:rPr>
                <w:noProof/>
                <w:webHidden/>
              </w:rPr>
              <w:fldChar w:fldCharType="end"/>
            </w:r>
          </w:hyperlink>
        </w:p>
        <w:p w14:paraId="58ED4F20" w14:textId="77777777" w:rsidR="007E346A" w:rsidRDefault="00C366BF">
          <w:pPr>
            <w:pStyle w:val="TOC2"/>
            <w:rPr>
              <w:rFonts w:eastAsiaTheme="minorEastAsia"/>
              <w:noProof/>
            </w:rPr>
          </w:pPr>
          <w:hyperlink w:anchor="_Toc520793109" w:history="1">
            <w:r w:rsidR="007E346A" w:rsidRPr="00ED64CE">
              <w:rPr>
                <w:rStyle w:val="Hyperlink"/>
                <w:noProof/>
              </w:rPr>
              <w:t>1.5.7. The process of developing the M&amp;E Framework</w:t>
            </w:r>
            <w:r w:rsidR="007E346A">
              <w:rPr>
                <w:noProof/>
                <w:webHidden/>
              </w:rPr>
              <w:tab/>
            </w:r>
            <w:r w:rsidR="007E346A">
              <w:rPr>
                <w:noProof/>
                <w:webHidden/>
              </w:rPr>
              <w:fldChar w:fldCharType="begin"/>
            </w:r>
            <w:r w:rsidR="007E346A">
              <w:rPr>
                <w:noProof/>
                <w:webHidden/>
              </w:rPr>
              <w:instrText xml:space="preserve"> PAGEREF _Toc520793109 \h </w:instrText>
            </w:r>
            <w:r w:rsidR="007E346A">
              <w:rPr>
                <w:noProof/>
                <w:webHidden/>
              </w:rPr>
            </w:r>
            <w:r w:rsidR="007E346A">
              <w:rPr>
                <w:noProof/>
                <w:webHidden/>
              </w:rPr>
              <w:fldChar w:fldCharType="separate"/>
            </w:r>
            <w:r w:rsidR="007E346A">
              <w:rPr>
                <w:noProof/>
                <w:webHidden/>
              </w:rPr>
              <w:t>12</w:t>
            </w:r>
            <w:r w:rsidR="007E346A">
              <w:rPr>
                <w:noProof/>
                <w:webHidden/>
              </w:rPr>
              <w:fldChar w:fldCharType="end"/>
            </w:r>
          </w:hyperlink>
        </w:p>
        <w:p w14:paraId="2301534C" w14:textId="77777777" w:rsidR="007E346A" w:rsidRDefault="00C366BF">
          <w:pPr>
            <w:pStyle w:val="TOC2"/>
            <w:rPr>
              <w:rFonts w:eastAsiaTheme="minorEastAsia"/>
              <w:noProof/>
            </w:rPr>
          </w:pPr>
          <w:hyperlink w:anchor="_Toc520793110" w:history="1">
            <w:r w:rsidR="007E346A" w:rsidRPr="00ED64CE">
              <w:rPr>
                <w:rStyle w:val="Hyperlink"/>
                <w:noProof/>
              </w:rPr>
              <w:t>1.5.8. Monitoring and Evaluation Team</w:t>
            </w:r>
            <w:r w:rsidR="007E346A">
              <w:rPr>
                <w:noProof/>
                <w:webHidden/>
              </w:rPr>
              <w:tab/>
            </w:r>
            <w:r w:rsidR="007E346A">
              <w:rPr>
                <w:noProof/>
                <w:webHidden/>
              </w:rPr>
              <w:fldChar w:fldCharType="begin"/>
            </w:r>
            <w:r w:rsidR="007E346A">
              <w:rPr>
                <w:noProof/>
                <w:webHidden/>
              </w:rPr>
              <w:instrText xml:space="preserve"> PAGEREF _Toc520793110 \h </w:instrText>
            </w:r>
            <w:r w:rsidR="007E346A">
              <w:rPr>
                <w:noProof/>
                <w:webHidden/>
              </w:rPr>
            </w:r>
            <w:r w:rsidR="007E346A">
              <w:rPr>
                <w:noProof/>
                <w:webHidden/>
              </w:rPr>
              <w:fldChar w:fldCharType="separate"/>
            </w:r>
            <w:r w:rsidR="007E346A">
              <w:rPr>
                <w:noProof/>
                <w:webHidden/>
              </w:rPr>
              <w:t>12</w:t>
            </w:r>
            <w:r w:rsidR="007E346A">
              <w:rPr>
                <w:noProof/>
                <w:webHidden/>
              </w:rPr>
              <w:fldChar w:fldCharType="end"/>
            </w:r>
          </w:hyperlink>
        </w:p>
        <w:p w14:paraId="04E547D4" w14:textId="77777777" w:rsidR="007E346A" w:rsidRDefault="00C366BF">
          <w:pPr>
            <w:pStyle w:val="TOC2"/>
            <w:rPr>
              <w:rFonts w:eastAsiaTheme="minorEastAsia"/>
              <w:noProof/>
            </w:rPr>
          </w:pPr>
          <w:hyperlink w:anchor="_Toc520793111" w:history="1">
            <w:r w:rsidR="007E346A" w:rsidRPr="00ED64CE">
              <w:rPr>
                <w:rStyle w:val="Hyperlink"/>
                <w:noProof/>
              </w:rPr>
              <w:t xml:space="preserve">1.5.9. </w:t>
            </w:r>
            <w:r w:rsidR="007E346A" w:rsidRPr="00ED64CE">
              <w:rPr>
                <w:rStyle w:val="Hyperlink"/>
                <w:rFonts w:ascii="Californian FB" w:hAnsi="Californian FB"/>
                <w:noProof/>
              </w:rPr>
              <w:t>Current status of Health information systems</w:t>
            </w:r>
            <w:r w:rsidR="007E346A">
              <w:rPr>
                <w:noProof/>
                <w:webHidden/>
              </w:rPr>
              <w:tab/>
            </w:r>
            <w:r w:rsidR="007E346A">
              <w:rPr>
                <w:noProof/>
                <w:webHidden/>
              </w:rPr>
              <w:fldChar w:fldCharType="begin"/>
            </w:r>
            <w:r w:rsidR="007E346A">
              <w:rPr>
                <w:noProof/>
                <w:webHidden/>
              </w:rPr>
              <w:instrText xml:space="preserve"> PAGEREF _Toc520793111 \h </w:instrText>
            </w:r>
            <w:r w:rsidR="007E346A">
              <w:rPr>
                <w:noProof/>
                <w:webHidden/>
              </w:rPr>
            </w:r>
            <w:r w:rsidR="007E346A">
              <w:rPr>
                <w:noProof/>
                <w:webHidden/>
              </w:rPr>
              <w:fldChar w:fldCharType="separate"/>
            </w:r>
            <w:r w:rsidR="007E346A">
              <w:rPr>
                <w:noProof/>
                <w:webHidden/>
              </w:rPr>
              <w:t>15</w:t>
            </w:r>
            <w:r w:rsidR="007E346A">
              <w:rPr>
                <w:noProof/>
                <w:webHidden/>
              </w:rPr>
              <w:fldChar w:fldCharType="end"/>
            </w:r>
          </w:hyperlink>
        </w:p>
        <w:p w14:paraId="6B0152D9" w14:textId="77777777" w:rsidR="007E346A" w:rsidRDefault="00C366BF">
          <w:pPr>
            <w:pStyle w:val="TOC1"/>
            <w:tabs>
              <w:tab w:val="right" w:leader="dot" w:pos="9350"/>
            </w:tabs>
            <w:rPr>
              <w:rFonts w:eastAsiaTheme="minorEastAsia"/>
              <w:noProof/>
            </w:rPr>
          </w:pPr>
          <w:hyperlink w:anchor="_Toc520793112" w:history="1">
            <w:r w:rsidR="007E346A" w:rsidRPr="00ED64CE">
              <w:rPr>
                <w:rStyle w:val="Hyperlink"/>
                <w:rFonts w:ascii="Californian FB" w:hAnsi="Californian FB"/>
                <w:noProof/>
              </w:rPr>
              <w:t>2.0 Program Description and Frameworks: Positioning of UHC in the Nexus of the Big4 Agenda</w:t>
            </w:r>
            <w:r w:rsidR="007E346A">
              <w:rPr>
                <w:noProof/>
                <w:webHidden/>
              </w:rPr>
              <w:tab/>
            </w:r>
            <w:r w:rsidR="007E346A">
              <w:rPr>
                <w:noProof/>
                <w:webHidden/>
              </w:rPr>
              <w:fldChar w:fldCharType="begin"/>
            </w:r>
            <w:r w:rsidR="007E346A">
              <w:rPr>
                <w:noProof/>
                <w:webHidden/>
              </w:rPr>
              <w:instrText xml:space="preserve"> PAGEREF _Toc520793112 \h </w:instrText>
            </w:r>
            <w:r w:rsidR="007E346A">
              <w:rPr>
                <w:noProof/>
                <w:webHidden/>
              </w:rPr>
            </w:r>
            <w:r w:rsidR="007E346A">
              <w:rPr>
                <w:noProof/>
                <w:webHidden/>
              </w:rPr>
              <w:fldChar w:fldCharType="separate"/>
            </w:r>
            <w:r w:rsidR="007E346A">
              <w:rPr>
                <w:noProof/>
                <w:webHidden/>
              </w:rPr>
              <w:t>19</w:t>
            </w:r>
            <w:r w:rsidR="007E346A">
              <w:rPr>
                <w:noProof/>
                <w:webHidden/>
              </w:rPr>
              <w:fldChar w:fldCharType="end"/>
            </w:r>
          </w:hyperlink>
        </w:p>
        <w:p w14:paraId="2CD44FEF" w14:textId="77777777" w:rsidR="007E346A" w:rsidRDefault="00C366BF">
          <w:pPr>
            <w:pStyle w:val="TOC2"/>
            <w:rPr>
              <w:rFonts w:eastAsiaTheme="minorEastAsia"/>
              <w:noProof/>
            </w:rPr>
          </w:pPr>
          <w:hyperlink w:anchor="_Toc520793113" w:history="1">
            <w:r w:rsidR="007E346A" w:rsidRPr="00ED64CE">
              <w:rPr>
                <w:rStyle w:val="Hyperlink"/>
                <w:rFonts w:ascii="Californian FB" w:hAnsi="Californian FB"/>
                <w:noProof/>
              </w:rPr>
              <w:t>2.2 Program Strategies and Activities (including Geographic Scope and Target Population)</w:t>
            </w:r>
            <w:r w:rsidR="007E346A">
              <w:rPr>
                <w:noProof/>
                <w:webHidden/>
              </w:rPr>
              <w:tab/>
            </w:r>
            <w:r w:rsidR="007E346A">
              <w:rPr>
                <w:noProof/>
                <w:webHidden/>
              </w:rPr>
              <w:fldChar w:fldCharType="begin"/>
            </w:r>
            <w:r w:rsidR="007E346A">
              <w:rPr>
                <w:noProof/>
                <w:webHidden/>
              </w:rPr>
              <w:instrText xml:space="preserve"> PAGEREF _Toc520793113 \h </w:instrText>
            </w:r>
            <w:r w:rsidR="007E346A">
              <w:rPr>
                <w:noProof/>
                <w:webHidden/>
              </w:rPr>
            </w:r>
            <w:r w:rsidR="007E346A">
              <w:rPr>
                <w:noProof/>
                <w:webHidden/>
              </w:rPr>
              <w:fldChar w:fldCharType="separate"/>
            </w:r>
            <w:r w:rsidR="007E346A">
              <w:rPr>
                <w:noProof/>
                <w:webHidden/>
              </w:rPr>
              <w:t>27</w:t>
            </w:r>
            <w:r w:rsidR="007E346A">
              <w:rPr>
                <w:noProof/>
                <w:webHidden/>
              </w:rPr>
              <w:fldChar w:fldCharType="end"/>
            </w:r>
          </w:hyperlink>
        </w:p>
        <w:p w14:paraId="680B5C76" w14:textId="77777777" w:rsidR="007E346A" w:rsidRDefault="00C366BF">
          <w:pPr>
            <w:pStyle w:val="TOC2"/>
            <w:rPr>
              <w:rFonts w:eastAsiaTheme="minorEastAsia"/>
              <w:noProof/>
            </w:rPr>
          </w:pPr>
          <w:hyperlink w:anchor="_Toc520793114" w:history="1">
            <w:r w:rsidR="007E346A" w:rsidRPr="00ED64CE">
              <w:rPr>
                <w:rStyle w:val="Hyperlink"/>
                <w:rFonts w:ascii="Californian FB" w:hAnsi="Californian FB"/>
                <w:noProof/>
              </w:rPr>
              <w:t>2.3 UHC Results Framework</w:t>
            </w:r>
            <w:r w:rsidR="007E346A">
              <w:rPr>
                <w:noProof/>
                <w:webHidden/>
              </w:rPr>
              <w:tab/>
            </w:r>
            <w:r w:rsidR="007E346A">
              <w:rPr>
                <w:noProof/>
                <w:webHidden/>
              </w:rPr>
              <w:fldChar w:fldCharType="begin"/>
            </w:r>
            <w:r w:rsidR="007E346A">
              <w:rPr>
                <w:noProof/>
                <w:webHidden/>
              </w:rPr>
              <w:instrText xml:space="preserve"> PAGEREF _Toc520793114 \h </w:instrText>
            </w:r>
            <w:r w:rsidR="007E346A">
              <w:rPr>
                <w:noProof/>
                <w:webHidden/>
              </w:rPr>
            </w:r>
            <w:r w:rsidR="007E346A">
              <w:rPr>
                <w:noProof/>
                <w:webHidden/>
              </w:rPr>
              <w:fldChar w:fldCharType="separate"/>
            </w:r>
            <w:r w:rsidR="007E346A">
              <w:rPr>
                <w:noProof/>
                <w:webHidden/>
              </w:rPr>
              <w:t>0</w:t>
            </w:r>
            <w:r w:rsidR="007E346A">
              <w:rPr>
                <w:noProof/>
                <w:webHidden/>
              </w:rPr>
              <w:fldChar w:fldCharType="end"/>
            </w:r>
          </w:hyperlink>
        </w:p>
        <w:p w14:paraId="16E71680" w14:textId="77777777" w:rsidR="007E346A" w:rsidRDefault="00C366BF">
          <w:pPr>
            <w:pStyle w:val="TOC2"/>
            <w:rPr>
              <w:rFonts w:eastAsiaTheme="minorEastAsia"/>
              <w:noProof/>
            </w:rPr>
          </w:pPr>
          <w:hyperlink w:anchor="_Toc520793115" w:history="1">
            <w:r w:rsidR="007E346A" w:rsidRPr="00ED64CE">
              <w:rPr>
                <w:rStyle w:val="Hyperlink"/>
                <w:rFonts w:ascii="Californian FB" w:hAnsi="Californian FB"/>
                <w:noProof/>
              </w:rPr>
              <w:t>2.6 Critical Assumptions</w:t>
            </w:r>
            <w:r w:rsidR="007E346A">
              <w:rPr>
                <w:noProof/>
                <w:webHidden/>
              </w:rPr>
              <w:tab/>
            </w:r>
            <w:r w:rsidR="007E346A">
              <w:rPr>
                <w:noProof/>
                <w:webHidden/>
              </w:rPr>
              <w:fldChar w:fldCharType="begin"/>
            </w:r>
            <w:r w:rsidR="007E346A">
              <w:rPr>
                <w:noProof/>
                <w:webHidden/>
              </w:rPr>
              <w:instrText xml:space="preserve"> PAGEREF _Toc520793115 \h </w:instrText>
            </w:r>
            <w:r w:rsidR="007E346A">
              <w:rPr>
                <w:noProof/>
                <w:webHidden/>
              </w:rPr>
            </w:r>
            <w:r w:rsidR="007E346A">
              <w:rPr>
                <w:noProof/>
                <w:webHidden/>
              </w:rPr>
              <w:fldChar w:fldCharType="separate"/>
            </w:r>
            <w:r w:rsidR="007E346A">
              <w:rPr>
                <w:noProof/>
                <w:webHidden/>
              </w:rPr>
              <w:t>3</w:t>
            </w:r>
            <w:r w:rsidR="007E346A">
              <w:rPr>
                <w:noProof/>
                <w:webHidden/>
              </w:rPr>
              <w:fldChar w:fldCharType="end"/>
            </w:r>
          </w:hyperlink>
        </w:p>
        <w:p w14:paraId="3A56FB1A" w14:textId="77777777" w:rsidR="007E346A" w:rsidRDefault="00C366BF">
          <w:pPr>
            <w:pStyle w:val="TOC1"/>
            <w:tabs>
              <w:tab w:val="right" w:leader="dot" w:pos="9350"/>
            </w:tabs>
            <w:rPr>
              <w:rFonts w:eastAsiaTheme="minorEastAsia"/>
              <w:noProof/>
            </w:rPr>
          </w:pPr>
          <w:hyperlink w:anchor="_Toc520793116" w:history="1">
            <w:r w:rsidR="007E346A" w:rsidRPr="00ED64CE">
              <w:rPr>
                <w:rStyle w:val="Hyperlink"/>
                <w:rFonts w:ascii="Californian FB" w:hAnsi="Californian FB"/>
                <w:noProof/>
              </w:rPr>
              <w:t>3.0 Monitoring Plan</w:t>
            </w:r>
            <w:r w:rsidR="007E346A">
              <w:rPr>
                <w:noProof/>
                <w:webHidden/>
              </w:rPr>
              <w:tab/>
            </w:r>
            <w:r w:rsidR="007E346A">
              <w:rPr>
                <w:noProof/>
                <w:webHidden/>
              </w:rPr>
              <w:fldChar w:fldCharType="begin"/>
            </w:r>
            <w:r w:rsidR="007E346A">
              <w:rPr>
                <w:noProof/>
                <w:webHidden/>
              </w:rPr>
              <w:instrText xml:space="preserve"> PAGEREF _Toc520793116 \h </w:instrText>
            </w:r>
            <w:r w:rsidR="007E346A">
              <w:rPr>
                <w:noProof/>
                <w:webHidden/>
              </w:rPr>
            </w:r>
            <w:r w:rsidR="007E346A">
              <w:rPr>
                <w:noProof/>
                <w:webHidden/>
              </w:rPr>
              <w:fldChar w:fldCharType="separate"/>
            </w:r>
            <w:r w:rsidR="007E346A">
              <w:rPr>
                <w:noProof/>
                <w:webHidden/>
              </w:rPr>
              <w:t>4</w:t>
            </w:r>
            <w:r w:rsidR="007E346A">
              <w:rPr>
                <w:noProof/>
                <w:webHidden/>
              </w:rPr>
              <w:fldChar w:fldCharType="end"/>
            </w:r>
          </w:hyperlink>
        </w:p>
        <w:p w14:paraId="35EBDCAD" w14:textId="77777777" w:rsidR="007E346A" w:rsidRDefault="00C366BF">
          <w:pPr>
            <w:pStyle w:val="TOC2"/>
            <w:rPr>
              <w:rFonts w:eastAsiaTheme="minorEastAsia"/>
              <w:noProof/>
            </w:rPr>
          </w:pPr>
          <w:hyperlink w:anchor="_Toc520793117" w:history="1">
            <w:r w:rsidR="007E346A" w:rsidRPr="00ED64CE">
              <w:rPr>
                <w:rStyle w:val="Hyperlink"/>
                <w:rFonts w:ascii="Arial Narrow" w:hAnsi="Arial Narrow"/>
                <w:noProof/>
              </w:rPr>
              <w:t>3.1. UHC Performance Monitoring and Evaluation Matrix</w:t>
            </w:r>
            <w:r w:rsidR="007E346A">
              <w:rPr>
                <w:noProof/>
                <w:webHidden/>
              </w:rPr>
              <w:tab/>
            </w:r>
            <w:r w:rsidR="007E346A">
              <w:rPr>
                <w:noProof/>
                <w:webHidden/>
              </w:rPr>
              <w:fldChar w:fldCharType="begin"/>
            </w:r>
            <w:r w:rsidR="007E346A">
              <w:rPr>
                <w:noProof/>
                <w:webHidden/>
              </w:rPr>
              <w:instrText xml:space="preserve"> PAGEREF _Toc520793117 \h </w:instrText>
            </w:r>
            <w:r w:rsidR="007E346A">
              <w:rPr>
                <w:noProof/>
                <w:webHidden/>
              </w:rPr>
            </w:r>
            <w:r w:rsidR="007E346A">
              <w:rPr>
                <w:noProof/>
                <w:webHidden/>
              </w:rPr>
              <w:fldChar w:fldCharType="separate"/>
            </w:r>
            <w:r w:rsidR="007E346A">
              <w:rPr>
                <w:noProof/>
                <w:webHidden/>
              </w:rPr>
              <w:t>1</w:t>
            </w:r>
            <w:r w:rsidR="007E346A">
              <w:rPr>
                <w:noProof/>
                <w:webHidden/>
              </w:rPr>
              <w:fldChar w:fldCharType="end"/>
            </w:r>
          </w:hyperlink>
        </w:p>
        <w:p w14:paraId="347DB695" w14:textId="77777777" w:rsidR="007E346A" w:rsidRDefault="00C366BF">
          <w:pPr>
            <w:pStyle w:val="TOC1"/>
            <w:tabs>
              <w:tab w:val="right" w:leader="dot" w:pos="9350"/>
            </w:tabs>
            <w:rPr>
              <w:rFonts w:eastAsiaTheme="minorEastAsia"/>
              <w:noProof/>
            </w:rPr>
          </w:pPr>
          <w:hyperlink w:anchor="_Toc520793118" w:history="1">
            <w:r w:rsidR="007E346A" w:rsidRPr="00ED64CE">
              <w:rPr>
                <w:rStyle w:val="Hyperlink"/>
                <w:rFonts w:ascii="Californian FB" w:hAnsi="Californian FB"/>
                <w:noProof/>
              </w:rPr>
              <w:t>SECTION 4: MONITORING PLAN FOR UHC IN KENYA</w:t>
            </w:r>
            <w:r w:rsidR="007E346A">
              <w:rPr>
                <w:noProof/>
                <w:webHidden/>
              </w:rPr>
              <w:tab/>
            </w:r>
            <w:r w:rsidR="007E346A">
              <w:rPr>
                <w:noProof/>
                <w:webHidden/>
              </w:rPr>
              <w:fldChar w:fldCharType="begin"/>
            </w:r>
            <w:r w:rsidR="007E346A">
              <w:rPr>
                <w:noProof/>
                <w:webHidden/>
              </w:rPr>
              <w:instrText xml:space="preserve"> PAGEREF _Toc520793118 \h </w:instrText>
            </w:r>
            <w:r w:rsidR="007E346A">
              <w:rPr>
                <w:noProof/>
                <w:webHidden/>
              </w:rPr>
            </w:r>
            <w:r w:rsidR="007E346A">
              <w:rPr>
                <w:noProof/>
                <w:webHidden/>
              </w:rPr>
              <w:fldChar w:fldCharType="separate"/>
            </w:r>
            <w:r w:rsidR="007E346A">
              <w:rPr>
                <w:noProof/>
                <w:webHidden/>
              </w:rPr>
              <w:t>1</w:t>
            </w:r>
            <w:r w:rsidR="007E346A">
              <w:rPr>
                <w:noProof/>
                <w:webHidden/>
              </w:rPr>
              <w:fldChar w:fldCharType="end"/>
            </w:r>
          </w:hyperlink>
        </w:p>
        <w:p w14:paraId="55D254E2" w14:textId="77777777" w:rsidR="007E346A" w:rsidRDefault="00C366BF">
          <w:pPr>
            <w:pStyle w:val="TOC1"/>
            <w:tabs>
              <w:tab w:val="right" w:leader="dot" w:pos="9350"/>
            </w:tabs>
            <w:rPr>
              <w:rFonts w:eastAsiaTheme="minorEastAsia"/>
              <w:noProof/>
            </w:rPr>
          </w:pPr>
          <w:hyperlink w:anchor="_Toc520793119" w:history="1">
            <w:r w:rsidR="007E346A" w:rsidRPr="00ED64CE">
              <w:rPr>
                <w:rStyle w:val="Hyperlink"/>
                <w:noProof/>
              </w:rPr>
              <w:t>4.2. GOALS AND OBJECTIVES OF THE M &amp; E FRAMEWORK</w:t>
            </w:r>
            <w:r w:rsidR="007E346A">
              <w:rPr>
                <w:noProof/>
                <w:webHidden/>
              </w:rPr>
              <w:tab/>
            </w:r>
            <w:r w:rsidR="007E346A">
              <w:rPr>
                <w:noProof/>
                <w:webHidden/>
              </w:rPr>
              <w:fldChar w:fldCharType="begin"/>
            </w:r>
            <w:r w:rsidR="007E346A">
              <w:rPr>
                <w:noProof/>
                <w:webHidden/>
              </w:rPr>
              <w:instrText xml:space="preserve"> PAGEREF _Toc520793119 \h </w:instrText>
            </w:r>
            <w:r w:rsidR="007E346A">
              <w:rPr>
                <w:noProof/>
                <w:webHidden/>
              </w:rPr>
            </w:r>
            <w:r w:rsidR="007E346A">
              <w:rPr>
                <w:noProof/>
                <w:webHidden/>
              </w:rPr>
              <w:fldChar w:fldCharType="separate"/>
            </w:r>
            <w:r w:rsidR="007E346A">
              <w:rPr>
                <w:noProof/>
                <w:webHidden/>
              </w:rPr>
              <w:t>1</w:t>
            </w:r>
            <w:r w:rsidR="007E346A">
              <w:rPr>
                <w:noProof/>
                <w:webHidden/>
              </w:rPr>
              <w:fldChar w:fldCharType="end"/>
            </w:r>
          </w:hyperlink>
        </w:p>
        <w:p w14:paraId="010F4B61" w14:textId="77777777" w:rsidR="007E346A" w:rsidRDefault="00C366BF">
          <w:pPr>
            <w:pStyle w:val="TOC2"/>
            <w:rPr>
              <w:rFonts w:eastAsiaTheme="minorEastAsia"/>
              <w:noProof/>
            </w:rPr>
          </w:pPr>
          <w:hyperlink w:anchor="_Toc520793120" w:history="1">
            <w:r w:rsidR="007E346A" w:rsidRPr="00ED64CE">
              <w:rPr>
                <w:rStyle w:val="Hyperlink"/>
                <w:iCs/>
                <w:noProof/>
                <w:lang w:val="en-ZW" w:eastAsia="x-none"/>
              </w:rPr>
              <w:t>Outputs of the M &amp; E Framework</w:t>
            </w:r>
            <w:r w:rsidR="007E346A">
              <w:rPr>
                <w:noProof/>
                <w:webHidden/>
              </w:rPr>
              <w:tab/>
            </w:r>
            <w:r w:rsidR="007E346A">
              <w:rPr>
                <w:noProof/>
                <w:webHidden/>
              </w:rPr>
              <w:fldChar w:fldCharType="begin"/>
            </w:r>
            <w:r w:rsidR="007E346A">
              <w:rPr>
                <w:noProof/>
                <w:webHidden/>
              </w:rPr>
              <w:instrText xml:space="preserve"> PAGEREF _Toc520793120 \h </w:instrText>
            </w:r>
            <w:r w:rsidR="007E346A">
              <w:rPr>
                <w:noProof/>
                <w:webHidden/>
              </w:rPr>
            </w:r>
            <w:r w:rsidR="007E346A">
              <w:rPr>
                <w:noProof/>
                <w:webHidden/>
              </w:rPr>
              <w:fldChar w:fldCharType="separate"/>
            </w:r>
            <w:r w:rsidR="007E346A">
              <w:rPr>
                <w:noProof/>
                <w:webHidden/>
              </w:rPr>
              <w:t>2</w:t>
            </w:r>
            <w:r w:rsidR="007E346A">
              <w:rPr>
                <w:noProof/>
                <w:webHidden/>
              </w:rPr>
              <w:fldChar w:fldCharType="end"/>
            </w:r>
          </w:hyperlink>
        </w:p>
        <w:p w14:paraId="42CB8395" w14:textId="77777777" w:rsidR="007E346A" w:rsidRDefault="00C366BF">
          <w:pPr>
            <w:pStyle w:val="TOC2"/>
            <w:rPr>
              <w:rFonts w:eastAsiaTheme="minorEastAsia"/>
              <w:noProof/>
            </w:rPr>
          </w:pPr>
          <w:hyperlink w:anchor="_Toc520793121" w:history="1">
            <w:r w:rsidR="007E346A" w:rsidRPr="00ED64CE">
              <w:rPr>
                <w:rStyle w:val="Hyperlink"/>
                <w:i/>
                <w:noProof/>
                <w:lang w:val="en-ZW" w:eastAsia="x-none"/>
              </w:rPr>
              <w:t>Implications for M &amp; E</w:t>
            </w:r>
            <w:r w:rsidR="007E346A">
              <w:rPr>
                <w:noProof/>
                <w:webHidden/>
              </w:rPr>
              <w:tab/>
            </w:r>
            <w:r w:rsidR="007E346A">
              <w:rPr>
                <w:noProof/>
                <w:webHidden/>
              </w:rPr>
              <w:fldChar w:fldCharType="begin"/>
            </w:r>
            <w:r w:rsidR="007E346A">
              <w:rPr>
                <w:noProof/>
                <w:webHidden/>
              </w:rPr>
              <w:instrText xml:space="preserve"> PAGEREF _Toc520793121 \h </w:instrText>
            </w:r>
            <w:r w:rsidR="007E346A">
              <w:rPr>
                <w:noProof/>
                <w:webHidden/>
              </w:rPr>
            </w:r>
            <w:r w:rsidR="007E346A">
              <w:rPr>
                <w:noProof/>
                <w:webHidden/>
              </w:rPr>
              <w:fldChar w:fldCharType="separate"/>
            </w:r>
            <w:r w:rsidR="007E346A">
              <w:rPr>
                <w:noProof/>
                <w:webHidden/>
              </w:rPr>
              <w:t>2</w:t>
            </w:r>
            <w:r w:rsidR="007E346A">
              <w:rPr>
                <w:noProof/>
                <w:webHidden/>
              </w:rPr>
              <w:fldChar w:fldCharType="end"/>
            </w:r>
          </w:hyperlink>
        </w:p>
        <w:p w14:paraId="1483BF94" w14:textId="77777777" w:rsidR="007E346A" w:rsidRDefault="00C366BF">
          <w:pPr>
            <w:pStyle w:val="TOC1"/>
            <w:tabs>
              <w:tab w:val="right" w:leader="dot" w:pos="9350"/>
            </w:tabs>
            <w:rPr>
              <w:rFonts w:eastAsiaTheme="minorEastAsia"/>
              <w:noProof/>
            </w:rPr>
          </w:pPr>
          <w:hyperlink w:anchor="_Toc520793122" w:history="1">
            <w:r w:rsidR="007E346A" w:rsidRPr="00ED64CE">
              <w:rPr>
                <w:rStyle w:val="Hyperlink"/>
                <w:rFonts w:ascii="Californian FB" w:hAnsi="Californian FB"/>
                <w:noProof/>
              </w:rPr>
              <w:t>4.2. Framework of actions domains and dimensions</w:t>
            </w:r>
            <w:r w:rsidR="007E346A">
              <w:rPr>
                <w:noProof/>
                <w:webHidden/>
              </w:rPr>
              <w:tab/>
            </w:r>
            <w:r w:rsidR="007E346A">
              <w:rPr>
                <w:noProof/>
                <w:webHidden/>
              </w:rPr>
              <w:fldChar w:fldCharType="begin"/>
            </w:r>
            <w:r w:rsidR="007E346A">
              <w:rPr>
                <w:noProof/>
                <w:webHidden/>
              </w:rPr>
              <w:instrText xml:space="preserve"> PAGEREF _Toc520793122 \h </w:instrText>
            </w:r>
            <w:r w:rsidR="007E346A">
              <w:rPr>
                <w:noProof/>
                <w:webHidden/>
              </w:rPr>
            </w:r>
            <w:r w:rsidR="007E346A">
              <w:rPr>
                <w:noProof/>
                <w:webHidden/>
              </w:rPr>
              <w:fldChar w:fldCharType="separate"/>
            </w:r>
            <w:r w:rsidR="007E346A">
              <w:rPr>
                <w:noProof/>
                <w:webHidden/>
              </w:rPr>
              <w:t>3</w:t>
            </w:r>
            <w:r w:rsidR="007E346A">
              <w:rPr>
                <w:noProof/>
                <w:webHidden/>
              </w:rPr>
              <w:fldChar w:fldCharType="end"/>
            </w:r>
          </w:hyperlink>
        </w:p>
        <w:p w14:paraId="1D59448B" w14:textId="77777777" w:rsidR="007E346A" w:rsidRDefault="00C366BF">
          <w:pPr>
            <w:pStyle w:val="TOC1"/>
            <w:tabs>
              <w:tab w:val="right" w:leader="dot" w:pos="9350"/>
            </w:tabs>
            <w:rPr>
              <w:rFonts w:eastAsiaTheme="minorEastAsia"/>
              <w:noProof/>
            </w:rPr>
          </w:pPr>
          <w:hyperlink w:anchor="_Toc520793123" w:history="1">
            <w:r w:rsidR="007E346A" w:rsidRPr="00ED64CE">
              <w:rPr>
                <w:rStyle w:val="Hyperlink"/>
                <w:rFonts w:ascii="Californian FB" w:hAnsi="Californian FB"/>
                <w:noProof/>
              </w:rPr>
              <w:t>4.3. Generation &amp; collection of data</w:t>
            </w:r>
            <w:r w:rsidR="007E346A">
              <w:rPr>
                <w:noProof/>
                <w:webHidden/>
              </w:rPr>
              <w:tab/>
            </w:r>
            <w:r w:rsidR="007E346A">
              <w:rPr>
                <w:noProof/>
                <w:webHidden/>
              </w:rPr>
              <w:fldChar w:fldCharType="begin"/>
            </w:r>
            <w:r w:rsidR="007E346A">
              <w:rPr>
                <w:noProof/>
                <w:webHidden/>
              </w:rPr>
              <w:instrText xml:space="preserve"> PAGEREF _Toc520793123 \h </w:instrText>
            </w:r>
            <w:r w:rsidR="007E346A">
              <w:rPr>
                <w:noProof/>
                <w:webHidden/>
              </w:rPr>
            </w:r>
            <w:r w:rsidR="007E346A">
              <w:rPr>
                <w:noProof/>
                <w:webHidden/>
              </w:rPr>
              <w:fldChar w:fldCharType="separate"/>
            </w:r>
            <w:r w:rsidR="007E346A">
              <w:rPr>
                <w:noProof/>
                <w:webHidden/>
              </w:rPr>
              <w:t>5</w:t>
            </w:r>
            <w:r w:rsidR="007E346A">
              <w:rPr>
                <w:noProof/>
                <w:webHidden/>
              </w:rPr>
              <w:fldChar w:fldCharType="end"/>
            </w:r>
          </w:hyperlink>
        </w:p>
        <w:p w14:paraId="04A74FAF" w14:textId="77777777" w:rsidR="007E346A" w:rsidRDefault="00C366BF">
          <w:pPr>
            <w:pStyle w:val="TOC1"/>
            <w:tabs>
              <w:tab w:val="right" w:leader="dot" w:pos="9350"/>
            </w:tabs>
            <w:rPr>
              <w:rFonts w:eastAsiaTheme="minorEastAsia"/>
              <w:noProof/>
            </w:rPr>
          </w:pPr>
          <w:hyperlink w:anchor="_Toc520793124" w:history="1">
            <w:r w:rsidR="007E346A" w:rsidRPr="00ED64CE">
              <w:rPr>
                <w:rStyle w:val="Hyperlink"/>
                <w:rFonts w:ascii="Californian FB" w:hAnsi="Californian FB"/>
                <w:noProof/>
              </w:rPr>
              <w:t>4.4. Information generation</w:t>
            </w:r>
            <w:r w:rsidR="007E346A">
              <w:rPr>
                <w:noProof/>
                <w:webHidden/>
              </w:rPr>
              <w:tab/>
            </w:r>
            <w:r w:rsidR="007E346A">
              <w:rPr>
                <w:noProof/>
                <w:webHidden/>
              </w:rPr>
              <w:fldChar w:fldCharType="begin"/>
            </w:r>
            <w:r w:rsidR="007E346A">
              <w:rPr>
                <w:noProof/>
                <w:webHidden/>
              </w:rPr>
              <w:instrText xml:space="preserve"> PAGEREF _Toc520793124 \h </w:instrText>
            </w:r>
            <w:r w:rsidR="007E346A">
              <w:rPr>
                <w:noProof/>
                <w:webHidden/>
              </w:rPr>
            </w:r>
            <w:r w:rsidR="007E346A">
              <w:rPr>
                <w:noProof/>
                <w:webHidden/>
              </w:rPr>
              <w:fldChar w:fldCharType="separate"/>
            </w:r>
            <w:r w:rsidR="007E346A">
              <w:rPr>
                <w:noProof/>
                <w:webHidden/>
              </w:rPr>
              <w:t>5</w:t>
            </w:r>
            <w:r w:rsidR="007E346A">
              <w:rPr>
                <w:noProof/>
                <w:webHidden/>
              </w:rPr>
              <w:fldChar w:fldCharType="end"/>
            </w:r>
          </w:hyperlink>
        </w:p>
        <w:p w14:paraId="21A88F1E" w14:textId="77777777" w:rsidR="007E346A" w:rsidRDefault="00C366BF">
          <w:pPr>
            <w:pStyle w:val="TOC1"/>
            <w:tabs>
              <w:tab w:val="right" w:leader="dot" w:pos="9350"/>
            </w:tabs>
            <w:rPr>
              <w:rFonts w:eastAsiaTheme="minorEastAsia"/>
              <w:noProof/>
            </w:rPr>
          </w:pPr>
          <w:hyperlink w:anchor="_Toc520793125" w:history="1">
            <w:r w:rsidR="007E346A" w:rsidRPr="00ED64CE">
              <w:rPr>
                <w:rStyle w:val="Hyperlink"/>
                <w:rFonts w:ascii="Californian FB" w:hAnsi="Californian FB"/>
                <w:noProof/>
              </w:rPr>
              <w:t>4.5. Criteria  for assessing UHC performance</w:t>
            </w:r>
            <w:r w:rsidR="007E346A">
              <w:rPr>
                <w:noProof/>
                <w:webHidden/>
              </w:rPr>
              <w:tab/>
            </w:r>
            <w:r w:rsidR="007E346A">
              <w:rPr>
                <w:noProof/>
                <w:webHidden/>
              </w:rPr>
              <w:fldChar w:fldCharType="begin"/>
            </w:r>
            <w:r w:rsidR="007E346A">
              <w:rPr>
                <w:noProof/>
                <w:webHidden/>
              </w:rPr>
              <w:instrText xml:space="preserve"> PAGEREF _Toc520793125 \h </w:instrText>
            </w:r>
            <w:r w:rsidR="007E346A">
              <w:rPr>
                <w:noProof/>
                <w:webHidden/>
              </w:rPr>
            </w:r>
            <w:r w:rsidR="007E346A">
              <w:rPr>
                <w:noProof/>
                <w:webHidden/>
              </w:rPr>
              <w:fldChar w:fldCharType="separate"/>
            </w:r>
            <w:r w:rsidR="007E346A">
              <w:rPr>
                <w:noProof/>
                <w:webHidden/>
              </w:rPr>
              <w:t>5</w:t>
            </w:r>
            <w:r w:rsidR="007E346A">
              <w:rPr>
                <w:noProof/>
                <w:webHidden/>
              </w:rPr>
              <w:fldChar w:fldCharType="end"/>
            </w:r>
          </w:hyperlink>
        </w:p>
        <w:p w14:paraId="5A87419F" w14:textId="77777777" w:rsidR="007E346A" w:rsidRDefault="00C366BF">
          <w:pPr>
            <w:pStyle w:val="TOC1"/>
            <w:tabs>
              <w:tab w:val="right" w:leader="dot" w:pos="9350"/>
            </w:tabs>
            <w:rPr>
              <w:rFonts w:eastAsiaTheme="minorEastAsia"/>
              <w:noProof/>
            </w:rPr>
          </w:pPr>
          <w:hyperlink w:anchor="_Toc520793126" w:history="1">
            <w:r w:rsidR="007E346A" w:rsidRPr="00ED64CE">
              <w:rPr>
                <w:rStyle w:val="Hyperlink"/>
                <w:rFonts w:ascii="Californian FB" w:hAnsi="Californian FB"/>
                <w:noProof/>
              </w:rPr>
              <w:t>4.6. Knowledge generation</w:t>
            </w:r>
            <w:r w:rsidR="007E346A">
              <w:rPr>
                <w:noProof/>
                <w:webHidden/>
              </w:rPr>
              <w:tab/>
            </w:r>
            <w:r w:rsidR="007E346A">
              <w:rPr>
                <w:noProof/>
                <w:webHidden/>
              </w:rPr>
              <w:fldChar w:fldCharType="begin"/>
            </w:r>
            <w:r w:rsidR="007E346A">
              <w:rPr>
                <w:noProof/>
                <w:webHidden/>
              </w:rPr>
              <w:instrText xml:space="preserve"> PAGEREF _Toc520793126 \h </w:instrText>
            </w:r>
            <w:r w:rsidR="007E346A">
              <w:rPr>
                <w:noProof/>
                <w:webHidden/>
              </w:rPr>
            </w:r>
            <w:r w:rsidR="007E346A">
              <w:rPr>
                <w:noProof/>
                <w:webHidden/>
              </w:rPr>
              <w:fldChar w:fldCharType="separate"/>
            </w:r>
            <w:r w:rsidR="007E346A">
              <w:rPr>
                <w:noProof/>
                <w:webHidden/>
              </w:rPr>
              <w:t>6</w:t>
            </w:r>
            <w:r w:rsidR="007E346A">
              <w:rPr>
                <w:noProof/>
                <w:webHidden/>
              </w:rPr>
              <w:fldChar w:fldCharType="end"/>
            </w:r>
          </w:hyperlink>
        </w:p>
        <w:p w14:paraId="11ED54CB" w14:textId="77777777" w:rsidR="007E346A" w:rsidRDefault="00C366BF">
          <w:pPr>
            <w:pStyle w:val="TOC2"/>
            <w:rPr>
              <w:rFonts w:eastAsiaTheme="minorEastAsia"/>
              <w:noProof/>
            </w:rPr>
          </w:pPr>
          <w:hyperlink w:anchor="_Toc520793127" w:history="1">
            <w:r w:rsidR="007E346A" w:rsidRPr="00ED64CE">
              <w:rPr>
                <w:rStyle w:val="Hyperlink"/>
                <w:noProof/>
              </w:rPr>
              <w:t>Knowledge Use</w:t>
            </w:r>
            <w:r w:rsidR="007E346A">
              <w:rPr>
                <w:noProof/>
                <w:webHidden/>
              </w:rPr>
              <w:tab/>
            </w:r>
            <w:r w:rsidR="007E346A">
              <w:rPr>
                <w:noProof/>
                <w:webHidden/>
              </w:rPr>
              <w:fldChar w:fldCharType="begin"/>
            </w:r>
            <w:r w:rsidR="007E346A">
              <w:rPr>
                <w:noProof/>
                <w:webHidden/>
              </w:rPr>
              <w:instrText xml:space="preserve"> PAGEREF _Toc520793127 \h </w:instrText>
            </w:r>
            <w:r w:rsidR="007E346A">
              <w:rPr>
                <w:noProof/>
                <w:webHidden/>
              </w:rPr>
            </w:r>
            <w:r w:rsidR="007E346A">
              <w:rPr>
                <w:noProof/>
                <w:webHidden/>
              </w:rPr>
              <w:fldChar w:fldCharType="separate"/>
            </w:r>
            <w:r w:rsidR="007E346A">
              <w:rPr>
                <w:noProof/>
                <w:webHidden/>
              </w:rPr>
              <w:t>7</w:t>
            </w:r>
            <w:r w:rsidR="007E346A">
              <w:rPr>
                <w:noProof/>
                <w:webHidden/>
              </w:rPr>
              <w:fldChar w:fldCharType="end"/>
            </w:r>
          </w:hyperlink>
        </w:p>
        <w:p w14:paraId="58DAB607" w14:textId="77777777" w:rsidR="007E346A" w:rsidRDefault="00C366BF">
          <w:pPr>
            <w:pStyle w:val="TOC2"/>
            <w:rPr>
              <w:rFonts w:eastAsiaTheme="minorEastAsia"/>
              <w:noProof/>
            </w:rPr>
          </w:pPr>
          <w:hyperlink w:anchor="_Toc520793128" w:history="1">
            <w:r w:rsidR="007E346A" w:rsidRPr="00ED64CE">
              <w:rPr>
                <w:rStyle w:val="Hyperlink"/>
                <w:noProof/>
              </w:rPr>
              <w:t>Review and feedback</w:t>
            </w:r>
            <w:r w:rsidR="007E346A">
              <w:rPr>
                <w:noProof/>
                <w:webHidden/>
              </w:rPr>
              <w:tab/>
            </w:r>
            <w:r w:rsidR="007E346A">
              <w:rPr>
                <w:noProof/>
                <w:webHidden/>
              </w:rPr>
              <w:fldChar w:fldCharType="begin"/>
            </w:r>
            <w:r w:rsidR="007E346A">
              <w:rPr>
                <w:noProof/>
                <w:webHidden/>
              </w:rPr>
              <w:instrText xml:space="preserve"> PAGEREF _Toc520793128 \h </w:instrText>
            </w:r>
            <w:r w:rsidR="007E346A">
              <w:rPr>
                <w:noProof/>
                <w:webHidden/>
              </w:rPr>
            </w:r>
            <w:r w:rsidR="007E346A">
              <w:rPr>
                <w:noProof/>
                <w:webHidden/>
              </w:rPr>
              <w:fldChar w:fldCharType="separate"/>
            </w:r>
            <w:r w:rsidR="007E346A">
              <w:rPr>
                <w:noProof/>
                <w:webHidden/>
              </w:rPr>
              <w:t>7</w:t>
            </w:r>
            <w:r w:rsidR="007E346A">
              <w:rPr>
                <w:noProof/>
                <w:webHidden/>
              </w:rPr>
              <w:fldChar w:fldCharType="end"/>
            </w:r>
          </w:hyperlink>
        </w:p>
        <w:p w14:paraId="598612EB" w14:textId="77777777" w:rsidR="007E346A" w:rsidRDefault="00C366BF">
          <w:pPr>
            <w:pStyle w:val="TOC2"/>
            <w:rPr>
              <w:rFonts w:eastAsiaTheme="minorEastAsia"/>
              <w:noProof/>
            </w:rPr>
          </w:pPr>
          <w:hyperlink w:anchor="_Toc520793129" w:history="1">
            <w:r w:rsidR="007E346A" w:rsidRPr="00ED64CE">
              <w:rPr>
                <w:rStyle w:val="Hyperlink"/>
                <w:rFonts w:ascii="Californian FB" w:hAnsi="Californian FB"/>
                <w:noProof/>
              </w:rPr>
              <w:t>Indicators for Monitoring universal Health Coverage</w:t>
            </w:r>
            <w:r w:rsidR="007E346A">
              <w:rPr>
                <w:noProof/>
                <w:webHidden/>
              </w:rPr>
              <w:tab/>
            </w:r>
            <w:r w:rsidR="007E346A">
              <w:rPr>
                <w:noProof/>
                <w:webHidden/>
              </w:rPr>
              <w:fldChar w:fldCharType="begin"/>
            </w:r>
            <w:r w:rsidR="007E346A">
              <w:rPr>
                <w:noProof/>
                <w:webHidden/>
              </w:rPr>
              <w:instrText xml:space="preserve"> PAGEREF _Toc520793129 \h </w:instrText>
            </w:r>
            <w:r w:rsidR="007E346A">
              <w:rPr>
                <w:noProof/>
                <w:webHidden/>
              </w:rPr>
            </w:r>
            <w:r w:rsidR="007E346A">
              <w:rPr>
                <w:noProof/>
                <w:webHidden/>
              </w:rPr>
              <w:fldChar w:fldCharType="separate"/>
            </w:r>
            <w:r w:rsidR="007E346A">
              <w:rPr>
                <w:noProof/>
                <w:webHidden/>
              </w:rPr>
              <w:t>7</w:t>
            </w:r>
            <w:r w:rsidR="007E346A">
              <w:rPr>
                <w:noProof/>
                <w:webHidden/>
              </w:rPr>
              <w:fldChar w:fldCharType="end"/>
            </w:r>
          </w:hyperlink>
        </w:p>
        <w:p w14:paraId="07909C30" w14:textId="77777777" w:rsidR="007E346A" w:rsidRDefault="00C366BF">
          <w:pPr>
            <w:pStyle w:val="TOC2"/>
            <w:rPr>
              <w:rFonts w:eastAsiaTheme="minorEastAsia"/>
              <w:noProof/>
            </w:rPr>
          </w:pPr>
          <w:hyperlink w:anchor="_Toc520793130" w:history="1">
            <w:r w:rsidR="007E346A" w:rsidRPr="00ED64CE">
              <w:rPr>
                <w:rStyle w:val="Hyperlink"/>
                <w:rFonts w:ascii="Californian FB" w:hAnsi="Californian FB"/>
                <w:noProof/>
              </w:rPr>
              <w:t>4.1</w:t>
            </w:r>
            <w:r w:rsidR="007E346A">
              <w:rPr>
                <w:rFonts w:eastAsiaTheme="minorEastAsia"/>
                <w:noProof/>
              </w:rPr>
              <w:tab/>
            </w:r>
            <w:r w:rsidR="007E346A" w:rsidRPr="00ED64CE">
              <w:rPr>
                <w:rStyle w:val="Hyperlink"/>
                <w:rFonts w:ascii="Californian FB" w:hAnsi="Californian FB"/>
                <w:noProof/>
              </w:rPr>
              <w:t>Tools for Monitoring and Evaluation of UHC</w:t>
            </w:r>
            <w:r w:rsidR="007E346A">
              <w:rPr>
                <w:noProof/>
                <w:webHidden/>
              </w:rPr>
              <w:tab/>
            </w:r>
            <w:r w:rsidR="007E346A">
              <w:rPr>
                <w:noProof/>
                <w:webHidden/>
              </w:rPr>
              <w:fldChar w:fldCharType="begin"/>
            </w:r>
            <w:r w:rsidR="007E346A">
              <w:rPr>
                <w:noProof/>
                <w:webHidden/>
              </w:rPr>
              <w:instrText xml:space="preserve"> PAGEREF _Toc520793130 \h </w:instrText>
            </w:r>
            <w:r w:rsidR="007E346A">
              <w:rPr>
                <w:noProof/>
                <w:webHidden/>
              </w:rPr>
            </w:r>
            <w:r w:rsidR="007E346A">
              <w:rPr>
                <w:noProof/>
                <w:webHidden/>
              </w:rPr>
              <w:fldChar w:fldCharType="separate"/>
            </w:r>
            <w:r w:rsidR="007E346A">
              <w:rPr>
                <w:noProof/>
                <w:webHidden/>
              </w:rPr>
              <w:t>18</w:t>
            </w:r>
            <w:r w:rsidR="007E346A">
              <w:rPr>
                <w:noProof/>
                <w:webHidden/>
              </w:rPr>
              <w:fldChar w:fldCharType="end"/>
            </w:r>
          </w:hyperlink>
        </w:p>
        <w:p w14:paraId="51C4969B" w14:textId="77777777" w:rsidR="007E346A" w:rsidRDefault="00C366BF">
          <w:pPr>
            <w:pStyle w:val="TOC2"/>
            <w:rPr>
              <w:rFonts w:eastAsiaTheme="minorEastAsia"/>
              <w:noProof/>
            </w:rPr>
          </w:pPr>
          <w:hyperlink w:anchor="_Toc520793131" w:history="1">
            <w:r w:rsidR="007E346A" w:rsidRPr="00ED64CE">
              <w:rPr>
                <w:rStyle w:val="Hyperlink"/>
                <w:rFonts w:ascii="Californian FB" w:hAnsi="Californian FB"/>
                <w:noProof/>
              </w:rPr>
              <w:t>4.2</w:t>
            </w:r>
            <w:r w:rsidR="007E346A">
              <w:rPr>
                <w:rFonts w:eastAsiaTheme="minorEastAsia"/>
                <w:noProof/>
              </w:rPr>
              <w:tab/>
            </w:r>
            <w:r w:rsidR="007E346A" w:rsidRPr="00ED64CE">
              <w:rPr>
                <w:rStyle w:val="Hyperlink"/>
                <w:rFonts w:ascii="Californian FB" w:hAnsi="Californian FB"/>
                <w:noProof/>
              </w:rPr>
              <w:t>Data quality plan for UHC</w:t>
            </w:r>
            <w:r w:rsidR="007E346A">
              <w:rPr>
                <w:noProof/>
                <w:webHidden/>
              </w:rPr>
              <w:tab/>
            </w:r>
            <w:r w:rsidR="007E346A">
              <w:rPr>
                <w:noProof/>
                <w:webHidden/>
              </w:rPr>
              <w:fldChar w:fldCharType="begin"/>
            </w:r>
            <w:r w:rsidR="007E346A">
              <w:rPr>
                <w:noProof/>
                <w:webHidden/>
              </w:rPr>
              <w:instrText xml:space="preserve"> PAGEREF _Toc520793131 \h </w:instrText>
            </w:r>
            <w:r w:rsidR="007E346A">
              <w:rPr>
                <w:noProof/>
                <w:webHidden/>
              </w:rPr>
            </w:r>
            <w:r w:rsidR="007E346A">
              <w:rPr>
                <w:noProof/>
                <w:webHidden/>
              </w:rPr>
              <w:fldChar w:fldCharType="separate"/>
            </w:r>
            <w:r w:rsidR="007E346A">
              <w:rPr>
                <w:noProof/>
                <w:webHidden/>
              </w:rPr>
              <w:t>18</w:t>
            </w:r>
            <w:r w:rsidR="007E346A">
              <w:rPr>
                <w:noProof/>
                <w:webHidden/>
              </w:rPr>
              <w:fldChar w:fldCharType="end"/>
            </w:r>
          </w:hyperlink>
        </w:p>
        <w:p w14:paraId="7DD2A8D9" w14:textId="77777777" w:rsidR="007E346A" w:rsidRDefault="00C366BF">
          <w:pPr>
            <w:pStyle w:val="TOC2"/>
            <w:rPr>
              <w:rFonts w:eastAsiaTheme="minorEastAsia"/>
              <w:noProof/>
            </w:rPr>
          </w:pPr>
          <w:hyperlink w:anchor="_Toc520793132" w:history="1">
            <w:r w:rsidR="007E346A" w:rsidRPr="00ED64CE">
              <w:rPr>
                <w:rStyle w:val="Hyperlink"/>
                <w:rFonts w:ascii="Californian FB" w:hAnsi="Californian FB"/>
                <w:noProof/>
              </w:rPr>
              <w:t>4.3</w:t>
            </w:r>
            <w:r w:rsidR="007E346A">
              <w:rPr>
                <w:rFonts w:eastAsiaTheme="minorEastAsia"/>
                <w:noProof/>
              </w:rPr>
              <w:tab/>
            </w:r>
            <w:r w:rsidR="007E346A" w:rsidRPr="00ED64CE">
              <w:rPr>
                <w:rStyle w:val="Hyperlink"/>
                <w:rFonts w:ascii="Californian FB" w:hAnsi="Californian FB"/>
                <w:noProof/>
              </w:rPr>
              <w:t>Information dissemination and use</w:t>
            </w:r>
            <w:r w:rsidR="007E346A">
              <w:rPr>
                <w:noProof/>
                <w:webHidden/>
              </w:rPr>
              <w:tab/>
            </w:r>
            <w:r w:rsidR="007E346A">
              <w:rPr>
                <w:noProof/>
                <w:webHidden/>
              </w:rPr>
              <w:fldChar w:fldCharType="begin"/>
            </w:r>
            <w:r w:rsidR="007E346A">
              <w:rPr>
                <w:noProof/>
                <w:webHidden/>
              </w:rPr>
              <w:instrText xml:space="preserve"> PAGEREF _Toc520793132 \h </w:instrText>
            </w:r>
            <w:r w:rsidR="007E346A">
              <w:rPr>
                <w:noProof/>
                <w:webHidden/>
              </w:rPr>
            </w:r>
            <w:r w:rsidR="007E346A">
              <w:rPr>
                <w:noProof/>
                <w:webHidden/>
              </w:rPr>
              <w:fldChar w:fldCharType="separate"/>
            </w:r>
            <w:r w:rsidR="007E346A">
              <w:rPr>
                <w:noProof/>
                <w:webHidden/>
              </w:rPr>
              <w:t>18</w:t>
            </w:r>
            <w:r w:rsidR="007E346A">
              <w:rPr>
                <w:noProof/>
                <w:webHidden/>
              </w:rPr>
              <w:fldChar w:fldCharType="end"/>
            </w:r>
          </w:hyperlink>
        </w:p>
        <w:p w14:paraId="15A4864B" w14:textId="77777777" w:rsidR="007E346A" w:rsidRDefault="00C366BF">
          <w:pPr>
            <w:pStyle w:val="TOC1"/>
            <w:tabs>
              <w:tab w:val="right" w:leader="dot" w:pos="9350"/>
            </w:tabs>
            <w:rPr>
              <w:rFonts w:eastAsiaTheme="minorEastAsia"/>
              <w:noProof/>
            </w:rPr>
          </w:pPr>
          <w:hyperlink w:anchor="_Toc520793133" w:history="1">
            <w:r w:rsidR="007E346A" w:rsidRPr="00ED64CE">
              <w:rPr>
                <w:rStyle w:val="Hyperlink"/>
                <w:rFonts w:ascii="Californian FB" w:hAnsi="Californian FB"/>
                <w:noProof/>
              </w:rPr>
              <w:t>SECTION 6: EVALUATING UNIVERSAL HEALTH COVERAGE</w:t>
            </w:r>
            <w:r w:rsidR="007E346A">
              <w:rPr>
                <w:noProof/>
                <w:webHidden/>
              </w:rPr>
              <w:tab/>
            </w:r>
            <w:r w:rsidR="007E346A">
              <w:rPr>
                <w:noProof/>
                <w:webHidden/>
              </w:rPr>
              <w:fldChar w:fldCharType="begin"/>
            </w:r>
            <w:r w:rsidR="007E346A">
              <w:rPr>
                <w:noProof/>
                <w:webHidden/>
              </w:rPr>
              <w:instrText xml:space="preserve"> PAGEREF _Toc520793133 \h </w:instrText>
            </w:r>
            <w:r w:rsidR="007E346A">
              <w:rPr>
                <w:noProof/>
                <w:webHidden/>
              </w:rPr>
            </w:r>
            <w:r w:rsidR="007E346A">
              <w:rPr>
                <w:noProof/>
                <w:webHidden/>
              </w:rPr>
              <w:fldChar w:fldCharType="separate"/>
            </w:r>
            <w:r w:rsidR="007E346A">
              <w:rPr>
                <w:noProof/>
                <w:webHidden/>
              </w:rPr>
              <w:t>18</w:t>
            </w:r>
            <w:r w:rsidR="007E346A">
              <w:rPr>
                <w:noProof/>
                <w:webHidden/>
              </w:rPr>
              <w:fldChar w:fldCharType="end"/>
            </w:r>
          </w:hyperlink>
        </w:p>
        <w:p w14:paraId="63C0AFA7" w14:textId="77777777" w:rsidR="007E346A" w:rsidRDefault="00C366BF">
          <w:pPr>
            <w:pStyle w:val="TOC2"/>
            <w:rPr>
              <w:rFonts w:eastAsiaTheme="minorEastAsia"/>
              <w:noProof/>
            </w:rPr>
          </w:pPr>
          <w:hyperlink w:anchor="_Toc520793134" w:history="1">
            <w:r w:rsidR="007E346A" w:rsidRPr="00ED64CE">
              <w:rPr>
                <w:rStyle w:val="Hyperlink"/>
                <w:rFonts w:ascii="Californian FB" w:hAnsi="Californian FB"/>
                <w:noProof/>
              </w:rPr>
              <w:t>6.1</w:t>
            </w:r>
            <w:r w:rsidR="007E346A">
              <w:rPr>
                <w:rFonts w:eastAsiaTheme="minorEastAsia"/>
                <w:noProof/>
              </w:rPr>
              <w:tab/>
            </w:r>
            <w:r w:rsidR="007E346A" w:rsidRPr="00ED64CE">
              <w:rPr>
                <w:rStyle w:val="Hyperlink"/>
                <w:rFonts w:ascii="Californian FB" w:hAnsi="Californian FB"/>
                <w:noProof/>
              </w:rPr>
              <w:t>Why the evaluation</w:t>
            </w:r>
            <w:r w:rsidR="007E346A">
              <w:rPr>
                <w:noProof/>
                <w:webHidden/>
              </w:rPr>
              <w:tab/>
            </w:r>
            <w:r w:rsidR="007E346A">
              <w:rPr>
                <w:noProof/>
                <w:webHidden/>
              </w:rPr>
              <w:fldChar w:fldCharType="begin"/>
            </w:r>
            <w:r w:rsidR="007E346A">
              <w:rPr>
                <w:noProof/>
                <w:webHidden/>
              </w:rPr>
              <w:instrText xml:space="preserve"> PAGEREF _Toc520793134 \h </w:instrText>
            </w:r>
            <w:r w:rsidR="007E346A">
              <w:rPr>
                <w:noProof/>
                <w:webHidden/>
              </w:rPr>
            </w:r>
            <w:r w:rsidR="007E346A">
              <w:rPr>
                <w:noProof/>
                <w:webHidden/>
              </w:rPr>
              <w:fldChar w:fldCharType="separate"/>
            </w:r>
            <w:r w:rsidR="007E346A">
              <w:rPr>
                <w:noProof/>
                <w:webHidden/>
              </w:rPr>
              <w:t>18</w:t>
            </w:r>
            <w:r w:rsidR="007E346A">
              <w:rPr>
                <w:noProof/>
                <w:webHidden/>
              </w:rPr>
              <w:fldChar w:fldCharType="end"/>
            </w:r>
          </w:hyperlink>
        </w:p>
        <w:p w14:paraId="721F93A6" w14:textId="77777777" w:rsidR="007E346A" w:rsidRDefault="00C366BF">
          <w:pPr>
            <w:pStyle w:val="TOC2"/>
            <w:rPr>
              <w:rFonts w:eastAsiaTheme="minorEastAsia"/>
              <w:noProof/>
            </w:rPr>
          </w:pPr>
          <w:hyperlink w:anchor="_Toc520793135" w:history="1">
            <w:r w:rsidR="007E346A" w:rsidRPr="00ED64CE">
              <w:rPr>
                <w:rStyle w:val="Hyperlink"/>
                <w:rFonts w:ascii="Californian FB" w:hAnsi="Californian FB"/>
                <w:noProof/>
              </w:rPr>
              <w:t>6.2</w:t>
            </w:r>
            <w:r w:rsidR="007E346A">
              <w:rPr>
                <w:rFonts w:eastAsiaTheme="minorEastAsia"/>
                <w:noProof/>
              </w:rPr>
              <w:tab/>
            </w:r>
            <w:r w:rsidR="007E346A" w:rsidRPr="00ED64CE">
              <w:rPr>
                <w:rStyle w:val="Hyperlink"/>
                <w:rFonts w:ascii="Californian FB" w:hAnsi="Californian FB"/>
                <w:noProof/>
              </w:rPr>
              <w:t>Evaluation Objectives</w:t>
            </w:r>
            <w:r w:rsidR="007E346A">
              <w:rPr>
                <w:noProof/>
                <w:webHidden/>
              </w:rPr>
              <w:tab/>
            </w:r>
            <w:r w:rsidR="007E346A">
              <w:rPr>
                <w:noProof/>
                <w:webHidden/>
              </w:rPr>
              <w:fldChar w:fldCharType="begin"/>
            </w:r>
            <w:r w:rsidR="007E346A">
              <w:rPr>
                <w:noProof/>
                <w:webHidden/>
              </w:rPr>
              <w:instrText xml:space="preserve"> PAGEREF _Toc520793135 \h </w:instrText>
            </w:r>
            <w:r w:rsidR="007E346A">
              <w:rPr>
                <w:noProof/>
                <w:webHidden/>
              </w:rPr>
            </w:r>
            <w:r w:rsidR="007E346A">
              <w:rPr>
                <w:noProof/>
                <w:webHidden/>
              </w:rPr>
              <w:fldChar w:fldCharType="separate"/>
            </w:r>
            <w:r w:rsidR="007E346A">
              <w:rPr>
                <w:noProof/>
                <w:webHidden/>
              </w:rPr>
              <w:t>19</w:t>
            </w:r>
            <w:r w:rsidR="007E346A">
              <w:rPr>
                <w:noProof/>
                <w:webHidden/>
              </w:rPr>
              <w:fldChar w:fldCharType="end"/>
            </w:r>
          </w:hyperlink>
        </w:p>
        <w:p w14:paraId="40703C6B" w14:textId="77777777" w:rsidR="007E346A" w:rsidRDefault="00C366BF">
          <w:pPr>
            <w:pStyle w:val="TOC2"/>
            <w:rPr>
              <w:rFonts w:eastAsiaTheme="minorEastAsia"/>
              <w:noProof/>
            </w:rPr>
          </w:pPr>
          <w:hyperlink w:anchor="_Toc520793136" w:history="1">
            <w:r w:rsidR="007E346A" w:rsidRPr="00ED64CE">
              <w:rPr>
                <w:rStyle w:val="Hyperlink"/>
                <w:rFonts w:ascii="Californian FB" w:hAnsi="Californian FB"/>
                <w:noProof/>
              </w:rPr>
              <w:t>6.3</w:t>
            </w:r>
            <w:r w:rsidR="007E346A">
              <w:rPr>
                <w:rFonts w:eastAsiaTheme="minorEastAsia"/>
                <w:noProof/>
              </w:rPr>
              <w:tab/>
            </w:r>
            <w:r w:rsidR="007E346A" w:rsidRPr="00ED64CE">
              <w:rPr>
                <w:rStyle w:val="Hyperlink"/>
                <w:rFonts w:ascii="Californian FB" w:hAnsi="Californian FB"/>
                <w:noProof/>
              </w:rPr>
              <w:t>Evaluation Questions</w:t>
            </w:r>
            <w:r w:rsidR="007E346A">
              <w:rPr>
                <w:noProof/>
                <w:webHidden/>
              </w:rPr>
              <w:tab/>
            </w:r>
            <w:r w:rsidR="007E346A">
              <w:rPr>
                <w:noProof/>
                <w:webHidden/>
              </w:rPr>
              <w:fldChar w:fldCharType="begin"/>
            </w:r>
            <w:r w:rsidR="007E346A">
              <w:rPr>
                <w:noProof/>
                <w:webHidden/>
              </w:rPr>
              <w:instrText xml:space="preserve"> PAGEREF _Toc520793136 \h </w:instrText>
            </w:r>
            <w:r w:rsidR="007E346A">
              <w:rPr>
                <w:noProof/>
                <w:webHidden/>
              </w:rPr>
            </w:r>
            <w:r w:rsidR="007E346A">
              <w:rPr>
                <w:noProof/>
                <w:webHidden/>
              </w:rPr>
              <w:fldChar w:fldCharType="separate"/>
            </w:r>
            <w:r w:rsidR="007E346A">
              <w:rPr>
                <w:noProof/>
                <w:webHidden/>
              </w:rPr>
              <w:t>20</w:t>
            </w:r>
            <w:r w:rsidR="007E346A">
              <w:rPr>
                <w:noProof/>
                <w:webHidden/>
              </w:rPr>
              <w:fldChar w:fldCharType="end"/>
            </w:r>
          </w:hyperlink>
        </w:p>
        <w:p w14:paraId="2CCAAB1D" w14:textId="77777777" w:rsidR="007E346A" w:rsidRDefault="00C366BF">
          <w:pPr>
            <w:pStyle w:val="TOC2"/>
            <w:rPr>
              <w:rFonts w:eastAsiaTheme="minorEastAsia"/>
              <w:noProof/>
            </w:rPr>
          </w:pPr>
          <w:hyperlink w:anchor="_Toc520793137" w:history="1">
            <w:r w:rsidR="007E346A" w:rsidRPr="00ED64CE">
              <w:rPr>
                <w:rStyle w:val="Hyperlink"/>
                <w:rFonts w:ascii="Californian FB" w:hAnsi="Californian FB"/>
                <w:noProof/>
              </w:rPr>
              <w:t>6.4</w:t>
            </w:r>
            <w:r w:rsidR="007E346A">
              <w:rPr>
                <w:rFonts w:eastAsiaTheme="minorEastAsia"/>
                <w:noProof/>
              </w:rPr>
              <w:tab/>
            </w:r>
            <w:r w:rsidR="007E346A" w:rsidRPr="00ED64CE">
              <w:rPr>
                <w:rStyle w:val="Hyperlink"/>
                <w:rFonts w:ascii="Californian FB" w:hAnsi="Californian FB"/>
                <w:noProof/>
              </w:rPr>
              <w:t>Evaluation framework</w:t>
            </w:r>
            <w:r w:rsidR="007E346A">
              <w:rPr>
                <w:noProof/>
                <w:webHidden/>
              </w:rPr>
              <w:tab/>
            </w:r>
            <w:r w:rsidR="007E346A">
              <w:rPr>
                <w:noProof/>
                <w:webHidden/>
              </w:rPr>
              <w:fldChar w:fldCharType="begin"/>
            </w:r>
            <w:r w:rsidR="007E346A">
              <w:rPr>
                <w:noProof/>
                <w:webHidden/>
              </w:rPr>
              <w:instrText xml:space="preserve"> PAGEREF _Toc520793137 \h </w:instrText>
            </w:r>
            <w:r w:rsidR="007E346A">
              <w:rPr>
                <w:noProof/>
                <w:webHidden/>
              </w:rPr>
            </w:r>
            <w:r w:rsidR="007E346A">
              <w:rPr>
                <w:noProof/>
                <w:webHidden/>
              </w:rPr>
              <w:fldChar w:fldCharType="separate"/>
            </w:r>
            <w:r w:rsidR="007E346A">
              <w:rPr>
                <w:noProof/>
                <w:webHidden/>
              </w:rPr>
              <w:t>21</w:t>
            </w:r>
            <w:r w:rsidR="007E346A">
              <w:rPr>
                <w:noProof/>
                <w:webHidden/>
              </w:rPr>
              <w:fldChar w:fldCharType="end"/>
            </w:r>
          </w:hyperlink>
        </w:p>
        <w:p w14:paraId="761353FE" w14:textId="77777777" w:rsidR="007E346A" w:rsidRDefault="00C366BF">
          <w:pPr>
            <w:pStyle w:val="TOC2"/>
            <w:rPr>
              <w:rFonts w:eastAsiaTheme="minorEastAsia"/>
              <w:noProof/>
            </w:rPr>
          </w:pPr>
          <w:hyperlink w:anchor="_Toc520793138" w:history="1">
            <w:r w:rsidR="007E346A" w:rsidRPr="00ED64CE">
              <w:rPr>
                <w:rStyle w:val="Hyperlink"/>
                <w:noProof/>
              </w:rPr>
              <w:t>6.4.</w:t>
            </w:r>
            <w:r w:rsidR="007E346A">
              <w:rPr>
                <w:rFonts w:eastAsiaTheme="minorEastAsia"/>
                <w:noProof/>
              </w:rPr>
              <w:tab/>
            </w:r>
            <w:r w:rsidR="007E346A" w:rsidRPr="00ED64CE">
              <w:rPr>
                <w:rStyle w:val="Hyperlink"/>
                <w:noProof/>
              </w:rPr>
              <w:t>Evaluation Methodology</w:t>
            </w:r>
            <w:r w:rsidR="007E346A">
              <w:rPr>
                <w:noProof/>
                <w:webHidden/>
              </w:rPr>
              <w:tab/>
            </w:r>
            <w:r w:rsidR="007E346A">
              <w:rPr>
                <w:noProof/>
                <w:webHidden/>
              </w:rPr>
              <w:fldChar w:fldCharType="begin"/>
            </w:r>
            <w:r w:rsidR="007E346A">
              <w:rPr>
                <w:noProof/>
                <w:webHidden/>
              </w:rPr>
              <w:instrText xml:space="preserve"> PAGEREF _Toc520793138 \h </w:instrText>
            </w:r>
            <w:r w:rsidR="007E346A">
              <w:rPr>
                <w:noProof/>
                <w:webHidden/>
              </w:rPr>
            </w:r>
            <w:r w:rsidR="007E346A">
              <w:rPr>
                <w:noProof/>
                <w:webHidden/>
              </w:rPr>
              <w:fldChar w:fldCharType="separate"/>
            </w:r>
            <w:r w:rsidR="007E346A">
              <w:rPr>
                <w:noProof/>
                <w:webHidden/>
              </w:rPr>
              <w:t>22</w:t>
            </w:r>
            <w:r w:rsidR="007E346A">
              <w:rPr>
                <w:noProof/>
                <w:webHidden/>
              </w:rPr>
              <w:fldChar w:fldCharType="end"/>
            </w:r>
          </w:hyperlink>
        </w:p>
        <w:p w14:paraId="5E8A3D05" w14:textId="77777777" w:rsidR="007E346A" w:rsidRDefault="00C366BF">
          <w:pPr>
            <w:pStyle w:val="TOC1"/>
            <w:tabs>
              <w:tab w:val="right" w:leader="dot" w:pos="9350"/>
            </w:tabs>
            <w:rPr>
              <w:rFonts w:eastAsiaTheme="minorEastAsia"/>
              <w:noProof/>
            </w:rPr>
          </w:pPr>
          <w:hyperlink w:anchor="_Toc520793139" w:history="1">
            <w:r w:rsidR="007E346A" w:rsidRPr="00ED64CE">
              <w:rPr>
                <w:rStyle w:val="Hyperlink"/>
                <w:rFonts w:ascii="Californian FB" w:hAnsi="Californian FB"/>
                <w:noProof/>
              </w:rPr>
              <w:t>SECTION 7: TOOLS FOR MONITORING AND EVALUATION OF UHC</w:t>
            </w:r>
            <w:r w:rsidR="007E346A">
              <w:rPr>
                <w:noProof/>
                <w:webHidden/>
              </w:rPr>
              <w:tab/>
            </w:r>
            <w:r w:rsidR="007E346A">
              <w:rPr>
                <w:noProof/>
                <w:webHidden/>
              </w:rPr>
              <w:fldChar w:fldCharType="begin"/>
            </w:r>
            <w:r w:rsidR="007E346A">
              <w:rPr>
                <w:noProof/>
                <w:webHidden/>
              </w:rPr>
              <w:instrText xml:space="preserve"> PAGEREF _Toc520793139 \h </w:instrText>
            </w:r>
            <w:r w:rsidR="007E346A">
              <w:rPr>
                <w:noProof/>
                <w:webHidden/>
              </w:rPr>
            </w:r>
            <w:r w:rsidR="007E346A">
              <w:rPr>
                <w:noProof/>
                <w:webHidden/>
              </w:rPr>
              <w:fldChar w:fldCharType="separate"/>
            </w:r>
            <w:r w:rsidR="007E346A">
              <w:rPr>
                <w:noProof/>
                <w:webHidden/>
              </w:rPr>
              <w:t>25</w:t>
            </w:r>
            <w:r w:rsidR="007E346A">
              <w:rPr>
                <w:noProof/>
                <w:webHidden/>
              </w:rPr>
              <w:fldChar w:fldCharType="end"/>
            </w:r>
          </w:hyperlink>
        </w:p>
        <w:p w14:paraId="7853CB7E" w14:textId="77777777" w:rsidR="007E346A" w:rsidRDefault="00C366BF">
          <w:pPr>
            <w:pStyle w:val="TOC1"/>
            <w:tabs>
              <w:tab w:val="right" w:leader="dot" w:pos="9350"/>
            </w:tabs>
            <w:rPr>
              <w:rFonts w:eastAsiaTheme="minorEastAsia"/>
              <w:noProof/>
            </w:rPr>
          </w:pPr>
          <w:hyperlink w:anchor="_Toc520793140" w:history="1">
            <w:r w:rsidR="007E346A" w:rsidRPr="00ED64CE">
              <w:rPr>
                <w:rStyle w:val="Hyperlink"/>
                <w:rFonts w:ascii="Californian FB" w:hAnsi="Californian FB"/>
                <w:noProof/>
              </w:rPr>
              <w:t>SECTION 8:  CAPACITY BUILDING FOR UNIVERSAL HEALTH COVERAGE M&amp;E</w:t>
            </w:r>
            <w:r w:rsidR="007E346A">
              <w:rPr>
                <w:noProof/>
                <w:webHidden/>
              </w:rPr>
              <w:tab/>
            </w:r>
            <w:r w:rsidR="007E346A">
              <w:rPr>
                <w:noProof/>
                <w:webHidden/>
              </w:rPr>
              <w:fldChar w:fldCharType="begin"/>
            </w:r>
            <w:r w:rsidR="007E346A">
              <w:rPr>
                <w:noProof/>
                <w:webHidden/>
              </w:rPr>
              <w:instrText xml:space="preserve"> PAGEREF _Toc520793140 \h </w:instrText>
            </w:r>
            <w:r w:rsidR="007E346A">
              <w:rPr>
                <w:noProof/>
                <w:webHidden/>
              </w:rPr>
            </w:r>
            <w:r w:rsidR="007E346A">
              <w:rPr>
                <w:noProof/>
                <w:webHidden/>
              </w:rPr>
              <w:fldChar w:fldCharType="separate"/>
            </w:r>
            <w:r w:rsidR="007E346A">
              <w:rPr>
                <w:noProof/>
                <w:webHidden/>
              </w:rPr>
              <w:t>26</w:t>
            </w:r>
            <w:r w:rsidR="007E346A">
              <w:rPr>
                <w:noProof/>
                <w:webHidden/>
              </w:rPr>
              <w:fldChar w:fldCharType="end"/>
            </w:r>
          </w:hyperlink>
        </w:p>
        <w:p w14:paraId="41B2A971" w14:textId="77777777" w:rsidR="007E346A" w:rsidRDefault="00C366BF">
          <w:pPr>
            <w:pStyle w:val="TOC1"/>
            <w:tabs>
              <w:tab w:val="right" w:leader="dot" w:pos="9350"/>
            </w:tabs>
            <w:rPr>
              <w:rFonts w:eastAsiaTheme="minorEastAsia"/>
              <w:noProof/>
            </w:rPr>
          </w:pPr>
          <w:hyperlink w:anchor="_Toc520793141" w:history="1">
            <w:r w:rsidR="007E346A" w:rsidRPr="00ED64CE">
              <w:rPr>
                <w:rStyle w:val="Hyperlink"/>
                <w:rFonts w:ascii="Californian FB" w:hAnsi="Californian FB"/>
                <w:noProof/>
              </w:rPr>
              <w:t>M&amp;E Budget</w:t>
            </w:r>
            <w:r w:rsidR="007E346A">
              <w:rPr>
                <w:noProof/>
                <w:webHidden/>
              </w:rPr>
              <w:tab/>
            </w:r>
            <w:r w:rsidR="007E346A">
              <w:rPr>
                <w:noProof/>
                <w:webHidden/>
              </w:rPr>
              <w:fldChar w:fldCharType="begin"/>
            </w:r>
            <w:r w:rsidR="007E346A">
              <w:rPr>
                <w:noProof/>
                <w:webHidden/>
              </w:rPr>
              <w:instrText xml:space="preserve"> PAGEREF _Toc520793141 \h </w:instrText>
            </w:r>
            <w:r w:rsidR="007E346A">
              <w:rPr>
                <w:noProof/>
                <w:webHidden/>
              </w:rPr>
            </w:r>
            <w:r w:rsidR="007E346A">
              <w:rPr>
                <w:noProof/>
                <w:webHidden/>
              </w:rPr>
              <w:fldChar w:fldCharType="separate"/>
            </w:r>
            <w:r w:rsidR="007E346A">
              <w:rPr>
                <w:noProof/>
                <w:webHidden/>
              </w:rPr>
              <w:t>26</w:t>
            </w:r>
            <w:r w:rsidR="007E346A">
              <w:rPr>
                <w:noProof/>
                <w:webHidden/>
              </w:rPr>
              <w:fldChar w:fldCharType="end"/>
            </w:r>
          </w:hyperlink>
        </w:p>
        <w:p w14:paraId="7E1B39E0" w14:textId="77777777" w:rsidR="007E346A" w:rsidRDefault="00C366BF">
          <w:pPr>
            <w:pStyle w:val="TOC1"/>
            <w:tabs>
              <w:tab w:val="right" w:leader="dot" w:pos="9350"/>
            </w:tabs>
            <w:rPr>
              <w:rFonts w:eastAsiaTheme="minorEastAsia"/>
              <w:noProof/>
            </w:rPr>
          </w:pPr>
          <w:hyperlink w:anchor="_Toc520793142" w:history="1">
            <w:r w:rsidR="007E346A" w:rsidRPr="00ED64CE">
              <w:rPr>
                <w:rStyle w:val="Hyperlink"/>
                <w:rFonts w:ascii="Californian FB" w:hAnsi="Californian FB"/>
                <w:noProof/>
              </w:rPr>
              <w:t>Appendices</w:t>
            </w:r>
            <w:r w:rsidR="007E346A">
              <w:rPr>
                <w:noProof/>
                <w:webHidden/>
              </w:rPr>
              <w:tab/>
            </w:r>
            <w:r w:rsidR="007E346A">
              <w:rPr>
                <w:noProof/>
                <w:webHidden/>
              </w:rPr>
              <w:fldChar w:fldCharType="begin"/>
            </w:r>
            <w:r w:rsidR="007E346A">
              <w:rPr>
                <w:noProof/>
                <w:webHidden/>
              </w:rPr>
              <w:instrText xml:space="preserve"> PAGEREF _Toc520793142 \h </w:instrText>
            </w:r>
            <w:r w:rsidR="007E346A">
              <w:rPr>
                <w:noProof/>
                <w:webHidden/>
              </w:rPr>
            </w:r>
            <w:r w:rsidR="007E346A">
              <w:rPr>
                <w:noProof/>
                <w:webHidden/>
              </w:rPr>
              <w:fldChar w:fldCharType="separate"/>
            </w:r>
            <w:r w:rsidR="007E346A">
              <w:rPr>
                <w:noProof/>
                <w:webHidden/>
              </w:rPr>
              <w:t>27</w:t>
            </w:r>
            <w:r w:rsidR="007E346A">
              <w:rPr>
                <w:noProof/>
                <w:webHidden/>
              </w:rPr>
              <w:fldChar w:fldCharType="end"/>
            </w:r>
          </w:hyperlink>
        </w:p>
        <w:p w14:paraId="758840CE" w14:textId="77777777" w:rsidR="007E346A" w:rsidRDefault="00C366BF">
          <w:pPr>
            <w:pStyle w:val="TOC1"/>
            <w:tabs>
              <w:tab w:val="right" w:leader="dot" w:pos="9350"/>
            </w:tabs>
            <w:rPr>
              <w:rFonts w:eastAsiaTheme="minorEastAsia"/>
              <w:noProof/>
            </w:rPr>
          </w:pPr>
          <w:hyperlink w:anchor="_Toc520793143" w:history="1">
            <w:r w:rsidR="007E346A" w:rsidRPr="00ED64CE">
              <w:rPr>
                <w:rStyle w:val="Hyperlink"/>
                <w:rFonts w:ascii="Californian FB" w:hAnsi="Californian FB"/>
                <w:noProof/>
              </w:rPr>
              <w:t>Appendix 1: Indicators for each domain and dimension of the actions framework</w:t>
            </w:r>
            <w:r w:rsidR="007E346A">
              <w:rPr>
                <w:noProof/>
                <w:webHidden/>
              </w:rPr>
              <w:tab/>
            </w:r>
            <w:r w:rsidR="007E346A">
              <w:rPr>
                <w:noProof/>
                <w:webHidden/>
              </w:rPr>
              <w:fldChar w:fldCharType="begin"/>
            </w:r>
            <w:r w:rsidR="007E346A">
              <w:rPr>
                <w:noProof/>
                <w:webHidden/>
              </w:rPr>
              <w:instrText xml:space="preserve"> PAGEREF _Toc520793143 \h </w:instrText>
            </w:r>
            <w:r w:rsidR="007E346A">
              <w:rPr>
                <w:noProof/>
                <w:webHidden/>
              </w:rPr>
            </w:r>
            <w:r w:rsidR="007E346A">
              <w:rPr>
                <w:noProof/>
                <w:webHidden/>
              </w:rPr>
              <w:fldChar w:fldCharType="separate"/>
            </w:r>
            <w:r w:rsidR="007E346A">
              <w:rPr>
                <w:noProof/>
                <w:webHidden/>
              </w:rPr>
              <w:t>28</w:t>
            </w:r>
            <w:r w:rsidR="007E346A">
              <w:rPr>
                <w:noProof/>
                <w:webHidden/>
              </w:rPr>
              <w:fldChar w:fldCharType="end"/>
            </w:r>
          </w:hyperlink>
        </w:p>
        <w:p w14:paraId="072B1766" w14:textId="77777777" w:rsidR="007E346A" w:rsidRDefault="00C366BF">
          <w:pPr>
            <w:pStyle w:val="TOC1"/>
            <w:tabs>
              <w:tab w:val="right" w:leader="dot" w:pos="9350"/>
            </w:tabs>
            <w:rPr>
              <w:rFonts w:eastAsiaTheme="minorEastAsia"/>
              <w:noProof/>
            </w:rPr>
          </w:pPr>
          <w:hyperlink w:anchor="_Toc520793144" w:history="1">
            <w:r w:rsidR="007E346A" w:rsidRPr="00ED64CE">
              <w:rPr>
                <w:rStyle w:val="Hyperlink"/>
                <w:rFonts w:ascii="Californian FB" w:hAnsi="Californian FB"/>
                <w:noProof/>
                <w:highlight w:val="yellow"/>
              </w:rPr>
              <w:t>Appendix 2: Format for policy briefs</w:t>
            </w:r>
            <w:r w:rsidR="007E346A">
              <w:rPr>
                <w:noProof/>
                <w:webHidden/>
              </w:rPr>
              <w:tab/>
            </w:r>
            <w:r w:rsidR="007E346A">
              <w:rPr>
                <w:noProof/>
                <w:webHidden/>
              </w:rPr>
              <w:fldChar w:fldCharType="begin"/>
            </w:r>
            <w:r w:rsidR="007E346A">
              <w:rPr>
                <w:noProof/>
                <w:webHidden/>
              </w:rPr>
              <w:instrText xml:space="preserve"> PAGEREF _Toc520793144 \h </w:instrText>
            </w:r>
            <w:r w:rsidR="007E346A">
              <w:rPr>
                <w:noProof/>
                <w:webHidden/>
              </w:rPr>
            </w:r>
            <w:r w:rsidR="007E346A">
              <w:rPr>
                <w:noProof/>
                <w:webHidden/>
              </w:rPr>
              <w:fldChar w:fldCharType="separate"/>
            </w:r>
            <w:r w:rsidR="007E346A">
              <w:rPr>
                <w:noProof/>
                <w:webHidden/>
              </w:rPr>
              <w:t>32</w:t>
            </w:r>
            <w:r w:rsidR="007E346A">
              <w:rPr>
                <w:noProof/>
                <w:webHidden/>
              </w:rPr>
              <w:fldChar w:fldCharType="end"/>
            </w:r>
          </w:hyperlink>
        </w:p>
        <w:p w14:paraId="3F0975D2" w14:textId="5B395B0C" w:rsidR="00616506" w:rsidRDefault="00616506">
          <w:r>
            <w:rPr>
              <w:b/>
              <w:bCs/>
              <w:noProof/>
            </w:rPr>
            <w:fldChar w:fldCharType="end"/>
          </w:r>
        </w:p>
      </w:sdtContent>
    </w:sdt>
    <w:p w14:paraId="5AD5A8CE" w14:textId="77777777" w:rsidR="000614A0" w:rsidRPr="00F3749A" w:rsidRDefault="000614A0" w:rsidP="00F3749A">
      <w:pPr>
        <w:spacing w:after="0"/>
        <w:rPr>
          <w:rFonts w:ascii="Californian FB" w:hAnsi="Californian FB"/>
        </w:rPr>
      </w:pPr>
    </w:p>
    <w:p w14:paraId="51B9D368" w14:textId="77777777" w:rsidR="000614A0" w:rsidRPr="00F3749A" w:rsidRDefault="000614A0" w:rsidP="00F3749A">
      <w:pPr>
        <w:spacing w:after="0"/>
        <w:rPr>
          <w:rFonts w:ascii="Californian FB" w:hAnsi="Californian FB"/>
        </w:rPr>
        <w:sectPr w:rsidR="000614A0" w:rsidRPr="00F3749A" w:rsidSect="002C73A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0"/>
          <w:cols w:space="720"/>
          <w:titlePg/>
          <w:docGrid w:linePitch="360"/>
        </w:sectPr>
      </w:pPr>
      <w:bookmarkStart w:id="0" w:name="_Toc503798674"/>
    </w:p>
    <w:p w14:paraId="1E0E4043" w14:textId="77777777" w:rsidR="00D20DC2" w:rsidRPr="0003574B" w:rsidRDefault="00D20DC2" w:rsidP="00D20DC2">
      <w:pPr>
        <w:pStyle w:val="Heading1"/>
        <w:spacing w:before="0"/>
        <w:rPr>
          <w:rFonts w:asciiTheme="minorHAnsi" w:hAnsiTheme="minorHAnsi" w:cstheme="minorHAnsi"/>
          <w:lang w:val="en-US"/>
        </w:rPr>
      </w:pPr>
      <w:bookmarkStart w:id="1" w:name="_Toc518850644"/>
      <w:bookmarkEnd w:id="0"/>
      <w:r w:rsidRPr="0003574B">
        <w:rPr>
          <w:rFonts w:asciiTheme="minorHAnsi" w:hAnsiTheme="minorHAnsi" w:cstheme="minorHAnsi"/>
          <w:lang w:val="en-US"/>
        </w:rPr>
        <w:lastRenderedPageBreak/>
        <w:t>SECTION 1: INTRODUCTION AND BACKGROUND</w:t>
      </w:r>
      <w:bookmarkEnd w:id="1"/>
    </w:p>
    <w:p w14:paraId="23C3FABF" w14:textId="77777777" w:rsidR="00D20DC2" w:rsidRPr="0003574B" w:rsidRDefault="00D20DC2" w:rsidP="00D20DC2">
      <w:pPr>
        <w:spacing w:after="0"/>
        <w:rPr>
          <w:rFonts w:cstheme="minorHAnsi"/>
        </w:rPr>
      </w:pPr>
    </w:p>
    <w:p w14:paraId="307731E7" w14:textId="77777777" w:rsidR="00D20DC2" w:rsidRPr="0003574B" w:rsidRDefault="00D20DC2" w:rsidP="00D20DC2">
      <w:pPr>
        <w:pStyle w:val="Heading2"/>
        <w:numPr>
          <w:ilvl w:val="1"/>
          <w:numId w:val="1"/>
        </w:numPr>
        <w:spacing w:before="0"/>
        <w:rPr>
          <w:rFonts w:asciiTheme="minorHAnsi" w:hAnsiTheme="minorHAnsi" w:cstheme="minorHAnsi"/>
          <w:lang w:val="en-US"/>
        </w:rPr>
      </w:pPr>
      <w:bookmarkStart w:id="2" w:name="_Toc518850645"/>
      <w:r>
        <w:rPr>
          <w:rFonts w:cstheme="minorHAnsi"/>
        </w:rPr>
        <w:t xml:space="preserve">INTRODUCTION </w:t>
      </w:r>
      <w:bookmarkEnd w:id="2"/>
    </w:p>
    <w:p w14:paraId="67C22D74" w14:textId="77777777" w:rsidR="00D20DC2" w:rsidRPr="0003574B" w:rsidRDefault="00D20DC2" w:rsidP="00D20DC2">
      <w:pPr>
        <w:spacing w:after="0" w:line="240" w:lineRule="auto"/>
        <w:jc w:val="both"/>
        <w:rPr>
          <w:rFonts w:cstheme="minorHAnsi"/>
        </w:rPr>
      </w:pPr>
    </w:p>
    <w:p w14:paraId="1F56A05F" w14:textId="77777777" w:rsidR="00D20DC2" w:rsidRPr="0003574B" w:rsidRDefault="00D20DC2" w:rsidP="00D20DC2">
      <w:pPr>
        <w:spacing w:after="0" w:line="240" w:lineRule="auto"/>
        <w:jc w:val="both"/>
      </w:pPr>
      <w:r>
        <w:rPr>
          <w:rFonts w:cstheme="minorHAnsi"/>
          <w:color w:val="333333"/>
          <w:shd w:val="clear" w:color="auto" w:fill="FFFFFF"/>
        </w:rPr>
        <w:t xml:space="preserve">The </w:t>
      </w:r>
      <w:r w:rsidRPr="0003574B">
        <w:rPr>
          <w:rFonts w:cstheme="minorHAnsi"/>
          <w:color w:val="333333"/>
          <w:shd w:val="clear" w:color="auto" w:fill="FFFFFF"/>
        </w:rPr>
        <w:t>government has prioritized the achievement of Universal health coverage (UHC) as one of the four flagship projects under the Big Four Agenda</w:t>
      </w:r>
      <w:r>
        <w:rPr>
          <w:rFonts w:cstheme="minorHAnsi"/>
          <w:color w:val="333333"/>
          <w:shd w:val="clear" w:color="auto" w:fill="FFFFFF"/>
        </w:rPr>
        <w:t xml:space="preserve"> that runs between 2018-2022</w:t>
      </w:r>
      <w:r w:rsidRPr="0003574B">
        <w:rPr>
          <w:rFonts w:cstheme="minorHAnsi"/>
          <w:color w:val="333333"/>
          <w:shd w:val="clear" w:color="auto" w:fill="FFFFFF"/>
        </w:rPr>
        <w:t>. UHC</w:t>
      </w:r>
      <w:r>
        <w:rPr>
          <w:rFonts w:cstheme="minorHAnsi"/>
          <w:color w:val="333333"/>
          <w:shd w:val="clear" w:color="auto" w:fill="FFFFFF"/>
        </w:rPr>
        <w:t xml:space="preserve"> has</w:t>
      </w:r>
      <w:r w:rsidRPr="0003574B">
        <w:rPr>
          <w:rFonts w:cstheme="minorHAnsi"/>
          <w:color w:val="333333"/>
          <w:shd w:val="clear" w:color="auto" w:fill="FFFFFF"/>
        </w:rPr>
        <w:t xml:space="preserve"> been defined as the desired outcome of health system performance whereby all people who need health services (promotion, prevention, treatment, rehabilitation, and palliation) receive them, without undue financial hardship. UHC has interrelated components</w:t>
      </w:r>
      <w:r w:rsidRPr="0003574B">
        <w:rPr>
          <w:rFonts w:cstheme="minorHAnsi"/>
        </w:rPr>
        <w:t xml:space="preserve"> equally important dimensions, which need to be attained for UHC progress to be real and sustained</w:t>
      </w:r>
      <w:r w:rsidRPr="0003574B">
        <w:rPr>
          <w:rFonts w:cstheme="minorHAnsi"/>
          <w:color w:val="333333"/>
          <w:shd w:val="clear" w:color="auto" w:fill="FFFFFF"/>
        </w:rPr>
        <w:t>: the full spectrum of good-quality, essential health services according to need, and protection of all populations from financial hardship, including possible impoverishment, due to out-of-pocket payments for health services (service coverage). Both components should benefit the entire population (population coverage).”</w:t>
      </w:r>
      <w:r w:rsidRPr="0003574B">
        <w:rPr>
          <w:rFonts w:cstheme="minorHAnsi"/>
        </w:rPr>
        <w:t xml:space="preserve"> (Boerma et al</w:t>
      </w:r>
      <w:r w:rsidRPr="00191013">
        <w:rPr>
          <w:rFonts w:cstheme="minorHAnsi"/>
        </w:rPr>
        <w:t>) Progress in reaching these targets need to be measured but which indicators or measurement methods should be used or whether to use a single index that combines all the UHC dimensions, the data collection frequency and source(s), remains a matter of discussion.</w:t>
      </w:r>
      <w:r w:rsidRPr="00191013">
        <w:t xml:space="preserve"> </w:t>
      </w:r>
    </w:p>
    <w:p w14:paraId="59531F32" w14:textId="77777777" w:rsidR="00D20DC2" w:rsidRPr="0003574B" w:rsidRDefault="00D20DC2" w:rsidP="00D20DC2">
      <w:pPr>
        <w:pStyle w:val="Caption"/>
        <w:spacing w:after="0"/>
        <w:rPr>
          <w:rFonts w:cstheme="minorHAnsi"/>
          <w:sz w:val="22"/>
          <w:szCs w:val="22"/>
        </w:rPr>
      </w:pPr>
    </w:p>
    <w:p w14:paraId="64E0B454" w14:textId="77777777" w:rsidR="00D20DC2" w:rsidRPr="0003574B" w:rsidRDefault="00D20DC2" w:rsidP="00D20DC2">
      <w:pPr>
        <w:pStyle w:val="Caption"/>
        <w:spacing w:after="0"/>
        <w:rPr>
          <w:rFonts w:cstheme="minorHAnsi"/>
          <w:sz w:val="22"/>
          <w:szCs w:val="22"/>
        </w:rPr>
      </w:pPr>
      <w:r w:rsidRPr="0003574B">
        <w:rPr>
          <w:rFonts w:cstheme="minorHAnsi"/>
          <w:noProof/>
          <w:lang w:val="en-US"/>
        </w:rPr>
        <w:drawing>
          <wp:anchor distT="0" distB="0" distL="114300" distR="114300" simplePos="0" relativeHeight="251651072" behindDoc="0" locked="0" layoutInCell="1" allowOverlap="1" wp14:anchorId="1452D793" wp14:editId="4924DF52">
            <wp:simplePos x="0" y="0"/>
            <wp:positionH relativeFrom="column">
              <wp:posOffset>-373380</wp:posOffset>
            </wp:positionH>
            <wp:positionV relativeFrom="paragraph">
              <wp:posOffset>222250</wp:posOffset>
            </wp:positionV>
            <wp:extent cx="5581015" cy="2194560"/>
            <wp:effectExtent l="0" t="0" r="0" b="91440"/>
            <wp:wrapTopAndBottom/>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14:sizeRelH relativeFrom="page">
              <wp14:pctWidth>0</wp14:pctWidth>
            </wp14:sizeRelH>
            <wp14:sizeRelV relativeFrom="page">
              <wp14:pctHeight>0</wp14:pctHeight>
            </wp14:sizeRelV>
          </wp:anchor>
        </w:drawing>
      </w:r>
      <w:r w:rsidRPr="0003574B">
        <w:rPr>
          <w:rFonts w:cstheme="minorHAnsi"/>
          <w:sz w:val="22"/>
          <w:szCs w:val="22"/>
        </w:rPr>
        <w:t xml:space="preserve">Figure </w:t>
      </w:r>
      <w:r w:rsidRPr="0003574B">
        <w:rPr>
          <w:rFonts w:cstheme="minorHAnsi"/>
          <w:sz w:val="22"/>
          <w:szCs w:val="22"/>
        </w:rPr>
        <w:fldChar w:fldCharType="begin"/>
      </w:r>
      <w:r w:rsidRPr="0003574B">
        <w:rPr>
          <w:rFonts w:cstheme="minorHAnsi"/>
          <w:sz w:val="22"/>
          <w:szCs w:val="22"/>
        </w:rPr>
        <w:instrText xml:space="preserve"> SEQ Figure \* ARABIC </w:instrText>
      </w:r>
      <w:r w:rsidRPr="0003574B">
        <w:rPr>
          <w:rFonts w:cstheme="minorHAnsi"/>
          <w:sz w:val="22"/>
          <w:szCs w:val="22"/>
        </w:rPr>
        <w:fldChar w:fldCharType="separate"/>
      </w:r>
      <w:r w:rsidRPr="0003574B">
        <w:rPr>
          <w:rFonts w:cstheme="minorHAnsi"/>
          <w:noProof/>
          <w:sz w:val="22"/>
          <w:szCs w:val="22"/>
        </w:rPr>
        <w:t>8</w:t>
      </w:r>
      <w:r w:rsidRPr="0003574B">
        <w:rPr>
          <w:rFonts w:cstheme="minorHAnsi"/>
          <w:sz w:val="22"/>
          <w:szCs w:val="22"/>
        </w:rPr>
        <w:fldChar w:fldCharType="end"/>
      </w:r>
      <w:r w:rsidRPr="0003574B">
        <w:rPr>
          <w:rFonts w:cstheme="minorHAnsi"/>
          <w:sz w:val="22"/>
          <w:szCs w:val="22"/>
        </w:rPr>
        <w:t>: Dimensions of Universal Health Coverage</w:t>
      </w:r>
    </w:p>
    <w:p w14:paraId="1B72DB53" w14:textId="77777777" w:rsidR="00D20DC2" w:rsidRPr="0003574B" w:rsidRDefault="00D20DC2" w:rsidP="00D20DC2">
      <w:pPr>
        <w:spacing w:after="0" w:line="240" w:lineRule="auto"/>
        <w:jc w:val="center"/>
        <w:rPr>
          <w:rFonts w:cstheme="minorHAnsi"/>
        </w:rPr>
      </w:pPr>
    </w:p>
    <w:p w14:paraId="2054CCB5" w14:textId="77777777" w:rsidR="00D20DC2" w:rsidRDefault="00D20DC2" w:rsidP="00D20DC2">
      <w:pPr>
        <w:pStyle w:val="ListParagraph"/>
        <w:spacing w:after="0" w:line="240" w:lineRule="auto"/>
        <w:ind w:left="360"/>
        <w:jc w:val="both"/>
        <w:rPr>
          <w:rFonts w:cstheme="minorHAnsi"/>
        </w:rPr>
      </w:pPr>
    </w:p>
    <w:p w14:paraId="703DEF27" w14:textId="77777777" w:rsidR="00D20DC2" w:rsidRDefault="00D20DC2" w:rsidP="00D20DC2">
      <w:pPr>
        <w:pStyle w:val="ListParagraph"/>
        <w:numPr>
          <w:ilvl w:val="0"/>
          <w:numId w:val="4"/>
        </w:numPr>
        <w:spacing w:after="0" w:line="240" w:lineRule="auto"/>
        <w:ind w:left="360"/>
        <w:jc w:val="both"/>
        <w:rPr>
          <w:rFonts w:cstheme="minorHAnsi"/>
        </w:rPr>
      </w:pPr>
      <w:r w:rsidRPr="0003574B">
        <w:rPr>
          <w:rFonts w:cstheme="minorHAnsi"/>
          <w:b/>
          <w:i/>
        </w:rPr>
        <w:t>Making essential services available</w:t>
      </w:r>
      <w:r w:rsidRPr="0003574B">
        <w:rPr>
          <w:rFonts w:cstheme="minorHAnsi"/>
        </w:rPr>
        <w:t xml:space="preserve"> calls</w:t>
      </w:r>
      <w:r w:rsidRPr="00191013">
        <w:rPr>
          <w:rFonts w:cstheme="minorHAnsi"/>
        </w:rPr>
        <w:t xml:space="preserve"> for</w:t>
      </w:r>
      <w:r w:rsidRPr="0003574B">
        <w:rPr>
          <w:rFonts w:cstheme="minorHAnsi"/>
        </w:rPr>
        <w:t xml:space="preserve"> identification of which services are essential for different population groups, and actively plan and monitor their availability. Identifying needed services needs to be based on the health and wellbeing challenges faced at each life cohort and informed from engagements with the respective life cohort members. This represents a shift away from a focus on a basic set of cost effective services, which was technically, and cost defined.</w:t>
      </w:r>
    </w:p>
    <w:p w14:paraId="130C9C3D" w14:textId="77777777" w:rsidR="00D20DC2" w:rsidRPr="0003574B" w:rsidRDefault="00D20DC2" w:rsidP="00D20DC2">
      <w:pPr>
        <w:pStyle w:val="ListParagraph"/>
        <w:spacing w:after="0" w:line="240" w:lineRule="auto"/>
        <w:ind w:left="360"/>
        <w:jc w:val="both"/>
        <w:rPr>
          <w:rFonts w:cstheme="minorHAnsi"/>
        </w:rPr>
      </w:pPr>
    </w:p>
    <w:p w14:paraId="65D28761" w14:textId="77777777" w:rsidR="00D20DC2" w:rsidRPr="0003574B" w:rsidRDefault="00D20DC2" w:rsidP="00D20DC2">
      <w:pPr>
        <w:pStyle w:val="ListParagraph"/>
        <w:numPr>
          <w:ilvl w:val="0"/>
          <w:numId w:val="4"/>
        </w:numPr>
        <w:spacing w:after="0" w:line="240" w:lineRule="auto"/>
        <w:ind w:left="360"/>
        <w:jc w:val="both"/>
        <w:rPr>
          <w:rFonts w:cstheme="minorHAnsi"/>
        </w:rPr>
      </w:pPr>
      <w:r w:rsidRPr="0003574B">
        <w:rPr>
          <w:rFonts w:cstheme="minorHAnsi"/>
          <w:b/>
          <w:i/>
        </w:rPr>
        <w:t>Equitable utilization of the essential services</w:t>
      </w:r>
      <w:r w:rsidRPr="0003574B">
        <w:rPr>
          <w:rFonts w:cstheme="minorHAnsi"/>
        </w:rPr>
        <w:t xml:space="preserve"> calls for Kenya to put in place service delivery mechanisms that ensure that service utilization across all beneficiaries is fair. Wherever, and whoever a beneficiary is, they should have the same utilization capacity as any other beneficiary. This represents a shift away from a focus on maximizing utilization across the whole population, to a focus on identifying and increasing utilization for the most marginalized populations in the country (e.g. immunization coverage – both overall and for hard to reach populations).</w:t>
      </w:r>
    </w:p>
    <w:p w14:paraId="58A08F6B" w14:textId="77777777" w:rsidR="00D20DC2" w:rsidRPr="0003574B" w:rsidRDefault="00D20DC2" w:rsidP="00D20DC2">
      <w:pPr>
        <w:pStyle w:val="ListParagraph"/>
        <w:numPr>
          <w:ilvl w:val="0"/>
          <w:numId w:val="4"/>
        </w:numPr>
        <w:spacing w:after="0" w:line="240" w:lineRule="auto"/>
        <w:ind w:left="360"/>
        <w:jc w:val="both"/>
        <w:rPr>
          <w:rFonts w:cstheme="minorHAnsi"/>
        </w:rPr>
      </w:pPr>
      <w:r w:rsidRPr="0003574B">
        <w:rPr>
          <w:rFonts w:cstheme="minorHAnsi"/>
          <w:b/>
        </w:rPr>
        <w:lastRenderedPageBreak/>
        <w:t xml:space="preserve">Financial risk protection during utilization of essential services </w:t>
      </w:r>
      <w:r w:rsidRPr="0003574B">
        <w:rPr>
          <w:rFonts w:cstheme="minorHAnsi"/>
        </w:rPr>
        <w:t xml:space="preserve">which calls for Kenya to limit financial barriers faced by the population during the process of accessing essential services. These financial barriers at the point of use are a recognized hindrance to utilization of essential services. </w:t>
      </w:r>
    </w:p>
    <w:p w14:paraId="22AAED64" w14:textId="77777777" w:rsidR="00D20DC2" w:rsidRPr="00634287" w:rsidRDefault="00D20DC2" w:rsidP="00D20DC2">
      <w:pPr>
        <w:pStyle w:val="Caption"/>
        <w:spacing w:after="0"/>
        <w:jc w:val="both"/>
        <w:rPr>
          <w:rFonts w:cstheme="minorHAnsi"/>
          <w:sz w:val="22"/>
          <w:szCs w:val="22"/>
        </w:rPr>
      </w:pPr>
    </w:p>
    <w:p w14:paraId="1261CFED" w14:textId="77777777" w:rsidR="00D20DC2" w:rsidRPr="0003574B" w:rsidRDefault="00D20DC2" w:rsidP="00D20DC2">
      <w:pPr>
        <w:pStyle w:val="Caption"/>
        <w:spacing w:after="0"/>
        <w:jc w:val="both"/>
        <w:rPr>
          <w:rFonts w:cstheme="minorHAnsi"/>
          <w:i w:val="0"/>
          <w:color w:val="auto"/>
          <w:sz w:val="22"/>
          <w:szCs w:val="22"/>
        </w:rPr>
      </w:pPr>
      <w:r w:rsidRPr="0003574B">
        <w:rPr>
          <w:rFonts w:cstheme="minorHAnsi"/>
          <w:i w:val="0"/>
          <w:color w:val="auto"/>
          <w:sz w:val="22"/>
          <w:szCs w:val="22"/>
        </w:rPr>
        <w:t xml:space="preserve">Table XX below highlights the critical shifts that must be made to realize each of the three UHC dimensions discussed above. </w:t>
      </w:r>
    </w:p>
    <w:p w14:paraId="4D726C39" w14:textId="77777777" w:rsidR="00D20DC2" w:rsidRPr="00634287" w:rsidRDefault="00D20DC2" w:rsidP="00D20DC2">
      <w:pPr>
        <w:pStyle w:val="Caption"/>
        <w:spacing w:after="0"/>
        <w:jc w:val="both"/>
        <w:rPr>
          <w:rFonts w:cstheme="minorHAnsi"/>
          <w:sz w:val="22"/>
          <w:szCs w:val="22"/>
        </w:rPr>
      </w:pPr>
    </w:p>
    <w:p w14:paraId="39AE983B" w14:textId="77777777" w:rsidR="00D20DC2" w:rsidRPr="0003574B" w:rsidRDefault="00D20DC2" w:rsidP="00D20DC2">
      <w:pPr>
        <w:pStyle w:val="Caption"/>
        <w:spacing w:after="0"/>
        <w:jc w:val="both"/>
        <w:rPr>
          <w:rFonts w:cstheme="minorHAnsi"/>
          <w:sz w:val="22"/>
          <w:szCs w:val="22"/>
        </w:rPr>
      </w:pPr>
      <w:r w:rsidRPr="0003574B">
        <w:rPr>
          <w:rFonts w:cstheme="minorHAnsi"/>
          <w:sz w:val="22"/>
          <w:szCs w:val="22"/>
        </w:rPr>
        <w:t>Table xx: Key shifts with Universal Health Coverage</w:t>
      </w:r>
    </w:p>
    <w:tbl>
      <w:tblPr>
        <w:tblStyle w:val="GridTable6Colorful"/>
        <w:tblW w:w="9360" w:type="dxa"/>
        <w:tblInd w:w="108" w:type="dxa"/>
        <w:tblLook w:val="04A0" w:firstRow="1" w:lastRow="0" w:firstColumn="1" w:lastColumn="0" w:noHBand="0" w:noVBand="1"/>
      </w:tblPr>
      <w:tblGrid>
        <w:gridCol w:w="2250"/>
        <w:gridCol w:w="2970"/>
        <w:gridCol w:w="4140"/>
      </w:tblGrid>
      <w:tr w:rsidR="00D20DC2" w:rsidRPr="00634287" w14:paraId="124612C8" w14:textId="77777777" w:rsidTr="00D20D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14:paraId="7A12DAE2" w14:textId="3E401C4C" w:rsidR="00D20DC2" w:rsidRPr="0003574B" w:rsidRDefault="00D20DC2" w:rsidP="00D20DC2">
            <w:pPr>
              <w:spacing w:line="276" w:lineRule="auto"/>
              <w:jc w:val="both"/>
              <w:rPr>
                <w:rFonts w:ascii="Calibri" w:hAnsi="Calibri" w:cs="Calibri"/>
                <w:sz w:val="20"/>
                <w:szCs w:val="20"/>
              </w:rPr>
            </w:pPr>
            <w:r>
              <w:rPr>
                <w:rFonts w:ascii="Calibri" w:hAnsi="Calibri" w:cs="Calibri"/>
                <w:sz w:val="20"/>
                <w:szCs w:val="20"/>
              </w:rPr>
              <w:t xml:space="preserve">Critical UHC Driver </w:t>
            </w:r>
          </w:p>
        </w:tc>
        <w:tc>
          <w:tcPr>
            <w:tcW w:w="2970" w:type="dxa"/>
          </w:tcPr>
          <w:p w14:paraId="40640CEF" w14:textId="77777777" w:rsidR="00D20DC2" w:rsidRPr="0003574B" w:rsidRDefault="00D20DC2" w:rsidP="00D20DC2">
            <w:pPr>
              <w:spacing w:line="276" w:lineRule="auto"/>
              <w:jc w:val="both"/>
              <w:cnfStyle w:val="100000000000" w:firstRow="1" w:lastRow="0" w:firstColumn="0" w:lastColumn="0" w:oddVBand="0" w:evenVBand="0" w:oddHBand="0"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From</w:t>
            </w:r>
          </w:p>
        </w:tc>
        <w:tc>
          <w:tcPr>
            <w:tcW w:w="4140" w:type="dxa"/>
          </w:tcPr>
          <w:p w14:paraId="5950F7FA" w14:textId="77777777" w:rsidR="00D20DC2" w:rsidRPr="0003574B" w:rsidRDefault="00D20DC2" w:rsidP="00D20DC2">
            <w:pPr>
              <w:spacing w:line="276" w:lineRule="auto"/>
              <w:jc w:val="both"/>
              <w:cnfStyle w:val="100000000000" w:firstRow="1" w:lastRow="0" w:firstColumn="0" w:lastColumn="0" w:oddVBand="0" w:evenVBand="0" w:oddHBand="0"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To</w:t>
            </w:r>
          </w:p>
        </w:tc>
      </w:tr>
      <w:tr w:rsidR="00D20DC2" w:rsidRPr="00634287" w14:paraId="5184BEB9" w14:textId="77777777" w:rsidTr="00D20D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14:paraId="254B37C8" w14:textId="77777777" w:rsidR="00D20DC2" w:rsidRPr="0003574B" w:rsidRDefault="00D20DC2" w:rsidP="00D20DC2">
            <w:pPr>
              <w:spacing w:line="276" w:lineRule="auto"/>
              <w:jc w:val="both"/>
              <w:rPr>
                <w:rFonts w:ascii="Calibri" w:hAnsi="Calibri" w:cs="Calibri"/>
                <w:sz w:val="20"/>
                <w:szCs w:val="20"/>
              </w:rPr>
            </w:pPr>
            <w:r w:rsidRPr="0003574B">
              <w:rPr>
                <w:rFonts w:ascii="Calibri" w:hAnsi="Calibri" w:cs="Calibri"/>
                <w:sz w:val="20"/>
                <w:szCs w:val="20"/>
              </w:rPr>
              <w:t>Availability of essential services</w:t>
            </w:r>
          </w:p>
        </w:tc>
        <w:tc>
          <w:tcPr>
            <w:tcW w:w="2970" w:type="dxa"/>
          </w:tcPr>
          <w:p w14:paraId="51A7C52D" w14:textId="77777777" w:rsidR="00D20DC2" w:rsidRPr="0003574B" w:rsidRDefault="00D20DC2" w:rsidP="00D20DC2">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Provision of basic cost-effective services for those in most need</w:t>
            </w:r>
          </w:p>
        </w:tc>
        <w:tc>
          <w:tcPr>
            <w:tcW w:w="4140" w:type="dxa"/>
          </w:tcPr>
          <w:p w14:paraId="2C44412A" w14:textId="77777777" w:rsidR="00D20DC2" w:rsidRPr="0003574B" w:rsidRDefault="00D20DC2" w:rsidP="00D20DC2">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Provision of essential services needed for all life cohorts</w:t>
            </w:r>
          </w:p>
        </w:tc>
      </w:tr>
      <w:tr w:rsidR="00D20DC2" w:rsidRPr="00634287" w14:paraId="1528F882" w14:textId="77777777" w:rsidTr="00D20DC2">
        <w:trPr>
          <w:trHeight w:val="56"/>
        </w:trPr>
        <w:tc>
          <w:tcPr>
            <w:cnfStyle w:val="001000000000" w:firstRow="0" w:lastRow="0" w:firstColumn="1" w:lastColumn="0" w:oddVBand="0" w:evenVBand="0" w:oddHBand="0" w:evenHBand="0" w:firstRowFirstColumn="0" w:firstRowLastColumn="0" w:lastRowFirstColumn="0" w:lastRowLastColumn="0"/>
            <w:tcW w:w="2250" w:type="dxa"/>
          </w:tcPr>
          <w:p w14:paraId="6C95B092" w14:textId="77777777" w:rsidR="00D20DC2" w:rsidRPr="0003574B" w:rsidRDefault="00D20DC2" w:rsidP="00D20DC2">
            <w:pPr>
              <w:spacing w:line="276" w:lineRule="auto"/>
              <w:jc w:val="both"/>
              <w:rPr>
                <w:rFonts w:ascii="Calibri" w:hAnsi="Calibri" w:cs="Calibri"/>
                <w:sz w:val="20"/>
                <w:szCs w:val="20"/>
              </w:rPr>
            </w:pPr>
            <w:r w:rsidRPr="0003574B">
              <w:rPr>
                <w:rFonts w:ascii="Calibri" w:hAnsi="Calibri" w:cs="Calibri"/>
                <w:sz w:val="20"/>
                <w:szCs w:val="20"/>
              </w:rPr>
              <w:t>Coverage of essential interventions</w:t>
            </w:r>
          </w:p>
        </w:tc>
        <w:tc>
          <w:tcPr>
            <w:tcW w:w="2970" w:type="dxa"/>
          </w:tcPr>
          <w:p w14:paraId="45A3CA6C" w14:textId="77777777" w:rsidR="00D20DC2" w:rsidRPr="0003574B" w:rsidRDefault="00D20DC2" w:rsidP="00D20DC2">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Maximizing overall coverage of the population with interventions</w:t>
            </w:r>
          </w:p>
        </w:tc>
        <w:tc>
          <w:tcPr>
            <w:tcW w:w="4140" w:type="dxa"/>
          </w:tcPr>
          <w:p w14:paraId="379974F7" w14:textId="77777777" w:rsidR="00D20DC2" w:rsidRPr="0003574B" w:rsidRDefault="00D20DC2" w:rsidP="00D20DC2">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 xml:space="preserve">Maximizing coverage for identified hard to reach populations with interventions </w:t>
            </w:r>
          </w:p>
        </w:tc>
      </w:tr>
      <w:tr w:rsidR="00D20DC2" w:rsidRPr="00634287" w14:paraId="6FAA893E" w14:textId="77777777" w:rsidTr="00D20DC2">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250" w:type="dxa"/>
          </w:tcPr>
          <w:p w14:paraId="5FD23F5C" w14:textId="77777777" w:rsidR="00D20DC2" w:rsidRPr="0003574B" w:rsidRDefault="00D20DC2" w:rsidP="00D20DC2">
            <w:pPr>
              <w:spacing w:line="276" w:lineRule="auto"/>
              <w:jc w:val="both"/>
              <w:rPr>
                <w:rFonts w:ascii="Calibri" w:hAnsi="Calibri" w:cs="Calibri"/>
                <w:sz w:val="20"/>
                <w:szCs w:val="20"/>
              </w:rPr>
            </w:pPr>
            <w:r w:rsidRPr="0003574B">
              <w:rPr>
                <w:rFonts w:ascii="Calibri" w:hAnsi="Calibri" w:cs="Calibri"/>
                <w:sz w:val="20"/>
                <w:szCs w:val="20"/>
              </w:rPr>
              <w:t>Financial risk protection</w:t>
            </w:r>
          </w:p>
        </w:tc>
        <w:tc>
          <w:tcPr>
            <w:tcW w:w="2970" w:type="dxa"/>
          </w:tcPr>
          <w:p w14:paraId="1FD585BD" w14:textId="77777777" w:rsidR="00D20DC2" w:rsidRPr="0003574B" w:rsidRDefault="00D20DC2" w:rsidP="00D20DC2">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Maximizing all resources including during the care process</w:t>
            </w:r>
          </w:p>
        </w:tc>
        <w:tc>
          <w:tcPr>
            <w:tcW w:w="4140" w:type="dxa"/>
          </w:tcPr>
          <w:p w14:paraId="5D786AEA" w14:textId="77777777" w:rsidR="00D20DC2" w:rsidRPr="0003574B" w:rsidRDefault="00D20DC2" w:rsidP="00D20DC2">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03574B">
              <w:rPr>
                <w:rFonts w:ascii="Calibri" w:hAnsi="Calibri" w:cs="Calibri"/>
                <w:sz w:val="20"/>
                <w:szCs w:val="20"/>
              </w:rPr>
              <w:t>Maximizing all resources, but delinking funding from care utilization for equity considerations</w:t>
            </w:r>
          </w:p>
        </w:tc>
      </w:tr>
    </w:tbl>
    <w:p w14:paraId="7C60017C" w14:textId="77777777" w:rsidR="00D20DC2" w:rsidRPr="0003574B" w:rsidRDefault="00D20DC2" w:rsidP="00D20DC2">
      <w:pPr>
        <w:spacing w:after="0" w:line="240" w:lineRule="auto"/>
        <w:jc w:val="both"/>
        <w:rPr>
          <w:rFonts w:cstheme="minorHAnsi"/>
        </w:rPr>
      </w:pPr>
    </w:p>
    <w:p w14:paraId="0A25FCE5" w14:textId="77777777" w:rsidR="00D20DC2" w:rsidRPr="0003574B" w:rsidRDefault="00D20DC2" w:rsidP="00D20DC2">
      <w:pPr>
        <w:spacing w:after="0" w:line="240" w:lineRule="auto"/>
        <w:jc w:val="both"/>
        <w:rPr>
          <w:rFonts w:cstheme="minorHAnsi"/>
        </w:rPr>
      </w:pPr>
    </w:p>
    <w:p w14:paraId="6E6380A1" w14:textId="77777777" w:rsidR="00D20DC2" w:rsidRPr="0003574B" w:rsidRDefault="00D20DC2" w:rsidP="00D20DC2">
      <w:pPr>
        <w:pStyle w:val="Heading2"/>
        <w:numPr>
          <w:ilvl w:val="1"/>
          <w:numId w:val="1"/>
        </w:numPr>
        <w:spacing w:before="0"/>
        <w:jc w:val="both"/>
        <w:rPr>
          <w:rFonts w:asciiTheme="minorHAnsi" w:hAnsiTheme="minorHAnsi" w:cstheme="minorHAnsi"/>
          <w:color w:val="auto"/>
          <w:sz w:val="22"/>
          <w:lang w:val="en-US"/>
        </w:rPr>
      </w:pPr>
      <w:r w:rsidRPr="0003574B">
        <w:rPr>
          <w:rFonts w:asciiTheme="minorHAnsi" w:hAnsiTheme="minorHAnsi" w:cstheme="minorHAnsi"/>
          <w:color w:val="auto"/>
          <w:sz w:val="22"/>
          <w:lang w:val="en-US"/>
        </w:rPr>
        <w:t xml:space="preserve">Positioning UHC within the Global SDG agenda </w:t>
      </w:r>
    </w:p>
    <w:p w14:paraId="7A4A9D77" w14:textId="77777777" w:rsidR="00D20DC2" w:rsidRPr="001E1CD2" w:rsidRDefault="00D20DC2" w:rsidP="00D20DC2">
      <w:pPr>
        <w:spacing w:after="0" w:line="240" w:lineRule="auto"/>
        <w:jc w:val="both"/>
        <w:rPr>
          <w:rFonts w:cstheme="minorHAnsi"/>
        </w:rPr>
      </w:pPr>
      <w:r>
        <w:rPr>
          <w:rFonts w:cstheme="minorHAnsi"/>
        </w:rPr>
        <w:t xml:space="preserve">Kenya is a signatory to the sustainable development goals (SDG) agenda and has committed to put in place appropriate measures and investments needed to realize the targets set under SDG 3.  This goal seeks to ensure </w:t>
      </w:r>
      <w:r w:rsidRPr="001E1CD2">
        <w:rPr>
          <w:rFonts w:cstheme="minorHAnsi"/>
        </w:rPr>
        <w:t xml:space="preserve">healthy lives and promotion of wellbeing for all, at all ages. Similarly, </w:t>
      </w:r>
      <w:r>
        <w:rPr>
          <w:rFonts w:cstheme="minorHAnsi"/>
        </w:rPr>
        <w:t>the achievement of UHC expressed under target 3.8,</w:t>
      </w:r>
      <w:r w:rsidRPr="001E1CD2">
        <w:rPr>
          <w:rFonts w:cstheme="minorHAnsi"/>
        </w:rPr>
        <w:t xml:space="preserve"> is </w:t>
      </w:r>
      <w:r>
        <w:rPr>
          <w:rFonts w:cstheme="minorHAnsi"/>
        </w:rPr>
        <w:t xml:space="preserve">deemed as critical </w:t>
      </w:r>
      <w:r w:rsidRPr="001E1CD2">
        <w:rPr>
          <w:rFonts w:cstheme="minorHAnsi"/>
        </w:rPr>
        <w:t>to the</w:t>
      </w:r>
      <w:r>
        <w:rPr>
          <w:rFonts w:cstheme="minorHAnsi"/>
        </w:rPr>
        <w:t xml:space="preserve"> realization of other</w:t>
      </w:r>
      <w:r w:rsidRPr="001E1CD2">
        <w:rPr>
          <w:rFonts w:cstheme="minorHAnsi"/>
        </w:rPr>
        <w:t xml:space="preserve"> health-related targets</w:t>
      </w:r>
      <w:r>
        <w:rPr>
          <w:rFonts w:cstheme="minorHAnsi"/>
        </w:rPr>
        <w:t xml:space="preserve"> and indicators within the SDGs</w:t>
      </w:r>
      <w:r w:rsidRPr="001E1CD2">
        <w:rPr>
          <w:rFonts w:cstheme="minorHAnsi"/>
        </w:rPr>
        <w:t xml:space="preserve">. </w:t>
      </w:r>
      <w:r>
        <w:rPr>
          <w:rFonts w:cstheme="minorHAnsi"/>
        </w:rPr>
        <w:t>In order to achieve the SDG targets for universal health coverage, c</w:t>
      </w:r>
      <w:r w:rsidRPr="001E1CD2">
        <w:rPr>
          <w:rFonts w:cstheme="minorHAnsi"/>
        </w:rPr>
        <w:t xml:space="preserve">ounties need to ensure that, whatever </w:t>
      </w:r>
      <w:r>
        <w:rPr>
          <w:rFonts w:cstheme="minorHAnsi"/>
        </w:rPr>
        <w:t>measures they have will indeed lead to</w:t>
      </w:r>
      <w:r w:rsidRPr="001E1CD2">
        <w:rPr>
          <w:rFonts w:cstheme="minorHAnsi"/>
        </w:rPr>
        <w:t xml:space="preserve"> good health and wellbeing for all, at all ages. </w:t>
      </w:r>
      <w:r>
        <w:rPr>
          <w:rFonts w:cstheme="minorHAnsi"/>
        </w:rPr>
        <w:t>Both national and county governments will be expected to take concerted measures to ensure</w:t>
      </w:r>
      <w:r w:rsidRPr="001E1CD2">
        <w:rPr>
          <w:rFonts w:cstheme="minorHAnsi"/>
        </w:rPr>
        <w:t xml:space="preserve">: </w:t>
      </w:r>
    </w:p>
    <w:p w14:paraId="1B87DD89" w14:textId="77777777" w:rsidR="00D20DC2" w:rsidRPr="001E1CD2" w:rsidRDefault="00D20DC2" w:rsidP="00D20DC2">
      <w:pPr>
        <w:pStyle w:val="ListParagraph"/>
        <w:numPr>
          <w:ilvl w:val="0"/>
          <w:numId w:val="2"/>
        </w:numPr>
        <w:spacing w:after="0" w:line="240" w:lineRule="auto"/>
        <w:ind w:left="540" w:hanging="360"/>
        <w:jc w:val="both"/>
        <w:rPr>
          <w:rFonts w:cstheme="minorHAnsi"/>
        </w:rPr>
      </w:pPr>
      <w:r w:rsidRPr="001E1CD2">
        <w:rPr>
          <w:rFonts w:cstheme="minorHAnsi"/>
        </w:rPr>
        <w:t>Maximization of healthy lives for their people – efforts at disease control should not just focus on the disease</w:t>
      </w:r>
    </w:p>
    <w:p w14:paraId="464A9B9F" w14:textId="77777777" w:rsidR="00D20DC2" w:rsidRPr="001E1CD2" w:rsidRDefault="00D20DC2" w:rsidP="00D20DC2">
      <w:pPr>
        <w:pStyle w:val="ListParagraph"/>
        <w:numPr>
          <w:ilvl w:val="0"/>
          <w:numId w:val="2"/>
        </w:numPr>
        <w:spacing w:after="0" w:line="240" w:lineRule="auto"/>
        <w:ind w:left="540" w:hanging="360"/>
        <w:jc w:val="both"/>
        <w:rPr>
          <w:rFonts w:cstheme="minorHAnsi"/>
        </w:rPr>
      </w:pPr>
      <w:r w:rsidRPr="001E1CD2">
        <w:rPr>
          <w:rFonts w:cstheme="minorHAnsi"/>
        </w:rPr>
        <w:t>Wellbeing – a reflection of the populations level of satisfaction with their health – is taken into consideration, and</w:t>
      </w:r>
    </w:p>
    <w:p w14:paraId="37410E36" w14:textId="77777777" w:rsidR="00D20DC2" w:rsidRPr="001E1CD2" w:rsidRDefault="00D20DC2" w:rsidP="00D20DC2">
      <w:pPr>
        <w:pStyle w:val="ListParagraph"/>
        <w:numPr>
          <w:ilvl w:val="0"/>
          <w:numId w:val="2"/>
        </w:numPr>
        <w:spacing w:after="0" w:line="240" w:lineRule="auto"/>
        <w:ind w:left="540" w:hanging="360"/>
        <w:jc w:val="both"/>
        <w:rPr>
          <w:rFonts w:cstheme="minorHAnsi"/>
        </w:rPr>
      </w:pPr>
      <w:r w:rsidRPr="001E1CD2">
        <w:rPr>
          <w:rFonts w:cstheme="minorHAnsi"/>
        </w:rPr>
        <w:t>Healthy lives are maximized for all age groups – from children to elderly persons</w:t>
      </w:r>
    </w:p>
    <w:p w14:paraId="55CAF339" w14:textId="77777777" w:rsidR="00D20DC2" w:rsidRDefault="00D20DC2" w:rsidP="00D20DC2">
      <w:pPr>
        <w:spacing w:after="0" w:line="240" w:lineRule="auto"/>
        <w:jc w:val="both"/>
        <w:rPr>
          <w:rFonts w:cstheme="minorHAnsi"/>
        </w:rPr>
      </w:pPr>
    </w:p>
    <w:p w14:paraId="65E1C817" w14:textId="77777777" w:rsidR="00D20DC2" w:rsidRPr="001A4639" w:rsidRDefault="00D20DC2" w:rsidP="00D20DC2">
      <w:pPr>
        <w:spacing w:after="0" w:line="240" w:lineRule="auto"/>
        <w:jc w:val="both"/>
        <w:rPr>
          <w:rFonts w:cstheme="minorHAnsi"/>
        </w:rPr>
      </w:pPr>
      <w:r w:rsidRPr="001A4639">
        <w:rPr>
          <w:rFonts w:cstheme="minorHAnsi"/>
        </w:rPr>
        <w:t>To ensure appropriate movement towards health and wellbeing as envisioned in SDG 3,  Kenya will  focus on information and knowledge around three key areas:</w:t>
      </w:r>
    </w:p>
    <w:p w14:paraId="21C61A43" w14:textId="77777777" w:rsidR="00D20DC2" w:rsidRPr="001A4639" w:rsidRDefault="00D20DC2" w:rsidP="00D20DC2">
      <w:pPr>
        <w:pStyle w:val="ListParagraph"/>
        <w:numPr>
          <w:ilvl w:val="0"/>
          <w:numId w:val="3"/>
        </w:numPr>
        <w:spacing w:after="0" w:line="240" w:lineRule="auto"/>
        <w:jc w:val="both"/>
        <w:rPr>
          <w:rFonts w:cstheme="minorHAnsi"/>
        </w:rPr>
      </w:pPr>
      <w:r w:rsidRPr="001A4639">
        <w:rPr>
          <w:rFonts w:cstheme="minorHAnsi"/>
        </w:rPr>
        <w:t>The 3 outcomes that define Universal Health Coverage, and</w:t>
      </w:r>
    </w:p>
    <w:p w14:paraId="47EA3223" w14:textId="77777777" w:rsidR="00D20DC2" w:rsidRPr="001A4639" w:rsidRDefault="00D20DC2" w:rsidP="00D20DC2">
      <w:pPr>
        <w:pStyle w:val="ListParagraph"/>
        <w:numPr>
          <w:ilvl w:val="0"/>
          <w:numId w:val="3"/>
        </w:numPr>
        <w:spacing w:after="0" w:line="240" w:lineRule="auto"/>
        <w:jc w:val="both"/>
        <w:rPr>
          <w:rFonts w:cstheme="minorHAnsi"/>
        </w:rPr>
      </w:pPr>
      <w:r w:rsidRPr="001A4639">
        <w:rPr>
          <w:rFonts w:cstheme="minorHAnsi"/>
        </w:rPr>
        <w:t>The 6 health &amp; related service outcomes areas key for attaining SDG 3;</w:t>
      </w:r>
    </w:p>
    <w:p w14:paraId="7E925296" w14:textId="77777777" w:rsidR="00D20DC2" w:rsidRPr="001A4639" w:rsidRDefault="00D20DC2" w:rsidP="00D20DC2">
      <w:pPr>
        <w:pStyle w:val="ListParagraph"/>
        <w:numPr>
          <w:ilvl w:val="0"/>
          <w:numId w:val="3"/>
        </w:numPr>
        <w:spacing w:after="0" w:line="240" w:lineRule="auto"/>
        <w:jc w:val="both"/>
        <w:rPr>
          <w:rFonts w:cstheme="minorHAnsi"/>
        </w:rPr>
      </w:pPr>
      <w:r w:rsidRPr="001A4639">
        <w:rPr>
          <w:rFonts w:cstheme="minorHAnsi"/>
        </w:rPr>
        <w:t xml:space="preserve">The 4 outputs that define performance of the health systems </w:t>
      </w:r>
    </w:p>
    <w:p w14:paraId="4E773795" w14:textId="77777777" w:rsidR="00D20DC2" w:rsidRDefault="00D20DC2" w:rsidP="00D20DC2">
      <w:pPr>
        <w:spacing w:after="0" w:line="240" w:lineRule="auto"/>
        <w:jc w:val="both"/>
        <w:rPr>
          <w:rFonts w:cstheme="minorHAnsi"/>
        </w:rPr>
      </w:pPr>
    </w:p>
    <w:p w14:paraId="4E9C28F8" w14:textId="77777777" w:rsidR="00D20DC2" w:rsidRDefault="00D20DC2" w:rsidP="00D20DC2">
      <w:pPr>
        <w:spacing w:after="0" w:line="240" w:lineRule="auto"/>
        <w:jc w:val="both"/>
        <w:rPr>
          <w:rFonts w:cstheme="minorHAnsi"/>
        </w:rPr>
      </w:pPr>
      <w:r>
        <w:rPr>
          <w:rFonts w:cstheme="minorHAnsi"/>
        </w:rPr>
        <w:t xml:space="preserve">The framework for health systems evolution that will be required to support the realization of UHC goals in the context of SDGs is elaborated by WHO/AFRO and presented in Figure 3 below: </w:t>
      </w:r>
    </w:p>
    <w:p w14:paraId="57DC83C4" w14:textId="77777777" w:rsidR="00D20DC2" w:rsidRDefault="00D20DC2" w:rsidP="00D20DC2">
      <w:pPr>
        <w:spacing w:after="0" w:line="240" w:lineRule="auto"/>
        <w:jc w:val="both"/>
        <w:rPr>
          <w:rFonts w:cstheme="minorHAnsi"/>
        </w:rPr>
      </w:pPr>
    </w:p>
    <w:p w14:paraId="41B7CF98" w14:textId="77777777" w:rsidR="00D20DC2" w:rsidRDefault="00D20DC2" w:rsidP="00D20DC2">
      <w:pPr>
        <w:rPr>
          <w:lang w:val="en-GB"/>
        </w:rPr>
      </w:pPr>
    </w:p>
    <w:p w14:paraId="43A3C872" w14:textId="77777777" w:rsidR="00D20DC2" w:rsidRDefault="00D20DC2" w:rsidP="00D20DC2">
      <w:pPr>
        <w:rPr>
          <w:lang w:val="en-GB"/>
        </w:rPr>
      </w:pPr>
    </w:p>
    <w:p w14:paraId="7D4D892A" w14:textId="77777777" w:rsidR="00D20DC2" w:rsidRDefault="00D20DC2" w:rsidP="00D20DC2">
      <w:pPr>
        <w:rPr>
          <w:lang w:val="en-GB"/>
        </w:rPr>
      </w:pPr>
    </w:p>
    <w:p w14:paraId="2294029A" w14:textId="77777777" w:rsidR="00D20DC2" w:rsidRPr="0003574B" w:rsidRDefault="00D20DC2" w:rsidP="00D20DC2">
      <w:pPr>
        <w:rPr>
          <w:lang w:val="en-GB"/>
        </w:rPr>
      </w:pPr>
    </w:p>
    <w:p w14:paraId="2334889E" w14:textId="77777777" w:rsidR="00D20DC2" w:rsidRPr="0003574B" w:rsidRDefault="00D20DC2" w:rsidP="00D20DC2">
      <w:pPr>
        <w:pStyle w:val="Caption"/>
        <w:spacing w:after="0"/>
        <w:rPr>
          <w:rFonts w:cstheme="minorHAnsi"/>
          <w:i w:val="0"/>
          <w:color w:val="auto"/>
          <w:sz w:val="22"/>
          <w:szCs w:val="22"/>
          <w:lang w:val="en-US"/>
        </w:rPr>
      </w:pPr>
      <w:r w:rsidRPr="0003574B">
        <w:rPr>
          <w:rFonts w:cstheme="minorHAnsi"/>
          <w:i w:val="0"/>
          <w:color w:val="auto"/>
          <w:sz w:val="22"/>
          <w:szCs w:val="22"/>
          <w:lang w:val="en-US"/>
        </w:rPr>
        <w:lastRenderedPageBreak/>
        <w:t xml:space="preserve">Figure </w:t>
      </w:r>
      <w:r w:rsidRPr="0003574B">
        <w:rPr>
          <w:rFonts w:cstheme="minorHAnsi"/>
          <w:i w:val="0"/>
          <w:color w:val="auto"/>
          <w:sz w:val="22"/>
          <w:szCs w:val="22"/>
          <w:lang w:val="en-US"/>
        </w:rPr>
        <w:fldChar w:fldCharType="begin"/>
      </w:r>
      <w:r w:rsidRPr="0003574B">
        <w:rPr>
          <w:rFonts w:cstheme="minorHAnsi"/>
          <w:i w:val="0"/>
          <w:color w:val="auto"/>
          <w:sz w:val="22"/>
          <w:szCs w:val="22"/>
          <w:lang w:val="en-US"/>
        </w:rPr>
        <w:instrText xml:space="preserve"> SEQ Figure \* ARABIC </w:instrText>
      </w:r>
      <w:r w:rsidRPr="0003574B">
        <w:rPr>
          <w:rFonts w:cstheme="minorHAnsi"/>
          <w:i w:val="0"/>
          <w:color w:val="auto"/>
          <w:sz w:val="22"/>
          <w:szCs w:val="22"/>
          <w:lang w:val="en-US"/>
        </w:rPr>
        <w:fldChar w:fldCharType="separate"/>
      </w:r>
      <w:r w:rsidRPr="0003574B">
        <w:rPr>
          <w:rFonts w:cstheme="minorHAnsi"/>
          <w:i w:val="0"/>
          <w:noProof/>
          <w:color w:val="auto"/>
          <w:sz w:val="22"/>
          <w:szCs w:val="22"/>
          <w:lang w:val="en-US"/>
        </w:rPr>
        <w:t>3</w:t>
      </w:r>
      <w:r w:rsidRPr="0003574B">
        <w:rPr>
          <w:rFonts w:cstheme="minorHAnsi"/>
          <w:i w:val="0"/>
          <w:color w:val="auto"/>
          <w:sz w:val="22"/>
          <w:szCs w:val="22"/>
          <w:lang w:val="en-US"/>
        </w:rPr>
        <w:fldChar w:fldCharType="end"/>
      </w:r>
      <w:r w:rsidRPr="0003574B">
        <w:rPr>
          <w:rFonts w:cstheme="minorHAnsi"/>
          <w:i w:val="0"/>
          <w:color w:val="auto"/>
          <w:sz w:val="22"/>
          <w:szCs w:val="22"/>
          <w:lang w:val="en-US"/>
        </w:rPr>
        <w:t>: WHO/AFRO framework for Health Systems Development for UHC in the context of SDGs</w:t>
      </w:r>
    </w:p>
    <w:p w14:paraId="3169D17E" w14:textId="77777777" w:rsidR="00D20DC2" w:rsidRPr="0003574B" w:rsidRDefault="00D20DC2" w:rsidP="00D20DC2">
      <w:pPr>
        <w:spacing w:after="0"/>
      </w:pPr>
    </w:p>
    <w:p w14:paraId="43969C2D" w14:textId="3C8A7836" w:rsidR="00D20DC2" w:rsidRDefault="00D20DC2" w:rsidP="00D20DC2">
      <w:pPr>
        <w:spacing w:after="0"/>
        <w:jc w:val="both"/>
        <w:rPr>
          <w:rFonts w:cstheme="minorHAnsi"/>
        </w:rPr>
      </w:pPr>
      <w:r w:rsidRPr="0003574B">
        <w:rPr>
          <w:rFonts w:cstheme="minorHAnsi"/>
          <w:noProof/>
        </w:rPr>
        <mc:AlternateContent>
          <mc:Choice Requires="wps">
            <w:drawing>
              <wp:anchor distT="0" distB="0" distL="114300" distR="114300" simplePos="0" relativeHeight="251650048" behindDoc="0" locked="0" layoutInCell="1" allowOverlap="1" wp14:anchorId="26981A1E" wp14:editId="342EB5C2">
                <wp:simplePos x="0" y="0"/>
                <wp:positionH relativeFrom="margin">
                  <wp:posOffset>5212080</wp:posOffset>
                </wp:positionH>
                <wp:positionV relativeFrom="paragraph">
                  <wp:posOffset>653415</wp:posOffset>
                </wp:positionV>
                <wp:extent cx="723900" cy="4206240"/>
                <wp:effectExtent l="19050" t="19050" r="19050" b="41910"/>
                <wp:wrapNone/>
                <wp:docPr id="3" name="Arrow: Up-Down 3"/>
                <wp:cNvGraphicFramePr/>
                <a:graphic xmlns:a="http://schemas.openxmlformats.org/drawingml/2006/main">
                  <a:graphicData uri="http://schemas.microsoft.com/office/word/2010/wordprocessingShape">
                    <wps:wsp>
                      <wps:cNvSpPr/>
                      <wps:spPr>
                        <a:xfrm>
                          <a:off x="0" y="0"/>
                          <a:ext cx="723900" cy="4206240"/>
                        </a:xfrm>
                        <a:prstGeom prst="upDownArrow">
                          <a:avLst/>
                        </a:prstGeom>
                        <a:noFill/>
                        <a:ln w="3175"/>
                      </wps:spPr>
                      <wps:style>
                        <a:lnRef idx="2">
                          <a:schemeClr val="accent1">
                            <a:shade val="50000"/>
                          </a:schemeClr>
                        </a:lnRef>
                        <a:fillRef idx="1">
                          <a:schemeClr val="accent1"/>
                        </a:fillRef>
                        <a:effectRef idx="0">
                          <a:schemeClr val="accent1"/>
                        </a:effectRef>
                        <a:fontRef idx="minor">
                          <a:schemeClr val="lt1"/>
                        </a:fontRef>
                      </wps:style>
                      <wps:txbx>
                        <w:txbxContent>
                          <w:p w14:paraId="73C32F09" w14:textId="77777777" w:rsidR="00D20DC2" w:rsidRPr="00270242" w:rsidRDefault="00D20DC2" w:rsidP="00D20DC2">
                            <w:pPr>
                              <w:spacing w:after="0" w:line="240" w:lineRule="auto"/>
                              <w:jc w:val="center"/>
                              <w:rPr>
                                <w:i/>
                                <w:color w:val="000000" w:themeColor="text1"/>
                                <w:sz w:val="20"/>
                              </w:rPr>
                            </w:pPr>
                            <w:r>
                              <w:rPr>
                                <w:i/>
                                <w:color w:val="000000" w:themeColor="text1"/>
                                <w:sz w:val="20"/>
                              </w:rPr>
                              <w:t xml:space="preserve">GUIDING PRINCIPLES OF </w:t>
                            </w:r>
                            <w:r w:rsidRPr="00270242">
                              <w:rPr>
                                <w:i/>
                                <w:color w:val="000000" w:themeColor="text1"/>
                                <w:sz w:val="20"/>
                              </w:rPr>
                              <w:t>Efficiency, Equity, Effectiveness</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26981A1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rrow: Up-Down 3" o:spid="_x0000_s1028" type="#_x0000_t70" style="position:absolute;left:0;text-align:left;margin-left:410.4pt;margin-top:51.45pt;width:57pt;height:331.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" adj=",1859" filled="f" strokecolor="#243f60 [1604]" strokeweight=".25pt">
                <v:textbox style="layout-flow:vertical">
                  <w:txbxContent>
                    <w:p w14:paraId="73C32F09" w14:textId="77777777" w:rsidR="00D20DC2" w:rsidRPr="00270242" w:rsidRDefault="00D20DC2" w:rsidP="00D20DC2">
                      <w:pPr>
                        <w:spacing w:after="0" w:line="240" w:lineRule="auto"/>
                        <w:jc w:val="center"/>
                        <w:rPr>
                          <w:i/>
                          <w:color w:val="000000" w:themeColor="text1"/>
                          <w:sz w:val="20"/>
                        </w:rPr>
                      </w:pPr>
                      <w:r>
                        <w:rPr>
                          <w:i/>
                          <w:color w:val="000000" w:themeColor="text1"/>
                          <w:sz w:val="20"/>
                        </w:rPr>
                        <w:t xml:space="preserve">GUIDING PRINCIPLES OF </w:t>
                      </w:r>
                      <w:r w:rsidRPr="00270242">
                        <w:rPr>
                          <w:i/>
                          <w:color w:val="000000" w:themeColor="text1"/>
                          <w:sz w:val="20"/>
                        </w:rPr>
                        <w:t>Efficiency, Equity, Effectiveness</w:t>
                      </w:r>
                    </w:p>
                  </w:txbxContent>
                </v:textbox>
                <w10:wrap anchorx="margin"/>
              </v:shape>
            </w:pict>
          </mc:Fallback>
        </mc:AlternateContent>
      </w:r>
      <w:r w:rsidRPr="0003574B">
        <w:rPr>
          <w:rFonts w:cstheme="minorHAnsi"/>
          <w:noProof/>
        </w:rPr>
        <w:drawing>
          <wp:inline distT="0" distB="0" distL="0" distR="0" wp14:anchorId="7EFFAA8A" wp14:editId="313E72E2">
            <wp:extent cx="4937760" cy="5293848"/>
            <wp:effectExtent l="0" t="0" r="0" b="2540"/>
            <wp:docPr id="13" name="Picture 2" descr="D:\userprofiles\chukwujekwuo\My Documents\Framework for action HSS for UHC\hss-framework_ver_slide_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D:\userprofiles\chukwujekwuo\My Documents\Framework for action HSS for UHC\hss-framework_ver_slide_eng.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40055" cy="5296308"/>
                    </a:xfrm>
                    <a:prstGeom prst="rect">
                      <a:avLst/>
                    </a:prstGeom>
                    <a:noFill/>
                    <a:extLst/>
                  </pic:spPr>
                </pic:pic>
              </a:graphicData>
            </a:graphic>
          </wp:inline>
        </w:drawing>
      </w:r>
    </w:p>
    <w:p w14:paraId="273278F9" w14:textId="77777777" w:rsidR="00D20DC2" w:rsidRPr="0003574B" w:rsidRDefault="00D20DC2" w:rsidP="00D20DC2">
      <w:pPr>
        <w:spacing w:after="0"/>
        <w:jc w:val="both"/>
        <w:rPr>
          <w:rFonts w:cstheme="minorHAnsi"/>
        </w:rPr>
      </w:pPr>
    </w:p>
    <w:p w14:paraId="03F2362E" w14:textId="77777777" w:rsidR="00D20DC2" w:rsidRPr="0003574B" w:rsidRDefault="00D20DC2" w:rsidP="00D20DC2">
      <w:pPr>
        <w:pStyle w:val="Heading2"/>
        <w:numPr>
          <w:ilvl w:val="1"/>
          <w:numId w:val="1"/>
        </w:numPr>
        <w:spacing w:before="0"/>
        <w:jc w:val="both"/>
        <w:rPr>
          <w:rFonts w:asciiTheme="minorHAnsi" w:hAnsiTheme="minorHAnsi" w:cstheme="minorHAnsi"/>
          <w:lang w:val="en-US"/>
        </w:rPr>
      </w:pPr>
      <w:bookmarkStart w:id="3" w:name="_Toc518850649"/>
      <w:r w:rsidRPr="0003574B">
        <w:rPr>
          <w:rFonts w:asciiTheme="minorHAnsi" w:hAnsiTheme="minorHAnsi" w:cstheme="minorHAnsi"/>
          <w:lang w:val="en-US"/>
        </w:rPr>
        <w:t>Universal Health Coverage in Kenya</w:t>
      </w:r>
      <w:bookmarkEnd w:id="3"/>
    </w:p>
    <w:p w14:paraId="7E152F4A" w14:textId="77777777" w:rsidR="00D20DC2" w:rsidRPr="0003574B" w:rsidRDefault="00D20DC2" w:rsidP="00D20DC2">
      <w:pPr>
        <w:spacing w:after="0"/>
        <w:jc w:val="both"/>
        <w:rPr>
          <w:rFonts w:cstheme="minorHAnsi"/>
        </w:rPr>
      </w:pPr>
      <w:r w:rsidRPr="0003574B">
        <w:rPr>
          <w:rFonts w:cstheme="minorHAnsi"/>
        </w:rPr>
        <w:t xml:space="preserve">The Kenya UHC Roadmap 2018-22, has set out the Governments goal of </w:t>
      </w:r>
      <w:r>
        <w:rPr>
          <w:rFonts w:cstheme="minorHAnsi"/>
        </w:rPr>
        <w:t>achieving</w:t>
      </w:r>
      <w:r w:rsidRPr="0003574B">
        <w:rPr>
          <w:rFonts w:cstheme="minorHAnsi"/>
        </w:rPr>
        <w:t xml:space="preserve"> UHC by </w:t>
      </w:r>
      <w:r>
        <w:rPr>
          <w:rFonts w:cstheme="minorHAnsi"/>
        </w:rPr>
        <w:t xml:space="preserve">the year </w:t>
      </w:r>
      <w:r w:rsidRPr="0003574B">
        <w:rPr>
          <w:rFonts w:cstheme="minorHAnsi"/>
        </w:rPr>
        <w:t xml:space="preserve">2022 with strategies outlined to ensure that Kenyans receive quality, promotive, preventive, and curative and rehabilitation health services without suffering financial hardship. The </w:t>
      </w:r>
      <w:r>
        <w:rPr>
          <w:rFonts w:cstheme="minorHAnsi"/>
        </w:rPr>
        <w:t xml:space="preserve">broad </w:t>
      </w:r>
      <w:r w:rsidRPr="0003574B">
        <w:rPr>
          <w:rFonts w:cstheme="minorHAnsi"/>
        </w:rPr>
        <w:t xml:space="preserve">objectives towards UHC in Kenya </w:t>
      </w:r>
      <w:r>
        <w:rPr>
          <w:rFonts w:cstheme="minorHAnsi"/>
        </w:rPr>
        <w:t>i</w:t>
      </w:r>
      <w:r w:rsidRPr="0003574B">
        <w:rPr>
          <w:rFonts w:cstheme="minorHAnsi"/>
        </w:rPr>
        <w:t xml:space="preserve">nclude; </w:t>
      </w:r>
    </w:p>
    <w:p w14:paraId="0DC42D03"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Expansion of the population under Universal Health Insurance coverage  (100% coverage with health Insurance )</w:t>
      </w:r>
    </w:p>
    <w:p w14:paraId="39FF7AC5"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 xml:space="preserve">Ensuring that Kenyans have access to an explicit unified progressive Health benefit package </w:t>
      </w:r>
    </w:p>
    <w:p w14:paraId="1915B7A1"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 xml:space="preserve">Increasing the availability and coverage of quality essential interventions ; that all people who need services should be able to utilize them </w:t>
      </w:r>
    </w:p>
    <w:p w14:paraId="713249B7"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Ensuring financial risk protection for Kenyans and with a special focus for the poor and the Vulnerable groups</w:t>
      </w:r>
    </w:p>
    <w:p w14:paraId="3142F475"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lastRenderedPageBreak/>
        <w:t>Ensuring adequacy of Health resources /Ensure that resource base is appropriate for delivery of health services</w:t>
      </w:r>
    </w:p>
    <w:p w14:paraId="70A8F375"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 xml:space="preserve">Promote efficiency in allocation and use of existing resources </w:t>
      </w:r>
    </w:p>
    <w:p w14:paraId="1C90D03C"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 xml:space="preserve">Equity in distribution of services and resources.  </w:t>
      </w:r>
    </w:p>
    <w:p w14:paraId="7A9143AB"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Regulation of medical Health insurance sector and development of collaborative engagements with private medical insurance companies with a focus on Universal Health coverage</w:t>
      </w:r>
    </w:p>
    <w:p w14:paraId="31DDE7F7" w14:textId="77777777" w:rsidR="00D20DC2" w:rsidRPr="0003574B" w:rsidRDefault="00D20DC2" w:rsidP="00D20DC2">
      <w:pPr>
        <w:pStyle w:val="ListParagraph"/>
        <w:numPr>
          <w:ilvl w:val="0"/>
          <w:numId w:val="57"/>
        </w:numPr>
        <w:spacing w:after="0"/>
        <w:jc w:val="both"/>
        <w:rPr>
          <w:rFonts w:cstheme="minorHAnsi"/>
        </w:rPr>
      </w:pPr>
      <w:r w:rsidRPr="0003574B">
        <w:rPr>
          <w:rFonts w:cstheme="minorHAnsi"/>
        </w:rPr>
        <w:t>Strengthening leadership and Governance within the Health sector for UHC</w:t>
      </w:r>
    </w:p>
    <w:p w14:paraId="2918B77D" w14:textId="77777777" w:rsidR="00D20DC2" w:rsidRDefault="00D20DC2" w:rsidP="00D20DC2">
      <w:pPr>
        <w:spacing w:after="0"/>
        <w:jc w:val="both"/>
        <w:rPr>
          <w:rFonts w:cstheme="minorHAnsi"/>
        </w:rPr>
      </w:pPr>
    </w:p>
    <w:p w14:paraId="3443F833" w14:textId="77777777" w:rsidR="00D20DC2" w:rsidRPr="0003574B" w:rsidRDefault="00D20DC2" w:rsidP="00D20DC2">
      <w:pPr>
        <w:spacing w:after="0"/>
        <w:jc w:val="both"/>
        <w:rPr>
          <w:rFonts w:cstheme="minorHAnsi"/>
          <w:lang w:val="en-ZW" w:eastAsia="x-none"/>
        </w:rPr>
      </w:pPr>
      <w:r w:rsidRPr="0003574B">
        <w:rPr>
          <w:rFonts w:cstheme="minorHAnsi"/>
        </w:rPr>
        <w:t xml:space="preserve">The roadmap also affirms the health sector’s commitment to put in place a consolidated and </w:t>
      </w:r>
      <w:r>
        <w:rPr>
          <w:rFonts w:cstheme="minorHAnsi"/>
        </w:rPr>
        <w:t>h</w:t>
      </w:r>
      <w:r w:rsidRPr="0003574B">
        <w:rPr>
          <w:rFonts w:cstheme="minorHAnsi"/>
        </w:rPr>
        <w:t xml:space="preserve">armonized planning, monitoring and evaluation (M&amp;E) platform that informs strategic decision making.  This will however be anchored within the Health Sector Monitoring and Evaluation systems. </w:t>
      </w:r>
    </w:p>
    <w:p w14:paraId="2E958270" w14:textId="77777777" w:rsidR="00D20DC2" w:rsidRPr="0003574B" w:rsidRDefault="00D20DC2" w:rsidP="00D20DC2">
      <w:pPr>
        <w:pStyle w:val="Heading2"/>
        <w:numPr>
          <w:ilvl w:val="0"/>
          <w:numId w:val="0"/>
        </w:numPr>
        <w:spacing w:before="0"/>
        <w:ind w:left="420"/>
        <w:rPr>
          <w:rFonts w:asciiTheme="minorHAnsi" w:hAnsiTheme="minorHAnsi" w:cstheme="minorHAnsi"/>
          <w:lang w:val="en-US"/>
        </w:rPr>
      </w:pPr>
      <w:bookmarkStart w:id="4" w:name="_Toc518850650"/>
      <w:bookmarkStart w:id="5" w:name="_Toc475105692"/>
      <w:bookmarkStart w:id="6" w:name="_Toc475272103"/>
    </w:p>
    <w:p w14:paraId="38B9C839" w14:textId="57E7D214" w:rsidR="00D20DC2" w:rsidRDefault="007D3C1A" w:rsidP="00D20DC2">
      <w:pPr>
        <w:pStyle w:val="Heading2"/>
        <w:numPr>
          <w:ilvl w:val="1"/>
          <w:numId w:val="1"/>
        </w:numPr>
        <w:spacing w:before="0"/>
        <w:rPr>
          <w:rFonts w:asciiTheme="minorHAnsi" w:hAnsiTheme="minorHAnsi" w:cstheme="minorHAnsi"/>
          <w:lang w:val="en-US"/>
        </w:rPr>
      </w:pPr>
      <w:r>
        <w:rPr>
          <w:rFonts w:asciiTheme="minorHAnsi" w:hAnsiTheme="minorHAnsi" w:cstheme="minorHAnsi"/>
          <w:lang w:val="en-US"/>
        </w:rPr>
        <w:t xml:space="preserve">Rationale for </w:t>
      </w:r>
      <w:r w:rsidR="00D20DC2">
        <w:rPr>
          <w:rFonts w:asciiTheme="minorHAnsi" w:hAnsiTheme="minorHAnsi" w:cstheme="minorHAnsi"/>
          <w:lang w:val="en-US"/>
        </w:rPr>
        <w:t>an M&amp;E framework for Universal Health Coverage</w:t>
      </w:r>
      <w:bookmarkEnd w:id="4"/>
    </w:p>
    <w:p w14:paraId="6F6562B0" w14:textId="77777777" w:rsidR="00D20DC2" w:rsidRPr="00D20DC2" w:rsidRDefault="00D20DC2" w:rsidP="00D20DC2"/>
    <w:bookmarkEnd w:id="5"/>
    <w:bookmarkEnd w:id="6"/>
    <w:p w14:paraId="7F1CCAA7" w14:textId="6F23316C" w:rsidR="007D3C1A" w:rsidRPr="007D3C1A" w:rsidRDefault="007D3C1A" w:rsidP="00D20DC2">
      <w:pPr>
        <w:pStyle w:val="MediumGrid21"/>
        <w:jc w:val="both"/>
        <w:rPr>
          <w:rFonts w:asciiTheme="minorHAnsi" w:hAnsiTheme="minorHAnsi" w:cstheme="minorHAnsi"/>
          <w:b/>
        </w:rPr>
      </w:pPr>
      <w:r>
        <w:rPr>
          <w:rFonts w:asciiTheme="minorHAnsi" w:hAnsiTheme="minorHAnsi" w:cstheme="minorHAnsi"/>
          <w:b/>
        </w:rPr>
        <w:t xml:space="preserve">1.4.1 </w:t>
      </w:r>
      <w:r w:rsidRPr="007D3C1A">
        <w:rPr>
          <w:rFonts w:asciiTheme="minorHAnsi" w:hAnsiTheme="minorHAnsi" w:cstheme="minorHAnsi"/>
          <w:b/>
        </w:rPr>
        <w:t xml:space="preserve">Purpose of the M&amp;E Framework </w:t>
      </w:r>
    </w:p>
    <w:p w14:paraId="4A42FBC3" w14:textId="21EC3E3F" w:rsidR="00D20DC2" w:rsidRPr="0003574B" w:rsidRDefault="00D20DC2" w:rsidP="00D20DC2">
      <w:pPr>
        <w:pStyle w:val="MediumGrid21"/>
        <w:jc w:val="both"/>
        <w:rPr>
          <w:rFonts w:asciiTheme="minorHAnsi" w:hAnsiTheme="minorHAnsi" w:cstheme="minorHAnsi"/>
          <w:lang w:val="en-GB"/>
        </w:rPr>
      </w:pPr>
      <w:r w:rsidRPr="0003574B">
        <w:rPr>
          <w:rFonts w:asciiTheme="minorHAnsi" w:hAnsiTheme="minorHAnsi" w:cstheme="minorHAnsi"/>
        </w:rPr>
        <w:t xml:space="preserve">The </w:t>
      </w:r>
      <w:r>
        <w:rPr>
          <w:rFonts w:cstheme="minorHAnsi"/>
        </w:rPr>
        <w:t xml:space="preserve">Kenya </w:t>
      </w:r>
      <w:r w:rsidRPr="0003574B">
        <w:rPr>
          <w:rFonts w:asciiTheme="minorHAnsi" w:hAnsiTheme="minorHAnsi" w:cstheme="minorHAnsi"/>
        </w:rPr>
        <w:t xml:space="preserve">UHC </w:t>
      </w:r>
      <w:r>
        <w:rPr>
          <w:rFonts w:cstheme="minorHAnsi"/>
        </w:rPr>
        <w:t>R</w:t>
      </w:r>
      <w:r w:rsidRPr="0003574B">
        <w:rPr>
          <w:rFonts w:asciiTheme="minorHAnsi" w:hAnsiTheme="minorHAnsi" w:cstheme="minorHAnsi"/>
        </w:rPr>
        <w:t xml:space="preserve">oad </w:t>
      </w:r>
      <w:r>
        <w:rPr>
          <w:rFonts w:cstheme="minorHAnsi"/>
        </w:rPr>
        <w:t>M</w:t>
      </w:r>
      <w:r w:rsidRPr="0003574B">
        <w:rPr>
          <w:rFonts w:asciiTheme="minorHAnsi" w:hAnsiTheme="minorHAnsi" w:cstheme="minorHAnsi"/>
        </w:rPr>
        <w:t>ap 2018-22 elaborates</w:t>
      </w:r>
      <w:r>
        <w:rPr>
          <w:rFonts w:cstheme="minorHAnsi"/>
        </w:rPr>
        <w:t xml:space="preserve"> the</w:t>
      </w:r>
      <w:r w:rsidRPr="0003574B">
        <w:rPr>
          <w:rFonts w:asciiTheme="minorHAnsi" w:hAnsiTheme="minorHAnsi" w:cstheme="minorHAnsi"/>
        </w:rPr>
        <w:t xml:space="preserve"> investments </w:t>
      </w:r>
      <w:r>
        <w:rPr>
          <w:rFonts w:cstheme="minorHAnsi"/>
        </w:rPr>
        <w:t xml:space="preserve">needed </w:t>
      </w:r>
      <w:r w:rsidRPr="0003574B">
        <w:rPr>
          <w:rFonts w:asciiTheme="minorHAnsi" w:hAnsiTheme="minorHAnsi" w:cstheme="minorHAnsi"/>
        </w:rPr>
        <w:t>to strengthen the health system and scale up coverage of interventions</w:t>
      </w:r>
      <w:r>
        <w:rPr>
          <w:rFonts w:cstheme="minorHAnsi"/>
        </w:rPr>
        <w:t xml:space="preserve"> leading to the achievement of </w:t>
      </w:r>
      <w:r w:rsidRPr="0003574B">
        <w:rPr>
          <w:rFonts w:asciiTheme="minorHAnsi" w:hAnsiTheme="minorHAnsi" w:cstheme="minorHAnsi"/>
        </w:rPr>
        <w:t xml:space="preserve">UHC </w:t>
      </w:r>
      <w:r>
        <w:rPr>
          <w:rFonts w:cstheme="minorHAnsi"/>
        </w:rPr>
        <w:t>goals</w:t>
      </w:r>
      <w:r w:rsidRPr="0003574B">
        <w:rPr>
          <w:rFonts w:asciiTheme="minorHAnsi" w:hAnsiTheme="minorHAnsi" w:cstheme="minorHAnsi"/>
        </w:rPr>
        <w:t xml:space="preserve">. In line with this, </w:t>
      </w:r>
      <w:r>
        <w:rPr>
          <w:rFonts w:cstheme="minorHAnsi"/>
        </w:rPr>
        <w:t xml:space="preserve">an </w:t>
      </w:r>
      <w:r w:rsidRPr="0003574B">
        <w:rPr>
          <w:rFonts w:asciiTheme="minorHAnsi" w:hAnsiTheme="minorHAnsi" w:cstheme="minorHAnsi"/>
        </w:rPr>
        <w:t xml:space="preserve">M&amp;E plan has been developed to </w:t>
      </w:r>
      <w:r>
        <w:rPr>
          <w:rFonts w:cstheme="minorHAnsi"/>
        </w:rPr>
        <w:t>track</w:t>
      </w:r>
      <w:r w:rsidRPr="0003574B">
        <w:rPr>
          <w:rFonts w:asciiTheme="minorHAnsi" w:hAnsiTheme="minorHAnsi" w:cstheme="minorHAnsi"/>
        </w:rPr>
        <w:t xml:space="preserve"> sector performance as well as serve as an accountability framework for stakeholders in the health sector</w:t>
      </w:r>
      <w:r>
        <w:rPr>
          <w:rFonts w:cstheme="minorHAnsi"/>
        </w:rPr>
        <w:t xml:space="preserve"> working to achieve UHC goals</w:t>
      </w:r>
      <w:r w:rsidRPr="0003574B">
        <w:rPr>
          <w:rFonts w:asciiTheme="minorHAnsi" w:hAnsiTheme="minorHAnsi" w:cstheme="minorHAnsi"/>
        </w:rPr>
        <w:t xml:space="preserve">. </w:t>
      </w:r>
      <w:r>
        <w:rPr>
          <w:rFonts w:cstheme="minorHAnsi"/>
        </w:rPr>
        <w:t>T</w:t>
      </w:r>
      <w:r w:rsidRPr="0003574B">
        <w:rPr>
          <w:rFonts w:asciiTheme="minorHAnsi" w:hAnsiTheme="minorHAnsi" w:cstheme="minorHAnsi"/>
        </w:rPr>
        <w:t>h</w:t>
      </w:r>
      <w:r>
        <w:rPr>
          <w:rFonts w:asciiTheme="minorHAnsi" w:hAnsiTheme="minorHAnsi" w:cstheme="minorHAnsi"/>
        </w:rPr>
        <w:t xml:space="preserve">e framework </w:t>
      </w:r>
      <w:r w:rsidRPr="0003574B">
        <w:rPr>
          <w:rFonts w:asciiTheme="minorHAnsi" w:hAnsiTheme="minorHAnsi" w:cstheme="minorHAnsi"/>
        </w:rPr>
        <w:t xml:space="preserve">articulates a strong and harmonized </w:t>
      </w:r>
      <w:r>
        <w:rPr>
          <w:rFonts w:asciiTheme="minorHAnsi" w:hAnsiTheme="minorHAnsi" w:cstheme="minorHAnsi"/>
        </w:rPr>
        <w:t>monitoring and evaluation of critical UH</w:t>
      </w:r>
      <w:r w:rsidRPr="0003574B">
        <w:rPr>
          <w:rFonts w:asciiTheme="minorHAnsi" w:hAnsiTheme="minorHAnsi" w:cstheme="minorHAnsi"/>
        </w:rPr>
        <w:t xml:space="preserve">C domains, as well as health system actions. It serves as a mechanism for County, national and global reporting; aligning partners at country and global levels around a common approach to country support and </w:t>
      </w:r>
      <w:r w:rsidRPr="0003574B">
        <w:rPr>
          <w:rFonts w:asciiTheme="minorHAnsi" w:hAnsiTheme="minorHAnsi" w:cstheme="minorHAnsi"/>
          <w:lang w:val="en-GB"/>
        </w:rPr>
        <w:t>reporting requirements.</w:t>
      </w:r>
      <w:r w:rsidRPr="0003574B">
        <w:rPr>
          <w:rStyle w:val="EndnoteReference"/>
          <w:rFonts w:asciiTheme="minorHAnsi" w:hAnsiTheme="minorHAnsi" w:cstheme="minorHAnsi"/>
          <w:lang w:val="en-GB"/>
        </w:rPr>
        <w:endnoteReference w:id="1"/>
      </w:r>
      <w:r w:rsidRPr="0003574B">
        <w:rPr>
          <w:rFonts w:asciiTheme="minorHAnsi" w:hAnsiTheme="minorHAnsi" w:cstheme="minorHAnsi"/>
          <w:lang w:val="en-GB"/>
        </w:rPr>
        <w:t xml:space="preserve"> The M&amp;E plan also provides an investment framework for strengthening M&amp;E functions and processes by all health sector stakeholders </w:t>
      </w:r>
      <w:r>
        <w:rPr>
          <w:rFonts w:asciiTheme="minorHAnsi" w:hAnsiTheme="minorHAnsi" w:cstheme="minorHAnsi"/>
          <w:lang w:val="en-GB"/>
        </w:rPr>
        <w:t>at national and county level</w:t>
      </w:r>
      <w:r w:rsidRPr="0003574B">
        <w:rPr>
          <w:rFonts w:asciiTheme="minorHAnsi" w:hAnsiTheme="minorHAnsi" w:cstheme="minorHAnsi"/>
          <w:lang w:val="en-GB"/>
        </w:rPr>
        <w:t>.</w:t>
      </w:r>
    </w:p>
    <w:p w14:paraId="06C14581" w14:textId="77777777" w:rsidR="00D20DC2" w:rsidRPr="0003574B" w:rsidRDefault="00D20DC2" w:rsidP="00D20DC2">
      <w:pPr>
        <w:pStyle w:val="MediumGrid21"/>
        <w:ind w:firstLine="720"/>
        <w:rPr>
          <w:rFonts w:asciiTheme="minorHAnsi" w:hAnsiTheme="minorHAnsi" w:cstheme="minorHAnsi"/>
          <w:b/>
          <w:lang w:val="en-GB"/>
        </w:rPr>
      </w:pPr>
    </w:p>
    <w:p w14:paraId="3F941B4A" w14:textId="77777777" w:rsidR="00D20DC2" w:rsidRPr="0003574B" w:rsidRDefault="00D20DC2" w:rsidP="00D20DC2">
      <w:pPr>
        <w:pStyle w:val="MediumGrid21"/>
        <w:jc w:val="both"/>
        <w:rPr>
          <w:rFonts w:asciiTheme="minorHAnsi" w:hAnsiTheme="minorHAnsi" w:cstheme="minorHAnsi"/>
        </w:rPr>
      </w:pPr>
      <w:r w:rsidRPr="0003574B">
        <w:rPr>
          <w:rFonts w:asciiTheme="minorHAnsi" w:hAnsiTheme="minorHAnsi" w:cstheme="minorHAnsi"/>
        </w:rPr>
        <w:t xml:space="preserve">This plan </w:t>
      </w:r>
      <w:r>
        <w:rPr>
          <w:rFonts w:asciiTheme="minorHAnsi" w:hAnsiTheme="minorHAnsi" w:cstheme="minorHAnsi"/>
        </w:rPr>
        <w:t>provides a</w:t>
      </w:r>
      <w:r w:rsidRPr="0003574B">
        <w:rPr>
          <w:rFonts w:asciiTheme="minorHAnsi" w:hAnsiTheme="minorHAnsi" w:cstheme="minorHAnsi"/>
        </w:rPr>
        <w:t xml:space="preserve"> single country-led platform </w:t>
      </w:r>
      <w:r>
        <w:rPr>
          <w:rFonts w:asciiTheme="minorHAnsi" w:hAnsiTheme="minorHAnsi" w:cstheme="minorHAnsi"/>
        </w:rPr>
        <w:t xml:space="preserve">for tracking the implementation roadmap. More specifically it will track the range of investments and interventions implemented in phase 1 counties of </w:t>
      </w:r>
      <w:r w:rsidRPr="0003574B">
        <w:rPr>
          <w:rFonts w:asciiTheme="minorHAnsi" w:hAnsiTheme="minorHAnsi" w:cstheme="minorHAnsi"/>
        </w:rPr>
        <w:t xml:space="preserve">Machakos, Nyeri, Kisumu and Isiolo. The relevant data sources and institutions for data generation, compilation, analysis, synthesis and dissemination form an integral part of the single platform.  The UHC Country review and policy dialogue processes will make use of the platform’s evidence base as an anchor for planning and decision-making. </w:t>
      </w:r>
    </w:p>
    <w:p w14:paraId="2FE7ACEB" w14:textId="77777777" w:rsidR="00D20DC2" w:rsidRPr="0003574B" w:rsidRDefault="00D20DC2" w:rsidP="00D20DC2">
      <w:pPr>
        <w:pStyle w:val="MediumGrid21"/>
        <w:ind w:firstLine="720"/>
        <w:rPr>
          <w:rFonts w:asciiTheme="minorHAnsi" w:hAnsiTheme="minorHAnsi" w:cstheme="minorHAnsi"/>
        </w:rPr>
      </w:pPr>
    </w:p>
    <w:p w14:paraId="65E16E56" w14:textId="77777777" w:rsidR="00D20DC2" w:rsidRPr="0003574B" w:rsidRDefault="00D20DC2" w:rsidP="00D20DC2">
      <w:pPr>
        <w:spacing w:after="0"/>
        <w:jc w:val="both"/>
        <w:rPr>
          <w:rFonts w:cstheme="minorHAnsi"/>
        </w:rPr>
      </w:pPr>
      <w:r>
        <w:rPr>
          <w:rFonts w:cstheme="minorHAnsi"/>
        </w:rPr>
        <w:t xml:space="preserve">Strategies articulated in this M&amp;E will leverage ongoing country effort and accelerate the current initiatives to </w:t>
      </w:r>
      <w:r w:rsidRPr="0003574B">
        <w:rPr>
          <w:rFonts w:cstheme="minorHAnsi"/>
        </w:rPr>
        <w:t xml:space="preserve">ensure </w:t>
      </w:r>
      <w:r>
        <w:rPr>
          <w:rFonts w:cstheme="minorHAnsi"/>
        </w:rPr>
        <w:t xml:space="preserve">the </w:t>
      </w:r>
      <w:r w:rsidRPr="0003574B">
        <w:rPr>
          <w:rFonts w:cstheme="minorHAnsi"/>
        </w:rPr>
        <w:t xml:space="preserve">generation of good quality, and policy relevant evidence in a timely manner. The evidence generated will inform planning, resource allocation, decision making and adaptive management as well as real time monitoring of the UHC actions in the four counties. In addition, the Kenya has signed up to international commitments including Sustainable Development Goals (SDGs), Universal Health Coverage (UHC) as well Regional commitments including the African Union (AU) Africa Health Strategy 2016 – 2020 among others. This M&amp;E framework will facilitate fulfilment of reporting obligations on the global and regional commitments. Furthermore, this plan will facilitate monitoring of inequalities, which is central to attainment of universal health coverage (UHC) and, ensuring functional surveillance systems which is key for building health security. </w:t>
      </w:r>
    </w:p>
    <w:p w14:paraId="4C45B3AF" w14:textId="77777777" w:rsidR="006F7C43" w:rsidRDefault="006F7C43" w:rsidP="001615C3"/>
    <w:p w14:paraId="46AD5D82" w14:textId="77777777" w:rsidR="00725F78" w:rsidRDefault="00725F78" w:rsidP="00896FD5">
      <w:pPr>
        <w:spacing w:after="0" w:line="240" w:lineRule="auto"/>
        <w:jc w:val="both"/>
        <w:rPr>
          <w:rFonts w:ascii="Californian FB" w:hAnsi="Californian FB"/>
        </w:rPr>
      </w:pPr>
    </w:p>
    <w:p w14:paraId="4389C665" w14:textId="77777777" w:rsidR="00725F78" w:rsidRDefault="00725F78" w:rsidP="00896FD5">
      <w:pPr>
        <w:spacing w:after="0" w:line="240" w:lineRule="auto"/>
        <w:jc w:val="both"/>
        <w:rPr>
          <w:rFonts w:ascii="Californian FB" w:hAnsi="Californian FB"/>
        </w:rPr>
      </w:pPr>
    </w:p>
    <w:p w14:paraId="610EF202" w14:textId="6BFA65BA" w:rsidR="00506632" w:rsidRPr="007D3C1A" w:rsidRDefault="007D3C1A" w:rsidP="00506632">
      <w:pPr>
        <w:spacing w:after="0"/>
        <w:rPr>
          <w:b/>
        </w:rPr>
      </w:pPr>
      <w:r>
        <w:rPr>
          <w:rFonts w:ascii="Californian FB" w:hAnsi="Californian FB"/>
          <w:b/>
        </w:rPr>
        <w:lastRenderedPageBreak/>
        <w:t xml:space="preserve">1.4.2 </w:t>
      </w:r>
      <w:r w:rsidR="00506632" w:rsidRPr="007D3C1A">
        <w:rPr>
          <w:rFonts w:ascii="Californian FB" w:hAnsi="Californian FB"/>
          <w:b/>
        </w:rPr>
        <w:t>Expected outputs of the</w:t>
      </w:r>
      <w:bookmarkStart w:id="7" w:name="_Toc520793105"/>
      <w:r w:rsidR="00506632" w:rsidRPr="007D3C1A">
        <w:rPr>
          <w:b/>
        </w:rPr>
        <w:t xml:space="preserve"> M &amp; E Framework</w:t>
      </w:r>
      <w:bookmarkEnd w:id="7"/>
      <w:r w:rsidR="00506632" w:rsidRPr="007D3C1A">
        <w:rPr>
          <w:b/>
        </w:rPr>
        <w:t xml:space="preserve"> for UHC</w:t>
      </w:r>
    </w:p>
    <w:p w14:paraId="296C4BF0" w14:textId="2A4465D5" w:rsidR="00506632" w:rsidRPr="00506632" w:rsidRDefault="00506632" w:rsidP="00506632">
      <w:pPr>
        <w:spacing w:after="0"/>
      </w:pPr>
      <w:r>
        <w:t>When fully operational, it is expected that this framework will drive the health sector towards full implementation of the UHC Roadmap and in particular contribute to the realization of:</w:t>
      </w:r>
    </w:p>
    <w:p w14:paraId="15671D3B"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Robust health information systems generating good quality data in a timely manner</w:t>
      </w:r>
    </w:p>
    <w:p w14:paraId="2FD9267E"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Real time monitoring and evaluation reports for Phase I UHC implementation</w:t>
      </w:r>
    </w:p>
    <w:p w14:paraId="38A6833F" w14:textId="2DD30921"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 xml:space="preserve">Enriched evidence-based </w:t>
      </w:r>
      <w:r>
        <w:rPr>
          <w:rFonts w:ascii="Californian FB" w:hAnsi="Californian FB"/>
        </w:rPr>
        <w:t>h</w:t>
      </w:r>
      <w:r w:rsidRPr="00085770">
        <w:rPr>
          <w:rFonts w:ascii="Californian FB" w:hAnsi="Californian FB"/>
        </w:rPr>
        <w:t>ealth policy dialogue and decision making</w:t>
      </w:r>
    </w:p>
    <w:p w14:paraId="6705C8B3"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Effective dissemination of health information to stakeholders stimulating action</w:t>
      </w:r>
    </w:p>
    <w:p w14:paraId="63F1596F"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Strengthened analytical capacity at the different levels of the health system</w:t>
      </w:r>
    </w:p>
    <w:p w14:paraId="3D00F26F"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Improved efficiency in data collection and storage</w:t>
      </w:r>
    </w:p>
    <w:p w14:paraId="68615082"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 xml:space="preserve">Continued learning for better performance, adaptive management in line with evidence </w:t>
      </w:r>
    </w:p>
    <w:p w14:paraId="785A704D" w14:textId="77777777" w:rsidR="00506632" w:rsidRPr="00085770" w:rsidRDefault="00506632" w:rsidP="00506632">
      <w:pPr>
        <w:pStyle w:val="ListParagraph"/>
        <w:numPr>
          <w:ilvl w:val="0"/>
          <w:numId w:val="58"/>
        </w:numPr>
        <w:spacing w:after="0" w:line="240" w:lineRule="auto"/>
        <w:jc w:val="both"/>
        <w:rPr>
          <w:rFonts w:ascii="Californian FB" w:hAnsi="Californian FB"/>
        </w:rPr>
      </w:pPr>
      <w:r w:rsidRPr="00085770">
        <w:rPr>
          <w:rFonts w:ascii="Californian FB" w:hAnsi="Californian FB"/>
        </w:rPr>
        <w:t>Forging joint solutions through peer learning</w:t>
      </w:r>
    </w:p>
    <w:p w14:paraId="40933B73" w14:textId="77777777" w:rsidR="00506632" w:rsidRPr="00085770" w:rsidRDefault="00506632" w:rsidP="00506632">
      <w:pPr>
        <w:pStyle w:val="ListParagraph"/>
        <w:spacing w:after="0" w:line="240" w:lineRule="auto"/>
        <w:ind w:left="1080"/>
        <w:jc w:val="both"/>
        <w:rPr>
          <w:rFonts w:ascii="Californian FB" w:hAnsi="Californian FB"/>
        </w:rPr>
      </w:pPr>
    </w:p>
    <w:p w14:paraId="56A07B59" w14:textId="77777777" w:rsidR="00506632" w:rsidRPr="00506632" w:rsidRDefault="00506632" w:rsidP="00506632">
      <w:pPr>
        <w:pStyle w:val="ListParagraph"/>
        <w:spacing w:after="0" w:line="240" w:lineRule="auto"/>
        <w:ind w:left="0"/>
        <w:jc w:val="both"/>
        <w:rPr>
          <w:rFonts w:ascii="Californian FB" w:hAnsi="Californian FB"/>
        </w:rPr>
      </w:pPr>
      <w:r w:rsidRPr="00085770">
        <w:rPr>
          <w:rFonts w:ascii="Californian FB" w:hAnsi="Californian FB"/>
        </w:rPr>
        <w:t>The responsibility for strengthening health sector M&amp;E is a shared responsibility and within this arrangement, required investments and activities to be undertaken need to be agreed, and roles and responsibilities assigned.  Evidence generated must be used to guide further improvements in sector performance, quality improvements and health service delivery.  Institutionalised platforms that ensure a transparent and participatory process are crucial for realising actors buy in and, implementation of agreed action</w:t>
      </w:r>
    </w:p>
    <w:p w14:paraId="61A0EE9F" w14:textId="77777777" w:rsidR="00D82B89" w:rsidRDefault="00D82B89" w:rsidP="00F3749A">
      <w:pPr>
        <w:spacing w:after="0"/>
        <w:rPr>
          <w:rFonts w:ascii="Californian FB" w:hAnsi="Californian FB"/>
        </w:rPr>
      </w:pPr>
    </w:p>
    <w:p w14:paraId="030FD154" w14:textId="7F3C4319" w:rsidR="00D82B89" w:rsidRPr="00896FD5" w:rsidRDefault="00085770" w:rsidP="00506632">
      <w:pPr>
        <w:pStyle w:val="Heading2"/>
        <w:numPr>
          <w:ilvl w:val="0"/>
          <w:numId w:val="0"/>
        </w:numPr>
        <w:rPr>
          <w:rFonts w:eastAsiaTheme="minorHAnsi"/>
          <w:lang w:val="en-US"/>
        </w:rPr>
      </w:pPr>
      <w:bookmarkStart w:id="8" w:name="_Toc520793104"/>
      <w:r w:rsidRPr="00896FD5">
        <w:rPr>
          <w:rFonts w:eastAsiaTheme="minorHAnsi"/>
          <w:lang w:val="en-US"/>
        </w:rPr>
        <w:t>1.</w:t>
      </w:r>
      <w:r w:rsidR="007D3C1A">
        <w:rPr>
          <w:rFonts w:eastAsiaTheme="minorHAnsi"/>
          <w:lang w:val="en-US"/>
        </w:rPr>
        <w:t xml:space="preserve">4.3 Specific </w:t>
      </w:r>
      <w:r w:rsidR="00D82B89" w:rsidRPr="00896FD5">
        <w:rPr>
          <w:rFonts w:eastAsiaTheme="minorHAnsi"/>
          <w:lang w:val="en-US"/>
        </w:rPr>
        <w:t>Objectives of the UHC M&amp;E Plan</w:t>
      </w:r>
      <w:bookmarkEnd w:id="8"/>
    </w:p>
    <w:p w14:paraId="10DE2E74" w14:textId="77777777" w:rsidR="00D82B89" w:rsidRPr="00085770" w:rsidRDefault="00D82B89" w:rsidP="00F93907">
      <w:pPr>
        <w:pStyle w:val="ListParagraph"/>
        <w:spacing w:after="0" w:line="240" w:lineRule="auto"/>
        <w:ind w:left="1080"/>
        <w:jc w:val="both"/>
        <w:rPr>
          <w:rFonts w:ascii="Californian FB" w:hAnsi="Californian FB"/>
        </w:rPr>
      </w:pPr>
    </w:p>
    <w:p w14:paraId="36A8CEB1" w14:textId="5DDAE94A" w:rsidR="00D82B89"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Provide an investment framework to align stakeholders’ resources and action to strengthen UHC  M&amp;E in the health sector</w:t>
      </w:r>
      <w:r w:rsidR="00F93907">
        <w:rPr>
          <w:rFonts w:ascii="Californian FB" w:hAnsi="Californian FB"/>
        </w:rPr>
        <w:t>;</w:t>
      </w:r>
    </w:p>
    <w:p w14:paraId="67A91D6E" w14:textId="32349E0A" w:rsidR="00F93907" w:rsidRPr="00ED746C" w:rsidRDefault="00F93907" w:rsidP="00203568">
      <w:pPr>
        <w:pStyle w:val="ListParagraph"/>
        <w:numPr>
          <w:ilvl w:val="0"/>
          <w:numId w:val="49"/>
        </w:numPr>
        <w:spacing w:after="0" w:line="240" w:lineRule="auto"/>
        <w:ind w:left="360"/>
        <w:jc w:val="both"/>
        <w:rPr>
          <w:rFonts w:ascii="Californian FB" w:hAnsi="Californian FB"/>
        </w:rPr>
      </w:pPr>
      <w:r w:rsidRPr="00ED746C">
        <w:rPr>
          <w:rFonts w:ascii="Californian FB" w:hAnsi="Californian FB"/>
        </w:rPr>
        <w:t>provide a framework for documenting lessons learnt in UHC implementation to promote learning and insitutional memory</w:t>
      </w:r>
    </w:p>
    <w:p w14:paraId="4A2F1AF9" w14:textId="40093C08" w:rsidR="00F93907" w:rsidRPr="00ED746C" w:rsidRDefault="00F93907" w:rsidP="00203568">
      <w:pPr>
        <w:pStyle w:val="ListParagraph"/>
        <w:numPr>
          <w:ilvl w:val="0"/>
          <w:numId w:val="49"/>
        </w:numPr>
        <w:tabs>
          <w:tab w:val="left" w:pos="8100"/>
        </w:tabs>
        <w:spacing w:after="0" w:line="240" w:lineRule="auto"/>
        <w:rPr>
          <w:rFonts w:ascii="Californian FB" w:hAnsi="Californian FB"/>
        </w:rPr>
      </w:pPr>
      <w:r w:rsidRPr="00ED746C">
        <w:rPr>
          <w:rFonts w:ascii="Californian FB" w:hAnsi="Californian FB"/>
        </w:rPr>
        <w:t>Provide a framework for Monitoring and evaluation of  Phase I and other control counties implementation of UHC</w:t>
      </w:r>
      <w:r w:rsidR="00ED746C">
        <w:rPr>
          <w:rFonts w:ascii="Californian FB" w:hAnsi="Californian FB"/>
        </w:rPr>
        <w:t xml:space="preserve"> upto 2022</w:t>
      </w:r>
      <w:r w:rsidRPr="00ED746C">
        <w:rPr>
          <w:rFonts w:ascii="Californian FB" w:hAnsi="Californian FB"/>
        </w:rPr>
        <w:t xml:space="preserve"> ;</w:t>
      </w:r>
    </w:p>
    <w:p w14:paraId="0C4B7FBF" w14:textId="4B451070" w:rsidR="00D82B89" w:rsidRPr="00085770"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Ensure continued progress through regularly and systematically tracking the progress of implementation of the UHC in the Country</w:t>
      </w:r>
      <w:r w:rsidR="00F93907">
        <w:rPr>
          <w:rFonts w:ascii="Californian FB" w:hAnsi="Californian FB"/>
        </w:rPr>
        <w:t>;</w:t>
      </w:r>
    </w:p>
    <w:p w14:paraId="47707A6F" w14:textId="33946770" w:rsidR="00D82B89" w:rsidRPr="00085770"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Ensure alignment of stakeholders to the objectives of the UHC  through provision of good quality strategic information.</w:t>
      </w:r>
      <w:r w:rsidR="00F93907">
        <w:rPr>
          <w:rFonts w:ascii="Californian FB" w:hAnsi="Californian FB"/>
        </w:rPr>
        <w:t>;</w:t>
      </w:r>
    </w:p>
    <w:p w14:paraId="4115C912" w14:textId="5F5109DA" w:rsidR="00D82B89" w:rsidRPr="00085770"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Strengthen partnerships in the health sector through enabling constructive evidence-based policy dialogue</w:t>
      </w:r>
      <w:r w:rsidR="00F93907">
        <w:rPr>
          <w:rFonts w:ascii="Californian FB" w:hAnsi="Californian FB"/>
        </w:rPr>
        <w:t>;</w:t>
      </w:r>
      <w:r w:rsidRPr="00085770">
        <w:rPr>
          <w:rFonts w:ascii="Californian FB" w:hAnsi="Californian FB"/>
        </w:rPr>
        <w:t>.</w:t>
      </w:r>
    </w:p>
    <w:p w14:paraId="7BCF7BB8" w14:textId="77777777" w:rsidR="00D82B89" w:rsidRPr="00085770"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Promote evidence-based decision making through ensuring timely availability of good quality evidence that is effectively disseminated.</w:t>
      </w:r>
    </w:p>
    <w:p w14:paraId="61CA4D49" w14:textId="77777777" w:rsidR="00D82B89" w:rsidRPr="00085770" w:rsidRDefault="00D82B89" w:rsidP="00203568">
      <w:pPr>
        <w:pStyle w:val="ListParagraph"/>
        <w:numPr>
          <w:ilvl w:val="0"/>
          <w:numId w:val="49"/>
        </w:numPr>
        <w:spacing w:after="0" w:line="240" w:lineRule="auto"/>
        <w:ind w:left="360"/>
        <w:jc w:val="both"/>
        <w:rPr>
          <w:rFonts w:ascii="Californian FB" w:hAnsi="Californian FB"/>
        </w:rPr>
      </w:pPr>
      <w:r w:rsidRPr="00085770">
        <w:rPr>
          <w:rFonts w:ascii="Californian FB" w:hAnsi="Californian FB"/>
        </w:rPr>
        <w:t xml:space="preserve">Strengthened operational research capacity to generate evidence to inform decision making </w:t>
      </w:r>
    </w:p>
    <w:p w14:paraId="2903C4B6" w14:textId="77777777" w:rsidR="00D82B89" w:rsidRPr="00085770" w:rsidRDefault="00D82B89" w:rsidP="00ED746C">
      <w:pPr>
        <w:pStyle w:val="ListParagraph"/>
        <w:spacing w:after="0" w:line="240" w:lineRule="auto"/>
        <w:jc w:val="both"/>
        <w:rPr>
          <w:rFonts w:ascii="Californian FB" w:hAnsi="Californian FB"/>
        </w:rPr>
      </w:pPr>
    </w:p>
    <w:p w14:paraId="50B23762" w14:textId="3D94F6CE" w:rsidR="00D82B89" w:rsidRPr="00CC4D7C" w:rsidRDefault="00D82B89" w:rsidP="00CC4D7C">
      <w:pPr>
        <w:pStyle w:val="Heading2"/>
        <w:numPr>
          <w:ilvl w:val="0"/>
          <w:numId w:val="0"/>
        </w:numPr>
        <w:rPr>
          <w:rFonts w:eastAsiaTheme="minorHAnsi"/>
          <w:lang w:val="en-US"/>
        </w:rPr>
      </w:pPr>
      <w:bookmarkStart w:id="9" w:name="_Toc520711806"/>
      <w:bookmarkStart w:id="10" w:name="_Toc520793108"/>
      <w:r w:rsidRPr="00CC4D7C">
        <w:rPr>
          <w:rFonts w:eastAsiaTheme="minorHAnsi"/>
          <w:lang w:val="en-US"/>
        </w:rPr>
        <w:t>1</w:t>
      </w:r>
      <w:r w:rsidR="007D3C1A">
        <w:rPr>
          <w:rFonts w:eastAsiaTheme="minorHAnsi"/>
          <w:lang w:val="en-US"/>
        </w:rPr>
        <w:t xml:space="preserve">.5 </w:t>
      </w:r>
      <w:r w:rsidRPr="00CC4D7C">
        <w:rPr>
          <w:rFonts w:eastAsiaTheme="minorHAnsi"/>
          <w:lang w:val="en-US"/>
        </w:rPr>
        <w:t>Organization of the M&amp;E framework</w:t>
      </w:r>
      <w:bookmarkEnd w:id="9"/>
      <w:bookmarkEnd w:id="10"/>
    </w:p>
    <w:p w14:paraId="60039AFE" w14:textId="77777777" w:rsidR="00D82B89" w:rsidRPr="00085770" w:rsidRDefault="00D82B89" w:rsidP="00CC4D7C">
      <w:pPr>
        <w:pStyle w:val="ListParagraph"/>
        <w:spacing w:after="0" w:line="240" w:lineRule="auto"/>
        <w:ind w:left="1080"/>
        <w:jc w:val="both"/>
        <w:rPr>
          <w:rFonts w:ascii="Californian FB" w:hAnsi="Californian FB"/>
        </w:rPr>
      </w:pPr>
    </w:p>
    <w:p w14:paraId="055DEDCD" w14:textId="77777777" w:rsidR="00D82B89" w:rsidRPr="00085770" w:rsidRDefault="00D82B89" w:rsidP="00CC4D7C">
      <w:pPr>
        <w:pStyle w:val="ListParagraph"/>
        <w:spacing w:after="0" w:line="240" w:lineRule="auto"/>
        <w:ind w:left="0"/>
        <w:jc w:val="both"/>
        <w:rPr>
          <w:rFonts w:ascii="Californian FB" w:hAnsi="Californian FB"/>
        </w:rPr>
      </w:pPr>
      <w:r w:rsidRPr="00085770">
        <w:rPr>
          <w:rFonts w:ascii="Californian FB" w:hAnsi="Californian FB"/>
        </w:rPr>
        <w:t>The M &amp; E plan is organized in xx chapters, namely: -</w:t>
      </w:r>
    </w:p>
    <w:p w14:paraId="7F7877AF" w14:textId="77777777" w:rsidR="00D82B89" w:rsidRPr="00085770" w:rsidRDefault="00D82B89" w:rsidP="00CC4D7C">
      <w:pPr>
        <w:pStyle w:val="ListParagraph"/>
        <w:spacing w:after="0" w:line="240" w:lineRule="auto"/>
        <w:ind w:left="1080"/>
        <w:jc w:val="both"/>
        <w:rPr>
          <w:rFonts w:ascii="Californian FB" w:hAnsi="Californian FB"/>
        </w:rPr>
      </w:pPr>
    </w:p>
    <w:p w14:paraId="4B9466D7" w14:textId="77777777" w:rsidR="00D82B89" w:rsidRPr="00085770" w:rsidRDefault="00D82B89" w:rsidP="00CC4D7C">
      <w:pPr>
        <w:pStyle w:val="ListParagraph"/>
        <w:spacing w:after="0" w:line="240" w:lineRule="auto"/>
        <w:ind w:left="1080"/>
        <w:jc w:val="both"/>
        <w:rPr>
          <w:rFonts w:ascii="Californian FB" w:hAnsi="Californian FB"/>
        </w:rPr>
      </w:pPr>
    </w:p>
    <w:p w14:paraId="173A2019" w14:textId="172D3D4A" w:rsidR="00D82B89" w:rsidRPr="00CC4D7C" w:rsidRDefault="00D82B89" w:rsidP="00CC4D7C">
      <w:pPr>
        <w:pStyle w:val="Heading2"/>
        <w:numPr>
          <w:ilvl w:val="0"/>
          <w:numId w:val="0"/>
        </w:numPr>
        <w:rPr>
          <w:rFonts w:eastAsiaTheme="minorHAnsi"/>
          <w:lang w:val="en-US"/>
        </w:rPr>
      </w:pPr>
      <w:bookmarkStart w:id="11" w:name="_Toc520711807"/>
      <w:bookmarkStart w:id="12" w:name="_Toc520793109"/>
      <w:r w:rsidRPr="00CC4D7C">
        <w:rPr>
          <w:rFonts w:eastAsiaTheme="minorHAnsi"/>
          <w:lang w:val="en-US"/>
        </w:rPr>
        <w:t>1.</w:t>
      </w:r>
      <w:r w:rsidR="007D3C1A">
        <w:rPr>
          <w:rFonts w:eastAsiaTheme="minorHAnsi"/>
          <w:lang w:val="en-US"/>
        </w:rPr>
        <w:t>6</w:t>
      </w:r>
      <w:r w:rsidRPr="00CC4D7C">
        <w:rPr>
          <w:rFonts w:eastAsiaTheme="minorHAnsi"/>
          <w:lang w:val="en-US"/>
        </w:rPr>
        <w:t xml:space="preserve"> The process of developing the M&amp;E Framework</w:t>
      </w:r>
      <w:bookmarkEnd w:id="11"/>
      <w:bookmarkEnd w:id="12"/>
      <w:r w:rsidRPr="00CC4D7C">
        <w:rPr>
          <w:rFonts w:eastAsiaTheme="minorHAnsi"/>
          <w:lang w:val="en-US"/>
        </w:rPr>
        <w:t xml:space="preserve"> </w:t>
      </w:r>
    </w:p>
    <w:p w14:paraId="2BEE1854" w14:textId="77777777" w:rsidR="00D82B89" w:rsidRPr="00085770" w:rsidRDefault="00D82B89" w:rsidP="00CC4D7C">
      <w:pPr>
        <w:pStyle w:val="ListParagraph"/>
        <w:spacing w:after="0" w:line="240" w:lineRule="auto"/>
        <w:ind w:left="1080"/>
        <w:jc w:val="both"/>
        <w:rPr>
          <w:rFonts w:ascii="Californian FB" w:hAnsi="Californian FB"/>
        </w:rPr>
      </w:pPr>
    </w:p>
    <w:p w14:paraId="27493239" w14:textId="667CAAD3" w:rsidR="002561BF" w:rsidRDefault="007D3C1A" w:rsidP="007D3C1A">
      <w:pPr>
        <w:pStyle w:val="ListParagraph"/>
        <w:spacing w:after="0" w:line="240" w:lineRule="auto"/>
        <w:ind w:left="0"/>
        <w:jc w:val="both"/>
        <w:rPr>
          <w:rFonts w:ascii="Californian FB" w:hAnsi="Californian FB"/>
        </w:rPr>
      </w:pPr>
      <w:r w:rsidRPr="007D3C1A">
        <w:rPr>
          <w:rFonts w:ascii="Californian FB" w:hAnsi="Californian FB"/>
        </w:rPr>
        <w:t>The</w:t>
      </w:r>
      <w:r w:rsidR="002561BF">
        <w:rPr>
          <w:rFonts w:ascii="Californian FB" w:hAnsi="Californian FB"/>
        </w:rPr>
        <w:t xml:space="preserve"> development of the </w:t>
      </w:r>
      <w:r>
        <w:rPr>
          <w:rFonts w:ascii="Californian FB" w:hAnsi="Californian FB"/>
        </w:rPr>
        <w:t xml:space="preserve">UHC Monitoring and evaluation framework </w:t>
      </w:r>
      <w:r w:rsidRPr="007D3C1A">
        <w:rPr>
          <w:rFonts w:ascii="Californian FB" w:hAnsi="Californian FB"/>
        </w:rPr>
        <w:t xml:space="preserve">was initiated </w:t>
      </w:r>
      <w:r w:rsidR="002561BF">
        <w:rPr>
          <w:rFonts w:ascii="Californian FB" w:hAnsi="Californian FB"/>
        </w:rPr>
        <w:t>when the</w:t>
      </w:r>
      <w:r w:rsidRPr="007D3C1A">
        <w:rPr>
          <w:rFonts w:ascii="Californian FB" w:hAnsi="Californian FB"/>
        </w:rPr>
        <w:t xml:space="preserve"> Ministry of Health (MoH) </w:t>
      </w:r>
      <w:r w:rsidR="002561BF">
        <w:rPr>
          <w:rFonts w:ascii="Californian FB" w:hAnsi="Californian FB"/>
        </w:rPr>
        <w:t>formed a</w:t>
      </w:r>
      <w:r w:rsidRPr="007D3C1A">
        <w:rPr>
          <w:rFonts w:ascii="Californian FB" w:hAnsi="Californian FB"/>
        </w:rPr>
        <w:t xml:space="preserve"> national taskforce</w:t>
      </w:r>
      <w:r w:rsidR="002561BF">
        <w:rPr>
          <w:rFonts w:ascii="Californian FB" w:hAnsi="Californian FB"/>
        </w:rPr>
        <w:t xml:space="preserve"> that would develop both the UHC Roadmap and an M&amp;E framework that would enable effective tracking of progress towards the achievement of Kenya’s UHC goals. T</w:t>
      </w:r>
      <w:r w:rsidRPr="007D3C1A">
        <w:rPr>
          <w:rFonts w:ascii="Californian FB" w:hAnsi="Californian FB"/>
        </w:rPr>
        <w:t>he taskforce developed a conceptual framework and a zero draft of the guidelines during a workshop held in</w:t>
      </w:r>
      <w:r w:rsidR="002561BF">
        <w:rPr>
          <w:rFonts w:ascii="Californian FB" w:hAnsi="Californian FB"/>
        </w:rPr>
        <w:t xml:space="preserve"> June</w:t>
      </w:r>
      <w:r w:rsidRPr="007D3C1A">
        <w:rPr>
          <w:rFonts w:ascii="Californian FB" w:hAnsi="Californian FB"/>
        </w:rPr>
        <w:t xml:space="preserve"> 20</w:t>
      </w:r>
      <w:r w:rsidR="002561BF">
        <w:rPr>
          <w:rFonts w:ascii="Californian FB" w:hAnsi="Californian FB"/>
        </w:rPr>
        <w:t>18</w:t>
      </w:r>
      <w:r w:rsidRPr="007D3C1A">
        <w:rPr>
          <w:rFonts w:ascii="Californian FB" w:hAnsi="Californian FB"/>
        </w:rPr>
        <w:t xml:space="preserve">. The </w:t>
      </w:r>
      <w:r w:rsidRPr="007D3C1A">
        <w:rPr>
          <w:rFonts w:ascii="Californian FB" w:hAnsi="Californian FB"/>
        </w:rPr>
        <w:lastRenderedPageBreak/>
        <w:t xml:space="preserve">workshop was led by the </w:t>
      </w:r>
      <w:r w:rsidR="002561BF">
        <w:rPr>
          <w:rFonts w:ascii="Californian FB" w:hAnsi="Californian FB"/>
        </w:rPr>
        <w:t>UHC Taskforce</w:t>
      </w:r>
      <w:r w:rsidRPr="007D3C1A">
        <w:rPr>
          <w:rFonts w:ascii="Californian FB" w:hAnsi="Californian FB"/>
        </w:rPr>
        <w:t xml:space="preserve"> and brought together representatives drawn from M&amp;E focal points in key health programs, counties and development partners working in the health sector. This draft was subjected to internal review by various </w:t>
      </w:r>
      <w:r w:rsidR="002561BF">
        <w:rPr>
          <w:rFonts w:ascii="Californian FB" w:hAnsi="Californian FB"/>
        </w:rPr>
        <w:t xml:space="preserve">MOH </w:t>
      </w:r>
      <w:r w:rsidRPr="007D3C1A">
        <w:rPr>
          <w:rFonts w:ascii="Californian FB" w:hAnsi="Californian FB"/>
        </w:rPr>
        <w:t>user departments</w:t>
      </w:r>
      <w:r w:rsidR="002561BF">
        <w:rPr>
          <w:rFonts w:ascii="Californian FB" w:hAnsi="Californian FB"/>
        </w:rPr>
        <w:t xml:space="preserve">. Their feedback was incorporated and presented as second draft during the Naivasha Workshop held on 23-27 July 2018. This draft </w:t>
      </w:r>
      <w:r w:rsidRPr="007D3C1A">
        <w:rPr>
          <w:rFonts w:ascii="Californian FB" w:hAnsi="Californian FB"/>
        </w:rPr>
        <w:t>was circulated to stakeholders within the health sector and their input was consolidated</w:t>
      </w:r>
      <w:r w:rsidR="002561BF">
        <w:rPr>
          <w:rFonts w:ascii="Californian FB" w:hAnsi="Californian FB"/>
        </w:rPr>
        <w:t xml:space="preserve"> both before and during the workshop.</w:t>
      </w:r>
      <w:r w:rsidRPr="007D3C1A">
        <w:rPr>
          <w:rFonts w:ascii="Californian FB" w:hAnsi="Californian FB"/>
        </w:rPr>
        <w:t xml:space="preserve"> </w:t>
      </w:r>
      <w:r w:rsidR="002561BF">
        <w:rPr>
          <w:rFonts w:ascii="Californian FB" w:hAnsi="Californian FB"/>
        </w:rPr>
        <w:t xml:space="preserve">The Document </w:t>
      </w:r>
    </w:p>
    <w:p w14:paraId="66538BBB" w14:textId="533CFCEA" w:rsidR="00D82B89" w:rsidRDefault="007D3C1A" w:rsidP="007D3C1A">
      <w:pPr>
        <w:pStyle w:val="ListParagraph"/>
        <w:spacing w:after="0" w:line="240" w:lineRule="auto"/>
        <w:ind w:left="0"/>
        <w:jc w:val="both"/>
        <w:rPr>
          <w:rFonts w:ascii="Californian FB" w:hAnsi="Californian FB"/>
        </w:rPr>
      </w:pPr>
      <w:r w:rsidRPr="007D3C1A">
        <w:rPr>
          <w:rFonts w:ascii="Californian FB" w:hAnsi="Californian FB"/>
        </w:rPr>
        <w:t xml:space="preserve">The revised draft </w:t>
      </w:r>
      <w:r w:rsidR="00401972">
        <w:rPr>
          <w:rFonts w:ascii="Californian FB" w:hAnsi="Californian FB"/>
        </w:rPr>
        <w:t xml:space="preserve">of the documents </w:t>
      </w:r>
      <w:r w:rsidRPr="007D3C1A">
        <w:rPr>
          <w:rFonts w:ascii="Californian FB" w:hAnsi="Californian FB"/>
        </w:rPr>
        <w:t>was then circulated simultaneously to key stakeholders, including MoH departments and health programs, health institutions, county departments of health and both development and implementing partners working to strengthen M&amp;E systems in the health sector. Input from these sources was collated and a comprehensive</w:t>
      </w:r>
    </w:p>
    <w:p w14:paraId="65BF7B0A" w14:textId="4150A145" w:rsidR="00A03597" w:rsidRDefault="00A03597" w:rsidP="007D3C1A">
      <w:pPr>
        <w:pStyle w:val="ListParagraph"/>
        <w:spacing w:after="0" w:line="240" w:lineRule="auto"/>
        <w:ind w:left="0"/>
        <w:jc w:val="both"/>
        <w:rPr>
          <w:rFonts w:ascii="Californian FB" w:hAnsi="Californian FB"/>
        </w:rPr>
      </w:pPr>
    </w:p>
    <w:p w14:paraId="032C81B5" w14:textId="35E75347" w:rsidR="00C727AB" w:rsidRDefault="00D82B89" w:rsidP="007D3C1A">
      <w:pPr>
        <w:pStyle w:val="Heading2"/>
        <w:numPr>
          <w:ilvl w:val="0"/>
          <w:numId w:val="0"/>
        </w:numPr>
        <w:rPr>
          <w:rFonts w:eastAsiaTheme="minorHAnsi"/>
          <w:lang w:val="en-US"/>
        </w:rPr>
      </w:pPr>
      <w:bookmarkStart w:id="13" w:name="_Toc520711808"/>
      <w:bookmarkStart w:id="14" w:name="_Toc520793110"/>
      <w:r w:rsidRPr="00CC4D7C">
        <w:rPr>
          <w:rFonts w:eastAsiaTheme="minorHAnsi"/>
          <w:lang w:val="en-US"/>
        </w:rPr>
        <w:t>1.</w:t>
      </w:r>
      <w:r w:rsidR="00CC4D7C">
        <w:rPr>
          <w:rFonts w:eastAsiaTheme="minorHAnsi"/>
          <w:lang w:val="en-US"/>
        </w:rPr>
        <w:t>5.</w:t>
      </w:r>
      <w:r w:rsidRPr="00CC4D7C">
        <w:rPr>
          <w:rFonts w:eastAsiaTheme="minorHAnsi"/>
          <w:lang w:val="en-US"/>
        </w:rPr>
        <w:t>8</w:t>
      </w:r>
      <w:r w:rsidR="00CC4D7C">
        <w:rPr>
          <w:rFonts w:eastAsiaTheme="minorHAnsi"/>
          <w:lang w:val="en-US"/>
        </w:rPr>
        <w:t>.</w:t>
      </w:r>
      <w:r w:rsidRPr="00CC4D7C">
        <w:rPr>
          <w:rFonts w:eastAsiaTheme="minorHAnsi"/>
          <w:lang w:val="en-US"/>
        </w:rPr>
        <w:t xml:space="preserve"> </w:t>
      </w:r>
      <w:r w:rsidR="00C727AB">
        <w:rPr>
          <w:rFonts w:eastAsiaTheme="minorHAnsi"/>
          <w:lang w:val="en-US"/>
        </w:rPr>
        <w:t xml:space="preserve">Key actors in implementing the UHC M&amp;E Framework </w:t>
      </w:r>
    </w:p>
    <w:p w14:paraId="0271F386" w14:textId="43DBB44E" w:rsidR="00A84459" w:rsidRPr="00D30D09" w:rsidRDefault="00A84459" w:rsidP="00A84459">
      <w:pPr>
        <w:autoSpaceDE w:val="0"/>
        <w:autoSpaceDN w:val="0"/>
        <w:spacing w:before="240" w:after="240"/>
        <w:rPr>
          <w:rFonts w:cs="Calibri"/>
          <w:szCs w:val="24"/>
        </w:rPr>
      </w:pPr>
      <w:r w:rsidRPr="00D30D09">
        <w:rPr>
          <w:rFonts w:cs="Calibri"/>
          <w:b/>
          <w:szCs w:val="24"/>
        </w:rPr>
        <w:t>Figure 2:</w:t>
      </w:r>
      <w:r w:rsidRPr="00D30D09">
        <w:rPr>
          <w:rFonts w:cs="Calibri"/>
          <w:szCs w:val="24"/>
        </w:rPr>
        <w:t xml:space="preserve"> National and County M&amp;E Organogram</w:t>
      </w:r>
    </w:p>
    <w:p w14:paraId="6898015E" w14:textId="12B78C28" w:rsidR="00A84459" w:rsidRPr="00021D6E" w:rsidRDefault="00A84459" w:rsidP="00A84459">
      <w:pPr>
        <w:rPr>
          <w:sz w:val="20"/>
        </w:rPr>
      </w:pPr>
      <w:r>
        <w:rPr>
          <w:noProof/>
        </w:rPr>
        <mc:AlternateContent>
          <mc:Choice Requires="wps">
            <w:drawing>
              <wp:anchor distT="4294967295" distB="4294967295" distL="114299" distR="114299" simplePos="0" relativeHeight="251665408" behindDoc="0" locked="0" layoutInCell="1" allowOverlap="1" wp14:anchorId="56EB3E60" wp14:editId="3B6AFEA3">
                <wp:simplePos x="0" y="0"/>
                <wp:positionH relativeFrom="column">
                  <wp:posOffset>4277994</wp:posOffset>
                </wp:positionH>
                <wp:positionV relativeFrom="paragraph">
                  <wp:posOffset>150494</wp:posOffset>
                </wp:positionV>
                <wp:extent cx="0" cy="0"/>
                <wp:effectExtent l="0" t="0" r="0" b="0"/>
                <wp:wrapNone/>
                <wp:docPr id="193" name="Straight Connector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FE1871B" id="Straight Connector 193" o:spid="_x0000_s1026" style="position:absolute;z-index:25170073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6.85pt,11.85pt" to="336.8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64384" behindDoc="0" locked="0" layoutInCell="1" allowOverlap="1" wp14:anchorId="19C4DA9E" wp14:editId="3C7DDA3A">
                <wp:simplePos x="0" y="0"/>
                <wp:positionH relativeFrom="column">
                  <wp:posOffset>4258309</wp:posOffset>
                </wp:positionH>
                <wp:positionV relativeFrom="paragraph">
                  <wp:posOffset>91439</wp:posOffset>
                </wp:positionV>
                <wp:extent cx="0" cy="0"/>
                <wp:effectExtent l="0" t="0" r="0" b="0"/>
                <wp:wrapNone/>
                <wp:docPr id="194" name="Straight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26BE151" id="Straight Connector 194" o:spid="_x0000_s1026" style="position:absolute;z-index:251699712;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5.3pt,7.2pt" to="335.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63360" behindDoc="0" locked="0" layoutInCell="1" allowOverlap="1" wp14:anchorId="3003AEE6" wp14:editId="6CC194E4">
                <wp:simplePos x="0" y="0"/>
                <wp:positionH relativeFrom="column">
                  <wp:posOffset>4199889</wp:posOffset>
                </wp:positionH>
                <wp:positionV relativeFrom="paragraph">
                  <wp:posOffset>97789</wp:posOffset>
                </wp:positionV>
                <wp:extent cx="0" cy="0"/>
                <wp:effectExtent l="0" t="0" r="0" b="0"/>
                <wp:wrapNone/>
                <wp:docPr id="195" name="Straight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D285843" id="Straight Connector 195" o:spid="_x0000_s1026" style="position:absolute;z-index:25169868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0.7pt,7.7pt" to="330.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62336" behindDoc="0" locked="0" layoutInCell="1" allowOverlap="1" wp14:anchorId="18597CAF" wp14:editId="3AFBB102">
                <wp:simplePos x="0" y="0"/>
                <wp:positionH relativeFrom="column">
                  <wp:posOffset>4238624</wp:posOffset>
                </wp:positionH>
                <wp:positionV relativeFrom="paragraph">
                  <wp:posOffset>91439</wp:posOffset>
                </wp:positionV>
                <wp:extent cx="0" cy="0"/>
                <wp:effectExtent l="0" t="0" r="0" b="0"/>
                <wp:wrapNone/>
                <wp:docPr id="196" name="Straight Connector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40715609" id="Straight Connector 196" o:spid="_x0000_s1026" style="position:absolute;z-index:2516976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3.75pt,7.2pt" to="333.7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" strokecolor="#5b9bd5" strokeweight=".5pt">
                <v:stroke joinstyle="miter"/>
                <o:lock v:ext="edit" shapetype="f"/>
              </v:line>
            </w:pict>
          </mc:Fallback>
        </mc:AlternateContent>
      </w:r>
    </w:p>
    <w:p w14:paraId="2A795B01" w14:textId="77777777" w:rsidR="00A84459" w:rsidRPr="00D30D09" w:rsidRDefault="00A84459" w:rsidP="00A84459">
      <w:pPr>
        <w:autoSpaceDE w:val="0"/>
        <w:autoSpaceDN w:val="0"/>
        <w:spacing w:before="240" w:after="240"/>
        <w:rPr>
          <w:rFonts w:cs="Calibri"/>
          <w:szCs w:val="24"/>
        </w:rPr>
      </w:pPr>
    </w:p>
    <w:p w14:paraId="0CA4F668" w14:textId="77777777" w:rsidR="00A84459" w:rsidRPr="00D30D09" w:rsidRDefault="00A84459" w:rsidP="00A84459">
      <w:pPr>
        <w:autoSpaceDE w:val="0"/>
        <w:autoSpaceDN w:val="0"/>
        <w:spacing w:before="240" w:after="240"/>
        <w:rPr>
          <w:rFonts w:cs="Calibri"/>
          <w:szCs w:val="24"/>
        </w:rPr>
      </w:pPr>
    </w:p>
    <w:p w14:paraId="2F8D9A5F" w14:textId="77777777" w:rsidR="00A84459" w:rsidRPr="00D30D09" w:rsidRDefault="00A84459" w:rsidP="00A84459">
      <w:pPr>
        <w:autoSpaceDE w:val="0"/>
        <w:autoSpaceDN w:val="0"/>
        <w:spacing w:before="240" w:after="240"/>
        <w:rPr>
          <w:rFonts w:cs="Calibri"/>
          <w:szCs w:val="24"/>
        </w:rPr>
      </w:pPr>
    </w:p>
    <w:p w14:paraId="6667F6E4" w14:textId="77777777" w:rsidR="00A84459" w:rsidRPr="00D30D09" w:rsidRDefault="00A84459" w:rsidP="00A84459">
      <w:pPr>
        <w:tabs>
          <w:tab w:val="left" w:pos="1853"/>
        </w:tabs>
        <w:autoSpaceDE w:val="0"/>
        <w:autoSpaceDN w:val="0"/>
        <w:spacing w:before="240" w:after="240"/>
        <w:rPr>
          <w:rFonts w:cs="Calibri"/>
          <w:szCs w:val="24"/>
        </w:rPr>
      </w:pPr>
      <w:r w:rsidRPr="00D30D09">
        <w:rPr>
          <w:rFonts w:cs="Calibri"/>
          <w:szCs w:val="24"/>
        </w:rPr>
        <w:tab/>
      </w:r>
    </w:p>
    <w:p w14:paraId="3D777480" w14:textId="77777777" w:rsidR="00A84459" w:rsidRPr="00D30D09" w:rsidRDefault="00A84459" w:rsidP="00A84459">
      <w:pPr>
        <w:autoSpaceDE w:val="0"/>
        <w:autoSpaceDN w:val="0"/>
        <w:spacing w:before="240" w:after="240"/>
        <w:rPr>
          <w:rFonts w:cs="Calibri"/>
          <w:szCs w:val="24"/>
        </w:rPr>
      </w:pPr>
    </w:p>
    <w:p w14:paraId="2ABD2D04" w14:textId="77777777" w:rsidR="00A84459" w:rsidRPr="00D30D09" w:rsidRDefault="00A84459" w:rsidP="00A84459">
      <w:pPr>
        <w:autoSpaceDE w:val="0"/>
        <w:autoSpaceDN w:val="0"/>
        <w:spacing w:before="240" w:after="240"/>
        <w:rPr>
          <w:rFonts w:cs="Calibri"/>
          <w:szCs w:val="24"/>
        </w:rPr>
      </w:pPr>
    </w:p>
    <w:p w14:paraId="3674B61D" w14:textId="77777777" w:rsidR="00A84459" w:rsidRPr="00D30D09" w:rsidRDefault="00A84459" w:rsidP="00A84459">
      <w:pPr>
        <w:autoSpaceDE w:val="0"/>
        <w:autoSpaceDN w:val="0"/>
        <w:spacing w:before="240" w:after="240"/>
        <w:rPr>
          <w:rFonts w:cs="Calibri"/>
          <w:szCs w:val="24"/>
        </w:rPr>
      </w:pPr>
    </w:p>
    <w:p w14:paraId="367B5133" w14:textId="77777777" w:rsidR="00A84459" w:rsidRPr="00D30D09" w:rsidRDefault="00A84459" w:rsidP="00A84459">
      <w:pPr>
        <w:autoSpaceDE w:val="0"/>
        <w:autoSpaceDN w:val="0"/>
        <w:spacing w:before="240" w:after="240"/>
        <w:rPr>
          <w:rFonts w:cs="Calibri"/>
          <w:szCs w:val="24"/>
        </w:rPr>
      </w:pPr>
    </w:p>
    <w:p w14:paraId="33E6E320" w14:textId="77777777" w:rsidR="00A84459" w:rsidRPr="00D30D09" w:rsidRDefault="00A84459" w:rsidP="00A84459">
      <w:pPr>
        <w:autoSpaceDE w:val="0"/>
        <w:autoSpaceDN w:val="0"/>
        <w:spacing w:before="240" w:after="240"/>
        <w:rPr>
          <w:rFonts w:cs="Calibri"/>
          <w:szCs w:val="24"/>
        </w:rPr>
      </w:pPr>
    </w:p>
    <w:p w14:paraId="3BA4150C" w14:textId="5EA0F704" w:rsidR="00A84459" w:rsidRPr="00D30D09" w:rsidRDefault="00A84459" w:rsidP="00A84459">
      <w:pPr>
        <w:autoSpaceDE w:val="0"/>
        <w:autoSpaceDN w:val="0"/>
        <w:spacing w:before="240" w:after="240"/>
        <w:rPr>
          <w:rFonts w:cs="Calibri"/>
          <w:szCs w:val="24"/>
        </w:rPr>
      </w:pPr>
    </w:p>
    <w:p w14:paraId="20C83FB5" w14:textId="77777777" w:rsidR="00A84459" w:rsidRPr="00D30D09" w:rsidRDefault="00A84459" w:rsidP="00A84459">
      <w:pPr>
        <w:autoSpaceDE w:val="0"/>
        <w:autoSpaceDN w:val="0"/>
        <w:spacing w:before="240" w:after="240"/>
        <w:rPr>
          <w:rFonts w:cs="Calibri"/>
          <w:szCs w:val="24"/>
        </w:rPr>
      </w:pPr>
    </w:p>
    <w:p w14:paraId="3D40CE22" w14:textId="77777777" w:rsidR="00A84459" w:rsidRPr="00D30D09" w:rsidRDefault="00A84459" w:rsidP="00A84459">
      <w:pPr>
        <w:autoSpaceDE w:val="0"/>
        <w:autoSpaceDN w:val="0"/>
        <w:spacing w:before="240" w:after="240"/>
        <w:rPr>
          <w:rFonts w:cs="Calibri"/>
          <w:szCs w:val="24"/>
        </w:rPr>
      </w:pPr>
    </w:p>
    <w:p w14:paraId="7A30BDD9" w14:textId="77777777" w:rsidR="00A84459" w:rsidRPr="00D30D09" w:rsidRDefault="00A84459" w:rsidP="00A84459">
      <w:pPr>
        <w:rPr>
          <w:rFonts w:cs="Calibri"/>
          <w:szCs w:val="24"/>
        </w:rPr>
      </w:pPr>
    </w:p>
    <w:p w14:paraId="3AF02352" w14:textId="77777777" w:rsidR="00A84459" w:rsidRPr="00D30D09" w:rsidRDefault="00A84459" w:rsidP="00A84459">
      <w:pPr>
        <w:rPr>
          <w:rFonts w:cs="Calibri"/>
          <w:szCs w:val="24"/>
        </w:rPr>
      </w:pPr>
    </w:p>
    <w:p w14:paraId="2987D370" w14:textId="77777777" w:rsidR="00A84459" w:rsidRPr="00D30D09" w:rsidRDefault="00A84459" w:rsidP="00A84459">
      <w:pPr>
        <w:rPr>
          <w:rFonts w:cs="Calibri"/>
          <w:szCs w:val="24"/>
        </w:rPr>
      </w:pPr>
    </w:p>
    <w:p w14:paraId="5AC73093" w14:textId="73DFAA70" w:rsidR="00A84459" w:rsidRPr="008005F0" w:rsidRDefault="00A84459" w:rsidP="00A84459">
      <w:pPr>
        <w:rPr>
          <w:sz w:val="20"/>
        </w:rPr>
      </w:pPr>
      <w:r>
        <w:rPr>
          <w:noProof/>
        </w:rPr>
        <mc:AlternateContent>
          <mc:Choice Requires="wps">
            <w:drawing>
              <wp:anchor distT="4294967295" distB="4294967295" distL="114299" distR="114299" simplePos="0" relativeHeight="251661312" behindDoc="0" locked="0" layoutInCell="1" allowOverlap="1" wp14:anchorId="711B45CF" wp14:editId="6F964B9D">
                <wp:simplePos x="0" y="0"/>
                <wp:positionH relativeFrom="column">
                  <wp:posOffset>4277994</wp:posOffset>
                </wp:positionH>
                <wp:positionV relativeFrom="paragraph">
                  <wp:posOffset>150494</wp:posOffset>
                </wp:positionV>
                <wp:extent cx="0" cy="0"/>
                <wp:effectExtent l="0" t="0" r="0" b="0"/>
                <wp:wrapNone/>
                <wp:docPr id="150" name="Straight Connector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5FE15E9" id="Straight Connector 150" o:spid="_x0000_s1026" style="position:absolute;z-index:25169664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6.85pt,11.85pt" to="336.8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60288" behindDoc="0" locked="0" layoutInCell="1" allowOverlap="1" wp14:anchorId="3E51FB94" wp14:editId="01F6A257">
                <wp:simplePos x="0" y="0"/>
                <wp:positionH relativeFrom="column">
                  <wp:posOffset>4258309</wp:posOffset>
                </wp:positionH>
                <wp:positionV relativeFrom="paragraph">
                  <wp:posOffset>91439</wp:posOffset>
                </wp:positionV>
                <wp:extent cx="0" cy="0"/>
                <wp:effectExtent l="0" t="0" r="0" b="0"/>
                <wp:wrapNone/>
                <wp:docPr id="151" name="Straight Connector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18273632" id="Straight Connector 151" o:spid="_x0000_s1026" style="position:absolute;z-index:25169561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5.3pt,7.2pt" to="335.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59264" behindDoc="0" locked="0" layoutInCell="1" allowOverlap="1" wp14:anchorId="6A2D2D76" wp14:editId="632AA423">
                <wp:simplePos x="0" y="0"/>
                <wp:positionH relativeFrom="column">
                  <wp:posOffset>4199889</wp:posOffset>
                </wp:positionH>
                <wp:positionV relativeFrom="paragraph">
                  <wp:posOffset>97789</wp:posOffset>
                </wp:positionV>
                <wp:extent cx="0" cy="0"/>
                <wp:effectExtent l="0" t="0" r="0" b="0"/>
                <wp:wrapNone/>
                <wp:docPr id="152" name="Straight Connector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3D2C30B" id="Straight Connector 152" o:spid="_x0000_s1026" style="position:absolute;z-index:251694592;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0.7pt,7.7pt" to="330.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" strokecolor="#5b9bd5" strokeweight=".5pt">
                <v:stroke joinstyle="miter"/>
                <o:lock v:ext="edit" shapetype="f"/>
              </v:line>
            </w:pict>
          </mc:Fallback>
        </mc:AlternateContent>
      </w:r>
      <w:r>
        <w:rPr>
          <w:noProof/>
        </w:rPr>
        <mc:AlternateContent>
          <mc:Choice Requires="wps">
            <w:drawing>
              <wp:anchor distT="4294967295" distB="4294967295" distL="114299" distR="114299" simplePos="0" relativeHeight="251658240" behindDoc="0" locked="0" layoutInCell="1" allowOverlap="1" wp14:anchorId="6235F9C2" wp14:editId="07F68286">
                <wp:simplePos x="0" y="0"/>
                <wp:positionH relativeFrom="column">
                  <wp:posOffset>4238624</wp:posOffset>
                </wp:positionH>
                <wp:positionV relativeFrom="paragraph">
                  <wp:posOffset>91439</wp:posOffset>
                </wp:positionV>
                <wp:extent cx="0" cy="0"/>
                <wp:effectExtent l="0" t="0" r="0" b="0"/>
                <wp:wrapNone/>
                <wp:docPr id="153" name="Straight Connector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02C1F516" id="Straight Connector 153" o:spid="_x0000_s1026" style="position:absolute;z-index:25169356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33.75pt,7.2pt" to="333.7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" strokecolor="#5b9bd5" strokeweight=".5pt">
                <v:stroke joinstyle="miter"/>
                <o:lock v:ext="edit" shapetype="f"/>
              </v:line>
            </w:pict>
          </mc:Fallback>
        </mc:AlternateContent>
      </w:r>
    </w:p>
    <w:p w14:paraId="269F5CC8" w14:textId="77777777" w:rsidR="00A84459" w:rsidRPr="00D30D09" w:rsidRDefault="00A84459" w:rsidP="00A84459">
      <w:pPr>
        <w:autoSpaceDE w:val="0"/>
        <w:autoSpaceDN w:val="0"/>
        <w:spacing w:before="240" w:after="240"/>
        <w:rPr>
          <w:rFonts w:cs="Calibri"/>
          <w:szCs w:val="24"/>
        </w:rPr>
      </w:pPr>
    </w:p>
    <w:p w14:paraId="4AB73547" w14:textId="77777777" w:rsidR="00A84459" w:rsidRPr="00D30D09" w:rsidRDefault="00A84459" w:rsidP="00A84459">
      <w:pPr>
        <w:autoSpaceDE w:val="0"/>
        <w:autoSpaceDN w:val="0"/>
        <w:spacing w:before="240" w:after="240"/>
        <w:rPr>
          <w:rFonts w:cs="Calibri"/>
          <w:b/>
          <w:szCs w:val="24"/>
        </w:rPr>
      </w:pPr>
      <w:r w:rsidRPr="00D30D09">
        <w:rPr>
          <w:rFonts w:cs="Calibri"/>
          <w:b/>
          <w:szCs w:val="24"/>
        </w:rPr>
        <w:t xml:space="preserve">National Level </w:t>
      </w:r>
    </w:p>
    <w:p w14:paraId="7183CFB7" w14:textId="77777777" w:rsidR="00A84459" w:rsidRPr="00D30D09" w:rsidRDefault="00A84459" w:rsidP="00A84459">
      <w:pPr>
        <w:autoSpaceDE w:val="0"/>
        <w:autoSpaceDN w:val="0"/>
        <w:spacing w:before="240" w:after="240"/>
        <w:rPr>
          <w:rFonts w:cs="Calibri"/>
          <w:szCs w:val="24"/>
        </w:rPr>
      </w:pPr>
      <w:r w:rsidRPr="00D30D09">
        <w:rPr>
          <w:rFonts w:cs="Calibri"/>
          <w:szCs w:val="24"/>
        </w:rPr>
        <w:t>At the national government departments and SAGAS M&amp;E units report to the National M&amp;E unit which reports to both Health Information and Research Inter agency coordination Committee (ICC) and National Health Sector coordinating Committee which includes: National MOH, Civil Society Organizations (HENNET), DPHK, Kenya Private Sector Alliance (KPSA), professional Association and County Health departments. The national M&amp;E unit also becomes a secretariat to the Health sector M&amp;E Coordinating committee.</w:t>
      </w:r>
    </w:p>
    <w:p w14:paraId="68C48109" w14:textId="77777777" w:rsidR="00A84459" w:rsidRPr="00D30D09" w:rsidRDefault="00A84459" w:rsidP="00A84459">
      <w:pPr>
        <w:autoSpaceDE w:val="0"/>
        <w:autoSpaceDN w:val="0"/>
        <w:spacing w:before="240" w:after="240"/>
        <w:rPr>
          <w:rFonts w:cs="Calibri"/>
          <w:szCs w:val="24"/>
        </w:rPr>
      </w:pPr>
    </w:p>
    <w:p w14:paraId="5597234A" w14:textId="77777777" w:rsidR="00A84459" w:rsidRPr="00D30D09" w:rsidRDefault="00A84459" w:rsidP="00A84459">
      <w:pPr>
        <w:autoSpaceDE w:val="0"/>
        <w:autoSpaceDN w:val="0"/>
        <w:spacing w:before="240" w:after="240"/>
        <w:rPr>
          <w:rFonts w:cs="Calibri"/>
          <w:b/>
          <w:szCs w:val="24"/>
        </w:rPr>
      </w:pPr>
      <w:r w:rsidRPr="00D30D09">
        <w:rPr>
          <w:rFonts w:cs="Calibri"/>
          <w:b/>
          <w:szCs w:val="24"/>
        </w:rPr>
        <w:t>County Level</w:t>
      </w:r>
    </w:p>
    <w:p w14:paraId="2231B2BD" w14:textId="77777777" w:rsidR="00A84459" w:rsidRPr="00D30D09" w:rsidRDefault="00A84459" w:rsidP="00A84459">
      <w:pPr>
        <w:autoSpaceDE w:val="0"/>
        <w:autoSpaceDN w:val="0"/>
        <w:spacing w:before="240" w:after="240"/>
        <w:rPr>
          <w:rFonts w:cs="Calibri"/>
          <w:szCs w:val="24"/>
        </w:rPr>
      </w:pPr>
      <w:r w:rsidRPr="00D30D09">
        <w:rPr>
          <w:rFonts w:cs="Calibri"/>
          <w:szCs w:val="24"/>
        </w:rPr>
        <w:t>The county M&amp;E Units should work in close collaboration and in mutual relationships with the national M&amp;E unit with similar reporting channel channels at the county department of health, at county level all departments/directorates of health and non-state actors shall report to county M&amp;E unit. The county M&amp;E unit shall in turn report to both Health information ICC and County stakeholders forum</w:t>
      </w:r>
    </w:p>
    <w:p w14:paraId="67A2C2DE" w14:textId="77777777" w:rsidR="00A84459" w:rsidRPr="006627F0" w:rsidRDefault="00A84459" w:rsidP="00A84459">
      <w:pPr>
        <w:rPr>
          <w:szCs w:val="24"/>
        </w:rPr>
      </w:pPr>
      <w:r w:rsidRPr="006627F0">
        <w:rPr>
          <w:szCs w:val="24"/>
        </w:rPr>
        <w:t>Both National and County levels shall establish Health M&amp;E units functions as: providing a forum for joint planning, coordination and monitoring of specific investments in the sector; bring all key sub-sector partners together for joint planning, oversight and decision making in M&amp;E; enable partners to become jointly responsible for planning, monitoring, performance reviews, reporting and dissemination; hold all sector partners jointly accountable for achieving results, harmonise the number of separate meetings with individual partners; enable harmonization of inputs and better coordination of investments in the sector partnership for more effective use of all available resources to support M&amp;E functions-reduce duplication of efforts and critical gaps; and providing easy access to coordinated Technical Assistance, Joint reviews, joint monitoring and support for priority actions</w:t>
      </w:r>
    </w:p>
    <w:p w14:paraId="0672A41D" w14:textId="77777777" w:rsidR="00C727AB" w:rsidRPr="00C727AB" w:rsidRDefault="00C727AB" w:rsidP="00C727AB"/>
    <w:bookmarkEnd w:id="13"/>
    <w:bookmarkEnd w:id="14"/>
    <w:p w14:paraId="46E9C5DB" w14:textId="77777777" w:rsidR="00D82B89" w:rsidRPr="00085770" w:rsidRDefault="00D82B89" w:rsidP="00CC4D7C">
      <w:pPr>
        <w:pStyle w:val="BodyText"/>
        <w:spacing w:after="0"/>
        <w:jc w:val="both"/>
        <w:rPr>
          <w:rFonts w:ascii="Californian FB" w:eastAsiaTheme="minorHAnsi" w:hAnsi="Californian FB" w:cstheme="minorBidi"/>
          <w:lang w:eastAsia="en-US"/>
        </w:rPr>
      </w:pPr>
      <w:r w:rsidRPr="00085770">
        <w:rPr>
          <w:rFonts w:ascii="Californian FB" w:eastAsiaTheme="minorHAnsi" w:hAnsi="Californian FB" w:cstheme="minorBidi"/>
          <w:lang w:eastAsia="en-US"/>
        </w:rPr>
        <w:t xml:space="preserve">Identify members of your Monitoring and Evaluation Team and explain their roles and responsibilities.  </w:t>
      </w:r>
    </w:p>
    <w:p w14:paraId="42A6DF92" w14:textId="77777777" w:rsidR="006702A5" w:rsidRDefault="006702A5" w:rsidP="00085770">
      <w:pPr>
        <w:pStyle w:val="ListParagraph"/>
        <w:numPr>
          <w:ilvl w:val="0"/>
          <w:numId w:val="3"/>
        </w:numPr>
        <w:spacing w:after="0" w:line="240" w:lineRule="auto"/>
        <w:jc w:val="both"/>
        <w:rPr>
          <w:rFonts w:ascii="Californian FB" w:hAnsi="Californian FB"/>
        </w:rPr>
      </w:pPr>
      <w:r w:rsidRPr="00F3749A">
        <w:rPr>
          <w:rFonts w:ascii="Californian FB" w:hAnsi="Californian FB"/>
        </w:rPr>
        <w:br w:type="page"/>
      </w:r>
    </w:p>
    <w:p w14:paraId="06F58221" w14:textId="77777777" w:rsidR="00F16A78" w:rsidRPr="00F3749A" w:rsidRDefault="00F16A78" w:rsidP="00F3749A">
      <w:pPr>
        <w:spacing w:after="0"/>
        <w:jc w:val="both"/>
        <w:rPr>
          <w:rFonts w:ascii="Californian FB" w:hAnsi="Californian FB"/>
        </w:rPr>
      </w:pPr>
    </w:p>
    <w:p w14:paraId="138DD9D9" w14:textId="4A0FF531" w:rsidR="006702A5" w:rsidRPr="00F3749A" w:rsidRDefault="006702A5" w:rsidP="00F3749A">
      <w:pPr>
        <w:spacing w:after="0"/>
        <w:rPr>
          <w:rFonts w:ascii="Californian FB" w:hAnsi="Californian FB"/>
          <w:b/>
          <w:bCs/>
          <w:lang w:eastAsia="x-none"/>
        </w:rPr>
      </w:pPr>
      <w:bookmarkStart w:id="15" w:name="_Toc396478900"/>
      <w:bookmarkStart w:id="16" w:name="_Toc457249309"/>
      <w:bookmarkStart w:id="17" w:name="_Toc467662948"/>
      <w:r w:rsidRPr="00F3749A">
        <w:rPr>
          <w:rFonts w:ascii="Californian FB" w:hAnsi="Californian FB"/>
          <w:b/>
          <w:bCs/>
          <w:lang w:eastAsia="x-none"/>
        </w:rPr>
        <w:t xml:space="preserve">Figure </w:t>
      </w:r>
      <w:r w:rsidRPr="00F3749A">
        <w:rPr>
          <w:rFonts w:ascii="Californian FB" w:hAnsi="Californian FB"/>
          <w:b/>
          <w:bCs/>
          <w:lang w:eastAsia="x-none"/>
        </w:rPr>
        <w:fldChar w:fldCharType="begin"/>
      </w:r>
      <w:r w:rsidRPr="00F3749A">
        <w:rPr>
          <w:rFonts w:ascii="Californian FB" w:hAnsi="Californian FB"/>
          <w:b/>
          <w:bCs/>
          <w:lang w:eastAsia="x-none"/>
        </w:rPr>
        <w:instrText xml:space="preserve"> SEQ Figure \* ARABIC </w:instrText>
      </w:r>
      <w:r w:rsidRPr="00F3749A">
        <w:rPr>
          <w:rFonts w:ascii="Californian FB" w:hAnsi="Californian FB"/>
          <w:b/>
          <w:bCs/>
          <w:lang w:eastAsia="x-none"/>
        </w:rPr>
        <w:fldChar w:fldCharType="separate"/>
      </w:r>
      <w:r w:rsidRPr="00F3749A">
        <w:rPr>
          <w:rFonts w:ascii="Californian FB" w:hAnsi="Californian FB"/>
          <w:b/>
          <w:bCs/>
          <w:noProof/>
          <w:lang w:eastAsia="x-none"/>
        </w:rPr>
        <w:t>1</w:t>
      </w:r>
      <w:r w:rsidRPr="00F3749A">
        <w:rPr>
          <w:rFonts w:ascii="Californian FB" w:hAnsi="Californian FB"/>
          <w:lang w:eastAsia="x-none"/>
        </w:rPr>
        <w:fldChar w:fldCharType="end"/>
      </w:r>
      <w:r w:rsidRPr="00F3749A">
        <w:rPr>
          <w:rFonts w:ascii="Californian FB" w:hAnsi="Californian FB"/>
          <w:b/>
          <w:bCs/>
          <w:lang w:eastAsia="x-none"/>
        </w:rPr>
        <w:t xml:space="preserve">: Planning framework for </w:t>
      </w:r>
      <w:bookmarkEnd w:id="15"/>
      <w:bookmarkEnd w:id="16"/>
      <w:bookmarkEnd w:id="17"/>
      <w:r w:rsidR="004979E0" w:rsidRPr="00F3749A">
        <w:rPr>
          <w:rFonts w:ascii="Californian FB" w:hAnsi="Californian FB"/>
          <w:b/>
          <w:bCs/>
          <w:lang w:eastAsia="x-none"/>
        </w:rPr>
        <w:t xml:space="preserve">the Health Sector </w:t>
      </w:r>
    </w:p>
    <w:p w14:paraId="43EB139A" w14:textId="77777777" w:rsidR="006702A5" w:rsidRPr="00F3749A" w:rsidRDefault="006702A5" w:rsidP="00F3749A">
      <w:pPr>
        <w:spacing w:after="0"/>
        <w:rPr>
          <w:rFonts w:ascii="Californian FB" w:hAnsi="Californian FB"/>
          <w:lang w:eastAsia="x-none"/>
        </w:rPr>
      </w:pPr>
    </w:p>
    <w:p w14:paraId="7AE770A6" w14:textId="77777777" w:rsidR="00557CE0" w:rsidRDefault="008F2803" w:rsidP="00F3749A">
      <w:pPr>
        <w:spacing w:after="0"/>
        <w:rPr>
          <w:rFonts w:ascii="Californian FB" w:hAnsi="Californian FB"/>
          <w:lang w:eastAsia="x-none"/>
        </w:rPr>
      </w:pPr>
      <w:r w:rsidRPr="00F97660">
        <w:rPr>
          <w:rFonts w:ascii="Californian FB" w:hAnsi="Californian FB"/>
          <w:noProof/>
        </w:rPr>
        <w:drawing>
          <wp:inline distT="0" distB="0" distL="0" distR="0" wp14:anchorId="60176099" wp14:editId="7BE1BB6C">
            <wp:extent cx="5943600" cy="4155440"/>
            <wp:effectExtent l="0" t="0" r="0" b="0"/>
            <wp:docPr id="13315" name="Picture 2" descr="MTEF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2" descr="MTEF Cycle"/>
                    <pic:cNvPicPr>
                      <a:picLocks noChangeAspect="1" noChangeArrowheads="1"/>
                    </pic:cNvPicPr>
                  </pic:nvPicPr>
                  <pic:blipFill>
                    <a:blip r:embed="rId23">
                      <a:extLst>
                        <a:ext uri="{28A0092B-C50C-407E-A947-70E740481C1C}">
                          <a14:useLocalDpi xmlns:a14="http://schemas.microsoft.com/office/drawing/2010/main" val="0"/>
                        </a:ext>
                      </a:extLst>
                    </a:blip>
                    <a:srcRect t="3329" b="3020"/>
                    <a:stretch>
                      <a:fillRect/>
                    </a:stretch>
                  </pic:blipFill>
                  <pic:spPr bwMode="auto">
                    <a:xfrm>
                      <a:off x="0" y="0"/>
                      <a:ext cx="5943600" cy="4155440"/>
                    </a:xfrm>
                    <a:prstGeom prst="rect">
                      <a:avLst/>
                    </a:prstGeom>
                    <a:noFill/>
                    <a:ln>
                      <a:noFill/>
                    </a:ln>
                    <a:extLst/>
                  </pic:spPr>
                </pic:pic>
              </a:graphicData>
            </a:graphic>
          </wp:inline>
        </w:drawing>
      </w:r>
    </w:p>
    <w:p w14:paraId="00C0E87C" w14:textId="77777777" w:rsidR="00557CE0" w:rsidRDefault="00557CE0" w:rsidP="00F3749A">
      <w:pPr>
        <w:spacing w:after="0"/>
        <w:rPr>
          <w:rFonts w:ascii="Californian FB" w:hAnsi="Californian FB"/>
          <w:lang w:eastAsia="x-none"/>
        </w:rPr>
      </w:pPr>
    </w:p>
    <w:p w14:paraId="097191F0" w14:textId="4D106E03" w:rsidR="006702A5" w:rsidRDefault="00907DBC" w:rsidP="00F3749A">
      <w:pPr>
        <w:spacing w:after="0"/>
        <w:rPr>
          <w:rFonts w:ascii="Californian FB" w:hAnsi="Californian FB"/>
          <w:lang w:eastAsia="x-none"/>
        </w:rPr>
      </w:pPr>
      <w:r>
        <w:rPr>
          <w:rFonts w:ascii="Californian FB" w:hAnsi="Californian FB"/>
          <w:lang w:eastAsia="x-none"/>
        </w:rPr>
        <w:t xml:space="preserve">The processes of an effective M&amp; system </w:t>
      </w:r>
      <w:r w:rsidR="00532A33">
        <w:rPr>
          <w:rFonts w:ascii="Californian FB" w:hAnsi="Californian FB"/>
          <w:lang w:eastAsia="x-none"/>
        </w:rPr>
        <w:t xml:space="preserve">starts with a development and dissemination of </w:t>
      </w:r>
      <w:r w:rsidR="00532A33" w:rsidRPr="00532A33">
        <w:rPr>
          <w:rFonts w:ascii="Californian FB" w:hAnsi="Californian FB"/>
          <w:lang w:eastAsia="x-none"/>
        </w:rPr>
        <w:t xml:space="preserve">a clear </w:t>
      </w:r>
      <w:r w:rsidR="00532A33" w:rsidRPr="00532A33">
        <w:rPr>
          <w:rFonts w:ascii="Californian FB" w:hAnsi="Californian FB"/>
          <w:b/>
          <w:bCs/>
          <w:lang w:eastAsia="x-none"/>
        </w:rPr>
        <w:t>accountability calendar and tools</w:t>
      </w:r>
      <w:r w:rsidR="00532A33">
        <w:rPr>
          <w:rFonts w:ascii="Californian FB" w:hAnsi="Californian FB"/>
          <w:b/>
          <w:bCs/>
          <w:lang w:eastAsia="x-none"/>
        </w:rPr>
        <w:t xml:space="preserve"> (formats)</w:t>
      </w:r>
      <w:r w:rsidR="00532A33" w:rsidRPr="00532A33">
        <w:rPr>
          <w:rFonts w:ascii="Californian FB" w:hAnsi="Californian FB"/>
          <w:b/>
          <w:bCs/>
          <w:lang w:eastAsia="x-none"/>
        </w:rPr>
        <w:t xml:space="preserve"> </w:t>
      </w:r>
      <w:r w:rsidR="00532A33" w:rsidRPr="00532A33">
        <w:rPr>
          <w:rFonts w:ascii="Californian FB" w:hAnsi="Californian FB"/>
          <w:lang w:eastAsia="x-none"/>
        </w:rPr>
        <w:t>for national and county governments and stakeholders</w:t>
      </w:r>
      <w:r w:rsidR="00532A33">
        <w:rPr>
          <w:rFonts w:ascii="Californian FB" w:hAnsi="Californian FB"/>
          <w:lang w:eastAsia="x-none"/>
        </w:rPr>
        <w:t xml:space="preserve"> performance  reviews of their performance. </w:t>
      </w:r>
      <w:r w:rsidR="00532A33" w:rsidRPr="00532A33">
        <w:rPr>
          <w:rFonts w:ascii="Californian FB" w:hAnsi="Californian FB"/>
          <w:lang w:eastAsia="x-none"/>
        </w:rPr>
        <w:t xml:space="preserve"> </w:t>
      </w:r>
      <w:r w:rsidR="00532A33">
        <w:rPr>
          <w:rFonts w:ascii="Californian FB" w:hAnsi="Californian FB"/>
          <w:lang w:eastAsia="x-none"/>
        </w:rPr>
        <w:t xml:space="preserve">The </w:t>
      </w:r>
      <w:r w:rsidR="00532A33" w:rsidRPr="00532A33">
        <w:rPr>
          <w:rFonts w:ascii="Californian FB" w:hAnsi="Californian FB"/>
          <w:b/>
          <w:bCs/>
          <w:lang w:eastAsia="x-none"/>
        </w:rPr>
        <w:t xml:space="preserve">MoH M&amp;E Unit </w:t>
      </w:r>
      <w:r w:rsidR="00532A33">
        <w:rPr>
          <w:rFonts w:ascii="Californian FB" w:hAnsi="Californian FB"/>
          <w:b/>
          <w:bCs/>
          <w:lang w:eastAsia="x-none"/>
        </w:rPr>
        <w:t>is s</w:t>
      </w:r>
      <w:r w:rsidR="00532A33" w:rsidRPr="00532A33">
        <w:rPr>
          <w:rFonts w:ascii="Californian FB" w:hAnsi="Californian FB"/>
          <w:b/>
          <w:bCs/>
          <w:lang w:eastAsia="x-none"/>
        </w:rPr>
        <w:t>trengthen</w:t>
      </w:r>
      <w:r w:rsidR="00532A33">
        <w:rPr>
          <w:rFonts w:ascii="Californian FB" w:hAnsi="Californian FB"/>
          <w:b/>
          <w:bCs/>
          <w:lang w:eastAsia="x-none"/>
        </w:rPr>
        <w:t>ed</w:t>
      </w:r>
      <w:r w:rsidR="00532A33" w:rsidRPr="00532A33">
        <w:rPr>
          <w:rFonts w:ascii="Californian FB" w:hAnsi="Californian FB"/>
          <w:lang w:eastAsia="x-none"/>
        </w:rPr>
        <w:t xml:space="preserve"> to oversee various aspects of health sector accountability and county level M&amp;E capacity development for UHC</w:t>
      </w:r>
      <w:r w:rsidR="00532A33">
        <w:rPr>
          <w:rFonts w:ascii="Californian FB" w:hAnsi="Californian FB"/>
          <w:lang w:eastAsia="x-none"/>
        </w:rPr>
        <w:t xml:space="preserve"> and reporting. Using the standard format, develop the report, share with the stakeholders including the public participation and identify priorities for the next planning period. Following the budgeting </w:t>
      </w:r>
      <w:r w:rsidR="00557CE0">
        <w:rPr>
          <w:rFonts w:ascii="Californian FB" w:hAnsi="Californian FB"/>
          <w:lang w:eastAsia="x-none"/>
        </w:rPr>
        <w:t>calendar</w:t>
      </w:r>
      <w:r w:rsidR="00532A33">
        <w:rPr>
          <w:rFonts w:ascii="Californian FB" w:hAnsi="Californian FB"/>
          <w:lang w:eastAsia="x-none"/>
        </w:rPr>
        <w:t xml:space="preserve"> use the available measurements to project for the next planning period.</w:t>
      </w:r>
      <w:r w:rsidR="00532A33" w:rsidRPr="00532A33">
        <w:rPr>
          <w:rFonts w:ascii="Californian FB" w:hAnsi="Californian FB"/>
          <w:lang w:eastAsia="x-none"/>
        </w:rPr>
        <w:t xml:space="preserve"> Strengthen links between health sector performance reviews and the </w:t>
      </w:r>
      <w:r w:rsidR="00532A33" w:rsidRPr="00532A33">
        <w:rPr>
          <w:rFonts w:ascii="Californian FB" w:hAnsi="Californian FB"/>
          <w:b/>
          <w:bCs/>
          <w:lang w:eastAsia="x-none"/>
        </w:rPr>
        <w:t xml:space="preserve">Performance contracting </w:t>
      </w:r>
      <w:r w:rsidR="00F90AED" w:rsidRPr="00532A33">
        <w:rPr>
          <w:rFonts w:ascii="Californian FB" w:hAnsi="Californian FB"/>
          <w:b/>
          <w:bCs/>
          <w:lang w:eastAsia="x-none"/>
        </w:rPr>
        <w:t xml:space="preserve">processes </w:t>
      </w:r>
      <w:r w:rsidR="00F90AED">
        <w:rPr>
          <w:rFonts w:ascii="Californian FB" w:hAnsi="Californian FB"/>
          <w:b/>
          <w:bCs/>
          <w:lang w:eastAsia="x-none"/>
        </w:rPr>
        <w:t>and</w:t>
      </w:r>
      <w:r w:rsidR="00532A33">
        <w:rPr>
          <w:rFonts w:ascii="Californian FB" w:hAnsi="Californian FB"/>
          <w:b/>
          <w:bCs/>
          <w:lang w:eastAsia="x-none"/>
        </w:rPr>
        <w:t xml:space="preserve"> </w:t>
      </w:r>
      <w:r w:rsidR="00F90AED">
        <w:rPr>
          <w:rFonts w:ascii="Californian FB" w:hAnsi="Californian FB"/>
          <w:b/>
          <w:bCs/>
          <w:lang w:eastAsia="x-none"/>
        </w:rPr>
        <w:t xml:space="preserve">priority setting for the next planning period (X+1) informed by X-1 performance.  </w:t>
      </w:r>
      <w:r>
        <w:rPr>
          <w:rFonts w:ascii="Californian FB" w:hAnsi="Californian FB"/>
          <w:lang w:eastAsia="x-none"/>
        </w:rPr>
        <w:t>This is also prepared as a cyclic . See figure XXX for detailed information.</w:t>
      </w:r>
    </w:p>
    <w:p w14:paraId="6F213BE5" w14:textId="77777777" w:rsidR="00532A33" w:rsidRDefault="00532A33" w:rsidP="00F3749A">
      <w:pPr>
        <w:spacing w:after="0"/>
        <w:rPr>
          <w:rFonts w:ascii="Californian FB" w:hAnsi="Californian FB"/>
          <w:lang w:eastAsia="x-none"/>
        </w:rPr>
      </w:pPr>
    </w:p>
    <w:p w14:paraId="6903BB85" w14:textId="77777777" w:rsidR="00532A33" w:rsidRDefault="00532A33" w:rsidP="00F3749A">
      <w:pPr>
        <w:spacing w:after="0"/>
        <w:rPr>
          <w:rFonts w:ascii="Californian FB" w:hAnsi="Californian FB"/>
          <w:lang w:eastAsia="x-none"/>
        </w:rPr>
      </w:pPr>
    </w:p>
    <w:p w14:paraId="64F8636D" w14:textId="77777777" w:rsidR="00907DBC" w:rsidRDefault="00907DBC" w:rsidP="00F3749A">
      <w:pPr>
        <w:spacing w:after="0"/>
        <w:rPr>
          <w:rFonts w:ascii="Californian FB" w:hAnsi="Californian FB"/>
          <w:lang w:eastAsia="x-none"/>
        </w:rPr>
      </w:pPr>
    </w:p>
    <w:p w14:paraId="1E593D48" w14:textId="77777777" w:rsidR="00F90AED" w:rsidRDefault="00F90AED" w:rsidP="00F3749A">
      <w:pPr>
        <w:spacing w:after="0"/>
        <w:rPr>
          <w:rFonts w:ascii="Californian FB" w:hAnsi="Californian FB"/>
          <w:lang w:eastAsia="x-none"/>
        </w:rPr>
      </w:pPr>
    </w:p>
    <w:p w14:paraId="6090B910" w14:textId="77777777" w:rsidR="00F90AED" w:rsidRDefault="00F90AED" w:rsidP="00F3749A">
      <w:pPr>
        <w:spacing w:after="0"/>
        <w:rPr>
          <w:rFonts w:ascii="Californian FB" w:hAnsi="Californian FB"/>
          <w:lang w:eastAsia="x-none"/>
        </w:rPr>
      </w:pPr>
    </w:p>
    <w:p w14:paraId="2B1886B6" w14:textId="77777777" w:rsidR="00F90AED" w:rsidRDefault="00F90AED" w:rsidP="00F3749A">
      <w:pPr>
        <w:spacing w:after="0"/>
        <w:rPr>
          <w:rFonts w:ascii="Californian FB" w:hAnsi="Californian FB"/>
          <w:lang w:eastAsia="x-none"/>
        </w:rPr>
      </w:pPr>
    </w:p>
    <w:p w14:paraId="6C588AFF" w14:textId="77777777" w:rsidR="00557CE0" w:rsidRDefault="00557CE0" w:rsidP="00F3749A">
      <w:pPr>
        <w:spacing w:after="0"/>
        <w:rPr>
          <w:rFonts w:ascii="Californian FB" w:hAnsi="Californian FB"/>
          <w:lang w:eastAsia="x-none"/>
        </w:rPr>
      </w:pPr>
    </w:p>
    <w:p w14:paraId="66F4BD2C" w14:textId="77777777" w:rsidR="00F90AED" w:rsidRDefault="00F90AED" w:rsidP="00F3749A">
      <w:pPr>
        <w:spacing w:after="0"/>
        <w:rPr>
          <w:rFonts w:ascii="Californian FB" w:hAnsi="Californian FB"/>
          <w:lang w:eastAsia="x-none"/>
        </w:rPr>
      </w:pPr>
    </w:p>
    <w:p w14:paraId="280B3221" w14:textId="128BF596" w:rsidR="00907DBC" w:rsidRPr="00907DBC" w:rsidRDefault="00F90AED" w:rsidP="00907DBC">
      <w:pPr>
        <w:spacing w:after="0"/>
        <w:rPr>
          <w:rFonts w:ascii="Californian FB" w:hAnsi="Californian FB"/>
          <w:lang w:eastAsia="x-none"/>
        </w:rPr>
      </w:pPr>
      <w:r>
        <w:rPr>
          <w:rFonts w:ascii="Californian FB" w:hAnsi="Californian FB"/>
          <w:b/>
          <w:bCs/>
          <w:lang w:eastAsia="x-none"/>
        </w:rPr>
        <w:t xml:space="preserve">Figure  XX </w:t>
      </w:r>
      <w:r w:rsidR="00907DBC" w:rsidRPr="00907DBC">
        <w:rPr>
          <w:rFonts w:ascii="Californian FB" w:hAnsi="Californian FB"/>
          <w:b/>
          <w:bCs/>
          <w:lang w:eastAsia="x-none"/>
        </w:rPr>
        <w:t xml:space="preserve">Cyclical Process of Reporting, Review and Planning </w:t>
      </w:r>
    </w:p>
    <w:p w14:paraId="508ED42F" w14:textId="77777777" w:rsidR="00907DBC" w:rsidRDefault="00907DBC" w:rsidP="00F3749A">
      <w:pPr>
        <w:spacing w:after="0"/>
        <w:rPr>
          <w:rFonts w:ascii="Californian FB" w:hAnsi="Californian FB"/>
          <w:lang w:eastAsia="x-none"/>
        </w:rPr>
      </w:pPr>
    </w:p>
    <w:p w14:paraId="126EF1C2" w14:textId="77777777" w:rsidR="00907DBC" w:rsidRDefault="00907DBC" w:rsidP="00F3749A">
      <w:pPr>
        <w:spacing w:after="0"/>
        <w:rPr>
          <w:rFonts w:ascii="Californian FB" w:hAnsi="Californian FB"/>
          <w:lang w:eastAsia="x-none"/>
        </w:rPr>
      </w:pPr>
      <w:r w:rsidRPr="00F97660">
        <w:rPr>
          <w:rFonts w:ascii="Californian FB" w:hAnsi="Californian FB"/>
          <w:noProof/>
        </w:rPr>
        <w:drawing>
          <wp:inline distT="0" distB="0" distL="0" distR="0" wp14:anchorId="1DE02961" wp14:editId="3BA02D8E">
            <wp:extent cx="5943600" cy="4292600"/>
            <wp:effectExtent l="0" t="0" r="0" b="0"/>
            <wp:docPr id="16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292600"/>
                    </a:xfrm>
                    <a:prstGeom prst="rect">
                      <a:avLst/>
                    </a:prstGeom>
                    <a:noFill/>
                    <a:ln>
                      <a:noFill/>
                    </a:ln>
                    <a:extLst/>
                  </pic:spPr>
                </pic:pic>
              </a:graphicData>
            </a:graphic>
          </wp:inline>
        </w:drawing>
      </w:r>
    </w:p>
    <w:p w14:paraId="453D5B6B" w14:textId="77777777" w:rsidR="00907DBC" w:rsidRPr="00F3749A" w:rsidRDefault="00907DBC" w:rsidP="00F3749A">
      <w:pPr>
        <w:spacing w:after="0"/>
        <w:rPr>
          <w:rFonts w:ascii="Californian FB" w:hAnsi="Californian FB"/>
          <w:lang w:eastAsia="x-none"/>
        </w:rPr>
      </w:pPr>
    </w:p>
    <w:p w14:paraId="5DE8FDB2" w14:textId="70F2A220" w:rsidR="006702A5" w:rsidRPr="00F3749A" w:rsidRDefault="006702A5" w:rsidP="00F3749A">
      <w:pPr>
        <w:pStyle w:val="MediumGrid21"/>
        <w:jc w:val="both"/>
        <w:rPr>
          <w:rFonts w:ascii="Californian FB" w:hAnsi="Californian FB"/>
          <w:lang w:val="en-GB"/>
        </w:rPr>
      </w:pPr>
      <w:r w:rsidRPr="00F3749A">
        <w:rPr>
          <w:rFonts w:ascii="Californian FB" w:hAnsi="Californian FB"/>
        </w:rPr>
        <w:t xml:space="preserve">This M&amp;E </w:t>
      </w:r>
      <w:r w:rsidR="004979E0" w:rsidRPr="00F3749A">
        <w:rPr>
          <w:rFonts w:ascii="Californian FB" w:hAnsi="Californian FB"/>
        </w:rPr>
        <w:t>framework</w:t>
      </w:r>
      <w:r w:rsidRPr="00F3749A">
        <w:rPr>
          <w:rFonts w:ascii="Californian FB" w:hAnsi="Californian FB"/>
        </w:rPr>
        <w:t xml:space="preserve"> articulates a strong and harmonized M&amp;E component of the </w:t>
      </w:r>
      <w:r w:rsidR="004979E0" w:rsidRPr="00F3749A">
        <w:rPr>
          <w:rFonts w:ascii="Californian FB" w:hAnsi="Californian FB"/>
        </w:rPr>
        <w:t>UHC domain</w:t>
      </w:r>
      <w:r w:rsidRPr="00F3749A">
        <w:rPr>
          <w:rFonts w:ascii="Californian FB" w:hAnsi="Californian FB"/>
        </w:rPr>
        <w:t xml:space="preserve">s, as well as health system actions. It serves as a mechanism for </w:t>
      </w:r>
      <w:r w:rsidR="004979E0" w:rsidRPr="00F3749A">
        <w:rPr>
          <w:rFonts w:ascii="Californian FB" w:hAnsi="Californian FB"/>
        </w:rPr>
        <w:t>County</w:t>
      </w:r>
      <w:r w:rsidRPr="00F3749A">
        <w:rPr>
          <w:rFonts w:ascii="Californian FB" w:hAnsi="Californian FB"/>
        </w:rPr>
        <w:t xml:space="preserve">, </w:t>
      </w:r>
      <w:r w:rsidR="0031561E">
        <w:rPr>
          <w:rFonts w:ascii="Californian FB" w:hAnsi="Californian FB"/>
        </w:rPr>
        <w:t>N</w:t>
      </w:r>
      <w:r w:rsidR="0031561E" w:rsidRPr="00F3749A">
        <w:rPr>
          <w:rFonts w:ascii="Californian FB" w:hAnsi="Californian FB"/>
        </w:rPr>
        <w:t xml:space="preserve">ational </w:t>
      </w:r>
      <w:r w:rsidRPr="00F3749A">
        <w:rPr>
          <w:rFonts w:ascii="Californian FB" w:hAnsi="Californian FB"/>
        </w:rPr>
        <w:t xml:space="preserve">and </w:t>
      </w:r>
      <w:r w:rsidR="0031561E">
        <w:rPr>
          <w:rFonts w:ascii="Californian FB" w:hAnsi="Californian FB"/>
        </w:rPr>
        <w:t>G</w:t>
      </w:r>
      <w:r w:rsidR="00557CE0">
        <w:rPr>
          <w:rFonts w:ascii="Californian FB" w:hAnsi="Californian FB"/>
        </w:rPr>
        <w:t>l</w:t>
      </w:r>
      <w:r w:rsidRPr="00F3749A">
        <w:rPr>
          <w:rFonts w:ascii="Californian FB" w:hAnsi="Californian FB"/>
        </w:rPr>
        <w:t xml:space="preserve">obal reporting; aligning partners at country </w:t>
      </w:r>
      <w:r w:rsidR="0031561E">
        <w:rPr>
          <w:rFonts w:ascii="Californian FB" w:hAnsi="Californian FB"/>
        </w:rPr>
        <w:t xml:space="preserve">, regional </w:t>
      </w:r>
      <w:r w:rsidRPr="00F3749A">
        <w:rPr>
          <w:rFonts w:ascii="Californian FB" w:hAnsi="Californian FB"/>
        </w:rPr>
        <w:t xml:space="preserve">and global levels around a common approach to country support and </w:t>
      </w:r>
      <w:r w:rsidRPr="00F3749A">
        <w:rPr>
          <w:rFonts w:ascii="Californian FB" w:hAnsi="Californian FB"/>
          <w:lang w:val="en-GB"/>
        </w:rPr>
        <w:t>reporting requirements.</w:t>
      </w:r>
      <w:r w:rsidRPr="00F3749A">
        <w:rPr>
          <w:rStyle w:val="EndnoteReference"/>
          <w:rFonts w:ascii="Californian FB" w:hAnsi="Californian FB"/>
          <w:lang w:val="en-GB"/>
        </w:rPr>
        <w:endnoteReference w:id="2"/>
      </w:r>
      <w:r w:rsidRPr="00F3749A">
        <w:rPr>
          <w:rFonts w:ascii="Californian FB" w:hAnsi="Californian FB"/>
          <w:lang w:val="en-GB"/>
        </w:rPr>
        <w:t xml:space="preserve"> The M&amp;E plan also provides an investment framework for strengthening M&amp;E functions and processes by all health sector stakeholders </w:t>
      </w:r>
      <w:r w:rsidR="004979E0" w:rsidRPr="00F3749A">
        <w:rPr>
          <w:rFonts w:ascii="Californian FB" w:hAnsi="Californian FB"/>
          <w:lang w:val="en-GB"/>
        </w:rPr>
        <w:t>in the Country</w:t>
      </w:r>
      <w:r w:rsidRPr="00F3749A">
        <w:rPr>
          <w:rFonts w:ascii="Californian FB" w:hAnsi="Californian FB"/>
          <w:lang w:val="en-GB"/>
        </w:rPr>
        <w:t>.</w:t>
      </w:r>
    </w:p>
    <w:p w14:paraId="4E599019" w14:textId="77777777" w:rsidR="006702A5" w:rsidRPr="00F3749A" w:rsidRDefault="006702A5" w:rsidP="00F3749A">
      <w:pPr>
        <w:pStyle w:val="MediumGrid21"/>
        <w:ind w:firstLine="720"/>
        <w:rPr>
          <w:rFonts w:ascii="Californian FB" w:hAnsi="Californian FB"/>
          <w:b/>
          <w:lang w:val="en-GB"/>
        </w:rPr>
      </w:pPr>
    </w:p>
    <w:p w14:paraId="5CF9E147" w14:textId="34688A98" w:rsidR="006702A5" w:rsidRPr="00F3749A" w:rsidRDefault="006702A5" w:rsidP="00F3749A">
      <w:pPr>
        <w:pStyle w:val="MediumGrid21"/>
        <w:jc w:val="both"/>
        <w:rPr>
          <w:rFonts w:ascii="Californian FB" w:hAnsi="Californian FB"/>
        </w:rPr>
      </w:pPr>
      <w:r w:rsidRPr="00F3749A">
        <w:rPr>
          <w:rFonts w:ascii="Californian FB" w:hAnsi="Californian FB"/>
        </w:rPr>
        <w:t xml:space="preserve">This plan further serves as a single country-led M&amp;E platform bringing together all the elements related to monitoring, evaluation and review of the </w:t>
      </w:r>
      <w:r w:rsidR="004979E0" w:rsidRPr="00F3749A">
        <w:rPr>
          <w:rFonts w:ascii="Californian FB" w:hAnsi="Californian FB"/>
        </w:rPr>
        <w:t>UHC roadmap and specifically monitoring and evaluating the implementation of UHC actions in the 4 phase I</w:t>
      </w:r>
      <w:r w:rsidR="0031561E">
        <w:rPr>
          <w:rFonts w:ascii="Californian FB" w:hAnsi="Californian FB"/>
        </w:rPr>
        <w:t xml:space="preserve"> pilot </w:t>
      </w:r>
      <w:r w:rsidR="0031561E" w:rsidRPr="00F3749A">
        <w:rPr>
          <w:rFonts w:ascii="Californian FB" w:hAnsi="Californian FB"/>
        </w:rPr>
        <w:t>participating</w:t>
      </w:r>
      <w:r w:rsidR="004979E0" w:rsidRPr="00F3749A">
        <w:rPr>
          <w:rFonts w:ascii="Californian FB" w:hAnsi="Californian FB"/>
        </w:rPr>
        <w:t xml:space="preserve"> counties (Machakos, Nyeri, Kisumu and Isiolo)</w:t>
      </w:r>
      <w:r w:rsidRPr="00F3749A">
        <w:rPr>
          <w:rFonts w:ascii="Californian FB" w:hAnsi="Californian FB"/>
        </w:rPr>
        <w:t xml:space="preserve">. The relevant data sources and institutions for data generation, compilation, analysis, synthesis and dissemination form an integral part of the single platform.  </w:t>
      </w:r>
      <w:r w:rsidR="004979E0" w:rsidRPr="00F3749A">
        <w:rPr>
          <w:rFonts w:ascii="Californian FB" w:hAnsi="Californian FB"/>
        </w:rPr>
        <w:t>The UHC</w:t>
      </w:r>
      <w:r w:rsidRPr="00F3749A">
        <w:rPr>
          <w:rFonts w:ascii="Californian FB" w:hAnsi="Californian FB"/>
        </w:rPr>
        <w:t xml:space="preserve"> Country review and policy dialogue processes will make use of the platform’s evidence base as an anchor for planning and decision-making. </w:t>
      </w:r>
    </w:p>
    <w:p w14:paraId="79444498" w14:textId="77777777" w:rsidR="006702A5" w:rsidRPr="00F3749A" w:rsidRDefault="006702A5" w:rsidP="00F3749A">
      <w:pPr>
        <w:pStyle w:val="MediumGrid21"/>
        <w:ind w:firstLine="720"/>
        <w:rPr>
          <w:rFonts w:ascii="Californian FB" w:hAnsi="Californian FB"/>
        </w:rPr>
      </w:pPr>
    </w:p>
    <w:p w14:paraId="4B087953" w14:textId="37007B85" w:rsidR="006702A5" w:rsidRPr="00F3749A" w:rsidRDefault="006702A5" w:rsidP="00F3749A">
      <w:pPr>
        <w:spacing w:after="0"/>
        <w:jc w:val="both"/>
        <w:rPr>
          <w:rFonts w:ascii="Californian FB" w:hAnsi="Californian FB"/>
        </w:rPr>
      </w:pPr>
      <w:r w:rsidRPr="00F3749A">
        <w:rPr>
          <w:rFonts w:ascii="Californian FB" w:hAnsi="Californian FB"/>
        </w:rPr>
        <w:t>This framework articulates the strategies to ensure a sound M&amp;E platform which seeks to ensure generation of good quality, and policy relevant evidence in a timely manner. The evidence generated will inform planning, resource allocation, decision making and adaptive management</w:t>
      </w:r>
      <w:r w:rsidR="004979E0" w:rsidRPr="00F3749A">
        <w:rPr>
          <w:rFonts w:ascii="Californian FB" w:hAnsi="Californian FB"/>
        </w:rPr>
        <w:t xml:space="preserve"> as well as real time monitoring of the UHC actions in the four counties</w:t>
      </w:r>
      <w:r w:rsidRPr="00F3749A">
        <w:rPr>
          <w:rFonts w:ascii="Californian FB" w:hAnsi="Californian FB"/>
        </w:rPr>
        <w:t xml:space="preserve">. In addition, </w:t>
      </w:r>
      <w:r w:rsidR="004979E0" w:rsidRPr="00F3749A">
        <w:rPr>
          <w:rFonts w:ascii="Californian FB" w:hAnsi="Californian FB"/>
        </w:rPr>
        <w:t xml:space="preserve">Kenya </w:t>
      </w:r>
      <w:r w:rsidRPr="00F3749A">
        <w:rPr>
          <w:rFonts w:ascii="Californian FB" w:hAnsi="Californian FB"/>
        </w:rPr>
        <w:t xml:space="preserve"> has signed up to international commitments including Sustainable Development Goals (SDGs), Universal Health Coverage (UHC) as well Regional commitments including the African Union (AU) Africa Health Strategy 2016 – 2020 among others. This M&amp;E framework will facilitate fulfilment of reporting obligations on the global and regional commitments. Furthermore, this plan will facilitate </w:t>
      </w:r>
      <w:r w:rsidRPr="00F3749A">
        <w:rPr>
          <w:rFonts w:ascii="Californian FB" w:hAnsi="Californian FB"/>
        </w:rPr>
        <w:lastRenderedPageBreak/>
        <w:t xml:space="preserve">monitoring of inequalities, which is central to attainment of universal health coverage (UHC) and, ensuring functional surveillance systems which is key for building health security. </w:t>
      </w:r>
    </w:p>
    <w:p w14:paraId="2B559127" w14:textId="77777777" w:rsidR="00EF031C" w:rsidRDefault="00EF031C" w:rsidP="00F3749A">
      <w:pPr>
        <w:pStyle w:val="Heading1"/>
        <w:spacing w:before="0"/>
        <w:rPr>
          <w:rFonts w:ascii="Californian FB" w:hAnsi="Californian FB"/>
          <w:sz w:val="22"/>
          <w:szCs w:val="22"/>
        </w:rPr>
      </w:pPr>
    </w:p>
    <w:p w14:paraId="0F811C1E" w14:textId="77777777" w:rsidR="00EF031C" w:rsidRPr="00F3749A" w:rsidRDefault="00EF031C" w:rsidP="00EF031C">
      <w:pPr>
        <w:pStyle w:val="Heading2"/>
        <w:numPr>
          <w:ilvl w:val="0"/>
          <w:numId w:val="0"/>
        </w:numPr>
        <w:spacing w:before="0"/>
        <w:ind w:left="576" w:hanging="576"/>
        <w:rPr>
          <w:rFonts w:ascii="Californian FB" w:hAnsi="Californian FB"/>
        </w:rPr>
      </w:pPr>
      <w:bookmarkStart w:id="18" w:name="_Toc520793111"/>
      <w:r>
        <w:t xml:space="preserve">1.5.9. </w:t>
      </w:r>
      <w:r w:rsidRPr="00F3749A">
        <w:rPr>
          <w:rFonts w:ascii="Californian FB" w:hAnsi="Californian FB"/>
        </w:rPr>
        <w:t>Current status of Health information systems</w:t>
      </w:r>
      <w:bookmarkEnd w:id="18"/>
    </w:p>
    <w:p w14:paraId="6720644B" w14:textId="77777777" w:rsidR="00EF031C" w:rsidRPr="00F3749A" w:rsidRDefault="00EF031C" w:rsidP="00EF031C">
      <w:pPr>
        <w:spacing w:after="0"/>
        <w:rPr>
          <w:rFonts w:ascii="Californian FB" w:hAnsi="Californian FB"/>
          <w:lang w:val="en-ZW" w:eastAsia="x-none"/>
        </w:rPr>
      </w:pPr>
    </w:p>
    <w:p w14:paraId="60B47054" w14:textId="77777777" w:rsidR="00EF031C" w:rsidRPr="00DC23C9" w:rsidRDefault="00EF031C" w:rsidP="00EF031C">
      <w:pPr>
        <w:spacing w:after="0"/>
        <w:jc w:val="both"/>
        <w:rPr>
          <w:rFonts w:ascii="Californian FB" w:hAnsi="Californian FB"/>
          <w:b/>
        </w:rPr>
      </w:pPr>
      <w:r w:rsidRPr="00DC23C9">
        <w:rPr>
          <w:rFonts w:ascii="Californian FB" w:hAnsi="Californian FB"/>
          <w:b/>
        </w:rPr>
        <w:t xml:space="preserve">Health management information system (HMIS): </w:t>
      </w:r>
    </w:p>
    <w:p w14:paraId="0546339D" w14:textId="09E56B09" w:rsidR="00EF031C" w:rsidRPr="00EF031C" w:rsidRDefault="00EF031C" w:rsidP="00EF031C">
      <w:pPr>
        <w:spacing w:after="0"/>
        <w:jc w:val="both"/>
        <w:rPr>
          <w:rFonts w:ascii="Californian FB" w:hAnsi="Californian FB"/>
        </w:rPr>
      </w:pPr>
      <w:r w:rsidRPr="00EF031C">
        <w:rPr>
          <w:rFonts w:ascii="Californian FB" w:hAnsi="Californian FB"/>
        </w:rPr>
        <w:t>The role of the Health Information System (HIS) is collection of routine of health service data, collation, conveyance, management of the data to information for decision making. This information is only useful when it is reliable and timely. HIS has in the past several years undertaken serious improvements including the deployment of District Health Information Software (DHIS</w:t>
      </w:r>
      <w:r>
        <w:rPr>
          <w:rFonts w:ascii="Californian FB" w:hAnsi="Californian FB"/>
        </w:rPr>
        <w:t>-</w:t>
      </w:r>
      <w:r w:rsidRPr="00EF031C">
        <w:rPr>
          <w:rFonts w:ascii="Californian FB" w:hAnsi="Californian FB"/>
        </w:rPr>
        <w:t xml:space="preserve">2) and this has led to an increase in the volume of data collected and reporting rates from 65% to 85%. To support health information systems strengthening, the MOH has developed various policy documents and guidelines including: </w:t>
      </w:r>
    </w:p>
    <w:p w14:paraId="5F5C7139" w14:textId="3718ADB7" w:rsidR="00EF031C" w:rsidRPr="00EF031C" w:rsidRDefault="00EF031C" w:rsidP="00DC23C9">
      <w:pPr>
        <w:spacing w:after="0"/>
        <w:ind w:left="720"/>
        <w:jc w:val="both"/>
        <w:rPr>
          <w:rFonts w:ascii="Californian FB" w:hAnsi="Californian FB"/>
        </w:rPr>
      </w:pPr>
      <w:r w:rsidRPr="00EF031C">
        <w:rPr>
          <w:rFonts w:ascii="Californian FB" w:hAnsi="Californian FB"/>
        </w:rPr>
        <w:sym w:font="Symbol" w:char="F0B7"/>
      </w:r>
      <w:r w:rsidRPr="00EF031C">
        <w:rPr>
          <w:rFonts w:ascii="Californian FB" w:hAnsi="Californian FB"/>
        </w:rPr>
        <w:t xml:space="preserve"> Revised HIS policy 2014-2030, </w:t>
      </w:r>
      <w:r>
        <w:rPr>
          <w:rFonts w:ascii="Californian FB" w:hAnsi="Californian FB"/>
        </w:rPr>
        <w:t xml:space="preserve"> </w:t>
      </w:r>
      <w:r w:rsidRPr="00EF031C">
        <w:rPr>
          <w:rFonts w:ascii="Californian FB" w:hAnsi="Californian FB"/>
        </w:rPr>
        <w:sym w:font="Symbol" w:char="F0B7"/>
      </w:r>
      <w:r w:rsidRPr="00EF031C">
        <w:rPr>
          <w:rFonts w:ascii="Californian FB" w:hAnsi="Californian FB"/>
        </w:rPr>
        <w:t xml:space="preserve"> HIS strategic plan 2014-2018, </w:t>
      </w:r>
    </w:p>
    <w:p w14:paraId="7870797C" w14:textId="77777777" w:rsidR="00EF031C" w:rsidRPr="00EF031C" w:rsidRDefault="00EF031C" w:rsidP="00DC23C9">
      <w:pPr>
        <w:spacing w:after="0"/>
        <w:ind w:left="720"/>
        <w:jc w:val="both"/>
        <w:rPr>
          <w:rFonts w:ascii="Californian FB" w:hAnsi="Californian FB"/>
        </w:rPr>
      </w:pPr>
      <w:r w:rsidRPr="00EF031C">
        <w:rPr>
          <w:rFonts w:ascii="Californian FB" w:hAnsi="Californian FB"/>
        </w:rPr>
        <w:sym w:font="Symbol" w:char="F0B7"/>
      </w:r>
      <w:r w:rsidRPr="00EF031C">
        <w:rPr>
          <w:rFonts w:ascii="Californian FB" w:hAnsi="Californian FB"/>
        </w:rPr>
        <w:t xml:space="preserve"> eHealth strategy, and eHealth policy 2016-2030</w:t>
      </w:r>
    </w:p>
    <w:p w14:paraId="0DF18BD3" w14:textId="48CD1E32" w:rsidR="00EF031C" w:rsidRPr="00EF031C" w:rsidRDefault="00EF031C" w:rsidP="00DC23C9">
      <w:pPr>
        <w:spacing w:after="0"/>
        <w:ind w:left="720"/>
        <w:jc w:val="both"/>
        <w:rPr>
          <w:rFonts w:ascii="Californian FB" w:hAnsi="Californian FB"/>
        </w:rPr>
      </w:pPr>
      <w:r w:rsidRPr="00EF031C">
        <w:rPr>
          <w:rFonts w:ascii="Californian FB" w:hAnsi="Californian FB"/>
        </w:rPr>
        <w:sym w:font="Symbol" w:char="F0B7"/>
      </w:r>
      <w:r w:rsidRPr="00EF031C">
        <w:rPr>
          <w:rFonts w:ascii="Californian FB" w:hAnsi="Californian FB"/>
        </w:rPr>
        <w:t xml:space="preserve"> Health sector </w:t>
      </w:r>
      <w:r w:rsidR="008F2CDC" w:rsidRPr="00EF031C">
        <w:rPr>
          <w:rFonts w:ascii="Californian FB" w:hAnsi="Californian FB"/>
        </w:rPr>
        <w:t xml:space="preserve">indicator’s </w:t>
      </w:r>
      <w:r w:rsidR="008F2CDC">
        <w:rPr>
          <w:rFonts w:ascii="Californian FB" w:hAnsi="Californian FB"/>
        </w:rPr>
        <w:t>and</w:t>
      </w:r>
      <w:r>
        <w:rPr>
          <w:rFonts w:ascii="Californian FB" w:hAnsi="Californian FB"/>
        </w:rPr>
        <w:t xml:space="preserve"> SOPs </w:t>
      </w:r>
      <w:r w:rsidRPr="00EF031C">
        <w:rPr>
          <w:rFonts w:ascii="Californian FB" w:hAnsi="Californian FB"/>
        </w:rPr>
        <w:t xml:space="preserve">manual, </w:t>
      </w:r>
    </w:p>
    <w:p w14:paraId="068DE836" w14:textId="77777777" w:rsidR="00EF031C" w:rsidRPr="00EF031C" w:rsidRDefault="00EF031C" w:rsidP="00DC23C9">
      <w:pPr>
        <w:spacing w:after="0"/>
        <w:ind w:left="720"/>
        <w:jc w:val="both"/>
        <w:rPr>
          <w:rFonts w:ascii="Californian FB" w:hAnsi="Californian FB"/>
        </w:rPr>
      </w:pPr>
      <w:r w:rsidRPr="00EF031C">
        <w:rPr>
          <w:rFonts w:ascii="Californian FB" w:hAnsi="Californian FB"/>
        </w:rPr>
        <w:sym w:font="Symbol" w:char="F0B7"/>
      </w:r>
      <w:r w:rsidRPr="00EF031C">
        <w:rPr>
          <w:rFonts w:ascii="Californian FB" w:hAnsi="Californian FB"/>
        </w:rPr>
        <w:t xml:space="preserve"> EMR standards and guidelines, </w:t>
      </w:r>
    </w:p>
    <w:p w14:paraId="0D1208D5" w14:textId="77777777" w:rsidR="00EF031C" w:rsidRPr="00EF031C" w:rsidRDefault="00EF031C" w:rsidP="00DC23C9">
      <w:pPr>
        <w:spacing w:after="0"/>
        <w:ind w:left="720"/>
        <w:jc w:val="both"/>
        <w:rPr>
          <w:rFonts w:ascii="Californian FB" w:hAnsi="Californian FB"/>
        </w:rPr>
      </w:pPr>
      <w:r w:rsidRPr="00EF031C">
        <w:rPr>
          <w:rFonts w:ascii="Californian FB" w:hAnsi="Californian FB"/>
        </w:rPr>
        <w:sym w:font="Symbol" w:char="F0B7"/>
      </w:r>
      <w:r w:rsidRPr="00EF031C">
        <w:rPr>
          <w:rFonts w:ascii="Californian FB" w:hAnsi="Californian FB"/>
        </w:rPr>
        <w:t xml:space="preserve"> mHealth guidelines and System interoperability guidelines.</w:t>
      </w:r>
    </w:p>
    <w:p w14:paraId="07E9831D" w14:textId="77777777" w:rsidR="00EF031C" w:rsidRPr="00EF031C" w:rsidRDefault="00EF031C" w:rsidP="00EF031C">
      <w:pPr>
        <w:spacing w:after="0"/>
        <w:jc w:val="both"/>
        <w:rPr>
          <w:rFonts w:ascii="Californian FB" w:hAnsi="Californian FB"/>
        </w:rPr>
      </w:pPr>
      <w:r w:rsidRPr="00EF031C">
        <w:rPr>
          <w:rFonts w:ascii="Californian FB" w:hAnsi="Californian FB"/>
        </w:rPr>
        <w:t xml:space="preserve">The KHSSP outlined that main priority in health information system is to invest on innovative approaches that can ensure comprehensive and effective health information to inform and guide decision making. </w:t>
      </w:r>
    </w:p>
    <w:p w14:paraId="245797B3" w14:textId="77777777" w:rsidR="00EF031C" w:rsidRDefault="00EF031C" w:rsidP="00EF031C">
      <w:pPr>
        <w:spacing w:after="0"/>
        <w:jc w:val="both"/>
        <w:rPr>
          <w:rFonts w:ascii="Californian FB" w:hAnsi="Californian FB"/>
        </w:rPr>
      </w:pPr>
    </w:p>
    <w:p w14:paraId="34B14BBD" w14:textId="77777777" w:rsidR="00EF031C" w:rsidRPr="00EF031C" w:rsidRDefault="00EF031C" w:rsidP="00EF031C">
      <w:pPr>
        <w:spacing w:after="0"/>
        <w:jc w:val="both"/>
        <w:rPr>
          <w:rFonts w:ascii="Californian FB" w:hAnsi="Californian FB"/>
          <w:b/>
        </w:rPr>
      </w:pPr>
      <w:r w:rsidRPr="00EF031C">
        <w:rPr>
          <w:rFonts w:ascii="Californian FB" w:hAnsi="Californian FB"/>
          <w:b/>
        </w:rPr>
        <w:t xml:space="preserve">Health facility assessments: </w:t>
      </w:r>
    </w:p>
    <w:p w14:paraId="10B3740B" w14:textId="77777777" w:rsidR="00EF031C" w:rsidRPr="00EF031C" w:rsidRDefault="00EF031C" w:rsidP="00EF031C">
      <w:pPr>
        <w:autoSpaceDE w:val="0"/>
        <w:autoSpaceDN w:val="0"/>
        <w:adjustRightInd w:val="0"/>
        <w:spacing w:after="0" w:line="240" w:lineRule="auto"/>
        <w:rPr>
          <w:rFonts w:ascii="Californian FB" w:hAnsi="Californian FB"/>
        </w:rPr>
      </w:pPr>
      <w:r w:rsidRPr="00EF031C">
        <w:rPr>
          <w:rFonts w:ascii="Californian FB" w:hAnsi="Californian FB"/>
        </w:rPr>
        <w:t>The World Health Organization indicates that Service Availability and Readiness Assessment (SARA) as a health facility assessment tool designed to assess and monitor the service availability and readiness of the health sector and to generate evidence to support the planning and managing of a health system. The current SARA is designed as a systematic survey to generate a set of tracer indicators of service availability and readiness. The survey objective is to generate reliable and regular information on service delivery (such as the availability of key human and infrastructure resources), on the availability of basic equipment, basic amenities, essential medicines, and diagnostic capacities, and on the readiness of health facilities to provide basic health-care interventions relating to family planning, child health services, basic and comprehensive emergency obstetric care, HIV, TB, malaria, and non-communicable  With the increased demand for accountability and the need to demonstrate results at country and county levels, information is needed to track how health systems would respond to increased inputs and improved processes over time and the impact such inputs and processes have on improved health outcomes and better health status.  The provision of the defined Health and related services is a function of:</w:t>
      </w:r>
    </w:p>
    <w:p w14:paraId="4F77906E" w14:textId="77777777" w:rsidR="00EF031C" w:rsidRPr="00EF031C" w:rsidRDefault="00EF031C" w:rsidP="00203568">
      <w:pPr>
        <w:pStyle w:val="ListParagraph"/>
        <w:numPr>
          <w:ilvl w:val="0"/>
          <w:numId w:val="27"/>
        </w:numPr>
        <w:spacing w:after="120" w:line="240" w:lineRule="auto"/>
        <w:jc w:val="both"/>
        <w:rPr>
          <w:rFonts w:ascii="Californian FB" w:hAnsi="Californian FB"/>
          <w:lang w:val="en-US"/>
        </w:rPr>
      </w:pPr>
      <w:r w:rsidRPr="00EF031C">
        <w:rPr>
          <w:rFonts w:ascii="Californian FB" w:hAnsi="Californian FB"/>
          <w:lang w:val="en-US"/>
        </w:rPr>
        <w:t>Availability of the inputs needed to provide the service</w:t>
      </w:r>
    </w:p>
    <w:p w14:paraId="38EC9BE9" w14:textId="77777777" w:rsidR="00EF031C" w:rsidRPr="00EF031C" w:rsidRDefault="00EF031C" w:rsidP="00203568">
      <w:pPr>
        <w:pStyle w:val="ListParagraph"/>
        <w:numPr>
          <w:ilvl w:val="0"/>
          <w:numId w:val="27"/>
        </w:numPr>
        <w:spacing w:after="120" w:line="240" w:lineRule="auto"/>
        <w:jc w:val="both"/>
        <w:rPr>
          <w:rFonts w:ascii="Californian FB" w:hAnsi="Californian FB"/>
          <w:lang w:val="en-US"/>
        </w:rPr>
      </w:pPr>
      <w:r w:rsidRPr="00EF031C">
        <w:rPr>
          <w:rFonts w:ascii="Californian FB" w:hAnsi="Californian FB"/>
          <w:lang w:val="en-US"/>
        </w:rPr>
        <w:t>Health Worker Knowledge on the methods of provision of the service, and</w:t>
      </w:r>
    </w:p>
    <w:p w14:paraId="68260C37" w14:textId="77777777" w:rsidR="00EF031C" w:rsidRPr="00EF031C" w:rsidRDefault="00EF031C" w:rsidP="00203568">
      <w:pPr>
        <w:pStyle w:val="ListParagraph"/>
        <w:numPr>
          <w:ilvl w:val="0"/>
          <w:numId w:val="27"/>
        </w:numPr>
        <w:spacing w:after="120" w:line="240" w:lineRule="auto"/>
        <w:jc w:val="both"/>
        <w:rPr>
          <w:rFonts w:ascii="Californian FB" w:hAnsi="Californian FB"/>
          <w:lang w:val="en-US"/>
        </w:rPr>
      </w:pPr>
      <w:r w:rsidRPr="00EF031C">
        <w:rPr>
          <w:rFonts w:ascii="Californian FB" w:hAnsi="Californian FB"/>
          <w:lang w:val="en-US"/>
        </w:rPr>
        <w:t>The ability to appropriately mix the required inputs to deliver the service</w:t>
      </w:r>
    </w:p>
    <w:p w14:paraId="16AF7A44" w14:textId="77777777" w:rsidR="00EF031C" w:rsidRPr="00EF031C" w:rsidRDefault="00EF031C" w:rsidP="00EF031C">
      <w:pPr>
        <w:spacing w:after="120" w:line="240" w:lineRule="auto"/>
        <w:jc w:val="both"/>
        <w:rPr>
          <w:rFonts w:ascii="Californian FB" w:hAnsi="Californian FB"/>
        </w:rPr>
      </w:pPr>
      <w:r w:rsidRPr="00EF031C">
        <w:rPr>
          <w:rFonts w:ascii="Californian FB" w:hAnsi="Californian FB"/>
        </w:rPr>
        <w:t xml:space="preserve">The SARAM focuses on providing comprehensive information on Health Access, as defined in the Kenya Policy documents. It provides a mapping of: </w:t>
      </w:r>
    </w:p>
    <w:p w14:paraId="64F245D6" w14:textId="77777777" w:rsidR="00EF031C" w:rsidRPr="00EF031C" w:rsidRDefault="00EF031C" w:rsidP="00203568">
      <w:pPr>
        <w:numPr>
          <w:ilvl w:val="0"/>
          <w:numId w:val="28"/>
        </w:numPr>
        <w:spacing w:after="120" w:line="240" w:lineRule="auto"/>
        <w:jc w:val="both"/>
        <w:rPr>
          <w:rFonts w:ascii="Californian FB" w:hAnsi="Californian FB"/>
        </w:rPr>
      </w:pPr>
      <w:r w:rsidRPr="00EF031C">
        <w:rPr>
          <w:rFonts w:ascii="Californian FB" w:hAnsi="Californian FB"/>
        </w:rPr>
        <w:t>Status of KEPH provision across the Country, counties (health outcomes),</w:t>
      </w:r>
    </w:p>
    <w:p w14:paraId="3D6E195B" w14:textId="77777777" w:rsidR="00EF031C" w:rsidRPr="00EF031C" w:rsidRDefault="00EF031C" w:rsidP="00203568">
      <w:pPr>
        <w:numPr>
          <w:ilvl w:val="0"/>
          <w:numId w:val="28"/>
        </w:numPr>
        <w:spacing w:after="120" w:line="240" w:lineRule="auto"/>
        <w:jc w:val="both"/>
        <w:rPr>
          <w:rFonts w:ascii="Californian FB" w:hAnsi="Californian FB"/>
        </w:rPr>
      </w:pPr>
      <w:r w:rsidRPr="00EF031C">
        <w:rPr>
          <w:rFonts w:ascii="Californian FB" w:hAnsi="Californian FB"/>
        </w:rPr>
        <w:t>Capacity to provide services, looking at</w:t>
      </w:r>
    </w:p>
    <w:p w14:paraId="43CF8024" w14:textId="77777777" w:rsidR="00EF031C" w:rsidRPr="00EF031C" w:rsidRDefault="00EF031C" w:rsidP="00203568">
      <w:pPr>
        <w:numPr>
          <w:ilvl w:val="1"/>
          <w:numId w:val="26"/>
        </w:numPr>
        <w:spacing w:after="120" w:line="240" w:lineRule="auto"/>
        <w:jc w:val="both"/>
        <w:rPr>
          <w:rFonts w:ascii="Californian FB" w:hAnsi="Californian FB"/>
        </w:rPr>
      </w:pPr>
      <w:r w:rsidRPr="00EF031C">
        <w:rPr>
          <w:rFonts w:ascii="Californian FB" w:hAnsi="Californian FB"/>
        </w:rPr>
        <w:t>Availability of critical inputs needed for provision of services</w:t>
      </w:r>
    </w:p>
    <w:p w14:paraId="0A73B4E1" w14:textId="77777777" w:rsidR="00EF031C" w:rsidRPr="00EF031C" w:rsidRDefault="00EF031C" w:rsidP="00203568">
      <w:pPr>
        <w:numPr>
          <w:ilvl w:val="1"/>
          <w:numId w:val="26"/>
        </w:numPr>
        <w:spacing w:after="120" w:line="240" w:lineRule="auto"/>
        <w:jc w:val="both"/>
        <w:rPr>
          <w:rFonts w:ascii="Californian FB" w:hAnsi="Californian FB"/>
        </w:rPr>
      </w:pPr>
      <w:r w:rsidRPr="00EF031C">
        <w:rPr>
          <w:rFonts w:ascii="Californian FB" w:hAnsi="Californian FB"/>
        </w:rPr>
        <w:t>Functionality of critical inputs needed for provision of services</w:t>
      </w:r>
    </w:p>
    <w:p w14:paraId="13EEE060" w14:textId="77777777" w:rsidR="00EF031C" w:rsidRPr="00EF031C" w:rsidRDefault="00EF031C" w:rsidP="00203568">
      <w:pPr>
        <w:numPr>
          <w:ilvl w:val="0"/>
          <w:numId w:val="26"/>
        </w:numPr>
        <w:spacing w:after="120" w:line="240" w:lineRule="auto"/>
        <w:jc w:val="both"/>
        <w:rPr>
          <w:rFonts w:ascii="Californian FB" w:hAnsi="Californian FB"/>
        </w:rPr>
      </w:pPr>
      <w:r w:rsidRPr="00EF031C">
        <w:rPr>
          <w:rFonts w:ascii="Californian FB" w:hAnsi="Californian FB"/>
        </w:rPr>
        <w:t>Readiness of critical inputs needed for provision of services</w:t>
      </w:r>
    </w:p>
    <w:p w14:paraId="4E228509" w14:textId="77777777" w:rsidR="00EF031C" w:rsidRPr="00EF031C" w:rsidRDefault="00EF031C" w:rsidP="00EF031C">
      <w:pPr>
        <w:spacing w:after="120" w:line="240" w:lineRule="auto"/>
        <w:jc w:val="both"/>
        <w:rPr>
          <w:rFonts w:ascii="Californian FB" w:hAnsi="Californian FB"/>
        </w:rPr>
      </w:pPr>
      <w:r w:rsidRPr="00EF031C">
        <w:rPr>
          <w:rFonts w:ascii="Californian FB" w:hAnsi="Californian FB"/>
        </w:rPr>
        <w:lastRenderedPageBreak/>
        <w:t>It therefore provides information to decision makers and managers on the existing capacity for Service Provision. Availability of inputs is assessed through a mapping of existing Human Resources (numbers, and basic skills), Infrastructure (including physical infrastructure, equipment, transport, and ICT), and Health Products. Health worker knowledge and ability to mix inputs is assessed through mapping of service readiness (leadership, and organizational capacity).</w:t>
      </w:r>
    </w:p>
    <w:p w14:paraId="1D569306" w14:textId="77777777" w:rsidR="00EF031C" w:rsidRPr="00EF031C" w:rsidRDefault="00EF031C" w:rsidP="00EF031C">
      <w:pPr>
        <w:spacing w:after="0"/>
        <w:jc w:val="both"/>
        <w:rPr>
          <w:rFonts w:ascii="Californian FB" w:hAnsi="Californian FB"/>
        </w:rPr>
      </w:pPr>
    </w:p>
    <w:p w14:paraId="1D52FE1C" w14:textId="77777777" w:rsidR="00EF031C" w:rsidRPr="00DC23C9" w:rsidRDefault="00EF031C" w:rsidP="00EF031C">
      <w:pPr>
        <w:spacing w:after="0"/>
        <w:jc w:val="both"/>
        <w:rPr>
          <w:rFonts w:ascii="Californian FB" w:hAnsi="Californian FB"/>
          <w:b/>
        </w:rPr>
      </w:pPr>
      <w:r w:rsidRPr="00DC23C9">
        <w:rPr>
          <w:rFonts w:ascii="Californian FB" w:hAnsi="Californian FB"/>
          <w:b/>
        </w:rPr>
        <w:t xml:space="preserve"> Tracking health expenditures: </w:t>
      </w:r>
    </w:p>
    <w:p w14:paraId="13EB431A" w14:textId="77777777" w:rsidR="00EF031C" w:rsidRPr="00EF031C" w:rsidRDefault="00EF031C" w:rsidP="00EF031C">
      <w:pPr>
        <w:autoSpaceDE w:val="0"/>
        <w:autoSpaceDN w:val="0"/>
        <w:adjustRightInd w:val="0"/>
        <w:spacing w:after="0" w:line="240" w:lineRule="auto"/>
        <w:jc w:val="both"/>
        <w:rPr>
          <w:rFonts w:ascii="Californian FB" w:hAnsi="Californian FB"/>
        </w:rPr>
      </w:pPr>
      <w:r w:rsidRPr="00EF031C">
        <w:rPr>
          <w:rFonts w:ascii="Californian FB" w:hAnsi="Californian FB"/>
        </w:rPr>
        <w:t>Household Health expenditure and Utilization Survey - The Kenya Household Expenditure and Utilization Survey is an elaborate NHA framework comprising the household and institutional Surveys. The goal of the survey is to provide essential data describing the use of health care services, choice of providers, spending on health care and the demographic and social-economic determinants of health care use. The survey primarily looks at:</w:t>
      </w:r>
    </w:p>
    <w:p w14:paraId="437A087F" w14:textId="77777777" w:rsidR="00EF031C" w:rsidRPr="00EF031C" w:rsidRDefault="00EF031C" w:rsidP="00EF031C">
      <w:pPr>
        <w:autoSpaceDE w:val="0"/>
        <w:autoSpaceDN w:val="0"/>
        <w:adjustRightInd w:val="0"/>
        <w:spacing w:after="0" w:line="240" w:lineRule="auto"/>
        <w:jc w:val="both"/>
        <w:rPr>
          <w:rFonts w:ascii="Californian FB" w:hAnsi="Californian FB"/>
        </w:rPr>
      </w:pPr>
      <w:r w:rsidRPr="00EF031C">
        <w:rPr>
          <w:rFonts w:ascii="Californian FB" w:hAnsi="Californian FB"/>
        </w:rPr>
        <w:t>The estimation of the utilization rates of health care services by those reporting illness by specific subgroups in the population;</w:t>
      </w:r>
    </w:p>
    <w:p w14:paraId="3BA4D7FD" w14:textId="77777777" w:rsidR="00EF031C" w:rsidRPr="00EF031C" w:rsidRDefault="00EF031C" w:rsidP="00203568">
      <w:pPr>
        <w:pStyle w:val="ListParagraph"/>
        <w:numPr>
          <w:ilvl w:val="0"/>
          <w:numId w:val="25"/>
        </w:numPr>
        <w:autoSpaceDE w:val="0"/>
        <w:autoSpaceDN w:val="0"/>
        <w:adjustRightInd w:val="0"/>
        <w:spacing w:after="0" w:line="240" w:lineRule="auto"/>
        <w:jc w:val="both"/>
        <w:rPr>
          <w:rFonts w:ascii="Californian FB" w:hAnsi="Californian FB"/>
          <w:lang w:val="en-US"/>
        </w:rPr>
      </w:pPr>
      <w:r w:rsidRPr="00EF031C">
        <w:rPr>
          <w:rFonts w:ascii="Californian FB" w:hAnsi="Californian FB"/>
          <w:lang w:val="en-US"/>
        </w:rPr>
        <w:t>Analysis of the pattern and choice of providers used for outpatient and in-patient health care by various socioeconomic</w:t>
      </w:r>
    </w:p>
    <w:p w14:paraId="3DFED54F" w14:textId="77777777" w:rsidR="00EF031C" w:rsidRPr="00EF031C" w:rsidRDefault="00EF031C" w:rsidP="00203568">
      <w:pPr>
        <w:pStyle w:val="ListParagraph"/>
        <w:numPr>
          <w:ilvl w:val="0"/>
          <w:numId w:val="25"/>
        </w:numPr>
        <w:autoSpaceDE w:val="0"/>
        <w:autoSpaceDN w:val="0"/>
        <w:adjustRightInd w:val="0"/>
        <w:spacing w:after="0" w:line="240" w:lineRule="auto"/>
        <w:jc w:val="both"/>
        <w:rPr>
          <w:rFonts w:ascii="Californian FB" w:hAnsi="Californian FB"/>
          <w:lang w:val="en-US"/>
        </w:rPr>
      </w:pPr>
      <w:r w:rsidRPr="00EF031C">
        <w:rPr>
          <w:rFonts w:ascii="Californian FB" w:hAnsi="Californian FB"/>
          <w:lang w:val="en-US"/>
        </w:rPr>
        <w:t>and demographic variables;</w:t>
      </w:r>
    </w:p>
    <w:p w14:paraId="744A0DB7" w14:textId="77777777" w:rsidR="00EF031C" w:rsidRPr="00EF031C" w:rsidRDefault="00EF031C" w:rsidP="00203568">
      <w:pPr>
        <w:pStyle w:val="ListParagraph"/>
        <w:numPr>
          <w:ilvl w:val="0"/>
          <w:numId w:val="25"/>
        </w:numPr>
        <w:autoSpaceDE w:val="0"/>
        <w:autoSpaceDN w:val="0"/>
        <w:adjustRightInd w:val="0"/>
        <w:spacing w:after="0" w:line="240" w:lineRule="auto"/>
        <w:jc w:val="both"/>
        <w:rPr>
          <w:rFonts w:ascii="Californian FB" w:hAnsi="Californian FB"/>
          <w:lang w:val="en-US"/>
        </w:rPr>
      </w:pPr>
      <w:r w:rsidRPr="00EF031C">
        <w:rPr>
          <w:rFonts w:ascii="Californian FB" w:hAnsi="Californian FB"/>
          <w:lang w:val="en-US"/>
        </w:rPr>
        <w:t>Estimation of the amount spent on health care services at the per capita levels;</w:t>
      </w:r>
    </w:p>
    <w:p w14:paraId="57FD1366" w14:textId="77777777" w:rsidR="00EF031C" w:rsidRPr="00EF031C" w:rsidRDefault="00EF031C" w:rsidP="00203568">
      <w:pPr>
        <w:pStyle w:val="ListParagraph"/>
        <w:numPr>
          <w:ilvl w:val="0"/>
          <w:numId w:val="25"/>
        </w:numPr>
        <w:autoSpaceDE w:val="0"/>
        <w:autoSpaceDN w:val="0"/>
        <w:adjustRightInd w:val="0"/>
        <w:spacing w:after="0" w:line="240" w:lineRule="auto"/>
        <w:jc w:val="both"/>
        <w:rPr>
          <w:rFonts w:ascii="Californian FB" w:hAnsi="Californian FB"/>
          <w:lang w:val="en-US"/>
        </w:rPr>
      </w:pPr>
      <w:r w:rsidRPr="00EF031C">
        <w:rPr>
          <w:rFonts w:ascii="Californian FB" w:hAnsi="Californian FB"/>
          <w:lang w:val="en-US"/>
        </w:rPr>
        <w:t>The perceptions of quality of care for different types of providers and</w:t>
      </w:r>
    </w:p>
    <w:p w14:paraId="22DE1BE1" w14:textId="77777777" w:rsidR="00EF031C" w:rsidRPr="00EF031C" w:rsidRDefault="00EF031C" w:rsidP="00203568">
      <w:pPr>
        <w:pStyle w:val="ListParagraph"/>
        <w:numPr>
          <w:ilvl w:val="0"/>
          <w:numId w:val="25"/>
        </w:numPr>
        <w:autoSpaceDE w:val="0"/>
        <w:autoSpaceDN w:val="0"/>
        <w:adjustRightInd w:val="0"/>
        <w:spacing w:after="0" w:line="240" w:lineRule="auto"/>
        <w:jc w:val="both"/>
        <w:rPr>
          <w:rFonts w:ascii="Californian FB" w:hAnsi="Californian FB"/>
          <w:lang w:val="en-US"/>
        </w:rPr>
      </w:pPr>
      <w:r w:rsidRPr="00EF031C">
        <w:rPr>
          <w:rFonts w:ascii="Californian FB" w:hAnsi="Californian FB"/>
          <w:lang w:val="en-US"/>
        </w:rPr>
        <w:t>The extent of health insurance coverage in the population. The survey is conducted by the Ministry of Health in collaboration with the KNBS but Coordination is by MOH</w:t>
      </w:r>
    </w:p>
    <w:p w14:paraId="3DE048D3" w14:textId="77777777" w:rsidR="00EF031C" w:rsidRPr="00EF031C" w:rsidRDefault="00EF031C" w:rsidP="00EF031C">
      <w:pPr>
        <w:spacing w:after="0"/>
        <w:jc w:val="both"/>
        <w:rPr>
          <w:rFonts w:ascii="Californian FB" w:hAnsi="Californian FB"/>
        </w:rPr>
      </w:pPr>
    </w:p>
    <w:p w14:paraId="6056A86F" w14:textId="77777777" w:rsidR="00EF031C" w:rsidRDefault="00EF031C" w:rsidP="00EF031C">
      <w:pPr>
        <w:spacing w:after="0"/>
        <w:jc w:val="both"/>
        <w:rPr>
          <w:rFonts w:ascii="Californian FB" w:hAnsi="Californian FB"/>
          <w:b/>
        </w:rPr>
      </w:pPr>
      <w:r w:rsidRPr="00DC23C9">
        <w:rPr>
          <w:rFonts w:ascii="Californian FB" w:hAnsi="Californian FB"/>
          <w:b/>
        </w:rPr>
        <w:t>Integrated disease surveillance and response (IDSR):</w:t>
      </w:r>
    </w:p>
    <w:p w14:paraId="2CB48612" w14:textId="77777777" w:rsidR="00EF031C" w:rsidRPr="00DC23C9" w:rsidRDefault="00EF031C" w:rsidP="00EF031C">
      <w:pPr>
        <w:spacing w:after="0"/>
        <w:jc w:val="both"/>
        <w:rPr>
          <w:rFonts w:ascii="Californian FB" w:hAnsi="Californian FB"/>
          <w:b/>
        </w:rPr>
      </w:pPr>
    </w:p>
    <w:p w14:paraId="778885BC" w14:textId="77777777" w:rsidR="00EF031C" w:rsidRPr="00DC23C9" w:rsidRDefault="00EF031C" w:rsidP="00EF031C">
      <w:pPr>
        <w:spacing w:after="0"/>
        <w:jc w:val="both"/>
        <w:rPr>
          <w:rFonts w:ascii="Californian FB" w:hAnsi="Californian FB"/>
          <w:b/>
        </w:rPr>
      </w:pPr>
      <w:r w:rsidRPr="00DC23C9">
        <w:rPr>
          <w:rFonts w:ascii="Californian FB" w:hAnsi="Californian FB"/>
          <w:b/>
        </w:rPr>
        <w:t xml:space="preserve">Population based surveys: </w:t>
      </w:r>
    </w:p>
    <w:p w14:paraId="429CBF51" w14:textId="77777777" w:rsidR="00EF031C" w:rsidRPr="00F3749A" w:rsidRDefault="00EF031C" w:rsidP="00EF031C">
      <w:pPr>
        <w:spacing w:after="0"/>
        <w:jc w:val="both"/>
        <w:rPr>
          <w:rFonts w:ascii="Californian FB" w:hAnsi="Californian FB"/>
        </w:rPr>
      </w:pPr>
    </w:p>
    <w:p w14:paraId="4B7F6E37" w14:textId="77777777" w:rsidR="00EF031C" w:rsidRPr="00DC23C9" w:rsidRDefault="00EF031C" w:rsidP="00EF031C">
      <w:pPr>
        <w:spacing w:after="0"/>
        <w:jc w:val="both"/>
        <w:rPr>
          <w:rFonts w:ascii="Californian FB" w:hAnsi="Californian FB"/>
          <w:b/>
        </w:rPr>
      </w:pPr>
      <w:r w:rsidRPr="00DC23C9">
        <w:rPr>
          <w:rFonts w:ascii="Californian FB" w:hAnsi="Californian FB"/>
          <w:b/>
        </w:rPr>
        <w:t xml:space="preserve">National research system: </w:t>
      </w:r>
    </w:p>
    <w:p w14:paraId="12644B96" w14:textId="77777777" w:rsidR="00EF031C" w:rsidRDefault="00EF031C" w:rsidP="00EF031C">
      <w:pPr>
        <w:spacing w:after="0"/>
        <w:jc w:val="both"/>
        <w:rPr>
          <w:rFonts w:ascii="Californian FB" w:hAnsi="Californian FB"/>
        </w:rPr>
      </w:pPr>
    </w:p>
    <w:p w14:paraId="72B403A0" w14:textId="77777777" w:rsidR="00EF031C" w:rsidRPr="00DC23C9" w:rsidRDefault="00EF031C" w:rsidP="00EF031C">
      <w:pPr>
        <w:spacing w:after="0"/>
        <w:jc w:val="both"/>
        <w:rPr>
          <w:rFonts w:ascii="Californian FB" w:hAnsi="Californian FB"/>
          <w:b/>
        </w:rPr>
      </w:pPr>
      <w:r w:rsidRPr="00DC23C9">
        <w:rPr>
          <w:rFonts w:ascii="Californian FB" w:hAnsi="Californian FB"/>
          <w:b/>
        </w:rPr>
        <w:t>National Health Accounts (NHA)</w:t>
      </w:r>
    </w:p>
    <w:p w14:paraId="7EFC148C" w14:textId="77777777" w:rsidR="00EF031C" w:rsidRPr="00EF031C" w:rsidRDefault="00EF031C" w:rsidP="00EF031C">
      <w:pPr>
        <w:autoSpaceDE w:val="0"/>
        <w:autoSpaceDN w:val="0"/>
        <w:adjustRightInd w:val="0"/>
        <w:spacing w:after="0" w:line="240" w:lineRule="auto"/>
        <w:jc w:val="both"/>
        <w:rPr>
          <w:rFonts w:ascii="Californian FB" w:hAnsi="Californian FB"/>
        </w:rPr>
      </w:pPr>
      <w:r w:rsidRPr="00EF031C">
        <w:rPr>
          <w:rFonts w:ascii="Californian FB" w:hAnsi="Californian FB"/>
        </w:rPr>
        <w:t>Kenya National Health Accounts Survey - National Health Accounts (NHA) has become a feasible and useful approach for understanding many health care financing issues. National Health Accounts is a tool for health sector management and policy development that measures total public and private (including households) health expenditure. It tracks all expenditure flow across a health system and links the sources of funds to service providers and to ultimate use of the funds.  Thus, NHA answers the questions: who pays? How much? For what?  The overall objective of the NHA study is to comprehend the total resource envelope for the Kenyan health sector with a view of obtaining data that will inform future policy development and planning. The Kenya NHA estimation describes expenditure in the form of a matrix structure which distinguishes between the source and final use of funds.</w:t>
      </w:r>
    </w:p>
    <w:p w14:paraId="27AD2FA1" w14:textId="77777777" w:rsidR="00EF031C" w:rsidRPr="00F3749A" w:rsidRDefault="00EF031C" w:rsidP="00EF031C">
      <w:pPr>
        <w:spacing w:after="0"/>
        <w:jc w:val="both"/>
        <w:rPr>
          <w:rFonts w:ascii="Californian FB" w:hAnsi="Californian FB"/>
        </w:rPr>
      </w:pPr>
    </w:p>
    <w:p w14:paraId="3A08F533" w14:textId="77777777" w:rsidR="00EF031C" w:rsidRPr="00DC23C9" w:rsidRDefault="00EF031C" w:rsidP="00EF031C">
      <w:pPr>
        <w:spacing w:after="0"/>
        <w:jc w:val="both"/>
        <w:rPr>
          <w:rFonts w:ascii="Californian FB" w:hAnsi="Californian FB"/>
          <w:b/>
        </w:rPr>
      </w:pPr>
      <w:r w:rsidRPr="00DC23C9">
        <w:rPr>
          <w:rFonts w:ascii="Californian FB" w:hAnsi="Californian FB"/>
          <w:b/>
        </w:rPr>
        <w:t xml:space="preserve">Civil registration and vital statistics (CRVS): </w:t>
      </w:r>
    </w:p>
    <w:p w14:paraId="04B38AD6" w14:textId="77777777" w:rsidR="00EF031C" w:rsidRPr="00F3749A" w:rsidRDefault="00EF031C" w:rsidP="00EF031C">
      <w:pPr>
        <w:spacing w:after="0"/>
        <w:jc w:val="both"/>
        <w:rPr>
          <w:rFonts w:ascii="Californian FB" w:hAnsi="Californian FB"/>
        </w:rPr>
      </w:pPr>
      <w:r w:rsidRPr="00EF031C">
        <w:rPr>
          <w:rFonts w:ascii="Californian FB" w:hAnsi="Californian FB"/>
        </w:rPr>
        <w:t>A vital statistics unit within MOH has been established and is working to improve the quality of information generated. Information policy and strategy has been developed and is being implemented. Although people are yet to be trained and implement it, a data warehouse has been developed.</w:t>
      </w:r>
    </w:p>
    <w:p w14:paraId="76E1D708" w14:textId="77777777" w:rsidR="00EF031C" w:rsidRPr="00F3749A" w:rsidRDefault="00EF031C" w:rsidP="00EF031C">
      <w:pPr>
        <w:spacing w:after="0"/>
        <w:jc w:val="both"/>
        <w:rPr>
          <w:rFonts w:ascii="Californian FB" w:hAnsi="Californian FB"/>
        </w:rPr>
      </w:pPr>
    </w:p>
    <w:p w14:paraId="51033CF3" w14:textId="77777777" w:rsidR="00EF031C" w:rsidRDefault="00EF031C" w:rsidP="00EF031C">
      <w:pPr>
        <w:spacing w:after="0"/>
        <w:jc w:val="both"/>
        <w:rPr>
          <w:rFonts w:ascii="Californian FB" w:hAnsi="Californian FB"/>
          <w:b/>
        </w:rPr>
      </w:pPr>
      <w:r w:rsidRPr="00DC23C9">
        <w:rPr>
          <w:rFonts w:ascii="Californian FB" w:hAnsi="Californian FB"/>
          <w:b/>
        </w:rPr>
        <w:t xml:space="preserve">Common data architecture (enterprise architecture, infrastructure) </w:t>
      </w:r>
    </w:p>
    <w:p w14:paraId="24882C72" w14:textId="77777777" w:rsidR="00EF031C" w:rsidRDefault="00EF031C" w:rsidP="00EF031C">
      <w:pPr>
        <w:spacing w:after="0"/>
        <w:jc w:val="both"/>
        <w:rPr>
          <w:rFonts w:ascii="Californian FB" w:hAnsi="Californian FB"/>
          <w:b/>
        </w:rPr>
      </w:pPr>
    </w:p>
    <w:p w14:paraId="171DC4F8" w14:textId="3EF2E1C8" w:rsidR="00EF031C" w:rsidRDefault="00EF031C" w:rsidP="00EF031C">
      <w:pPr>
        <w:spacing w:after="0"/>
        <w:jc w:val="both"/>
        <w:rPr>
          <w:rFonts w:ascii="Californian FB" w:hAnsi="Californian FB"/>
          <w:b/>
        </w:rPr>
      </w:pPr>
      <w:r>
        <w:rPr>
          <w:rFonts w:ascii="Californian FB" w:hAnsi="Californian FB"/>
          <w:b/>
        </w:rPr>
        <w:t>UHC readiness assessment</w:t>
      </w:r>
    </w:p>
    <w:p w14:paraId="6C1A105E" w14:textId="000C4068" w:rsidR="00EF031C" w:rsidRPr="00DC23C9" w:rsidRDefault="00EF031C" w:rsidP="00EF031C">
      <w:pPr>
        <w:spacing w:after="0"/>
        <w:jc w:val="both"/>
        <w:rPr>
          <w:rFonts w:ascii="Californian FB" w:hAnsi="Californian FB"/>
        </w:rPr>
      </w:pPr>
      <w:r w:rsidRPr="00DC23C9">
        <w:rPr>
          <w:rFonts w:ascii="Californian FB" w:hAnsi="Californian FB"/>
        </w:rPr>
        <w:t>In order for the UHC delivery unit to init</w:t>
      </w:r>
      <w:r w:rsidR="00DC23C9">
        <w:rPr>
          <w:rFonts w:ascii="Californian FB" w:hAnsi="Californian FB"/>
        </w:rPr>
        <w:t>i</w:t>
      </w:r>
      <w:r w:rsidRPr="00DC23C9">
        <w:rPr>
          <w:rFonts w:ascii="Californian FB" w:hAnsi="Californian FB"/>
        </w:rPr>
        <w:t>ate the process of developing the UHC roadmap and phase I pilot document, the unit conducted a readiness assessment in the 47 Counties to establish the critical Gaps and planned on how to fill the gaps. The results were as follows:</w:t>
      </w:r>
    </w:p>
    <w:p w14:paraId="7E33BE87" w14:textId="77777777" w:rsidR="00EF031C" w:rsidRPr="00DC23C9" w:rsidRDefault="00EF031C" w:rsidP="00EF031C">
      <w:pPr>
        <w:spacing w:after="0"/>
        <w:jc w:val="both"/>
        <w:rPr>
          <w:rFonts w:ascii="Californian FB" w:hAnsi="Californian FB"/>
        </w:rPr>
      </w:pPr>
    </w:p>
    <w:p w14:paraId="6F91CDE9" w14:textId="6352471A" w:rsidR="00EF031C" w:rsidRDefault="00856E99" w:rsidP="00EF031C">
      <w:pPr>
        <w:spacing w:after="0"/>
        <w:jc w:val="both"/>
        <w:rPr>
          <w:rFonts w:ascii="Californian FB" w:hAnsi="Californian FB"/>
          <w:b/>
        </w:rPr>
      </w:pPr>
      <w:r>
        <w:rPr>
          <w:rFonts w:ascii="Californian FB" w:hAnsi="Californian FB"/>
          <w:b/>
        </w:rPr>
        <w:t xml:space="preserve">Figure 2. </w:t>
      </w:r>
      <w:r w:rsidRPr="00856E99">
        <w:rPr>
          <w:rFonts w:ascii="Californian FB" w:hAnsi="Californian FB"/>
          <w:b/>
        </w:rPr>
        <w:t>Major Gap at 50%</w:t>
      </w:r>
      <w:r>
        <w:rPr>
          <w:rFonts w:ascii="Californian FB" w:hAnsi="Californian FB"/>
          <w:b/>
        </w:rPr>
        <w:t xml:space="preserve"> for Community units</w:t>
      </w:r>
    </w:p>
    <w:p w14:paraId="6C1ABCE2" w14:textId="77777777" w:rsidR="00856E99" w:rsidRDefault="00856E99" w:rsidP="00EF031C">
      <w:pPr>
        <w:spacing w:after="0"/>
        <w:jc w:val="both"/>
        <w:rPr>
          <w:rFonts w:ascii="Californian FB" w:hAnsi="Californian FB"/>
          <w:b/>
        </w:rPr>
      </w:pPr>
    </w:p>
    <w:p w14:paraId="4FF41A11" w14:textId="274142C6" w:rsidR="00856E99" w:rsidRPr="00DC23C9" w:rsidRDefault="00856E99" w:rsidP="00EF031C">
      <w:pPr>
        <w:spacing w:after="0"/>
        <w:jc w:val="both"/>
        <w:rPr>
          <w:rFonts w:ascii="Californian FB" w:hAnsi="Californian FB"/>
          <w:b/>
        </w:rPr>
      </w:pPr>
      <w:r w:rsidRPr="00856E99">
        <w:rPr>
          <w:rFonts w:ascii="Californian FB" w:hAnsi="Californian FB"/>
          <w:b/>
          <w:noProof/>
        </w:rPr>
        <w:drawing>
          <wp:inline distT="0" distB="0" distL="0" distR="0" wp14:anchorId="0DAB69BE" wp14:editId="48F7DBEC">
            <wp:extent cx="5943600" cy="2457450"/>
            <wp:effectExtent l="0" t="0" r="0" b="0"/>
            <wp:docPr id="409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3"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2457450"/>
                    </a:xfrm>
                    <a:prstGeom prst="rect">
                      <a:avLst/>
                    </a:prstGeom>
                    <a:noFill/>
                    <a:ln>
                      <a:noFill/>
                    </a:ln>
                    <a:effectLst/>
                    <a:extLst/>
                  </pic:spPr>
                </pic:pic>
              </a:graphicData>
            </a:graphic>
          </wp:inline>
        </w:drawing>
      </w:r>
    </w:p>
    <w:p w14:paraId="667EA0C3" w14:textId="77777777" w:rsidR="00856E99" w:rsidRDefault="00856E99" w:rsidP="00EF031C">
      <w:pPr>
        <w:spacing w:after="0"/>
        <w:jc w:val="both"/>
        <w:rPr>
          <w:rFonts w:ascii="Californian FB" w:hAnsi="Californian FB"/>
        </w:rPr>
      </w:pPr>
    </w:p>
    <w:p w14:paraId="6FD237EE" w14:textId="1C47111E" w:rsidR="00D74C11" w:rsidRDefault="00D74C11" w:rsidP="00D74C11">
      <w:pPr>
        <w:jc w:val="both"/>
        <w:rPr>
          <w:rFonts w:ascii="Californian FB" w:hAnsi="Californian FB"/>
        </w:rPr>
      </w:pPr>
      <w:r>
        <w:rPr>
          <w:rFonts w:ascii="Californian FB" w:hAnsi="Californian FB"/>
        </w:rPr>
        <w:t xml:space="preserve">Similarly, on health infrastructure, a significant number of health facility infrastructures exists with </w:t>
      </w:r>
      <w:r w:rsidRPr="00D74C11">
        <w:rPr>
          <w:rFonts w:ascii="Californian FB" w:hAnsi="Californian FB"/>
        </w:rPr>
        <w:t xml:space="preserve">14 </w:t>
      </w:r>
      <w:r>
        <w:rPr>
          <w:rFonts w:ascii="Californian FB" w:hAnsi="Californian FB"/>
        </w:rPr>
        <w:t xml:space="preserve">out of 47 </w:t>
      </w:r>
      <w:r w:rsidRPr="00D74C11">
        <w:rPr>
          <w:rFonts w:ascii="Californian FB" w:hAnsi="Californian FB"/>
        </w:rPr>
        <w:t xml:space="preserve">counties below the </w:t>
      </w:r>
      <w:r>
        <w:rPr>
          <w:rFonts w:ascii="Californian FB" w:hAnsi="Californian FB"/>
        </w:rPr>
        <w:t>threshold of</w:t>
      </w:r>
      <w:r w:rsidRPr="00D74C11">
        <w:rPr>
          <w:rFonts w:ascii="Californian FB" w:hAnsi="Californian FB"/>
        </w:rPr>
        <w:t xml:space="preserve"> 2 health facilities per 10,000 pop</w:t>
      </w:r>
      <w:r>
        <w:rPr>
          <w:rFonts w:ascii="Californian FB" w:hAnsi="Californian FB"/>
        </w:rPr>
        <w:t xml:space="preserve">. Two thirds of the counties have adequate numbers of the health facilities though not operating optimally. </w:t>
      </w:r>
    </w:p>
    <w:p w14:paraId="5795BDC1" w14:textId="24DAA66F" w:rsidR="00D74C11" w:rsidRDefault="0035564C" w:rsidP="00D74C11">
      <w:pPr>
        <w:jc w:val="both"/>
        <w:rPr>
          <w:rFonts w:ascii="Californian FB" w:hAnsi="Californian FB"/>
          <w:b/>
          <w:bCs/>
        </w:rPr>
      </w:pPr>
      <w:r w:rsidRPr="0035564C">
        <w:rPr>
          <w:rFonts w:ascii="Californian FB" w:hAnsi="Californian FB"/>
          <w:b/>
          <w:bCs/>
        </w:rPr>
        <w:t>Health facility density by county /10,000 pop</w:t>
      </w:r>
      <w:r>
        <w:rPr>
          <w:rFonts w:ascii="Californian FB" w:hAnsi="Californian FB"/>
          <w:b/>
          <w:bCs/>
        </w:rPr>
        <w:t>ulation in 2018</w:t>
      </w:r>
    </w:p>
    <w:p w14:paraId="5C0AC955" w14:textId="17B13360" w:rsidR="0035564C" w:rsidRPr="00D74C11" w:rsidRDefault="0035564C" w:rsidP="00D74C11">
      <w:pPr>
        <w:jc w:val="both"/>
        <w:rPr>
          <w:rFonts w:ascii="Californian FB" w:hAnsi="Californian FB"/>
        </w:rPr>
      </w:pPr>
      <w:r w:rsidRPr="0035564C">
        <w:rPr>
          <w:rFonts w:ascii="Californian FB" w:hAnsi="Californian FB"/>
          <w:noProof/>
        </w:rPr>
        <w:drawing>
          <wp:inline distT="0" distB="0" distL="0" distR="0" wp14:anchorId="040CBA21" wp14:editId="3B75E8BD">
            <wp:extent cx="5943600" cy="2538095"/>
            <wp:effectExtent l="0" t="0" r="0" b="0"/>
            <wp:docPr id="41988" name="Picture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1988" name="Picture 5"/>
                    <pic:cNvPicPr>
                      <a:picLocks noGrp="1"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2538095"/>
                    </a:xfrm>
                    <a:prstGeom prst="rect">
                      <a:avLst/>
                    </a:prstGeom>
                    <a:noFill/>
                    <a:ln>
                      <a:noFill/>
                    </a:ln>
                    <a:extLst>
                      <a:ext uri="{AF507438-7753-43E0-B8FC-AC1667EBCBE1}">
                        <a14:hiddenEffects xmlns:a14="http://schemas.microsoft.com/office/drawing/2010/main">
                          <a:effectLst>
                            <a:outerShdw dist="17961" dir="2700000" algn="ctr" rotWithShape="0">
                              <a:srgbClr val="116889"/>
                            </a:outerShdw>
                          </a:effectLst>
                        </a14:hiddenEffects>
                      </a:ext>
                    </a:extLst>
                  </pic:spPr>
                </pic:pic>
              </a:graphicData>
            </a:graphic>
          </wp:inline>
        </w:drawing>
      </w:r>
    </w:p>
    <w:p w14:paraId="5C454D8F" w14:textId="7F31C3B3" w:rsidR="00C702AF" w:rsidRDefault="00C702AF" w:rsidP="00C702AF">
      <w:pPr>
        <w:jc w:val="both"/>
        <w:rPr>
          <w:rFonts w:ascii="Californian FB" w:hAnsi="Californian FB"/>
        </w:rPr>
      </w:pPr>
      <w:r>
        <w:rPr>
          <w:rFonts w:ascii="Californian FB" w:hAnsi="Californian FB"/>
        </w:rPr>
        <w:t xml:space="preserve">On the other hand, </w:t>
      </w:r>
      <w:r w:rsidRPr="00C702AF">
        <w:rPr>
          <w:rFonts w:ascii="Californian FB" w:hAnsi="Californian FB"/>
        </w:rPr>
        <w:t xml:space="preserve">12/47 Counties </w:t>
      </w:r>
      <w:r>
        <w:rPr>
          <w:rFonts w:ascii="Californian FB" w:hAnsi="Californian FB"/>
        </w:rPr>
        <w:t xml:space="preserve">had </w:t>
      </w:r>
      <w:r w:rsidRPr="00C702AF">
        <w:rPr>
          <w:rFonts w:ascii="Californian FB" w:hAnsi="Californian FB"/>
        </w:rPr>
        <w:t>above the recommended standard of 18 beds per 10,000 population</w:t>
      </w:r>
      <w:r>
        <w:rPr>
          <w:rFonts w:ascii="Californian FB" w:hAnsi="Californian FB"/>
        </w:rPr>
        <w:t xml:space="preserve"> while three quarters of the counties had below the average recommended </w:t>
      </w:r>
      <w:r w:rsidRPr="00C702AF">
        <w:rPr>
          <w:rFonts w:ascii="Californian FB" w:hAnsi="Californian FB"/>
        </w:rPr>
        <w:t>Health facility bed density/ 10,000 population by county</w:t>
      </w:r>
      <w:r>
        <w:rPr>
          <w:rFonts w:ascii="Californian FB" w:hAnsi="Californian FB"/>
        </w:rPr>
        <w:t>.</w:t>
      </w:r>
    </w:p>
    <w:p w14:paraId="13B4190D" w14:textId="2EB9C9A1" w:rsidR="00C702AF" w:rsidRDefault="00C702AF" w:rsidP="00C702AF">
      <w:pPr>
        <w:jc w:val="both"/>
        <w:rPr>
          <w:rFonts w:ascii="Californian FB" w:hAnsi="Californian FB"/>
        </w:rPr>
      </w:pPr>
      <w:r w:rsidRPr="00C702AF">
        <w:rPr>
          <w:rFonts w:ascii="Californian FB" w:hAnsi="Californian FB"/>
        </w:rPr>
        <w:t>Health facility bed density/ 10,000 population by county</w:t>
      </w:r>
    </w:p>
    <w:p w14:paraId="4574E4DA" w14:textId="138E3459" w:rsidR="00C702AF" w:rsidRPr="00C702AF" w:rsidRDefault="00C702AF" w:rsidP="00C702AF">
      <w:pPr>
        <w:jc w:val="both"/>
        <w:rPr>
          <w:rFonts w:ascii="Californian FB" w:hAnsi="Californian FB"/>
        </w:rPr>
      </w:pPr>
      <w:r w:rsidRPr="00C702AF">
        <w:rPr>
          <w:rFonts w:ascii="Californian FB" w:hAnsi="Californian FB"/>
          <w:noProof/>
        </w:rPr>
        <w:lastRenderedPageBreak/>
        <w:drawing>
          <wp:inline distT="0" distB="0" distL="0" distR="0" wp14:anchorId="517B03FC" wp14:editId="4EBAA2C9">
            <wp:extent cx="5943600" cy="2655570"/>
            <wp:effectExtent l="0" t="0" r="0" b="0"/>
            <wp:docPr id="430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1"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655570"/>
                    </a:xfrm>
                    <a:prstGeom prst="rect">
                      <a:avLst/>
                    </a:prstGeom>
                    <a:noFill/>
                    <a:ln>
                      <a:noFill/>
                    </a:ln>
                    <a:effectLst/>
                    <a:extLst/>
                  </pic:spPr>
                </pic:pic>
              </a:graphicData>
            </a:graphic>
          </wp:inline>
        </w:drawing>
      </w:r>
    </w:p>
    <w:p w14:paraId="22EA3D65" w14:textId="56069C13" w:rsidR="00856E99" w:rsidRDefault="00856E99" w:rsidP="00EF031C">
      <w:pPr>
        <w:spacing w:after="0"/>
        <w:jc w:val="both"/>
        <w:rPr>
          <w:rFonts w:ascii="Californian FB" w:hAnsi="Californian FB"/>
        </w:rPr>
      </w:pPr>
    </w:p>
    <w:p w14:paraId="0F421C64" w14:textId="6A4BCF2F" w:rsidR="00856E99" w:rsidRDefault="008F2CDC" w:rsidP="00EF031C">
      <w:pPr>
        <w:spacing w:after="0"/>
        <w:jc w:val="both"/>
        <w:rPr>
          <w:rFonts w:ascii="Californian FB" w:hAnsi="Californian FB"/>
        </w:rPr>
      </w:pPr>
      <w:r>
        <w:rPr>
          <w:rFonts w:ascii="Californian FB" w:hAnsi="Californian FB"/>
        </w:rPr>
        <w:t xml:space="preserve">Availability of </w:t>
      </w:r>
      <w:r w:rsidRPr="008F2CDC">
        <w:rPr>
          <w:rFonts w:ascii="Californian FB" w:hAnsi="Californian FB"/>
        </w:rPr>
        <w:t>Major equipment</w:t>
      </w:r>
    </w:p>
    <w:p w14:paraId="49C176CF" w14:textId="77777777" w:rsidR="008F2CDC" w:rsidRDefault="008F2CDC" w:rsidP="00EF031C">
      <w:pPr>
        <w:spacing w:after="0"/>
        <w:jc w:val="both"/>
        <w:rPr>
          <w:rFonts w:ascii="Californian FB" w:hAnsi="Californian FB"/>
        </w:rPr>
      </w:pPr>
    </w:p>
    <w:p w14:paraId="1DF7C1B0" w14:textId="0F64A676" w:rsidR="008F2CDC" w:rsidRDefault="008F2CDC" w:rsidP="00EF031C">
      <w:pPr>
        <w:spacing w:after="0"/>
        <w:jc w:val="both"/>
        <w:rPr>
          <w:rFonts w:ascii="Californian FB" w:hAnsi="Californian FB"/>
        </w:rPr>
      </w:pPr>
      <w:r w:rsidRPr="008F2CDC">
        <w:rPr>
          <w:rFonts w:ascii="Californian FB" w:hAnsi="Californian FB"/>
          <w:noProof/>
        </w:rPr>
        <w:drawing>
          <wp:inline distT="0" distB="0" distL="0" distR="0" wp14:anchorId="2352BF2E" wp14:editId="5330419A">
            <wp:extent cx="5943600" cy="2840990"/>
            <wp:effectExtent l="0" t="0" r="0" b="0"/>
            <wp:docPr id="44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35"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840990"/>
                    </a:xfrm>
                    <a:prstGeom prst="rect">
                      <a:avLst/>
                    </a:prstGeom>
                    <a:noFill/>
                    <a:ln>
                      <a:noFill/>
                    </a:ln>
                    <a:effectLst/>
                    <a:extLst/>
                  </pic:spPr>
                </pic:pic>
              </a:graphicData>
            </a:graphic>
          </wp:inline>
        </w:drawing>
      </w:r>
    </w:p>
    <w:p w14:paraId="1E413FAB" w14:textId="77777777" w:rsidR="008F2CDC" w:rsidRDefault="008F2CDC" w:rsidP="00EF031C">
      <w:pPr>
        <w:spacing w:after="0"/>
        <w:jc w:val="both"/>
        <w:rPr>
          <w:rFonts w:ascii="Californian FB" w:hAnsi="Californian FB"/>
        </w:rPr>
      </w:pPr>
    </w:p>
    <w:p w14:paraId="04461777" w14:textId="77777777" w:rsidR="00EF031C" w:rsidRPr="00BD7393" w:rsidRDefault="00EF031C" w:rsidP="00EF031C">
      <w:pPr>
        <w:spacing w:after="0"/>
        <w:jc w:val="both"/>
        <w:rPr>
          <w:rFonts w:ascii="Californian FB" w:hAnsi="Californian FB"/>
          <w:b/>
        </w:rPr>
      </w:pPr>
      <w:r w:rsidRPr="00BD7393">
        <w:rPr>
          <w:rFonts w:ascii="Californian FB" w:hAnsi="Californian FB"/>
          <w:b/>
        </w:rPr>
        <w:t>Analysis, dissemination and use of evidence</w:t>
      </w:r>
    </w:p>
    <w:p w14:paraId="0FFED3E6" w14:textId="77777777" w:rsidR="00EF031C" w:rsidRPr="00EF031C" w:rsidRDefault="00EF031C" w:rsidP="00EF031C">
      <w:pPr>
        <w:pStyle w:val="Heading1"/>
        <w:spacing w:before="0"/>
        <w:rPr>
          <w:rFonts w:ascii="Californian FB" w:eastAsiaTheme="minorHAnsi" w:hAnsi="Californian FB" w:cstheme="minorBidi"/>
          <w:b w:val="0"/>
          <w:bCs w:val="0"/>
          <w:color w:val="auto"/>
          <w:sz w:val="22"/>
          <w:szCs w:val="22"/>
          <w:lang w:val="en-US"/>
        </w:rPr>
      </w:pPr>
      <w:r w:rsidRPr="00EF031C">
        <w:rPr>
          <w:rFonts w:eastAsiaTheme="minorHAnsi" w:cstheme="minorBidi"/>
          <w:color w:val="auto"/>
        </w:rPr>
        <w:br w:type="page"/>
      </w:r>
    </w:p>
    <w:p w14:paraId="6AE858BF" w14:textId="77777777" w:rsidR="00BD7393" w:rsidRPr="00A84459" w:rsidRDefault="00BD7393" w:rsidP="00BD7393">
      <w:pPr>
        <w:pStyle w:val="Heading1"/>
        <w:tabs>
          <w:tab w:val="left" w:pos="3420"/>
        </w:tabs>
        <w:jc w:val="both"/>
        <w:rPr>
          <w:rFonts w:ascii="Californian FB" w:eastAsiaTheme="minorHAnsi" w:hAnsi="Californian FB" w:cstheme="minorBidi"/>
          <w:bCs w:val="0"/>
          <w:color w:val="auto"/>
          <w:sz w:val="22"/>
          <w:szCs w:val="22"/>
          <w:lang w:val="en-US"/>
        </w:rPr>
      </w:pPr>
      <w:bookmarkStart w:id="19" w:name="_Toc520711809"/>
      <w:bookmarkStart w:id="20" w:name="_Toc520793112"/>
      <w:r w:rsidRPr="00A84459">
        <w:rPr>
          <w:rFonts w:ascii="Californian FB" w:eastAsiaTheme="minorHAnsi" w:hAnsi="Californian FB" w:cstheme="minorBidi"/>
          <w:bCs w:val="0"/>
          <w:color w:val="auto"/>
          <w:sz w:val="22"/>
          <w:szCs w:val="22"/>
          <w:lang w:val="en-US"/>
        </w:rPr>
        <w:lastRenderedPageBreak/>
        <w:t>2.0 Program Description and Frameworks: Positioning of UHC in the Nexus of the Big4 Agenda</w:t>
      </w:r>
      <w:bookmarkEnd w:id="19"/>
      <w:bookmarkEnd w:id="20"/>
      <w:r w:rsidRPr="00A84459">
        <w:rPr>
          <w:rFonts w:ascii="Californian FB" w:eastAsiaTheme="minorHAnsi" w:hAnsi="Californian FB" w:cstheme="minorBidi"/>
          <w:bCs w:val="0"/>
          <w:color w:val="auto"/>
          <w:sz w:val="22"/>
          <w:szCs w:val="22"/>
          <w:lang w:val="en-US"/>
        </w:rPr>
        <w:tab/>
      </w:r>
    </w:p>
    <w:p w14:paraId="6EA18288" w14:textId="77777777" w:rsidR="00BD7393" w:rsidRPr="00BD7393" w:rsidRDefault="00BD7393" w:rsidP="00BD7393">
      <w:pPr>
        <w:jc w:val="both"/>
        <w:rPr>
          <w:rFonts w:ascii="Californian FB" w:hAnsi="Californian FB"/>
        </w:rPr>
      </w:pPr>
    </w:p>
    <w:p w14:paraId="451991DE" w14:textId="0610551E" w:rsidR="00BD7393" w:rsidRPr="00BD7393" w:rsidRDefault="00BD7393" w:rsidP="00BD7393">
      <w:pPr>
        <w:pStyle w:val="BodyText"/>
        <w:spacing w:after="0"/>
        <w:rPr>
          <w:rFonts w:ascii="Californian FB" w:eastAsiaTheme="minorHAnsi" w:hAnsi="Californian FB" w:cstheme="minorBidi"/>
          <w:lang w:val="en-US" w:eastAsia="en-US"/>
        </w:rPr>
      </w:pPr>
      <w:r w:rsidRPr="00BD7393">
        <w:rPr>
          <w:rFonts w:ascii="Californian FB" w:eastAsiaTheme="minorHAnsi" w:hAnsi="Californian FB" w:cstheme="minorBidi"/>
          <w:highlight w:val="yellow"/>
          <w:lang w:val="en-US" w:eastAsia="en-US"/>
        </w:rPr>
        <w:t>Briefly give an overview of the</w:t>
      </w:r>
      <w:r>
        <w:rPr>
          <w:rFonts w:ascii="Californian FB" w:eastAsiaTheme="minorHAnsi" w:hAnsi="Californian FB" w:cstheme="minorBidi"/>
          <w:highlight w:val="yellow"/>
          <w:lang w:val="en-US" w:eastAsia="en-US"/>
        </w:rPr>
        <w:t xml:space="preserve"> Pilot/</w:t>
      </w:r>
      <w:r w:rsidRPr="00BD7393">
        <w:rPr>
          <w:rFonts w:ascii="Californian FB" w:eastAsiaTheme="minorHAnsi" w:hAnsi="Californian FB" w:cstheme="minorBidi"/>
          <w:highlight w:val="yellow"/>
          <w:lang w:val="en-US" w:eastAsia="en-US"/>
        </w:rPr>
        <w:t xml:space="preserve"> project (usually the summary from the project proposal is sufficient).  Give the reader an indication of why the UHC is relevant to your organisation and the community at large by relating the project to your organisation’s vision</w:t>
      </w:r>
      <w:r w:rsidRPr="00BD7393">
        <w:rPr>
          <w:rFonts w:ascii="Californian FB" w:eastAsiaTheme="minorHAnsi" w:hAnsi="Californian FB" w:cstheme="minorBidi"/>
          <w:lang w:val="en-US" w:eastAsia="en-US"/>
        </w:rPr>
        <w:t>.</w:t>
      </w:r>
    </w:p>
    <w:p w14:paraId="00FDD23C" w14:textId="77777777" w:rsidR="00BD7393" w:rsidRPr="00BD7393" w:rsidRDefault="00BD7393" w:rsidP="00BD7393">
      <w:pPr>
        <w:rPr>
          <w:rFonts w:ascii="Californian FB" w:hAnsi="Californian FB"/>
        </w:rPr>
      </w:pPr>
    </w:p>
    <w:p w14:paraId="24770072" w14:textId="77777777" w:rsidR="00BD7393" w:rsidRPr="00BD7393" w:rsidRDefault="00BD7393" w:rsidP="00BD7393">
      <w:pPr>
        <w:jc w:val="both"/>
        <w:rPr>
          <w:rFonts w:ascii="Californian FB" w:hAnsi="Californian FB"/>
        </w:rPr>
      </w:pPr>
      <w:r w:rsidRPr="00BD7393">
        <w:rPr>
          <w:rFonts w:ascii="Californian FB" w:hAnsi="Californian FB"/>
        </w:rPr>
        <w:t xml:space="preserve">The following principles have been identified to guide action in prioritizing and implementing HSS: </w:t>
      </w:r>
    </w:p>
    <w:p w14:paraId="0458D52F" w14:textId="77777777" w:rsidR="00BD7393" w:rsidRPr="00BD7393" w:rsidRDefault="00BD7393" w:rsidP="00203568">
      <w:pPr>
        <w:pStyle w:val="ListParagraph"/>
        <w:numPr>
          <w:ilvl w:val="0"/>
          <w:numId w:val="51"/>
        </w:numPr>
        <w:spacing w:after="0" w:line="240" w:lineRule="auto"/>
        <w:jc w:val="both"/>
        <w:rPr>
          <w:rFonts w:ascii="Californian FB" w:hAnsi="Californian FB"/>
          <w:lang w:val="en-US"/>
        </w:rPr>
      </w:pPr>
      <w:r w:rsidRPr="00BD7393">
        <w:rPr>
          <w:rFonts w:ascii="Californian FB" w:hAnsi="Californian FB"/>
          <w:lang w:val="en-US"/>
        </w:rPr>
        <w:t xml:space="preserve">Leaving no one behind: a commitment to equity, non-discrimination and a human rights-based approach </w:t>
      </w:r>
    </w:p>
    <w:p w14:paraId="5EF71ACA" w14:textId="77777777" w:rsidR="00BD7393" w:rsidRPr="00BD7393" w:rsidRDefault="00BD7393" w:rsidP="00203568">
      <w:pPr>
        <w:pStyle w:val="ListParagraph"/>
        <w:numPr>
          <w:ilvl w:val="0"/>
          <w:numId w:val="51"/>
        </w:numPr>
        <w:spacing w:after="0" w:line="240" w:lineRule="auto"/>
        <w:jc w:val="both"/>
        <w:rPr>
          <w:rFonts w:ascii="Californian FB" w:hAnsi="Californian FB"/>
          <w:lang w:val="en-US"/>
        </w:rPr>
      </w:pPr>
      <w:r w:rsidRPr="00BD7393">
        <w:rPr>
          <w:rFonts w:ascii="Californian FB" w:hAnsi="Californian FB"/>
          <w:lang w:val="en-US"/>
        </w:rPr>
        <w:t xml:space="preserve">Transparency and accountability for results </w:t>
      </w:r>
    </w:p>
    <w:p w14:paraId="48CBAE1B" w14:textId="77777777" w:rsidR="00BD7393" w:rsidRPr="00BD7393" w:rsidRDefault="00BD7393" w:rsidP="00203568">
      <w:pPr>
        <w:pStyle w:val="ListParagraph"/>
        <w:numPr>
          <w:ilvl w:val="0"/>
          <w:numId w:val="51"/>
        </w:numPr>
        <w:spacing w:after="0" w:line="240" w:lineRule="auto"/>
        <w:jc w:val="both"/>
        <w:rPr>
          <w:rFonts w:ascii="Californian FB" w:hAnsi="Californian FB"/>
          <w:lang w:val="en-US"/>
        </w:rPr>
      </w:pPr>
      <w:r w:rsidRPr="00BD7393">
        <w:rPr>
          <w:rFonts w:ascii="Californian FB" w:hAnsi="Californian FB"/>
          <w:lang w:val="en-US"/>
        </w:rPr>
        <w:t xml:space="preserve">Evidence-based national health strategies and leadership </w:t>
      </w:r>
    </w:p>
    <w:p w14:paraId="48E32790" w14:textId="77777777" w:rsidR="00BD7393" w:rsidRPr="00BD7393" w:rsidRDefault="00BD7393" w:rsidP="00203568">
      <w:pPr>
        <w:pStyle w:val="ListParagraph"/>
        <w:numPr>
          <w:ilvl w:val="0"/>
          <w:numId w:val="51"/>
        </w:numPr>
        <w:spacing w:after="0" w:line="240" w:lineRule="auto"/>
        <w:jc w:val="both"/>
        <w:rPr>
          <w:rFonts w:ascii="Californian FB" w:hAnsi="Californian FB"/>
          <w:lang w:val="en-US"/>
        </w:rPr>
      </w:pPr>
      <w:r w:rsidRPr="00BD7393">
        <w:rPr>
          <w:rFonts w:ascii="Californian FB" w:hAnsi="Californian FB"/>
          <w:lang w:val="en-US"/>
        </w:rPr>
        <w:t xml:space="preserve">Making health systems everybody’s business with engagement of citizens, communities, civil society and private sector </w:t>
      </w:r>
    </w:p>
    <w:p w14:paraId="4D718C6A" w14:textId="77777777" w:rsidR="00BD7393" w:rsidRPr="00BD7393" w:rsidRDefault="00BD7393" w:rsidP="00203568">
      <w:pPr>
        <w:pStyle w:val="ListParagraph"/>
        <w:numPr>
          <w:ilvl w:val="0"/>
          <w:numId w:val="51"/>
        </w:numPr>
        <w:spacing w:after="0" w:line="240" w:lineRule="auto"/>
        <w:jc w:val="both"/>
        <w:rPr>
          <w:rFonts w:ascii="Californian FB" w:hAnsi="Californian FB"/>
          <w:lang w:val="en-US"/>
        </w:rPr>
      </w:pPr>
      <w:r w:rsidRPr="00BD7393">
        <w:rPr>
          <w:rFonts w:ascii="Californian FB" w:hAnsi="Californian FB"/>
          <w:lang w:val="en-US"/>
        </w:rPr>
        <w:t>International cooperation based on mutual learning across countries and development effectiveness principles.</w:t>
      </w:r>
    </w:p>
    <w:p w14:paraId="182494D4" w14:textId="77777777" w:rsidR="00BD7393" w:rsidRPr="00BD7393" w:rsidRDefault="00BD7393" w:rsidP="00BD7393">
      <w:pPr>
        <w:jc w:val="both"/>
        <w:rPr>
          <w:rFonts w:ascii="Californian FB" w:hAnsi="Californian FB"/>
        </w:rPr>
      </w:pPr>
    </w:p>
    <w:p w14:paraId="4E6E4615" w14:textId="77777777" w:rsidR="00BD7393" w:rsidRPr="00BD7393" w:rsidRDefault="00BD7393" w:rsidP="00BD7393">
      <w:pPr>
        <w:jc w:val="both"/>
        <w:rPr>
          <w:rFonts w:ascii="Californian FB" w:hAnsi="Californian FB"/>
        </w:rPr>
      </w:pPr>
      <w:r w:rsidRPr="00BD7393">
        <w:rPr>
          <w:rFonts w:ascii="Californian FB" w:hAnsi="Californian FB"/>
        </w:rPr>
        <w:t>HSS for UHC is designed to focus on five dimensions of health system performance: (i) equity; (ii) quality; (iii) responsiveness; (iv) efficiency; and (v) resilience. Kenya has made significant strides in implementation of priorities towards UHC.  The main progress and challenges thereof are outlined below.</w:t>
      </w:r>
    </w:p>
    <w:p w14:paraId="71D8F2AA" w14:textId="0D338C9B" w:rsidR="00BD7393" w:rsidRPr="00BD7393" w:rsidRDefault="00BD7393" w:rsidP="00BD7393">
      <w:pPr>
        <w:jc w:val="both"/>
        <w:rPr>
          <w:rFonts w:ascii="Californian FB" w:hAnsi="Californian FB"/>
        </w:rPr>
      </w:pPr>
      <w:r w:rsidRPr="00BD7393">
        <w:rPr>
          <w:rFonts w:ascii="Californian FB" w:hAnsi="Californian FB"/>
        </w:rPr>
        <w:t xml:space="preserve">Equitable access: Whilst Kenya has made substantial progress towards meeting the </w:t>
      </w:r>
      <w:r w:rsidR="00A84459">
        <w:rPr>
          <w:rFonts w:ascii="Californian FB" w:hAnsi="Californian FB"/>
        </w:rPr>
        <w:t xml:space="preserve">health </w:t>
      </w:r>
      <w:r w:rsidRPr="00BD7393">
        <w:rPr>
          <w:rFonts w:ascii="Californian FB" w:hAnsi="Californian FB"/>
        </w:rPr>
        <w:t xml:space="preserve">Millennium Development Goals (MDGs), this progress has been uneven across specific goals and within the country. Several other programs have been initiated to ensure equity in availability of health services. These include establishment of health facilities in informal settlement, Free Maternity Services among others. </w:t>
      </w:r>
      <w:r w:rsidR="003A725B">
        <w:rPr>
          <w:rFonts w:ascii="Californian FB" w:hAnsi="Californian FB"/>
        </w:rPr>
        <w:t>This M&amp;E Framework will</w:t>
      </w:r>
      <w:r w:rsidRPr="00BD7393">
        <w:rPr>
          <w:rFonts w:ascii="Californian FB" w:hAnsi="Californian FB"/>
        </w:rPr>
        <w:t xml:space="preserve"> focus more on </w:t>
      </w:r>
      <w:r w:rsidR="003A725B">
        <w:rPr>
          <w:rFonts w:ascii="Californian FB" w:hAnsi="Californian FB"/>
        </w:rPr>
        <w:t xml:space="preserve">tracking the </w:t>
      </w:r>
      <w:r w:rsidRPr="00BD7393">
        <w:rPr>
          <w:rFonts w:ascii="Californian FB" w:hAnsi="Californian FB"/>
        </w:rPr>
        <w:t xml:space="preserve">socio-economic equity of benefits in order to make sure that Kenya delivers on its SDG agenda to leave no-one-behind.  Approximately 36% of Kenya have a form of Health Insurance offering financial protection. As a result, approximately 1 million Kenyans fall into poverty every year due to catastrophic health expenditures. Increased healthcare financing will be required to ensure all Kenyans can benefit from UHC. </w:t>
      </w:r>
    </w:p>
    <w:p w14:paraId="48DFB499" w14:textId="77777777" w:rsidR="00BD7393" w:rsidRPr="00BD7393" w:rsidRDefault="00BD7393" w:rsidP="00BD7393">
      <w:pPr>
        <w:jc w:val="both"/>
        <w:rPr>
          <w:rFonts w:ascii="Californian FB" w:hAnsi="Californian FB"/>
        </w:rPr>
      </w:pPr>
      <w:r w:rsidRPr="00BD7393">
        <w:rPr>
          <w:rFonts w:ascii="Californian FB" w:hAnsi="Californian FB"/>
        </w:rPr>
        <w:t xml:space="preserve">Education is a social vaccine and is associated with positive health outcomes. Studies have consistently shown that education attainment has a strong effect on health behaviors and attitudes. Accordingly, teenage girls with no education or those with primary education only, are more likely to begin childbearing compared to those with secondary education and above. The KDHS (2014) indicates that 33% of teenage girls (15-19 years) with no education had begun child bearing compared to 12% of girls with secondary or higher education. Furthermore, teenagers from the poorest households were more likely to experience teenage pregnancy and motherhood (26%) compared to teenagers from wealthiest backgrounds (10%).  Moreover, also between Counties significant inequalities prevail in health outcomes. </w:t>
      </w:r>
    </w:p>
    <w:p w14:paraId="7356B295" w14:textId="77777777" w:rsidR="00BD7393" w:rsidRPr="00BD7393" w:rsidRDefault="00BD7393" w:rsidP="00BD7393">
      <w:pPr>
        <w:jc w:val="both"/>
        <w:rPr>
          <w:rFonts w:ascii="Californian FB" w:hAnsi="Californian FB"/>
        </w:rPr>
      </w:pPr>
      <w:r w:rsidRPr="00BD7393">
        <w:rPr>
          <w:rFonts w:ascii="Californian FB" w:hAnsi="Californian FB"/>
        </w:rPr>
        <w:t xml:space="preserve">According to the Mid-term review report of the Kenya Health Sector Strategic plan (KHSSP 2014-2018), on average, HIV and malaria prevalence were 4 times higher than the national average in 4 counties bordering Lake Victoria: Migori, Kisumu, Siaya and Homa Bay. Urban areas had a substantially higher prevalence of TB compared to rural areas. Four counties: Turkana, Isiolo, Garissa and Kisumu have institutional maternal mortality over 200 per 100,000 deliveries while two counties: Elgeyo-Marakwet and Nyamira have institutional MMR less than 50 per 100,000 deliveries; Basic vaccination stands at 36% coverage in West Pokot to over 95% in Nyamira, Nandi, Kiambu, Kirinyaga &amp; Tharaka-Nithi; regarding non-communicable diseases; the data from the STEPS 2015 show that the prevalence of overweight and obesity have increased, and are reaching epidemic proportions especially </w:t>
      </w:r>
      <w:r w:rsidRPr="00BD7393">
        <w:rPr>
          <w:rFonts w:ascii="Californian FB" w:hAnsi="Californian FB"/>
        </w:rPr>
        <w:lastRenderedPageBreak/>
        <w:t xml:space="preserve">among women, with 38% of the women in Kenya either overweight or obese. County differences in overweight and obesity among women were quite large, with for instance 45% of women in counties in the central region and cities overweight or obese compared to 15% in counties in the arid regions. </w:t>
      </w:r>
    </w:p>
    <w:p w14:paraId="1372B999" w14:textId="77777777" w:rsidR="00BD7393" w:rsidRPr="00BD7393" w:rsidRDefault="00BD7393" w:rsidP="00BD7393">
      <w:pPr>
        <w:jc w:val="both"/>
        <w:rPr>
          <w:rFonts w:ascii="Californian FB" w:hAnsi="Californian FB"/>
        </w:rPr>
      </w:pPr>
      <w:r w:rsidRPr="00BD7393">
        <w:rPr>
          <w:rFonts w:ascii="Californian FB" w:hAnsi="Californian FB"/>
        </w:rPr>
        <w:t>Health system efficiency: The mission of the MOH is to deliberately build progressive, responsive and sustainable technologically-driven, evidence-based and client-centered health system for accelerated attainment of highest standard of health to all Kenyans. The vision is to contribute to being a globally competitive, healthy and productive nation. The mandate of the health sector is to promote and participate in the provision of integrated and high-quality curative, preventive and rehabilitative services that is equitable, responsive, accessible and accountable to Kenyans.</w:t>
      </w:r>
    </w:p>
    <w:p w14:paraId="4094635A" w14:textId="77777777" w:rsidR="00BD7393" w:rsidRPr="00BD7393" w:rsidRDefault="00BD7393" w:rsidP="00BD7393">
      <w:pPr>
        <w:jc w:val="both"/>
        <w:rPr>
          <w:rFonts w:ascii="Californian FB" w:hAnsi="Californian FB"/>
        </w:rPr>
      </w:pPr>
      <w:r w:rsidRPr="00BD7393">
        <w:rPr>
          <w:rFonts w:ascii="Californian FB" w:hAnsi="Californian FB"/>
        </w:rPr>
        <w:t>Over recent years and under the leadership of the MOH, the Health Sector has made important strides towards attaining its mission, but various challenges remain regarding optimization of efficiencies within its health system. The minimum benefit package that should drive the UHC agenda is yet to be defined which makes sufficient costing and planning for efficient delivery of care very challenging.</w:t>
      </w:r>
    </w:p>
    <w:p w14:paraId="7C48A457" w14:textId="77777777" w:rsidR="00BD7393" w:rsidRPr="00BD7393" w:rsidRDefault="00BD7393" w:rsidP="00BD7393">
      <w:pPr>
        <w:jc w:val="both"/>
        <w:rPr>
          <w:rFonts w:ascii="Californian FB" w:hAnsi="Californian FB"/>
        </w:rPr>
      </w:pPr>
      <w:r w:rsidRPr="00BD7393">
        <w:rPr>
          <w:rFonts w:ascii="Californian FB" w:hAnsi="Californian FB"/>
        </w:rPr>
        <w:t xml:space="preserve">In leadership, each County has developed its structures based on what it thought was best without guidance on structural and organizational arrangements, resulting in very different organizational structures among counties. There is no agreed partnership framework at the national and county levels among different stakeholders (government-MOH and counties, Development and implementing partners). Due to this, it is not clear how external resources mobilized from partners are equitably distributed among priorities and counties. There are no systematic resource tracking mechanisms at sector-wide level or even for government health spending at county level. All is hampering health system efficiency. Moreover, the health sector is underfinanced as compared to international benchmarks, which is well reflected in poor performance of PHC, especially prevention, the community strategy, NCDs and curative care. External funding is poorly aligned and harmonized because of the weak coordination, absence of joint annual planning and poor resource mapping. The funds remain largely off-budget (96% of total external resources). </w:t>
      </w:r>
    </w:p>
    <w:p w14:paraId="64AEED60" w14:textId="77777777" w:rsidR="00BD7393" w:rsidRPr="00BD7393" w:rsidRDefault="00BD7393" w:rsidP="00BD7393">
      <w:pPr>
        <w:jc w:val="both"/>
        <w:rPr>
          <w:rFonts w:ascii="Californian FB" w:hAnsi="Californian FB"/>
        </w:rPr>
      </w:pPr>
      <w:r w:rsidRPr="00BD7393">
        <w:rPr>
          <w:rFonts w:ascii="Californian FB" w:hAnsi="Californian FB"/>
        </w:rPr>
        <w:t xml:space="preserve">With increasing numbers of conditional grants going to counties (Free maternity, user fees, HSSF, NHIF), the fragmentation is high and hence the risk of inefficiency. The MOH was able to only spend 68% of the total allocated budget (52% development and 86% recurrent) in the last three years.  </w:t>
      </w:r>
    </w:p>
    <w:p w14:paraId="07E0D5A4" w14:textId="77777777" w:rsidR="00BD7393" w:rsidRPr="00BD7393" w:rsidRDefault="00BD7393" w:rsidP="00BD7393">
      <w:pPr>
        <w:jc w:val="both"/>
        <w:rPr>
          <w:rFonts w:ascii="Californian FB" w:hAnsi="Californian FB"/>
        </w:rPr>
      </w:pPr>
      <w:r w:rsidRPr="00BD7393">
        <w:rPr>
          <w:rFonts w:ascii="Californian FB" w:hAnsi="Californian FB"/>
        </w:rPr>
        <w:t xml:space="preserve">Furthermore, Kenya has only been able to fill in 15% the approved positions in all health facilities; the gap is much worse in primary care facilities (13%) than in tertiary ones (30%). There is inequity in the distribution of workforce: urban–rural, regions with high and low socioeconomic development. Moreover, specialized medical care is mostly available in urban areas. Delayed promotions, issues around non-practice and call allowance, unpaid salaries, non-payment of school fees, non-remittance of NHIF salary deductions resulting in salary discrepancies especially between former local government and MOH staff, together are the major challenges in the management of the human resources. These challenges are causing industrial unrest in some counties. </w:t>
      </w:r>
    </w:p>
    <w:p w14:paraId="1AD47144" w14:textId="77777777" w:rsidR="00BD7393" w:rsidRPr="00BD7393" w:rsidRDefault="00BD7393" w:rsidP="00BD7393">
      <w:pPr>
        <w:jc w:val="both"/>
        <w:rPr>
          <w:rFonts w:ascii="Californian FB" w:hAnsi="Californian FB"/>
        </w:rPr>
      </w:pPr>
      <w:r w:rsidRPr="00BD7393">
        <w:rPr>
          <w:rFonts w:ascii="Californian FB" w:hAnsi="Californian FB"/>
        </w:rPr>
        <w:t xml:space="preserve">There is a high level of absenteeism of human resources as shown by recent studies, which show high efficiency gap.  </w:t>
      </w:r>
    </w:p>
    <w:p w14:paraId="6309F78C" w14:textId="77777777" w:rsidR="00BD7393" w:rsidRPr="00BD7393" w:rsidRDefault="00BD7393" w:rsidP="00BD7393">
      <w:pPr>
        <w:jc w:val="both"/>
        <w:rPr>
          <w:rFonts w:ascii="Californian FB" w:hAnsi="Californian FB"/>
        </w:rPr>
      </w:pPr>
      <w:r w:rsidRPr="00BD7393">
        <w:rPr>
          <w:rFonts w:ascii="Californian FB" w:hAnsi="Californian FB"/>
        </w:rPr>
        <w:t xml:space="preserve">In health infrastructure, the average population living within 5 Km from the health facility (the norm) is about 62%. There has been concerted efforts by both National and county Governments toward equipping health facilities. Despite the efforts, gaps remain with   facilities having inadequate and dilapidated equipment and with some not meeting the required norms and standards.  </w:t>
      </w:r>
    </w:p>
    <w:p w14:paraId="646508B2" w14:textId="77777777" w:rsidR="00BD7393" w:rsidRPr="00BD7393" w:rsidRDefault="00BD7393" w:rsidP="00BD7393">
      <w:pPr>
        <w:jc w:val="both"/>
        <w:rPr>
          <w:rFonts w:ascii="Californian FB" w:hAnsi="Californian FB"/>
        </w:rPr>
      </w:pPr>
      <w:r w:rsidRPr="00BD7393">
        <w:rPr>
          <w:rFonts w:ascii="Californian FB" w:hAnsi="Californian FB"/>
        </w:rPr>
        <w:lastRenderedPageBreak/>
        <w:t xml:space="preserve">In health policy and systems research, understaffing of the unit and inadequate capacity to undertake policy relevant and demand driven research as well as packaging the findings to meet policy makers’ interests remain major gaps.  </w:t>
      </w:r>
    </w:p>
    <w:p w14:paraId="3BA3399E" w14:textId="77777777" w:rsidR="00BD7393" w:rsidRPr="00BD7393" w:rsidRDefault="00BD7393" w:rsidP="00BD7393">
      <w:pPr>
        <w:jc w:val="both"/>
        <w:rPr>
          <w:rFonts w:ascii="Californian FB" w:hAnsi="Californian FB"/>
        </w:rPr>
      </w:pPr>
      <w:r w:rsidRPr="00BD7393">
        <w:rPr>
          <w:rFonts w:ascii="Californian FB" w:hAnsi="Californian FB"/>
        </w:rPr>
        <w:t xml:space="preserve">Quality of health care: This is the degree to which health services for individuals and populations increase the likelihood of desired health outcomes and are consistent with current professional knowledge. Shortfalls in quality result in avoidable risks for patients and under-performance of health systems relative to what can be achieved with available resources. </w:t>
      </w:r>
    </w:p>
    <w:p w14:paraId="3E8AC2DE" w14:textId="77777777" w:rsidR="00BD7393" w:rsidRPr="00BD7393" w:rsidRDefault="00BD7393" w:rsidP="00BD7393">
      <w:pPr>
        <w:jc w:val="both"/>
        <w:rPr>
          <w:rFonts w:ascii="Californian FB" w:hAnsi="Californian FB"/>
        </w:rPr>
      </w:pPr>
      <w:r w:rsidRPr="00BD7393">
        <w:rPr>
          <w:rFonts w:ascii="Californian FB" w:hAnsi="Californian FB"/>
        </w:rPr>
        <w:t xml:space="preserve">Under health leadership, investment is taking place at both levels of the government to improve stewardship, implementation of appropriate system of health governance and consolidating health partnership arrangements. The 2017 Health Act and Kenya Health Policy (2014-2030), and norms and standards (e.g. HRH, and Health Infrastructure, HPT) are offering overall guidance to the health sector in the delivery of quality care. Counties established their health service management structures. In addition, more specific service delivery related policies, strategies and guidelines that translated the overall health policy and strategy into action are being developed. </w:t>
      </w:r>
    </w:p>
    <w:p w14:paraId="1CA08F2C" w14:textId="77777777" w:rsidR="00BD7393" w:rsidRPr="00BD7393" w:rsidRDefault="00BD7393" w:rsidP="00BD7393">
      <w:pPr>
        <w:jc w:val="both"/>
        <w:rPr>
          <w:rFonts w:ascii="Californian FB" w:hAnsi="Californian FB"/>
        </w:rPr>
      </w:pPr>
      <w:r w:rsidRPr="00BD7393">
        <w:rPr>
          <w:rFonts w:ascii="Californian FB" w:hAnsi="Californian FB"/>
        </w:rPr>
        <w:t xml:space="preserve">In human resources, devolution created an enabling environment for counties to employ more staff which enhanced the health worker population ratio especially in hard to reach areas. Kenya has 14 doctors per 100,000 populations and only 42 nurses per 100,000 respectively in 2016. Some counties have also started to work on motivation and retention mechanisms. For example, Garissa County has upgraded health worker’s salaries by two job groups and developed a retention package for its workers.  </w:t>
      </w:r>
    </w:p>
    <w:p w14:paraId="05026E3B" w14:textId="77777777" w:rsidR="00BD7393" w:rsidRPr="00BD7393" w:rsidRDefault="00BD7393" w:rsidP="00BD7393">
      <w:pPr>
        <w:jc w:val="both"/>
        <w:rPr>
          <w:rFonts w:ascii="Californian FB" w:hAnsi="Californian FB"/>
        </w:rPr>
      </w:pPr>
      <w:r w:rsidRPr="00BD7393">
        <w:rPr>
          <w:rFonts w:ascii="Californian FB" w:hAnsi="Californian FB"/>
        </w:rPr>
        <w:t xml:space="preserve">With regards to Health Infrastructure Systems Strengthening, the Managed Equipment Supply (MES) programme helped to embark on a comprehensive programme to upgrade 98 hospitals, 2 in each of the 47 Counties and in the 4 National hospitals. There is also an effort to upgrade slum clinics. Counties have started to improve their infrastructure as can be seen throughout the Country. </w:t>
      </w:r>
    </w:p>
    <w:p w14:paraId="6F6C8A06" w14:textId="77777777" w:rsidR="00BD7393" w:rsidRPr="00BD7393" w:rsidRDefault="00BD7393" w:rsidP="00BD7393">
      <w:pPr>
        <w:jc w:val="both"/>
        <w:rPr>
          <w:rFonts w:ascii="Californian FB" w:hAnsi="Californian FB"/>
        </w:rPr>
      </w:pPr>
      <w:r w:rsidRPr="00BD7393">
        <w:rPr>
          <w:rFonts w:ascii="Californian FB" w:hAnsi="Californian FB"/>
        </w:rPr>
        <w:t xml:space="preserve">In health products and technology, the ability of KEMSA to respond to requests improved, with its fill rate increased from 50% in 2013/14 to 85% in 2015/16. Training of over 3,000 health workers on the Logistics Management Information System (LMIS) has improved turnaround time of medical commodities. It has reduced from 12 days in 2013/14, to 10 days in 2014/15 and to 9 days in 2015/16.  The development and functioning of the LMIS and the use of WhatsApp to follow-up stock levels have helped to monitor and reduce stock-outs. All have contributed to increased availability of essential medicine and supplies at all service delivery levels which again enables timely provision of quality care. </w:t>
      </w:r>
    </w:p>
    <w:p w14:paraId="0FCE92BC" w14:textId="77777777" w:rsidR="00BD7393" w:rsidRPr="00BD7393" w:rsidRDefault="00BD7393" w:rsidP="00BD7393">
      <w:pPr>
        <w:jc w:val="both"/>
        <w:rPr>
          <w:rFonts w:ascii="Californian FB" w:hAnsi="Californian FB"/>
        </w:rPr>
      </w:pPr>
      <w:r w:rsidRPr="00BD7393">
        <w:rPr>
          <w:rFonts w:ascii="Californian FB" w:hAnsi="Californian FB"/>
        </w:rPr>
        <w:t>However, and nevertheless the improvements described above, there are also gaps in improving the quality of care. These include inadequate numbers of Human Resources for Health, and capacity of staff at national and county levels in the area of standards and quality assurance; bottlenecks in supply chain management systems for health commodities and supplies; insufficient planning, maintenance, and quality control over infrastructure and equipment; and insufficient inter-operationality between and capacities within the existing health management information systems to facilitate solid evidence based decision making.</w:t>
      </w:r>
    </w:p>
    <w:p w14:paraId="663A1E85" w14:textId="77777777" w:rsidR="00BD7393" w:rsidRPr="00BD7393" w:rsidRDefault="00BD7393" w:rsidP="00BD7393">
      <w:pPr>
        <w:jc w:val="both"/>
        <w:rPr>
          <w:rFonts w:ascii="Californian FB" w:hAnsi="Californian FB"/>
        </w:rPr>
      </w:pPr>
      <w:r w:rsidRPr="00BD7393">
        <w:rPr>
          <w:rFonts w:ascii="Californian FB" w:hAnsi="Californian FB"/>
        </w:rPr>
        <w:t>Responsiveness: The concept of responsiveness refers to the extent to which a health system meets people’s expectations and preferences concerning non-health matters, including the importance of respecting people’s dignity, socio-cultural beliefs and preferences, autonomy and the confidentiality of information, besides responding to the needs and demand of patients.</w:t>
      </w:r>
    </w:p>
    <w:p w14:paraId="618CFC0A" w14:textId="77777777" w:rsidR="00BD7393" w:rsidRPr="00BD7393" w:rsidRDefault="00BD7393" w:rsidP="00BD7393">
      <w:pPr>
        <w:jc w:val="both"/>
        <w:rPr>
          <w:rFonts w:ascii="Californian FB" w:hAnsi="Californian FB"/>
        </w:rPr>
      </w:pPr>
      <w:r w:rsidRPr="00BD7393">
        <w:rPr>
          <w:rFonts w:ascii="Californian FB" w:hAnsi="Californian FB"/>
        </w:rPr>
        <w:lastRenderedPageBreak/>
        <w:t xml:space="preserve">Resilience: Although resilience lacks a formally accepted definition, within the context of Kenyan UHC Roadmap, Resilience is referred to here as “the capacity of health actors, institutions, and populations to prepare for and effectively respond to crises; maintain core functions when a crisis hits; and, informed by lessons learned during the crisis, reorganize if conditions require it.” </w:t>
      </w:r>
    </w:p>
    <w:p w14:paraId="46CCB0A4" w14:textId="77777777" w:rsidR="00BD7393" w:rsidRPr="00BD7393" w:rsidRDefault="00BD7393" w:rsidP="00BD7393">
      <w:pPr>
        <w:jc w:val="both"/>
        <w:rPr>
          <w:rFonts w:ascii="Californian FB" w:hAnsi="Californian FB"/>
        </w:rPr>
      </w:pPr>
      <w:r w:rsidRPr="00BD7393">
        <w:rPr>
          <w:rFonts w:ascii="Californian FB" w:hAnsi="Californian FB"/>
        </w:rPr>
        <w:t xml:space="preserve">In order to progressively move towards achieving Universal Health Coverage, the Government has committed to implement various interventions that will facilitate the achievement of the above objectives. These include the scaling up of NHIF coverage to 100 per cent of the population; improving systems at NHIF; aligning the NHIF Act to UHC and allowing Public Private Partnership in Insurance; mobilizing additional funding to the health sector and implementing various programs and projects that are meant to improve access and quality of healthcare services across the country. These interventions the Government is undertaking are in line with the current global health agenda and the SDGs 3 goal (specifically target 3.8) under the 2030 agenda that is increasingly focusing on the goal of achieving universal coverage in health as well as the national policies, including the Kenya Vision 2030 and the Kenya Health Policy, 2014-2030. </w:t>
      </w:r>
    </w:p>
    <w:p w14:paraId="096A307B" w14:textId="77777777" w:rsidR="00BD7393" w:rsidRPr="00BD7393" w:rsidRDefault="00BD7393" w:rsidP="00BD7393">
      <w:pPr>
        <w:jc w:val="both"/>
        <w:rPr>
          <w:rFonts w:ascii="Californian FB" w:hAnsi="Californian FB"/>
        </w:rPr>
      </w:pPr>
      <w:r w:rsidRPr="00BD7393">
        <w:rPr>
          <w:rFonts w:ascii="Californian FB" w:hAnsi="Californian FB"/>
        </w:rPr>
        <w:t xml:space="preserve">Further, it is recognized that the role of the county governments, other government ministries, departments and agencies and other stakeholders including partners, private sector, and civil society will be critical in moving towards Universal Health Coverage.  </w:t>
      </w:r>
    </w:p>
    <w:p w14:paraId="49D287D2" w14:textId="77777777" w:rsidR="00BD7393" w:rsidRPr="00BD7393" w:rsidRDefault="00BD7393" w:rsidP="00BD7393">
      <w:pPr>
        <w:pStyle w:val="BodyText"/>
        <w:spacing w:after="0"/>
        <w:rPr>
          <w:rFonts w:ascii="Californian FB" w:eastAsiaTheme="minorHAnsi" w:hAnsi="Californian FB" w:cstheme="minorBidi"/>
          <w:lang w:val="en-US" w:eastAsia="en-US"/>
        </w:rPr>
      </w:pPr>
    </w:p>
    <w:p w14:paraId="2CB1526A" w14:textId="77777777" w:rsidR="00BD7393" w:rsidRPr="00BD7393" w:rsidRDefault="00BD7393" w:rsidP="00BD7393">
      <w:pPr>
        <w:jc w:val="both"/>
        <w:rPr>
          <w:rFonts w:ascii="Californian FB" w:hAnsi="Californian FB"/>
        </w:rPr>
      </w:pPr>
      <w:bookmarkStart w:id="21" w:name="_Toc520711810"/>
      <w:r w:rsidRPr="00BD7393">
        <w:rPr>
          <w:rFonts w:ascii="Californian FB" w:hAnsi="Californian FB"/>
          <w:bCs/>
        </w:rPr>
        <w:t>2.1 Program Goals and Objectives</w:t>
      </w:r>
      <w:bookmarkEnd w:id="21"/>
      <w:r w:rsidRPr="00BD7393">
        <w:rPr>
          <w:rFonts w:ascii="Californian FB" w:hAnsi="Californian FB"/>
        </w:rPr>
        <w:t xml:space="preserve"> (rework/ realign and harmonise the programme thematic areas and strategic objectives- see summary table on objectives and expected)</w:t>
      </w:r>
    </w:p>
    <w:p w14:paraId="6621E26B" w14:textId="77777777" w:rsidR="00BD7393" w:rsidRPr="00BD7393" w:rsidRDefault="00BD7393" w:rsidP="00BD7393">
      <w:pPr>
        <w:jc w:val="both"/>
        <w:rPr>
          <w:rFonts w:ascii="Californian FB" w:hAnsi="Californian FB"/>
        </w:rPr>
      </w:pPr>
      <w:r w:rsidRPr="00BD7393">
        <w:rPr>
          <w:rFonts w:ascii="Californian FB" w:hAnsi="Californian FB"/>
        </w:rPr>
        <w:t xml:space="preserve">The Government is committed to implementing Universal Health Coverage as one of the big Four Government Agenda. Universal Health coverage is an integral part of the country’s efforts to attain the desired status of health as elaborated in Kenya Health Policy.  Universal Health coverage will ensure that Kenyans receive quality, promotive, preventive, and curative and rehabilitation health services without suffering financial hardship. As such the following table summarizes the UHC Thematic programming Thrust Areas (Critical Drivers) , the identified strategic objectives and expected deliverables </w:t>
      </w:r>
    </w:p>
    <w:p w14:paraId="12614FE0" w14:textId="77777777" w:rsidR="00BD7393" w:rsidRPr="00BD7393" w:rsidRDefault="00BD7393" w:rsidP="00BD7393">
      <w:pPr>
        <w:pStyle w:val="Caption"/>
        <w:keepNext/>
        <w:spacing w:after="0"/>
        <w:rPr>
          <w:rFonts w:ascii="Californian FB" w:hAnsi="Californian FB"/>
          <w:i w:val="0"/>
          <w:iCs w:val="0"/>
          <w:color w:val="auto"/>
          <w:sz w:val="22"/>
          <w:szCs w:val="22"/>
          <w:lang w:val="en-US"/>
        </w:rPr>
      </w:pPr>
      <w:bookmarkStart w:id="22" w:name="_Toc507341363"/>
    </w:p>
    <w:p w14:paraId="3A4208EF" w14:textId="77777777" w:rsidR="00BD7393" w:rsidRPr="00BD7393" w:rsidRDefault="00BD7393" w:rsidP="00BD7393">
      <w:pPr>
        <w:pStyle w:val="Caption"/>
        <w:keepNext/>
        <w:spacing w:after="0"/>
        <w:rPr>
          <w:rFonts w:ascii="Californian FB" w:hAnsi="Californian FB"/>
          <w:i w:val="0"/>
          <w:iCs w:val="0"/>
          <w:color w:val="auto"/>
          <w:sz w:val="22"/>
          <w:szCs w:val="22"/>
          <w:lang w:val="en-US"/>
        </w:rPr>
      </w:pPr>
      <w:bookmarkStart w:id="23" w:name="_Hlk520445809"/>
      <w:r w:rsidRPr="00BD7393">
        <w:rPr>
          <w:rFonts w:ascii="Californian FB" w:hAnsi="Californian FB"/>
          <w:i w:val="0"/>
          <w:iCs w:val="0"/>
          <w:color w:val="auto"/>
          <w:sz w:val="22"/>
          <w:szCs w:val="22"/>
          <w:lang w:val="en-US"/>
        </w:rPr>
        <w:t xml:space="preserve">Table </w:t>
      </w:r>
      <w:r w:rsidRPr="00BD7393">
        <w:rPr>
          <w:rFonts w:ascii="Californian FB" w:hAnsi="Californian FB"/>
          <w:i w:val="0"/>
          <w:iCs w:val="0"/>
          <w:color w:val="auto"/>
          <w:sz w:val="22"/>
          <w:szCs w:val="22"/>
          <w:lang w:val="en-US"/>
        </w:rPr>
        <w:fldChar w:fldCharType="begin"/>
      </w:r>
      <w:r w:rsidRPr="00BD7393">
        <w:rPr>
          <w:rFonts w:ascii="Californian FB" w:hAnsi="Californian FB"/>
          <w:i w:val="0"/>
          <w:iCs w:val="0"/>
          <w:color w:val="auto"/>
          <w:sz w:val="22"/>
          <w:szCs w:val="22"/>
          <w:lang w:val="en-US"/>
        </w:rPr>
        <w:instrText xml:space="preserve"> SEQ Table \* ARABIC </w:instrText>
      </w:r>
      <w:r w:rsidRPr="00BD7393">
        <w:rPr>
          <w:rFonts w:ascii="Californian FB" w:hAnsi="Californian FB"/>
          <w:i w:val="0"/>
          <w:iCs w:val="0"/>
          <w:color w:val="auto"/>
          <w:sz w:val="22"/>
          <w:szCs w:val="22"/>
          <w:lang w:val="en-US"/>
        </w:rPr>
        <w:fldChar w:fldCharType="separate"/>
      </w:r>
      <w:r w:rsidRPr="00BD7393">
        <w:rPr>
          <w:rFonts w:ascii="Californian FB" w:hAnsi="Californian FB"/>
          <w:i w:val="0"/>
          <w:iCs w:val="0"/>
          <w:color w:val="auto"/>
          <w:sz w:val="22"/>
          <w:szCs w:val="22"/>
          <w:lang w:val="en-US"/>
        </w:rPr>
        <w:t>4</w:t>
      </w:r>
      <w:r w:rsidRPr="00BD7393">
        <w:rPr>
          <w:rFonts w:ascii="Californian FB" w:hAnsi="Californian FB"/>
          <w:i w:val="0"/>
          <w:iCs w:val="0"/>
          <w:color w:val="auto"/>
          <w:sz w:val="22"/>
          <w:szCs w:val="22"/>
          <w:lang w:val="en-US"/>
        </w:rPr>
        <w:fldChar w:fldCharType="end"/>
      </w:r>
      <w:r w:rsidRPr="00BD7393">
        <w:rPr>
          <w:rFonts w:ascii="Californian FB" w:hAnsi="Californian FB"/>
          <w:i w:val="0"/>
          <w:iCs w:val="0"/>
          <w:color w:val="auto"/>
          <w:sz w:val="22"/>
          <w:szCs w:val="22"/>
          <w:lang w:val="en-US"/>
        </w:rPr>
        <w:t>: The objectives and expected outputs of UHC in Kenya.</w:t>
      </w:r>
    </w:p>
    <w:p w14:paraId="125D9A62" w14:textId="77777777" w:rsidR="00BD7393" w:rsidRPr="00BD7393" w:rsidRDefault="00BD7393" w:rsidP="00BD7393">
      <w:pPr>
        <w:jc w:val="both"/>
        <w:rPr>
          <w:rFonts w:ascii="Californian FB" w:hAnsi="Californian FB"/>
        </w:rPr>
      </w:pPr>
    </w:p>
    <w:tbl>
      <w:tblPr>
        <w:tblStyle w:val="TableGrid"/>
        <w:tblW w:w="0" w:type="auto"/>
        <w:tblInd w:w="108" w:type="dxa"/>
        <w:tblLook w:val="04A0" w:firstRow="1" w:lastRow="0" w:firstColumn="1" w:lastColumn="0" w:noHBand="0" w:noVBand="1"/>
      </w:tblPr>
      <w:tblGrid>
        <w:gridCol w:w="735"/>
        <w:gridCol w:w="1780"/>
        <w:gridCol w:w="2596"/>
        <w:gridCol w:w="4851"/>
      </w:tblGrid>
      <w:tr w:rsidR="00BD7393" w:rsidRPr="00BD7393" w14:paraId="10655FB3" w14:textId="77777777" w:rsidTr="00C559FB">
        <w:tc>
          <w:tcPr>
            <w:tcW w:w="738" w:type="dxa"/>
          </w:tcPr>
          <w:p w14:paraId="2BF8681C" w14:textId="77777777" w:rsidR="00BD7393" w:rsidRPr="00BD7393" w:rsidRDefault="00BD7393" w:rsidP="00C559FB">
            <w:pPr>
              <w:jc w:val="both"/>
              <w:rPr>
                <w:rFonts w:ascii="Californian FB" w:hAnsi="Californian FB"/>
              </w:rPr>
            </w:pPr>
            <w:r w:rsidRPr="00BD7393">
              <w:rPr>
                <w:rFonts w:ascii="Californian FB" w:hAnsi="Californian FB"/>
              </w:rPr>
              <w:t>SNo.</w:t>
            </w:r>
          </w:p>
        </w:tc>
        <w:tc>
          <w:tcPr>
            <w:tcW w:w="1800" w:type="dxa"/>
          </w:tcPr>
          <w:p w14:paraId="73BED116" w14:textId="77777777" w:rsidR="00BD7393" w:rsidRPr="00BD7393" w:rsidRDefault="00BD7393" w:rsidP="00C559FB">
            <w:pPr>
              <w:jc w:val="both"/>
              <w:rPr>
                <w:rFonts w:ascii="Californian FB" w:hAnsi="Californian FB"/>
              </w:rPr>
            </w:pPr>
            <w:r w:rsidRPr="00BD7393">
              <w:rPr>
                <w:rFonts w:ascii="Californian FB" w:hAnsi="Californian FB"/>
              </w:rPr>
              <w:t>UHC Thematic Areas/ Critical Drivers</w:t>
            </w:r>
          </w:p>
        </w:tc>
        <w:tc>
          <w:tcPr>
            <w:tcW w:w="2610" w:type="dxa"/>
          </w:tcPr>
          <w:p w14:paraId="7A682DCD" w14:textId="77777777" w:rsidR="00BD7393" w:rsidRPr="00BD7393" w:rsidRDefault="00BD7393" w:rsidP="00C559FB">
            <w:pPr>
              <w:jc w:val="both"/>
              <w:rPr>
                <w:rFonts w:ascii="Californian FB" w:hAnsi="Californian FB"/>
              </w:rPr>
            </w:pPr>
            <w:r w:rsidRPr="00BD7393">
              <w:rPr>
                <w:rFonts w:ascii="Californian FB" w:hAnsi="Californian FB"/>
              </w:rPr>
              <w:t>Strategic Objectives</w:t>
            </w:r>
          </w:p>
        </w:tc>
        <w:tc>
          <w:tcPr>
            <w:tcW w:w="4932" w:type="dxa"/>
          </w:tcPr>
          <w:p w14:paraId="09B21892" w14:textId="77777777" w:rsidR="00BD7393" w:rsidRPr="00BD7393" w:rsidRDefault="00BD7393" w:rsidP="00C559FB">
            <w:pPr>
              <w:jc w:val="both"/>
              <w:rPr>
                <w:rFonts w:ascii="Californian FB" w:hAnsi="Californian FB"/>
              </w:rPr>
            </w:pPr>
            <w:r w:rsidRPr="00BD7393">
              <w:rPr>
                <w:rFonts w:ascii="Californian FB" w:hAnsi="Californian FB"/>
              </w:rPr>
              <w:t>Expected Outputs</w:t>
            </w:r>
          </w:p>
        </w:tc>
      </w:tr>
      <w:tr w:rsidR="00BD7393" w:rsidRPr="00BD7393" w14:paraId="228E27A3" w14:textId="77777777" w:rsidTr="00C559FB">
        <w:tc>
          <w:tcPr>
            <w:tcW w:w="738" w:type="dxa"/>
          </w:tcPr>
          <w:p w14:paraId="1C151485" w14:textId="77777777" w:rsidR="00BD7393" w:rsidRPr="00BD7393" w:rsidRDefault="00BD7393" w:rsidP="00C559FB">
            <w:pPr>
              <w:jc w:val="both"/>
              <w:rPr>
                <w:rFonts w:ascii="Californian FB" w:hAnsi="Californian FB"/>
              </w:rPr>
            </w:pPr>
            <w:r w:rsidRPr="00BD7393">
              <w:rPr>
                <w:rFonts w:ascii="Californian FB" w:hAnsi="Californian FB"/>
              </w:rPr>
              <w:t>1</w:t>
            </w:r>
          </w:p>
        </w:tc>
        <w:tc>
          <w:tcPr>
            <w:tcW w:w="1800" w:type="dxa"/>
          </w:tcPr>
          <w:p w14:paraId="6FC0F886" w14:textId="77777777" w:rsidR="00BD7393" w:rsidRPr="00BD7393" w:rsidRDefault="00BD7393" w:rsidP="00C559FB">
            <w:pPr>
              <w:jc w:val="both"/>
              <w:rPr>
                <w:rFonts w:ascii="Californian FB" w:hAnsi="Californian FB"/>
              </w:rPr>
            </w:pPr>
            <w:r w:rsidRPr="00BD7393">
              <w:rPr>
                <w:rFonts w:ascii="Californian FB" w:hAnsi="Californian FB"/>
              </w:rPr>
              <w:t>Access to Essential Services (Health Services Coverage)</w:t>
            </w:r>
          </w:p>
        </w:tc>
        <w:tc>
          <w:tcPr>
            <w:tcW w:w="2610" w:type="dxa"/>
          </w:tcPr>
          <w:p w14:paraId="590B0E16" w14:textId="77777777" w:rsidR="00BD7393" w:rsidRPr="00BD7393" w:rsidRDefault="00BD7393" w:rsidP="00C559FB">
            <w:pPr>
              <w:jc w:val="both"/>
              <w:rPr>
                <w:rFonts w:ascii="Californian FB" w:hAnsi="Californian FB"/>
              </w:rPr>
            </w:pPr>
            <w:r w:rsidRPr="00BD7393">
              <w:rPr>
                <w:rFonts w:ascii="Californian FB" w:hAnsi="Californian FB"/>
              </w:rPr>
              <w:t xml:space="preserve">SO1: To increase population covered by defined essential health package by Dec 2022  </w:t>
            </w:r>
          </w:p>
        </w:tc>
        <w:tc>
          <w:tcPr>
            <w:tcW w:w="4932" w:type="dxa"/>
          </w:tcPr>
          <w:p w14:paraId="182840EE"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 xml:space="preserve">Increased proportion (%) of Immunizing Public Health Facilities  </w:t>
            </w:r>
          </w:p>
          <w:p w14:paraId="5B4FA341"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 xml:space="preserve"> uninterrupted availability of high quality Routine and Emergency Strategic Vaccines</w:t>
            </w:r>
          </w:p>
          <w:p w14:paraId="1936E8AE"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New vaccines Introduced</w:t>
            </w:r>
          </w:p>
          <w:p w14:paraId="6A891C8C"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Increased awareness of NCDs</w:t>
            </w:r>
          </w:p>
          <w:p w14:paraId="29190FB0"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NCD Screening programs in place</w:t>
            </w:r>
          </w:p>
          <w:p w14:paraId="417B8AD6"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School health program expanded</w:t>
            </w:r>
          </w:p>
          <w:p w14:paraId="3B89FA8D"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Stand alone and hospital base palliative care units established</w:t>
            </w:r>
          </w:p>
          <w:p w14:paraId="375DBFA6" w14:textId="77777777" w:rsidR="00BD7393" w:rsidRPr="00BD7393" w:rsidRDefault="00BD7393" w:rsidP="00203568">
            <w:pPr>
              <w:pStyle w:val="ListParagraph"/>
              <w:numPr>
                <w:ilvl w:val="0"/>
                <w:numId w:val="52"/>
              </w:numPr>
              <w:jc w:val="both"/>
              <w:rPr>
                <w:rFonts w:ascii="Californian FB" w:hAnsi="Californian FB"/>
                <w:lang w:val="en-US"/>
              </w:rPr>
            </w:pPr>
            <w:r w:rsidRPr="00BD7393">
              <w:rPr>
                <w:rFonts w:ascii="Californian FB" w:hAnsi="Californian FB"/>
                <w:lang w:val="en-US"/>
              </w:rPr>
              <w:t xml:space="preserve"> Increased number of community health workers</w:t>
            </w:r>
          </w:p>
        </w:tc>
      </w:tr>
      <w:tr w:rsidR="00BD7393" w:rsidRPr="00BD7393" w14:paraId="154A46FB" w14:textId="77777777" w:rsidTr="00C559FB">
        <w:tc>
          <w:tcPr>
            <w:tcW w:w="738" w:type="dxa"/>
          </w:tcPr>
          <w:p w14:paraId="42935402" w14:textId="77777777" w:rsidR="00BD7393" w:rsidRPr="00BD7393" w:rsidRDefault="00BD7393" w:rsidP="00C559FB">
            <w:pPr>
              <w:jc w:val="both"/>
              <w:rPr>
                <w:rFonts w:ascii="Californian FB" w:hAnsi="Californian FB"/>
              </w:rPr>
            </w:pPr>
          </w:p>
        </w:tc>
        <w:tc>
          <w:tcPr>
            <w:tcW w:w="1800" w:type="dxa"/>
          </w:tcPr>
          <w:p w14:paraId="290AA89F" w14:textId="77777777" w:rsidR="00BD7393" w:rsidRPr="00BD7393" w:rsidRDefault="00BD7393" w:rsidP="00C559FB">
            <w:pPr>
              <w:jc w:val="both"/>
              <w:rPr>
                <w:rFonts w:ascii="Californian FB" w:hAnsi="Californian FB"/>
              </w:rPr>
            </w:pPr>
          </w:p>
        </w:tc>
        <w:tc>
          <w:tcPr>
            <w:tcW w:w="2610" w:type="dxa"/>
          </w:tcPr>
          <w:p w14:paraId="18F391B6" w14:textId="77777777" w:rsidR="00BD7393" w:rsidRPr="00BD7393" w:rsidRDefault="00BD7393" w:rsidP="00C559FB">
            <w:pPr>
              <w:jc w:val="both"/>
              <w:rPr>
                <w:rFonts w:ascii="Californian FB" w:hAnsi="Californian FB"/>
              </w:rPr>
            </w:pPr>
            <w:r w:rsidRPr="00BD7393">
              <w:rPr>
                <w:rFonts w:ascii="Californian FB" w:hAnsi="Californian FB"/>
              </w:rPr>
              <w:t>SO2: To increase the population having access to a defined essential health service package by Dec 2022</w:t>
            </w:r>
          </w:p>
        </w:tc>
        <w:tc>
          <w:tcPr>
            <w:tcW w:w="4932" w:type="dxa"/>
          </w:tcPr>
          <w:p w14:paraId="5329C490"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NHIF Benefit Package Reviewed</w:t>
            </w:r>
          </w:p>
          <w:p w14:paraId="0466B32A"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Kenya Essential Package for Health Reviewed</w:t>
            </w:r>
          </w:p>
          <w:p w14:paraId="72F4067B"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Linda Mama program expanded </w:t>
            </w:r>
          </w:p>
          <w:p w14:paraId="16A98DAE"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Adopt low cost service delivery models </w:t>
            </w:r>
          </w:p>
          <w:p w14:paraId="01ACFC65"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Increase in the ratio of health worker per 10,000 population </w:t>
            </w:r>
          </w:p>
          <w:p w14:paraId="645B5A4C"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Increase the number of health workers trained </w:t>
            </w:r>
          </w:p>
          <w:p w14:paraId="1FA40AE0"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CT-Scan equipment for 37 hospitals availed </w:t>
            </w:r>
          </w:p>
          <w:p w14:paraId="7342081E"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Expansion of MES (21 Additional hospitals and increase capacity in other hospitals; with Surgical theatres, ICU, CSSD and dialysis equipment</w:t>
            </w:r>
          </w:p>
          <w:p w14:paraId="473E5172"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Capacity building of counties using KQMH done</w:t>
            </w:r>
          </w:p>
          <w:p w14:paraId="3CC7677E"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Institutionalization of focused joint inspection</w:t>
            </w:r>
          </w:p>
          <w:p w14:paraId="48DA27E3"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Grading of health facilities piloted</w:t>
            </w:r>
          </w:p>
          <w:p w14:paraId="74390481"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Expansion of MES (21 Additional hospitals and increase capacity in other hospitals; with Surgical theatres, ICU, CSSD and dialysis equipment</w:t>
            </w:r>
          </w:p>
          <w:p w14:paraId="4A6ECF49"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Install 3 additional ICUs (Two new in Narok and Meru and Increase capacity in MTRH</w:t>
            </w:r>
          </w:p>
          <w:p w14:paraId="1812F81E"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 xml:space="preserve">Fully equip an additional 11 Dialysis centers (4 new and increase capacity in 7 high volume hospitals) </w:t>
            </w:r>
          </w:p>
          <w:p w14:paraId="2AC54D26"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Fully equip 28 additional theatres (8 in new hospitals and increasing capacity in the 20)</w:t>
            </w:r>
          </w:p>
          <w:p w14:paraId="6E2D71C2"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Full equip additional 24 hospitals with CSSD (21 New and additional capacity in 3 hospitals)</w:t>
            </w:r>
          </w:p>
          <w:p w14:paraId="60722034" w14:textId="77777777" w:rsidR="00BD7393" w:rsidRPr="00BD7393" w:rsidRDefault="00BD7393" w:rsidP="00203568">
            <w:pPr>
              <w:pStyle w:val="ListParagraph"/>
              <w:numPr>
                <w:ilvl w:val="0"/>
                <w:numId w:val="53"/>
              </w:numPr>
              <w:jc w:val="both"/>
              <w:rPr>
                <w:rFonts w:ascii="Californian FB" w:hAnsi="Californian FB"/>
                <w:lang w:val="en-US"/>
              </w:rPr>
            </w:pPr>
            <w:r w:rsidRPr="00BD7393">
              <w:rPr>
                <w:rFonts w:ascii="Californian FB" w:hAnsi="Californian FB"/>
                <w:lang w:val="en-US"/>
              </w:rPr>
              <w:t>Primary care facilities with cold-chain equipment</w:t>
            </w:r>
          </w:p>
        </w:tc>
      </w:tr>
      <w:tr w:rsidR="00BD7393" w:rsidRPr="00BD7393" w14:paraId="3EF4AA81" w14:textId="77777777" w:rsidTr="00C559FB">
        <w:tc>
          <w:tcPr>
            <w:tcW w:w="738" w:type="dxa"/>
            <w:vMerge w:val="restart"/>
          </w:tcPr>
          <w:p w14:paraId="5D91C7B9" w14:textId="77777777" w:rsidR="00BD7393" w:rsidRPr="00BD7393" w:rsidRDefault="00BD7393" w:rsidP="00C559FB">
            <w:pPr>
              <w:jc w:val="both"/>
              <w:rPr>
                <w:rFonts w:ascii="Californian FB" w:hAnsi="Californian FB"/>
              </w:rPr>
            </w:pPr>
            <w:r w:rsidRPr="00BD7393">
              <w:rPr>
                <w:rFonts w:ascii="Californian FB" w:hAnsi="Californian FB"/>
              </w:rPr>
              <w:t>2</w:t>
            </w:r>
          </w:p>
        </w:tc>
        <w:tc>
          <w:tcPr>
            <w:tcW w:w="1800" w:type="dxa"/>
            <w:vMerge w:val="restart"/>
          </w:tcPr>
          <w:p w14:paraId="3CA7FB6B" w14:textId="77777777" w:rsidR="00BD7393" w:rsidRPr="00BD7393" w:rsidRDefault="00BD7393" w:rsidP="00C559FB">
            <w:pPr>
              <w:jc w:val="both"/>
              <w:rPr>
                <w:rFonts w:ascii="Californian FB" w:hAnsi="Californian FB"/>
              </w:rPr>
            </w:pPr>
            <w:r w:rsidRPr="00BD7393">
              <w:rPr>
                <w:rFonts w:ascii="Californian FB" w:hAnsi="Californian FB"/>
              </w:rPr>
              <w:t>Access to Quality Essential Services</w:t>
            </w:r>
          </w:p>
        </w:tc>
        <w:tc>
          <w:tcPr>
            <w:tcW w:w="2610" w:type="dxa"/>
          </w:tcPr>
          <w:p w14:paraId="13651157" w14:textId="77777777" w:rsidR="00BD7393" w:rsidRPr="00BD7393" w:rsidRDefault="00BD7393" w:rsidP="00C559FB">
            <w:pPr>
              <w:autoSpaceDE w:val="0"/>
              <w:autoSpaceDN w:val="0"/>
              <w:adjustRightInd w:val="0"/>
              <w:jc w:val="both"/>
              <w:rPr>
                <w:rFonts w:ascii="Californian FB" w:hAnsi="Californian FB"/>
              </w:rPr>
            </w:pPr>
            <w:r w:rsidRPr="00BD7393">
              <w:rPr>
                <w:rFonts w:ascii="Californian FB" w:hAnsi="Californian FB"/>
              </w:rPr>
              <w:t xml:space="preserve">SO1: To increase availability of quality people centered essential interventions/services so that Kenyans access and receive quality health services by Dec 2022. </w:t>
            </w:r>
          </w:p>
          <w:p w14:paraId="2756E570" w14:textId="77777777" w:rsidR="00BD7393" w:rsidRPr="00BD7393" w:rsidRDefault="00BD7393" w:rsidP="00C559FB">
            <w:pPr>
              <w:jc w:val="both"/>
              <w:rPr>
                <w:rFonts w:ascii="Californian FB" w:hAnsi="Californian FB"/>
              </w:rPr>
            </w:pPr>
          </w:p>
        </w:tc>
        <w:tc>
          <w:tcPr>
            <w:tcW w:w="4932" w:type="dxa"/>
          </w:tcPr>
          <w:p w14:paraId="4BACC152"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Improved quality of services and patient safety</w:t>
            </w:r>
          </w:p>
          <w:p w14:paraId="3D813324"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Strengthened networks of close to client Primary care organized as dispensaries/L3 or health centers /L3with the backup of specialized and hospital services responsible for defined populations (Primary Care Networks/PCNs)</w:t>
            </w:r>
          </w:p>
          <w:p w14:paraId="2093C971"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 xml:space="preserve">Investment in community and primary Health care services/ Invest in preventive and promotive services and social determinants of Health (water, sanitation, nutrition). </w:t>
            </w:r>
          </w:p>
          <w:p w14:paraId="60A3B3F7"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 xml:space="preserve">Equipping health facilities including with specialized equipment; </w:t>
            </w:r>
          </w:p>
          <w:p w14:paraId="033BE240"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Key focus on critical basic equipment for primary care facilities</w:t>
            </w:r>
          </w:p>
          <w:p w14:paraId="2B636AB9"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 xml:space="preserve">Infrastructure development  </w:t>
            </w:r>
          </w:p>
          <w:p w14:paraId="2001FAE7"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Investment in Human resource for Health; (</w:t>
            </w:r>
          </w:p>
          <w:p w14:paraId="0703232C"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lastRenderedPageBreak/>
              <w:t xml:space="preserve">Increased Human resources for health (50% Increase in ratio of health worker to 10,000 people (from 9: 10,000 population to 14: 10,000 population); skill development </w:t>
            </w:r>
          </w:p>
          <w:p w14:paraId="1E690BC1" w14:textId="77777777" w:rsidR="00BD7393" w:rsidRPr="00BD7393" w:rsidRDefault="00BD7393" w:rsidP="00203568">
            <w:pPr>
              <w:numPr>
                <w:ilvl w:val="0"/>
                <w:numId w:val="45"/>
              </w:numPr>
              <w:autoSpaceDE w:val="0"/>
              <w:autoSpaceDN w:val="0"/>
              <w:adjustRightInd w:val="0"/>
              <w:contextualSpacing/>
              <w:jc w:val="both"/>
              <w:rPr>
                <w:rFonts w:ascii="Californian FB" w:hAnsi="Californian FB"/>
              </w:rPr>
            </w:pPr>
            <w:r w:rsidRPr="00BD7393">
              <w:rPr>
                <w:rFonts w:ascii="Californian FB" w:hAnsi="Californian FB"/>
              </w:rPr>
              <w:t>Investment in health Commodities and Technologies (e.g. increased financing informed by demand, targeted improvement in data collection, strategic purchasing of health commodities, supply chain strengthening)</w:t>
            </w:r>
          </w:p>
        </w:tc>
      </w:tr>
      <w:tr w:rsidR="00BD7393" w:rsidRPr="00BD7393" w14:paraId="6988A607" w14:textId="77777777" w:rsidTr="00C559FB">
        <w:tc>
          <w:tcPr>
            <w:tcW w:w="738" w:type="dxa"/>
            <w:vMerge/>
          </w:tcPr>
          <w:p w14:paraId="4B3DE3F7" w14:textId="77777777" w:rsidR="00BD7393" w:rsidRPr="00BD7393" w:rsidRDefault="00BD7393" w:rsidP="00C559FB">
            <w:pPr>
              <w:jc w:val="both"/>
              <w:rPr>
                <w:rFonts w:ascii="Californian FB" w:hAnsi="Californian FB"/>
              </w:rPr>
            </w:pPr>
          </w:p>
        </w:tc>
        <w:tc>
          <w:tcPr>
            <w:tcW w:w="1800" w:type="dxa"/>
            <w:vMerge/>
          </w:tcPr>
          <w:p w14:paraId="205F510D" w14:textId="77777777" w:rsidR="00BD7393" w:rsidRPr="00BD7393" w:rsidRDefault="00BD7393" w:rsidP="00C559FB">
            <w:pPr>
              <w:jc w:val="both"/>
              <w:rPr>
                <w:rFonts w:ascii="Californian FB" w:hAnsi="Californian FB"/>
              </w:rPr>
            </w:pPr>
          </w:p>
        </w:tc>
        <w:tc>
          <w:tcPr>
            <w:tcW w:w="2610" w:type="dxa"/>
          </w:tcPr>
          <w:p w14:paraId="03B51CCB" w14:textId="77777777" w:rsidR="00BD7393" w:rsidRPr="00BD7393" w:rsidRDefault="00BD7393" w:rsidP="00C559FB">
            <w:pPr>
              <w:rPr>
                <w:rFonts w:ascii="Californian FB" w:hAnsi="Californian FB"/>
              </w:rPr>
            </w:pPr>
            <w:r w:rsidRPr="00BD7393">
              <w:rPr>
                <w:rFonts w:ascii="Californian FB" w:hAnsi="Californian FB"/>
              </w:rPr>
              <w:t>SO2: Strengthen Leadership, Governance and Management through establishments of Legal and Institutional framework for successful coordination of the implementation of UHC for Kenya by Dec 2022.</w:t>
            </w:r>
          </w:p>
        </w:tc>
        <w:tc>
          <w:tcPr>
            <w:tcW w:w="4932" w:type="dxa"/>
          </w:tcPr>
          <w:p w14:paraId="561E4CA5" w14:textId="77777777" w:rsidR="00BD7393" w:rsidRPr="00BD7393" w:rsidRDefault="00BD7393" w:rsidP="00203568">
            <w:pPr>
              <w:numPr>
                <w:ilvl w:val="0"/>
                <w:numId w:val="54"/>
              </w:numPr>
              <w:contextualSpacing/>
              <w:jc w:val="both"/>
              <w:rPr>
                <w:rFonts w:ascii="Californian FB" w:hAnsi="Californian FB"/>
              </w:rPr>
            </w:pPr>
            <w:r w:rsidRPr="00BD7393">
              <w:rPr>
                <w:rFonts w:ascii="Californian FB" w:hAnsi="Californian FB"/>
              </w:rPr>
              <w:t xml:space="preserve">Necessary legislations, policies, strategies and plans are in place to guide UHC implementation </w:t>
            </w:r>
          </w:p>
          <w:p w14:paraId="636F38EB" w14:textId="77777777" w:rsidR="00BD7393" w:rsidRPr="00BD7393" w:rsidRDefault="00BD7393" w:rsidP="00203568">
            <w:pPr>
              <w:numPr>
                <w:ilvl w:val="0"/>
                <w:numId w:val="54"/>
              </w:numPr>
              <w:contextualSpacing/>
              <w:jc w:val="both"/>
              <w:rPr>
                <w:rFonts w:ascii="Californian FB" w:hAnsi="Californian FB"/>
              </w:rPr>
            </w:pPr>
            <w:r w:rsidRPr="00BD7393">
              <w:rPr>
                <w:rFonts w:ascii="Californian FB" w:hAnsi="Californian FB"/>
              </w:rPr>
              <w:t>Mechanisms for intersectoral collaboration strengthened (working with the other enablers</w:t>
            </w:r>
          </w:p>
          <w:p w14:paraId="3CE78D8D" w14:textId="77777777" w:rsidR="00BD7393" w:rsidRPr="00BD7393" w:rsidRDefault="00BD7393" w:rsidP="00203568">
            <w:pPr>
              <w:numPr>
                <w:ilvl w:val="0"/>
                <w:numId w:val="54"/>
              </w:numPr>
              <w:contextualSpacing/>
              <w:jc w:val="both"/>
              <w:rPr>
                <w:rFonts w:ascii="Californian FB" w:hAnsi="Californian FB"/>
              </w:rPr>
            </w:pPr>
            <w:r w:rsidRPr="00BD7393">
              <w:rPr>
                <w:rFonts w:ascii="Californian FB" w:hAnsi="Californian FB"/>
              </w:rPr>
              <w:t xml:space="preserve">Strengthen health sector partnership towards UHC </w:t>
            </w:r>
          </w:p>
          <w:p w14:paraId="1A2E2F92" w14:textId="77777777" w:rsidR="00BD7393" w:rsidRPr="00BD7393" w:rsidRDefault="00BD7393" w:rsidP="00203568">
            <w:pPr>
              <w:numPr>
                <w:ilvl w:val="0"/>
                <w:numId w:val="54"/>
              </w:numPr>
              <w:contextualSpacing/>
              <w:jc w:val="both"/>
              <w:rPr>
                <w:rFonts w:ascii="Californian FB" w:hAnsi="Californian FB"/>
              </w:rPr>
            </w:pPr>
            <w:r w:rsidRPr="00BD7393">
              <w:rPr>
                <w:rFonts w:ascii="Californian FB" w:hAnsi="Californian FB"/>
              </w:rPr>
              <w:t>Improvement of health information system including establishment of a unified national database on patient activity</w:t>
            </w:r>
          </w:p>
          <w:p w14:paraId="78E3A33E" w14:textId="77777777" w:rsidR="00BD7393" w:rsidRPr="00BD7393" w:rsidRDefault="00BD7393" w:rsidP="00203568">
            <w:pPr>
              <w:numPr>
                <w:ilvl w:val="0"/>
                <w:numId w:val="54"/>
              </w:numPr>
              <w:contextualSpacing/>
              <w:jc w:val="both"/>
              <w:rPr>
                <w:rFonts w:ascii="Californian FB" w:hAnsi="Californian FB"/>
              </w:rPr>
            </w:pPr>
            <w:r w:rsidRPr="00BD7393">
              <w:rPr>
                <w:rFonts w:ascii="Californian FB" w:hAnsi="Californian FB"/>
              </w:rPr>
              <w:t xml:space="preserve">Establishment of clear monitoring and reporting system towards UHC at both national and county levels </w:t>
            </w:r>
          </w:p>
          <w:p w14:paraId="4FFA6BFF"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Organizational structure to lead the implementation of UHC established and operationalized</w:t>
            </w:r>
          </w:p>
          <w:p w14:paraId="550DF3D2"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 xml:space="preserve">The Second Kenya Health sector strategic plan (KHSSP) developed </w:t>
            </w:r>
          </w:p>
          <w:p w14:paraId="134FA57F"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Kenya Health Financing strategy finalized</w:t>
            </w:r>
          </w:p>
          <w:p w14:paraId="718CA352"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 xml:space="preserve">Partnership and coordination framework finalized </w:t>
            </w:r>
          </w:p>
          <w:p w14:paraId="3B6264BE"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Health Law Implemented</w:t>
            </w:r>
          </w:p>
          <w:p w14:paraId="48BFB2B3"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Health sector coordination strengthened</w:t>
            </w:r>
          </w:p>
          <w:p w14:paraId="7D376985"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 xml:space="preserve">IRA and RBA acts reviewed to increase uptake of private Health Insurance to cushion NHIF </w:t>
            </w:r>
          </w:p>
          <w:p w14:paraId="51D8141E" w14:textId="77777777" w:rsidR="00BD7393" w:rsidRPr="00BD7393" w:rsidRDefault="00BD7393" w:rsidP="00203568">
            <w:pPr>
              <w:pStyle w:val="ListParagraph"/>
              <w:numPr>
                <w:ilvl w:val="0"/>
                <w:numId w:val="54"/>
              </w:numPr>
              <w:jc w:val="both"/>
              <w:rPr>
                <w:rFonts w:ascii="Californian FB" w:hAnsi="Californian FB"/>
                <w:lang w:val="en-US"/>
              </w:rPr>
            </w:pPr>
            <w:r w:rsidRPr="00BD7393">
              <w:rPr>
                <w:rFonts w:ascii="Californian FB" w:hAnsi="Californian FB"/>
                <w:lang w:val="en-US"/>
              </w:rPr>
              <w:t>CARA amended to ring fence health funds at county level (changes to PFM act)</w:t>
            </w:r>
          </w:p>
        </w:tc>
      </w:tr>
      <w:bookmarkEnd w:id="23"/>
      <w:tr w:rsidR="00BD7393" w:rsidRPr="00BD7393" w14:paraId="34AE8CE2" w14:textId="77777777" w:rsidTr="00C559FB">
        <w:trPr>
          <w:trHeight w:val="980"/>
        </w:trPr>
        <w:tc>
          <w:tcPr>
            <w:tcW w:w="738" w:type="dxa"/>
          </w:tcPr>
          <w:p w14:paraId="63316E0F" w14:textId="77777777" w:rsidR="00BD7393" w:rsidRPr="00BD7393" w:rsidRDefault="00BD7393" w:rsidP="00C559FB">
            <w:pPr>
              <w:jc w:val="both"/>
              <w:rPr>
                <w:rFonts w:ascii="Californian FB" w:hAnsi="Californian FB"/>
              </w:rPr>
            </w:pPr>
          </w:p>
        </w:tc>
        <w:tc>
          <w:tcPr>
            <w:tcW w:w="1800" w:type="dxa"/>
          </w:tcPr>
          <w:p w14:paraId="7A5829A9" w14:textId="77777777" w:rsidR="00BD7393" w:rsidRPr="00BD7393" w:rsidRDefault="00BD7393" w:rsidP="00C559FB">
            <w:pPr>
              <w:jc w:val="both"/>
              <w:rPr>
                <w:rFonts w:ascii="Californian FB" w:hAnsi="Californian FB"/>
              </w:rPr>
            </w:pPr>
          </w:p>
        </w:tc>
        <w:tc>
          <w:tcPr>
            <w:tcW w:w="2610" w:type="dxa"/>
          </w:tcPr>
          <w:p w14:paraId="23432E09" w14:textId="77777777" w:rsidR="00BD7393" w:rsidRPr="00BD7393" w:rsidRDefault="00BD7393" w:rsidP="00C559FB">
            <w:pPr>
              <w:jc w:val="both"/>
              <w:rPr>
                <w:rFonts w:ascii="Californian FB" w:hAnsi="Californian FB"/>
              </w:rPr>
            </w:pPr>
            <w:r w:rsidRPr="00BD7393">
              <w:rPr>
                <w:rFonts w:ascii="Californian FB" w:hAnsi="Californian FB"/>
              </w:rPr>
              <w:t>SO4: To ensure availability of Health Products &amp; Technologies to meet UHC needs using projected coverage by end of Dec 2022</w:t>
            </w:r>
          </w:p>
        </w:tc>
        <w:tc>
          <w:tcPr>
            <w:tcW w:w="4932" w:type="dxa"/>
          </w:tcPr>
          <w:p w14:paraId="6349C97D"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 xml:space="preserve">Expanded access to HPT by increasing the capacity of the market to offer a continuous supply good quality health product </w:t>
            </w:r>
          </w:p>
          <w:p w14:paraId="20C39F6C"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Increased KEMSA capacity for supply of essential medicines</w:t>
            </w:r>
          </w:p>
          <w:p w14:paraId="0BC7B200"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Expanded EMMS lists (incorporate new products e.g. products for chronic diseases like cancer chemotherapy medicines, protective wear for chemotherapy, dialysis products, laboratory screening products, implants etc) in line with reviewed KEPH</w:t>
            </w:r>
          </w:p>
          <w:p w14:paraId="07047395"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Cost reduction in prices of medicines and other health products realized through expansion of access program</w:t>
            </w:r>
          </w:p>
          <w:p w14:paraId="50D2DCD7"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lastRenderedPageBreak/>
              <w:t>Price control for health products and technologies secured</w:t>
            </w:r>
          </w:p>
          <w:p w14:paraId="446F0969"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increased access to medicines and health products by making use of WHO Intellectual property (TRIPS) provisions under the Industrial Property Act to health commodity funds at county level through legislation ring fenced (e.g.  PFM Act 2012 review)</w:t>
            </w:r>
          </w:p>
          <w:p w14:paraId="72C8CACC"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 xml:space="preserve">Quality of all health products assured through Intensifying combating of counterfeits </w:t>
            </w:r>
          </w:p>
          <w:p w14:paraId="1C18E328"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GMP inspections for manufacturing sites, both local and external conducted</w:t>
            </w:r>
          </w:p>
          <w:p w14:paraId="01CF305B"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Quality assurance testing conducted for all health products and technologies in the country (i.e. Drugs, gloves, syringes, condoms, herbal preparations etc.)</w:t>
            </w:r>
          </w:p>
          <w:p w14:paraId="047EB6BA"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A databank on the quality of health products and technologies in the country created</w:t>
            </w:r>
          </w:p>
          <w:p w14:paraId="0C34C2BC"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An ultra-modern laboratory put- up</w:t>
            </w:r>
          </w:p>
          <w:p w14:paraId="5F1F6382"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 xml:space="preserve">Pharmacovigilance (Active reporting of poor quality health products and adverse reactions to drugs enhanced/ Intensified </w:t>
            </w:r>
          </w:p>
          <w:p w14:paraId="523953CD"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Post market surveillance for selected lifesaving health products conducted on a regular basis</w:t>
            </w:r>
          </w:p>
          <w:p w14:paraId="7C50C479"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 xml:space="preserve">End user storage capacities to support product quality through enhancing storage infrastructure e.g. cold chain for vaccines; fridges, storage buildings; </w:t>
            </w:r>
          </w:p>
          <w:p w14:paraId="418E5077"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 xml:space="preserve">Safety in Commodity use ensured through support for rational use of products    </w:t>
            </w:r>
          </w:p>
          <w:p w14:paraId="0BB1BE79"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Support on Prudent management of Health products intensified to minimize wastage e.g. (through pilferage and expiries)</w:t>
            </w:r>
          </w:p>
          <w:p w14:paraId="3CE4E83F" w14:textId="77777777" w:rsidR="00BD7393" w:rsidRPr="00BD7393" w:rsidRDefault="00BD7393" w:rsidP="00203568">
            <w:pPr>
              <w:pStyle w:val="ListParagraph"/>
              <w:numPr>
                <w:ilvl w:val="0"/>
                <w:numId w:val="45"/>
              </w:numPr>
              <w:jc w:val="both"/>
              <w:rPr>
                <w:rFonts w:ascii="Californian FB" w:hAnsi="Californian FB"/>
                <w:lang w:val="en-US"/>
              </w:rPr>
            </w:pPr>
            <w:r w:rsidRPr="00BD7393">
              <w:rPr>
                <w:rFonts w:ascii="Californian FB" w:hAnsi="Californian FB"/>
                <w:lang w:val="en-US"/>
              </w:rPr>
              <w:t>Healthcare Supply Chain Automated</w:t>
            </w:r>
          </w:p>
        </w:tc>
      </w:tr>
      <w:tr w:rsidR="00BD7393" w:rsidRPr="00BD7393" w14:paraId="1A65F05D" w14:textId="77777777" w:rsidTr="00C559FB">
        <w:tc>
          <w:tcPr>
            <w:tcW w:w="738" w:type="dxa"/>
          </w:tcPr>
          <w:p w14:paraId="275F8555" w14:textId="77777777" w:rsidR="00BD7393" w:rsidRPr="00BD7393" w:rsidRDefault="00BD7393" w:rsidP="00C559FB">
            <w:pPr>
              <w:jc w:val="both"/>
              <w:rPr>
                <w:rFonts w:ascii="Californian FB" w:hAnsi="Californian FB"/>
              </w:rPr>
            </w:pPr>
            <w:r w:rsidRPr="00BD7393">
              <w:rPr>
                <w:rFonts w:ascii="Californian FB" w:hAnsi="Californian FB"/>
              </w:rPr>
              <w:lastRenderedPageBreak/>
              <w:t>3</w:t>
            </w:r>
          </w:p>
        </w:tc>
        <w:tc>
          <w:tcPr>
            <w:tcW w:w="1800" w:type="dxa"/>
          </w:tcPr>
          <w:p w14:paraId="168ACF72" w14:textId="77777777" w:rsidR="00BD7393" w:rsidRPr="00BD7393" w:rsidRDefault="00BD7393" w:rsidP="00C559FB">
            <w:pPr>
              <w:jc w:val="both"/>
              <w:rPr>
                <w:rFonts w:ascii="Californian FB" w:hAnsi="Californian FB"/>
              </w:rPr>
            </w:pPr>
            <w:r w:rsidRPr="00BD7393">
              <w:rPr>
                <w:rFonts w:ascii="Californian FB" w:hAnsi="Californian FB"/>
              </w:rPr>
              <w:t>Demand for essential services</w:t>
            </w:r>
          </w:p>
        </w:tc>
        <w:tc>
          <w:tcPr>
            <w:tcW w:w="2610" w:type="dxa"/>
          </w:tcPr>
          <w:p w14:paraId="6644F96A" w14:textId="77777777" w:rsidR="00BD7393" w:rsidRPr="00BD7393" w:rsidRDefault="00BD7393" w:rsidP="00C559FB">
            <w:pPr>
              <w:jc w:val="both"/>
              <w:rPr>
                <w:rFonts w:ascii="Californian FB" w:hAnsi="Californian FB"/>
              </w:rPr>
            </w:pPr>
            <w:r w:rsidRPr="00BD7393">
              <w:rPr>
                <w:rFonts w:ascii="Californian FB" w:hAnsi="Californian FB"/>
              </w:rPr>
              <w:t>SO1: Strengthen demand for essential health services by Dec 2022</w:t>
            </w:r>
          </w:p>
        </w:tc>
        <w:tc>
          <w:tcPr>
            <w:tcW w:w="4932" w:type="dxa"/>
          </w:tcPr>
          <w:p w14:paraId="7F214FC4" w14:textId="77777777" w:rsidR="00BD7393" w:rsidRPr="00BD7393" w:rsidRDefault="00BD7393" w:rsidP="00203568">
            <w:pPr>
              <w:pStyle w:val="ListParagraph"/>
              <w:numPr>
                <w:ilvl w:val="0"/>
                <w:numId w:val="45"/>
              </w:numPr>
              <w:rPr>
                <w:rFonts w:ascii="Californian FB" w:hAnsi="Californian FB"/>
                <w:lang w:val="en-US"/>
              </w:rPr>
            </w:pPr>
            <w:r w:rsidRPr="00BD7393">
              <w:rPr>
                <w:rFonts w:ascii="Californian FB" w:hAnsi="Californian FB"/>
                <w:lang w:val="en-US"/>
              </w:rPr>
              <w:t>Increased awareness of NCDs</w:t>
            </w:r>
          </w:p>
          <w:p w14:paraId="3BFE0080" w14:textId="77777777" w:rsidR="00BD7393" w:rsidRPr="00BD7393" w:rsidRDefault="00BD7393" w:rsidP="00C559FB">
            <w:pPr>
              <w:pStyle w:val="ListParagraph"/>
              <w:ind w:left="360"/>
              <w:rPr>
                <w:rFonts w:ascii="Californian FB" w:hAnsi="Californian FB"/>
                <w:lang w:val="en-US"/>
              </w:rPr>
            </w:pPr>
          </w:p>
        </w:tc>
      </w:tr>
      <w:tr w:rsidR="00BD7393" w:rsidRPr="00BD7393" w14:paraId="75D35750" w14:textId="77777777" w:rsidTr="00C559FB">
        <w:trPr>
          <w:trHeight w:val="422"/>
        </w:trPr>
        <w:tc>
          <w:tcPr>
            <w:tcW w:w="738" w:type="dxa"/>
          </w:tcPr>
          <w:p w14:paraId="53C2ECA9" w14:textId="77777777" w:rsidR="00BD7393" w:rsidRPr="00BD7393" w:rsidRDefault="00BD7393" w:rsidP="00C559FB">
            <w:pPr>
              <w:jc w:val="both"/>
              <w:rPr>
                <w:rFonts w:ascii="Californian FB" w:hAnsi="Californian FB"/>
              </w:rPr>
            </w:pPr>
          </w:p>
        </w:tc>
        <w:tc>
          <w:tcPr>
            <w:tcW w:w="1800" w:type="dxa"/>
          </w:tcPr>
          <w:p w14:paraId="77FDF72B" w14:textId="77777777" w:rsidR="00BD7393" w:rsidRPr="00BD7393" w:rsidRDefault="00BD7393" w:rsidP="00C559FB">
            <w:pPr>
              <w:jc w:val="both"/>
              <w:rPr>
                <w:rFonts w:ascii="Californian FB" w:hAnsi="Californian FB"/>
              </w:rPr>
            </w:pPr>
          </w:p>
        </w:tc>
        <w:tc>
          <w:tcPr>
            <w:tcW w:w="2610" w:type="dxa"/>
          </w:tcPr>
          <w:p w14:paraId="65001C6A" w14:textId="77777777" w:rsidR="00BD7393" w:rsidRPr="00BD7393" w:rsidRDefault="00BD7393" w:rsidP="00C559FB">
            <w:pPr>
              <w:rPr>
                <w:rFonts w:ascii="Californian FB" w:hAnsi="Californian FB"/>
              </w:rPr>
            </w:pPr>
            <w:r w:rsidRPr="00BD7393">
              <w:rPr>
                <w:rFonts w:ascii="Californian FB" w:hAnsi="Californian FB"/>
              </w:rPr>
              <w:t>SO2: To Increase population accessing UHC related information by Dec 2022</w:t>
            </w:r>
          </w:p>
        </w:tc>
        <w:tc>
          <w:tcPr>
            <w:tcW w:w="4932" w:type="dxa"/>
          </w:tcPr>
          <w:p w14:paraId="504EE8A5" w14:textId="77777777" w:rsidR="00BD7393" w:rsidRPr="00BD7393" w:rsidRDefault="00BD7393" w:rsidP="00203568">
            <w:pPr>
              <w:pStyle w:val="ListParagraph"/>
              <w:numPr>
                <w:ilvl w:val="0"/>
                <w:numId w:val="45"/>
              </w:numPr>
              <w:rPr>
                <w:rFonts w:ascii="Californian FB" w:hAnsi="Californian FB"/>
                <w:lang w:val="en-US"/>
              </w:rPr>
            </w:pPr>
            <w:r w:rsidRPr="00BD7393">
              <w:rPr>
                <w:rFonts w:ascii="Californian FB" w:hAnsi="Californian FB"/>
                <w:lang w:val="en-US"/>
              </w:rPr>
              <w:t xml:space="preserve">Improve Communication and advocacy for UHC </w:t>
            </w:r>
          </w:p>
          <w:p w14:paraId="7E3FEF7C" w14:textId="77777777" w:rsidR="00BD7393" w:rsidRPr="00BD7393" w:rsidRDefault="00BD7393" w:rsidP="00203568">
            <w:pPr>
              <w:pStyle w:val="ListParagraph"/>
              <w:numPr>
                <w:ilvl w:val="0"/>
                <w:numId w:val="45"/>
              </w:numPr>
              <w:rPr>
                <w:rFonts w:ascii="Californian FB" w:hAnsi="Californian FB"/>
                <w:lang w:val="en-US"/>
              </w:rPr>
            </w:pPr>
            <w:r w:rsidRPr="00BD7393">
              <w:rPr>
                <w:rFonts w:ascii="Californian FB" w:hAnsi="Californian FB"/>
                <w:lang w:val="en-US"/>
              </w:rPr>
              <w:t>Stakeholder engagement on UHC done</w:t>
            </w:r>
          </w:p>
        </w:tc>
      </w:tr>
      <w:tr w:rsidR="00BD7393" w:rsidRPr="00BD7393" w14:paraId="6FBBAEE0" w14:textId="77777777" w:rsidTr="00C559FB">
        <w:tc>
          <w:tcPr>
            <w:tcW w:w="738" w:type="dxa"/>
          </w:tcPr>
          <w:p w14:paraId="47C98E39" w14:textId="77777777" w:rsidR="00BD7393" w:rsidRPr="00BD7393" w:rsidRDefault="00BD7393" w:rsidP="00C559FB">
            <w:pPr>
              <w:jc w:val="both"/>
              <w:rPr>
                <w:rFonts w:ascii="Californian FB" w:hAnsi="Californian FB"/>
              </w:rPr>
            </w:pPr>
            <w:r w:rsidRPr="00BD7393">
              <w:rPr>
                <w:rFonts w:ascii="Californian FB" w:hAnsi="Californian FB"/>
              </w:rPr>
              <w:t>4</w:t>
            </w:r>
          </w:p>
        </w:tc>
        <w:tc>
          <w:tcPr>
            <w:tcW w:w="1800" w:type="dxa"/>
          </w:tcPr>
          <w:p w14:paraId="1A620BC8" w14:textId="77777777" w:rsidR="00BD7393" w:rsidRPr="00BD7393" w:rsidRDefault="00BD7393" w:rsidP="00C559FB">
            <w:pPr>
              <w:jc w:val="both"/>
              <w:rPr>
                <w:rFonts w:ascii="Californian FB" w:hAnsi="Californian FB"/>
              </w:rPr>
            </w:pPr>
            <w:r w:rsidRPr="00BD7393">
              <w:rPr>
                <w:rFonts w:ascii="Californian FB" w:hAnsi="Californian FB"/>
              </w:rPr>
              <w:t>Financial Protection</w:t>
            </w:r>
          </w:p>
        </w:tc>
        <w:tc>
          <w:tcPr>
            <w:tcW w:w="2610" w:type="dxa"/>
          </w:tcPr>
          <w:p w14:paraId="3E6AC0C9" w14:textId="77777777" w:rsidR="00BD7393" w:rsidRPr="00BD7393" w:rsidRDefault="00BD7393" w:rsidP="00C559FB">
            <w:pPr>
              <w:rPr>
                <w:rFonts w:ascii="Californian FB" w:hAnsi="Californian FB"/>
              </w:rPr>
            </w:pPr>
            <w:r w:rsidRPr="00BD7393">
              <w:rPr>
                <w:rFonts w:ascii="Californian FB" w:hAnsi="Californian FB"/>
              </w:rPr>
              <w:t>SO1: To strengthen financial risk protection in health</w:t>
            </w:r>
          </w:p>
          <w:p w14:paraId="2072C3A7" w14:textId="77777777" w:rsidR="00BD7393" w:rsidRPr="00BD7393" w:rsidRDefault="00BD7393" w:rsidP="00C559FB">
            <w:pPr>
              <w:jc w:val="both"/>
              <w:rPr>
                <w:rFonts w:ascii="Californian FB" w:hAnsi="Californian FB"/>
              </w:rPr>
            </w:pPr>
            <w:r w:rsidRPr="00BD7393">
              <w:rPr>
                <w:rFonts w:ascii="Californian FB" w:hAnsi="Californian FB"/>
              </w:rPr>
              <w:t xml:space="preserve">through increased population covered by health insurance from 36% in 2017 to 100% by Dec 2022  (i.e. 16,538,982 </w:t>
            </w:r>
            <w:r w:rsidRPr="00BD7393">
              <w:rPr>
                <w:rFonts w:ascii="Californian FB" w:hAnsi="Californian FB"/>
              </w:rPr>
              <w:lastRenderedPageBreak/>
              <w:t xml:space="preserve">persons to 56,740,788 persons) </w:t>
            </w:r>
          </w:p>
        </w:tc>
        <w:tc>
          <w:tcPr>
            <w:tcW w:w="4932" w:type="dxa"/>
          </w:tcPr>
          <w:p w14:paraId="6DC88EF8" w14:textId="77777777" w:rsidR="00BD7393" w:rsidRPr="00BD7393" w:rsidRDefault="00BD7393" w:rsidP="00203568">
            <w:pPr>
              <w:pStyle w:val="ListParagraph"/>
              <w:numPr>
                <w:ilvl w:val="0"/>
                <w:numId w:val="56"/>
              </w:numPr>
              <w:jc w:val="both"/>
              <w:rPr>
                <w:rFonts w:ascii="Californian FB" w:hAnsi="Californian FB"/>
                <w:lang w:val="en-US"/>
              </w:rPr>
            </w:pPr>
            <w:r w:rsidRPr="00BD7393">
              <w:rPr>
                <w:rFonts w:ascii="Californian FB" w:hAnsi="Californian FB"/>
                <w:lang w:val="en-US"/>
              </w:rPr>
              <w:lastRenderedPageBreak/>
              <w:t xml:space="preserve">A Unified, Explicit Benefit package developed and operationalized that progressively consolidate the targeted health insurance programs </w:t>
            </w:r>
          </w:p>
          <w:p w14:paraId="4221ADDD" w14:textId="77777777" w:rsidR="00BD7393" w:rsidRPr="00BD7393" w:rsidRDefault="00BD7393" w:rsidP="00203568">
            <w:pPr>
              <w:pStyle w:val="ListParagraph"/>
              <w:numPr>
                <w:ilvl w:val="0"/>
                <w:numId w:val="56"/>
              </w:numPr>
              <w:jc w:val="both"/>
              <w:rPr>
                <w:rFonts w:ascii="Californian FB" w:hAnsi="Californian FB"/>
                <w:lang w:val="en-US"/>
              </w:rPr>
            </w:pPr>
            <w:r w:rsidRPr="00BD7393">
              <w:rPr>
                <w:rFonts w:ascii="Californian FB" w:hAnsi="Californian FB"/>
                <w:lang w:val="en-US"/>
              </w:rPr>
              <w:t>Increased health insurance coverage through NHIF</w:t>
            </w:r>
          </w:p>
          <w:p w14:paraId="2117D52C"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lastRenderedPageBreak/>
              <w:t>That resources will be prioritized to provide the essential health services that people of Kenya need.</w:t>
            </w:r>
          </w:p>
          <w:p w14:paraId="2A59C351"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 xml:space="preserve">Increase government spending on health; increased domestic resource mobilization </w:t>
            </w:r>
          </w:p>
          <w:p w14:paraId="50A6B518"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 xml:space="preserve">Mandatory contributions for financial sustainability, mitigate adverse selection </w:t>
            </w:r>
          </w:p>
          <w:p w14:paraId="267E3C2D"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 xml:space="preserve">Use of budget resources to reduce financial barrier to access health care and make services affordable to everyone </w:t>
            </w:r>
          </w:p>
          <w:p w14:paraId="53D757BF"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 xml:space="preserve"> Targeted external resources that are predictable and guided to specific interventions. </w:t>
            </w:r>
          </w:p>
          <w:p w14:paraId="074E2C95"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To maximize Efficiency and value for money in the management and utilization of available health resources</w:t>
            </w:r>
          </w:p>
          <w:p w14:paraId="5D10FCB6" w14:textId="77777777" w:rsidR="00BD7393" w:rsidRPr="00BD7393" w:rsidRDefault="00BD7393" w:rsidP="00203568">
            <w:pPr>
              <w:numPr>
                <w:ilvl w:val="0"/>
                <w:numId w:val="46"/>
              </w:numPr>
              <w:contextualSpacing/>
              <w:jc w:val="both"/>
              <w:rPr>
                <w:rFonts w:ascii="Californian FB" w:hAnsi="Californian FB"/>
              </w:rPr>
            </w:pPr>
            <w:r w:rsidRPr="00BD7393">
              <w:rPr>
                <w:rFonts w:ascii="Californian FB" w:hAnsi="Californian FB"/>
              </w:rPr>
              <w:t>Moving from passive to “strategic purchasing” to drive performance and contain cost increase Effective Governance and accountability and transparency</w:t>
            </w:r>
          </w:p>
        </w:tc>
      </w:tr>
      <w:tr w:rsidR="00BD7393" w:rsidRPr="00BD7393" w14:paraId="54AD96C5" w14:textId="77777777" w:rsidTr="00C559FB">
        <w:tc>
          <w:tcPr>
            <w:tcW w:w="738" w:type="dxa"/>
          </w:tcPr>
          <w:p w14:paraId="0E30C2A3" w14:textId="77777777" w:rsidR="00BD7393" w:rsidRPr="00BD7393" w:rsidRDefault="00BD7393" w:rsidP="00C559FB">
            <w:pPr>
              <w:jc w:val="both"/>
              <w:rPr>
                <w:rFonts w:ascii="Californian FB" w:hAnsi="Californian FB"/>
              </w:rPr>
            </w:pPr>
          </w:p>
        </w:tc>
        <w:tc>
          <w:tcPr>
            <w:tcW w:w="1800" w:type="dxa"/>
          </w:tcPr>
          <w:p w14:paraId="7FA7930B" w14:textId="77777777" w:rsidR="00BD7393" w:rsidRPr="00BD7393" w:rsidRDefault="00BD7393" w:rsidP="00C559FB">
            <w:pPr>
              <w:jc w:val="both"/>
              <w:rPr>
                <w:rFonts w:ascii="Californian FB" w:hAnsi="Californian FB"/>
              </w:rPr>
            </w:pPr>
          </w:p>
        </w:tc>
        <w:tc>
          <w:tcPr>
            <w:tcW w:w="2610" w:type="dxa"/>
          </w:tcPr>
          <w:p w14:paraId="5AC1172A" w14:textId="77777777" w:rsidR="00BD7393" w:rsidRPr="00BD7393" w:rsidRDefault="00BD7393" w:rsidP="00C559FB">
            <w:pPr>
              <w:jc w:val="both"/>
              <w:rPr>
                <w:rFonts w:ascii="Californian FB" w:hAnsi="Californian FB"/>
              </w:rPr>
            </w:pPr>
            <w:r w:rsidRPr="00BD7393">
              <w:rPr>
                <w:rFonts w:ascii="Californian FB" w:hAnsi="Californian FB"/>
              </w:rPr>
              <w:t>SO2: To increase the total health expenditure on health as a % of GDP from 2.5% to XX by Dec 2022</w:t>
            </w:r>
          </w:p>
        </w:tc>
        <w:tc>
          <w:tcPr>
            <w:tcW w:w="4932" w:type="dxa"/>
          </w:tcPr>
          <w:p w14:paraId="3CA27E00" w14:textId="77777777" w:rsidR="00BD7393" w:rsidRPr="00BD7393" w:rsidRDefault="00BD7393" w:rsidP="00203568">
            <w:pPr>
              <w:pStyle w:val="ListParagraph"/>
              <w:numPr>
                <w:ilvl w:val="0"/>
                <w:numId w:val="55"/>
              </w:numPr>
              <w:rPr>
                <w:rFonts w:ascii="Californian FB" w:hAnsi="Californian FB"/>
                <w:lang w:val="en-US"/>
              </w:rPr>
            </w:pPr>
            <w:r w:rsidRPr="00BD7393">
              <w:rPr>
                <w:rFonts w:ascii="Californian FB" w:hAnsi="Californian FB"/>
                <w:lang w:val="en-US"/>
              </w:rPr>
              <w:t xml:space="preserve">increased budgetary allocation to health </w:t>
            </w:r>
          </w:p>
          <w:p w14:paraId="40C89460" w14:textId="77777777" w:rsidR="00BD7393" w:rsidRPr="00BD7393" w:rsidRDefault="00BD7393" w:rsidP="00203568">
            <w:pPr>
              <w:pStyle w:val="ListParagraph"/>
              <w:numPr>
                <w:ilvl w:val="0"/>
                <w:numId w:val="55"/>
              </w:numPr>
              <w:rPr>
                <w:rFonts w:ascii="Californian FB" w:hAnsi="Californian FB"/>
                <w:lang w:val="en-US"/>
              </w:rPr>
            </w:pPr>
            <w:r w:rsidRPr="00BD7393">
              <w:rPr>
                <w:rFonts w:ascii="Californian FB" w:hAnsi="Californian FB"/>
                <w:lang w:val="en-US"/>
              </w:rPr>
              <w:t xml:space="preserve">increased private sector investment </w:t>
            </w:r>
          </w:p>
          <w:p w14:paraId="69F10090" w14:textId="77777777" w:rsidR="00BD7393" w:rsidRPr="00BD7393" w:rsidRDefault="00BD7393" w:rsidP="00203568">
            <w:pPr>
              <w:pStyle w:val="ListParagraph"/>
              <w:numPr>
                <w:ilvl w:val="0"/>
                <w:numId w:val="55"/>
              </w:numPr>
              <w:rPr>
                <w:rFonts w:ascii="Californian FB" w:hAnsi="Californian FB"/>
                <w:lang w:val="en-US"/>
              </w:rPr>
            </w:pPr>
            <w:r w:rsidRPr="00BD7393">
              <w:rPr>
                <w:rFonts w:ascii="Californian FB" w:hAnsi="Californian FB"/>
                <w:lang w:val="en-US"/>
              </w:rPr>
              <w:t>Alternative financing models in health developed and implemented</w:t>
            </w:r>
          </w:p>
          <w:p w14:paraId="5DAF7E69" w14:textId="77777777" w:rsidR="00BD7393" w:rsidRPr="00BD7393" w:rsidRDefault="00BD7393" w:rsidP="00203568">
            <w:pPr>
              <w:pStyle w:val="ListParagraph"/>
              <w:numPr>
                <w:ilvl w:val="0"/>
                <w:numId w:val="55"/>
              </w:numPr>
              <w:rPr>
                <w:rFonts w:ascii="Californian FB" w:hAnsi="Californian FB"/>
                <w:lang w:val="en-US"/>
              </w:rPr>
            </w:pPr>
            <w:r w:rsidRPr="00BD7393">
              <w:rPr>
                <w:rFonts w:ascii="Californian FB" w:hAnsi="Californian FB"/>
                <w:lang w:val="en-US"/>
              </w:rPr>
              <w:t xml:space="preserve"> Implementation of existing Financing programs continued</w:t>
            </w:r>
          </w:p>
          <w:p w14:paraId="309163C7" w14:textId="77777777" w:rsidR="00BD7393" w:rsidRPr="00BD7393" w:rsidRDefault="00BD7393" w:rsidP="00203568">
            <w:pPr>
              <w:pStyle w:val="ListParagraph"/>
              <w:numPr>
                <w:ilvl w:val="0"/>
                <w:numId w:val="55"/>
              </w:numPr>
              <w:rPr>
                <w:rFonts w:ascii="Californian FB" w:hAnsi="Californian FB"/>
                <w:lang w:val="en-US"/>
              </w:rPr>
            </w:pPr>
            <w:r w:rsidRPr="00BD7393">
              <w:rPr>
                <w:rFonts w:ascii="Californian FB" w:hAnsi="Californian FB"/>
                <w:lang w:val="en-US"/>
              </w:rPr>
              <w:t>Increased efficiency in health financing</w:t>
            </w:r>
          </w:p>
        </w:tc>
      </w:tr>
      <w:tr w:rsidR="00BD7393" w:rsidRPr="00BD7393" w14:paraId="745AB209" w14:textId="77777777" w:rsidTr="00C559FB">
        <w:tc>
          <w:tcPr>
            <w:tcW w:w="738" w:type="dxa"/>
          </w:tcPr>
          <w:p w14:paraId="227DD65D" w14:textId="77777777" w:rsidR="00BD7393" w:rsidRPr="00BD7393" w:rsidRDefault="00BD7393" w:rsidP="00C559FB">
            <w:pPr>
              <w:jc w:val="both"/>
              <w:rPr>
                <w:rFonts w:ascii="Californian FB" w:hAnsi="Californian FB"/>
              </w:rPr>
            </w:pPr>
            <w:r w:rsidRPr="00BD7393">
              <w:rPr>
                <w:rFonts w:ascii="Californian FB" w:hAnsi="Californian FB"/>
              </w:rPr>
              <w:t>4</w:t>
            </w:r>
          </w:p>
        </w:tc>
        <w:tc>
          <w:tcPr>
            <w:tcW w:w="1800" w:type="dxa"/>
          </w:tcPr>
          <w:p w14:paraId="50957C9C" w14:textId="77777777" w:rsidR="00BD7393" w:rsidRPr="00BD7393" w:rsidRDefault="00BD7393" w:rsidP="00C559FB">
            <w:pPr>
              <w:jc w:val="both"/>
              <w:rPr>
                <w:rFonts w:ascii="Californian FB" w:hAnsi="Californian FB"/>
              </w:rPr>
            </w:pPr>
            <w:r w:rsidRPr="00BD7393">
              <w:rPr>
                <w:rFonts w:ascii="Californian FB" w:hAnsi="Californian FB"/>
              </w:rPr>
              <w:t>Resilience in essential service provision</w:t>
            </w:r>
          </w:p>
        </w:tc>
        <w:tc>
          <w:tcPr>
            <w:tcW w:w="2610" w:type="dxa"/>
          </w:tcPr>
          <w:p w14:paraId="11DA49D0" w14:textId="77777777" w:rsidR="00BD7393" w:rsidRPr="00BD7393" w:rsidRDefault="00BD7393" w:rsidP="00C559FB">
            <w:pPr>
              <w:jc w:val="both"/>
              <w:rPr>
                <w:rFonts w:ascii="Californian FB" w:hAnsi="Californian FB"/>
              </w:rPr>
            </w:pPr>
            <w:r w:rsidRPr="00BD7393">
              <w:rPr>
                <w:rFonts w:ascii="Californian FB" w:hAnsi="Californian FB"/>
              </w:rPr>
              <w:t xml:space="preserve">SO1: To ensure equity in distribution of services and resources.  </w:t>
            </w:r>
          </w:p>
          <w:p w14:paraId="7E4E5B91" w14:textId="77777777" w:rsidR="00BD7393" w:rsidRPr="00BD7393" w:rsidRDefault="00BD7393" w:rsidP="00C559FB">
            <w:pPr>
              <w:jc w:val="both"/>
              <w:rPr>
                <w:rFonts w:ascii="Californian FB" w:hAnsi="Californian FB"/>
              </w:rPr>
            </w:pPr>
          </w:p>
        </w:tc>
        <w:tc>
          <w:tcPr>
            <w:tcW w:w="4932" w:type="dxa"/>
          </w:tcPr>
          <w:p w14:paraId="1F1BD3EC" w14:textId="77777777" w:rsidR="00BD7393" w:rsidRPr="00BD7393" w:rsidRDefault="00BD7393" w:rsidP="00203568">
            <w:pPr>
              <w:numPr>
                <w:ilvl w:val="0"/>
                <w:numId w:val="47"/>
              </w:numPr>
              <w:autoSpaceDE w:val="0"/>
              <w:autoSpaceDN w:val="0"/>
              <w:adjustRightInd w:val="0"/>
              <w:contextualSpacing/>
              <w:jc w:val="both"/>
              <w:rPr>
                <w:rFonts w:ascii="Californian FB" w:hAnsi="Californian FB"/>
              </w:rPr>
            </w:pPr>
            <w:r w:rsidRPr="00BD7393">
              <w:rPr>
                <w:rFonts w:ascii="Californian FB" w:hAnsi="Californian FB"/>
              </w:rPr>
              <w:t xml:space="preserve">Targeting the marginalized and the vulnerable groups/ Effective safety nets for the poor and vulnerable; This will include expanding service delivery to the marginalized groups; implementing pro-poor interventions; Reaching the informal sector. </w:t>
            </w:r>
          </w:p>
          <w:p w14:paraId="099DBD29" w14:textId="77777777" w:rsidR="00BD7393" w:rsidRPr="00BD7393" w:rsidRDefault="00BD7393" w:rsidP="00203568">
            <w:pPr>
              <w:numPr>
                <w:ilvl w:val="0"/>
                <w:numId w:val="47"/>
              </w:numPr>
              <w:autoSpaceDE w:val="0"/>
              <w:autoSpaceDN w:val="0"/>
              <w:adjustRightInd w:val="0"/>
              <w:contextualSpacing/>
              <w:jc w:val="both"/>
              <w:rPr>
                <w:rFonts w:ascii="Californian FB" w:hAnsi="Californian FB"/>
              </w:rPr>
            </w:pPr>
            <w:r w:rsidRPr="00BD7393">
              <w:rPr>
                <w:rFonts w:ascii="Californian FB" w:hAnsi="Californian FB"/>
              </w:rPr>
              <w:t xml:space="preserve">Compliance of HFs in offering insured services (Benefit package) </w:t>
            </w:r>
          </w:p>
          <w:p w14:paraId="036E78C2" w14:textId="77777777" w:rsidR="00BD7393" w:rsidRPr="00BD7393" w:rsidRDefault="00BD7393" w:rsidP="00203568">
            <w:pPr>
              <w:numPr>
                <w:ilvl w:val="0"/>
                <w:numId w:val="47"/>
              </w:numPr>
              <w:autoSpaceDE w:val="0"/>
              <w:autoSpaceDN w:val="0"/>
              <w:adjustRightInd w:val="0"/>
              <w:contextualSpacing/>
              <w:jc w:val="both"/>
              <w:rPr>
                <w:rFonts w:ascii="Californian FB" w:hAnsi="Californian FB"/>
              </w:rPr>
            </w:pPr>
            <w:r w:rsidRPr="00BD7393">
              <w:rPr>
                <w:rFonts w:ascii="Californian FB" w:hAnsi="Californian FB"/>
              </w:rPr>
              <w:t xml:space="preserve">Financial risk protection for all Kenyans </w:t>
            </w:r>
          </w:p>
          <w:p w14:paraId="401B5A0E" w14:textId="77777777" w:rsidR="00BD7393" w:rsidRPr="00BD7393" w:rsidRDefault="00BD7393" w:rsidP="00203568">
            <w:pPr>
              <w:numPr>
                <w:ilvl w:val="0"/>
                <w:numId w:val="47"/>
              </w:numPr>
              <w:autoSpaceDE w:val="0"/>
              <w:autoSpaceDN w:val="0"/>
              <w:adjustRightInd w:val="0"/>
              <w:contextualSpacing/>
              <w:jc w:val="both"/>
              <w:rPr>
                <w:rFonts w:ascii="Californian FB" w:hAnsi="Californian FB"/>
              </w:rPr>
            </w:pPr>
            <w:r w:rsidRPr="00BD7393">
              <w:rPr>
                <w:rFonts w:ascii="Californian FB" w:hAnsi="Californian FB"/>
              </w:rPr>
              <w:t>Fairness in distribution of health sector resources at all levels of the health system</w:t>
            </w:r>
          </w:p>
        </w:tc>
      </w:tr>
    </w:tbl>
    <w:p w14:paraId="566CF323" w14:textId="77777777" w:rsidR="00BD7393" w:rsidRPr="00BD7393" w:rsidRDefault="00BD7393" w:rsidP="00BD7393">
      <w:pPr>
        <w:jc w:val="both"/>
        <w:rPr>
          <w:rFonts w:ascii="Californian FB" w:hAnsi="Californian FB"/>
        </w:rPr>
      </w:pPr>
    </w:p>
    <w:p w14:paraId="2CB866E6" w14:textId="77777777" w:rsidR="00BD7393" w:rsidRPr="00BD7393" w:rsidRDefault="00BD7393" w:rsidP="00BD7393">
      <w:pPr>
        <w:jc w:val="both"/>
        <w:rPr>
          <w:rFonts w:ascii="Californian FB" w:hAnsi="Californian FB"/>
        </w:rPr>
      </w:pPr>
      <w:r w:rsidRPr="00BD7393">
        <w:rPr>
          <w:rFonts w:ascii="Californian FB" w:hAnsi="Californian FB"/>
        </w:rPr>
        <w:t xml:space="preserve">In order to progressively move towards achieving Universal Health Coverage, the Government has committed to implement various interventions that will facilitate the achievement of the above objectives. These include the scaling up of NHIF coverage to 100 per cent of the population; improving systems at NHIF; aligning the NHIF Act to UHC and allowing Public Private Partnership in Insurance; mobilizing additional funding to the health sector and implementing various programs and projects that are meant to improve access and quality of healthcare services across the country. These interventions the Government is undertaking are in line with the current global health agenda and the SDGs 3 goal (specifically target 3.8) under the 2030 agenda that is increasingly focusing on the goal of achieving universal coverage in health as well as the national policies, including the Kenya Vision 2030 and the Kenya Health Policy, 2014-2030. </w:t>
      </w:r>
    </w:p>
    <w:p w14:paraId="6DAEBD3E" w14:textId="0DA5C777" w:rsidR="00BD7393" w:rsidRPr="00BD7393" w:rsidRDefault="00BD7393" w:rsidP="00BD7393">
      <w:pPr>
        <w:jc w:val="both"/>
        <w:rPr>
          <w:rFonts w:ascii="Californian FB" w:hAnsi="Californian FB"/>
        </w:rPr>
      </w:pPr>
      <w:r w:rsidRPr="00BD7393">
        <w:rPr>
          <w:rFonts w:ascii="Californian FB" w:hAnsi="Californian FB"/>
        </w:rPr>
        <w:lastRenderedPageBreak/>
        <w:t xml:space="preserve">Further, it is recognized that the role of the county governments, other government ministries, departments and agencies and other stakeholders including partners, private sector, and civil society will be critical in moving towards Universal Health Coverage.  The next chapters in this roadmap spells out the key focus areas, the targets as well as the resource requirements for implementation in-order to achieve the desired outputs for UHC in Kenya.  </w:t>
      </w:r>
    </w:p>
    <w:p w14:paraId="639EE5CA" w14:textId="77777777" w:rsidR="00BD7393" w:rsidRPr="00C559FB" w:rsidRDefault="00BD7393" w:rsidP="003A725B">
      <w:pPr>
        <w:pStyle w:val="Heading2"/>
        <w:numPr>
          <w:ilvl w:val="0"/>
          <w:numId w:val="0"/>
        </w:numPr>
        <w:rPr>
          <w:rFonts w:ascii="Californian FB" w:eastAsiaTheme="minorHAnsi" w:hAnsi="Californian FB" w:cstheme="minorBidi"/>
          <w:bCs w:val="0"/>
          <w:color w:val="auto"/>
          <w:sz w:val="22"/>
          <w:szCs w:val="22"/>
          <w:lang w:val="en-US"/>
        </w:rPr>
      </w:pPr>
      <w:bookmarkStart w:id="24" w:name="_Toc520711811"/>
      <w:bookmarkStart w:id="25" w:name="_Toc520793113"/>
      <w:bookmarkEnd w:id="22"/>
      <w:r w:rsidRPr="00C559FB">
        <w:rPr>
          <w:rFonts w:ascii="Californian FB" w:eastAsiaTheme="minorHAnsi" w:hAnsi="Californian FB" w:cstheme="minorBidi"/>
          <w:bCs w:val="0"/>
          <w:color w:val="auto"/>
          <w:sz w:val="22"/>
          <w:szCs w:val="22"/>
          <w:lang w:val="en-US"/>
        </w:rPr>
        <w:t>2.2 Program Strategies and Activities (including Geographic Scope and Target Population)</w:t>
      </w:r>
      <w:bookmarkEnd w:id="24"/>
      <w:bookmarkEnd w:id="25"/>
    </w:p>
    <w:p w14:paraId="61E2505F" w14:textId="77777777" w:rsidR="00BD7393" w:rsidRPr="00BD7393" w:rsidRDefault="00BD7393" w:rsidP="00BD7393">
      <w:pPr>
        <w:pStyle w:val="Caption"/>
        <w:spacing w:after="0"/>
        <w:jc w:val="both"/>
        <w:rPr>
          <w:rFonts w:ascii="Californian FB" w:hAnsi="Californian FB"/>
          <w:i w:val="0"/>
          <w:iCs w:val="0"/>
          <w:color w:val="auto"/>
          <w:sz w:val="22"/>
          <w:szCs w:val="22"/>
          <w:lang w:val="en-US"/>
        </w:rPr>
      </w:pPr>
    </w:p>
    <w:p w14:paraId="42322C1F" w14:textId="77777777" w:rsidR="00BD7393" w:rsidRPr="00BD7393" w:rsidRDefault="00BD7393" w:rsidP="00BD7393">
      <w:pPr>
        <w:pStyle w:val="Caption"/>
        <w:spacing w:after="0"/>
        <w:jc w:val="both"/>
        <w:rPr>
          <w:rFonts w:ascii="Californian FB" w:hAnsi="Californian FB"/>
          <w:i w:val="0"/>
          <w:iCs w:val="0"/>
          <w:color w:val="auto"/>
          <w:sz w:val="22"/>
          <w:szCs w:val="22"/>
          <w:lang w:val="en-US"/>
        </w:rPr>
      </w:pPr>
      <w:r w:rsidRPr="00BD7393">
        <w:rPr>
          <w:rFonts w:ascii="Californian FB" w:hAnsi="Californian FB"/>
          <w:i w:val="0"/>
          <w:iCs w:val="0"/>
          <w:color w:val="auto"/>
          <w:sz w:val="22"/>
          <w:szCs w:val="22"/>
          <w:lang w:val="en-US"/>
        </w:rPr>
        <w:t>The Ministry has defined priorities with targets to be implemented in the next four years (2018-2022).  The priorities range from increasing the population covered by health insurance, legal reforms, increasing the range of health services, investments in health commodities, ensuring the necessary infrastructure and equipment and that human resource for health are availed for efficient service delivery. Additionally, the priorities also include increasing financing to the health sector, supervision, monitoring and evaluation as well as communication and advocacy for UHC.  The table 4 here below spells out some of the strategies that shall be employed in each of the priority areas in-order to progressively move towards achieving the aspirations of UHC</w:t>
      </w:r>
    </w:p>
    <w:p w14:paraId="19D37269" w14:textId="77777777" w:rsidR="00BD7393" w:rsidRPr="00BD7393" w:rsidRDefault="00BD7393" w:rsidP="00BD7393">
      <w:pPr>
        <w:jc w:val="both"/>
        <w:rPr>
          <w:rFonts w:ascii="Californian FB" w:hAnsi="Californian FB"/>
        </w:rPr>
      </w:pPr>
    </w:p>
    <w:p w14:paraId="5FD8F51E" w14:textId="77777777" w:rsidR="00BD7393" w:rsidRPr="00BD7393" w:rsidRDefault="00BD7393" w:rsidP="00BD7393">
      <w:pPr>
        <w:jc w:val="both"/>
        <w:rPr>
          <w:rFonts w:ascii="Californian FB" w:hAnsi="Californian FB"/>
        </w:rPr>
      </w:pPr>
    </w:p>
    <w:p w14:paraId="21406AF9" w14:textId="77777777" w:rsidR="00BD7393" w:rsidRPr="00BD7393" w:rsidRDefault="00BD7393" w:rsidP="00BD7393">
      <w:pPr>
        <w:pStyle w:val="Caption"/>
        <w:keepNext/>
        <w:spacing w:after="0"/>
        <w:jc w:val="both"/>
        <w:rPr>
          <w:rFonts w:ascii="Californian FB" w:hAnsi="Californian FB"/>
          <w:i w:val="0"/>
          <w:iCs w:val="0"/>
          <w:color w:val="auto"/>
          <w:sz w:val="22"/>
          <w:szCs w:val="22"/>
          <w:lang w:val="en-US"/>
        </w:rPr>
      </w:pPr>
      <w:r w:rsidRPr="00BD7393">
        <w:rPr>
          <w:rFonts w:ascii="Californian FB" w:hAnsi="Californian FB"/>
          <w:i w:val="0"/>
          <w:iCs w:val="0"/>
          <w:color w:val="auto"/>
          <w:sz w:val="22"/>
          <w:szCs w:val="22"/>
          <w:lang w:val="en-US"/>
        </w:rPr>
        <w:t xml:space="preserve">Figure </w:t>
      </w:r>
      <w:r w:rsidRPr="00BD7393">
        <w:rPr>
          <w:rFonts w:ascii="Californian FB" w:hAnsi="Californian FB"/>
          <w:i w:val="0"/>
          <w:iCs w:val="0"/>
          <w:color w:val="auto"/>
          <w:sz w:val="22"/>
          <w:szCs w:val="22"/>
          <w:lang w:val="en-US"/>
        </w:rPr>
        <w:fldChar w:fldCharType="begin"/>
      </w:r>
      <w:r w:rsidRPr="00BD7393">
        <w:rPr>
          <w:rFonts w:ascii="Californian FB" w:hAnsi="Californian FB"/>
          <w:i w:val="0"/>
          <w:iCs w:val="0"/>
          <w:color w:val="auto"/>
          <w:sz w:val="22"/>
          <w:szCs w:val="22"/>
          <w:lang w:val="en-US"/>
        </w:rPr>
        <w:instrText xml:space="preserve"> SEQ Figure \* ARABIC </w:instrText>
      </w:r>
      <w:r w:rsidRPr="00BD7393">
        <w:rPr>
          <w:rFonts w:ascii="Californian FB" w:hAnsi="Californian FB"/>
          <w:i w:val="0"/>
          <w:iCs w:val="0"/>
          <w:color w:val="auto"/>
          <w:sz w:val="22"/>
          <w:szCs w:val="22"/>
          <w:lang w:val="en-US"/>
        </w:rPr>
        <w:fldChar w:fldCharType="separate"/>
      </w:r>
      <w:r w:rsidRPr="00BD7393">
        <w:rPr>
          <w:rFonts w:ascii="Californian FB" w:hAnsi="Californian FB"/>
          <w:i w:val="0"/>
          <w:iCs w:val="0"/>
          <w:color w:val="auto"/>
          <w:sz w:val="22"/>
          <w:szCs w:val="22"/>
          <w:lang w:val="en-US"/>
        </w:rPr>
        <w:t>2</w:t>
      </w:r>
      <w:r w:rsidRPr="00BD7393">
        <w:rPr>
          <w:rFonts w:ascii="Californian FB" w:hAnsi="Californian FB"/>
          <w:i w:val="0"/>
          <w:iCs w:val="0"/>
          <w:color w:val="auto"/>
          <w:sz w:val="22"/>
          <w:szCs w:val="22"/>
          <w:lang w:val="en-US"/>
        </w:rPr>
        <w:fldChar w:fldCharType="end"/>
      </w:r>
      <w:r w:rsidRPr="00BD7393">
        <w:rPr>
          <w:rFonts w:ascii="Californian FB" w:hAnsi="Californian FB"/>
          <w:i w:val="0"/>
          <w:iCs w:val="0"/>
          <w:color w:val="auto"/>
          <w:sz w:val="22"/>
          <w:szCs w:val="22"/>
          <w:lang w:val="en-US"/>
        </w:rPr>
        <w:t>: Summary of Strategies for Achieving the Aspirations (Need to be further unbundled based on identified priority interventions)</w:t>
      </w:r>
    </w:p>
    <w:p w14:paraId="3F549B96" w14:textId="77777777" w:rsidR="00BD7393" w:rsidRPr="00BD7393" w:rsidRDefault="00BD7393" w:rsidP="00BD7393">
      <w:pPr>
        <w:jc w:val="both"/>
        <w:rPr>
          <w:rFonts w:ascii="Californian FB" w:hAnsi="Californian FB"/>
        </w:rPr>
      </w:pPr>
      <w:r w:rsidRPr="00BD7393">
        <w:rPr>
          <w:rFonts w:ascii="Californian FB" w:hAnsi="Californian FB"/>
          <w:noProof/>
        </w:rPr>
        <w:drawing>
          <wp:inline distT="0" distB="0" distL="0" distR="0" wp14:anchorId="076DCDD7" wp14:editId="1A7E5EE4">
            <wp:extent cx="6400800" cy="3311525"/>
            <wp:effectExtent l="0" t="0" r="0" b="0"/>
            <wp:docPr id="1175" name="Picture 1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400800" cy="3311525"/>
                    </a:xfrm>
                    <a:prstGeom prst="rect">
                      <a:avLst/>
                    </a:prstGeom>
                  </pic:spPr>
                </pic:pic>
              </a:graphicData>
            </a:graphic>
          </wp:inline>
        </w:drawing>
      </w:r>
    </w:p>
    <w:p w14:paraId="2BE1AE1F" w14:textId="77777777" w:rsidR="00BD7393" w:rsidRPr="00BD7393" w:rsidRDefault="00BD7393" w:rsidP="00BD7393">
      <w:pPr>
        <w:jc w:val="both"/>
        <w:rPr>
          <w:rFonts w:ascii="Californian FB" w:hAnsi="Californian FB"/>
        </w:rPr>
      </w:pPr>
    </w:p>
    <w:p w14:paraId="0BE1B2EE" w14:textId="77777777" w:rsidR="00BD7393" w:rsidRPr="00BD7393" w:rsidRDefault="00BD7393" w:rsidP="00BD7393">
      <w:pPr>
        <w:jc w:val="both"/>
        <w:rPr>
          <w:rFonts w:ascii="Californian FB" w:hAnsi="Californian FB"/>
        </w:rPr>
      </w:pPr>
    </w:p>
    <w:p w14:paraId="6C9A1BDD" w14:textId="77777777" w:rsidR="00BD7393" w:rsidRPr="00BD7393" w:rsidRDefault="00BD7393" w:rsidP="00BD7393">
      <w:pPr>
        <w:jc w:val="both"/>
        <w:rPr>
          <w:rFonts w:ascii="Californian FB" w:hAnsi="Californian FB"/>
        </w:rPr>
        <w:sectPr w:rsidR="00BD7393" w:rsidRPr="00BD7393" w:rsidSect="00C559FB">
          <w:headerReference w:type="even" r:id="rId30"/>
          <w:headerReference w:type="default" r:id="rId31"/>
          <w:footerReference w:type="default" r:id="rId32"/>
          <w:headerReference w:type="first" r:id="rId33"/>
          <w:footerReference w:type="first" r:id="rId34"/>
          <w:pgSz w:w="12240" w:h="15840"/>
          <w:pgMar w:top="1440" w:right="1080" w:bottom="1440" w:left="1080" w:header="720" w:footer="720" w:gutter="0"/>
          <w:pgNumType w:start="0"/>
          <w:cols w:space="720"/>
          <w:titlePg/>
          <w:docGrid w:linePitch="360"/>
        </w:sectPr>
      </w:pPr>
    </w:p>
    <w:p w14:paraId="6F2BF175" w14:textId="77777777" w:rsidR="00BD7393" w:rsidRPr="00BD7393" w:rsidRDefault="00BD7393" w:rsidP="00BD7393">
      <w:pPr>
        <w:jc w:val="both"/>
        <w:rPr>
          <w:rFonts w:ascii="Californian FB" w:hAnsi="Californian FB"/>
        </w:rPr>
      </w:pPr>
      <w:r w:rsidRPr="00BD7393">
        <w:rPr>
          <w:rFonts w:ascii="Californian FB" w:hAnsi="Californian FB"/>
        </w:rPr>
        <w:lastRenderedPageBreak/>
        <w:t>2.3 Conceptual Framework (Embed under the section on Background Information/contextual analysis of UHC)</w:t>
      </w:r>
    </w:p>
    <w:p w14:paraId="03DAFF3B" w14:textId="77777777" w:rsidR="00BD7393" w:rsidRPr="00BD7393" w:rsidRDefault="00BD7393" w:rsidP="00BD7393">
      <w:pPr>
        <w:pStyle w:val="BodyText"/>
        <w:spacing w:after="0"/>
        <w:rPr>
          <w:rFonts w:ascii="Californian FB" w:eastAsiaTheme="minorHAnsi" w:hAnsi="Californian FB" w:cstheme="minorBidi"/>
          <w:lang w:val="en-US" w:eastAsia="en-US"/>
        </w:rPr>
      </w:pPr>
      <w:r w:rsidRPr="00BD7393">
        <w:rPr>
          <w:rFonts w:ascii="Californian FB" w:eastAsiaTheme="minorHAnsi" w:hAnsi="Californian FB" w:cstheme="minorBidi"/>
          <w:lang w:val="en-US" w:eastAsia="en-US"/>
        </w:rPr>
        <w:t xml:space="preserve">Briefly give an overview of your project (from your situational analysis) and a conceptual model showing the known or hypothesised associations (or cause effect relationships) among the various factors in question. (You may include references to support your documentation). Include the areas which are your core concern. Summarize this section by providing the goals and objectives of your program/project. </w:t>
      </w:r>
    </w:p>
    <w:p w14:paraId="037E394D" w14:textId="77777777" w:rsidR="00BD7393" w:rsidRPr="00BD7393" w:rsidRDefault="00BD7393" w:rsidP="00BD7393">
      <w:pPr>
        <w:pStyle w:val="BodyText"/>
        <w:spacing w:after="0"/>
        <w:rPr>
          <w:rFonts w:ascii="Californian FB" w:eastAsiaTheme="minorHAnsi" w:hAnsi="Californian FB" w:cstheme="minorBidi"/>
          <w:lang w:val="en-US" w:eastAsia="en-US"/>
        </w:rPr>
      </w:pPr>
    </w:p>
    <w:p w14:paraId="353597BC" w14:textId="77777777" w:rsidR="00BD7393" w:rsidRPr="00BD7393" w:rsidRDefault="00BD7393" w:rsidP="0044532E">
      <w:pPr>
        <w:pStyle w:val="Heading2"/>
        <w:numPr>
          <w:ilvl w:val="0"/>
          <w:numId w:val="0"/>
        </w:numPr>
        <w:rPr>
          <w:rFonts w:ascii="Californian FB" w:eastAsiaTheme="minorHAnsi" w:hAnsi="Californian FB" w:cstheme="minorBidi"/>
          <w:b w:val="0"/>
          <w:bCs w:val="0"/>
          <w:color w:val="auto"/>
          <w:sz w:val="22"/>
          <w:szCs w:val="22"/>
          <w:lang w:val="en-US"/>
        </w:rPr>
      </w:pPr>
      <w:bookmarkStart w:id="26" w:name="_Toc520711812"/>
      <w:bookmarkStart w:id="27" w:name="_Toc520793114"/>
      <w:r w:rsidRPr="00BD7393">
        <w:rPr>
          <w:rFonts w:ascii="Californian FB" w:eastAsiaTheme="minorHAnsi" w:hAnsi="Californian FB" w:cstheme="minorBidi"/>
          <w:b w:val="0"/>
          <w:bCs w:val="0"/>
          <w:color w:val="auto"/>
          <w:sz w:val="22"/>
          <w:szCs w:val="22"/>
          <w:lang w:val="en-US"/>
        </w:rPr>
        <w:t>2.3 UHC Results Framework</w:t>
      </w:r>
      <w:bookmarkEnd w:id="26"/>
      <w:bookmarkEnd w:id="27"/>
      <w:r w:rsidRPr="00BD7393">
        <w:rPr>
          <w:rFonts w:ascii="Californian FB" w:eastAsiaTheme="minorHAnsi" w:hAnsi="Californian FB" w:cstheme="minorBidi"/>
          <w:b w:val="0"/>
          <w:bCs w:val="0"/>
          <w:color w:val="auto"/>
          <w:sz w:val="22"/>
          <w:szCs w:val="22"/>
          <w:lang w:val="en-US"/>
        </w:rPr>
        <w:t xml:space="preserve"> </w:t>
      </w:r>
    </w:p>
    <w:p w14:paraId="640AD3E0" w14:textId="77777777" w:rsidR="00BD7393" w:rsidRPr="00BD7393" w:rsidRDefault="00BD7393" w:rsidP="00BD7393">
      <w:pPr>
        <w:jc w:val="both"/>
        <w:rPr>
          <w:rFonts w:ascii="Californian FB" w:hAnsi="Californian FB"/>
        </w:rPr>
      </w:pPr>
    </w:p>
    <w:p w14:paraId="0E6F1B49" w14:textId="77777777" w:rsidR="00BD7393" w:rsidRPr="00BD7393" w:rsidRDefault="00BD7393" w:rsidP="00BD7393">
      <w:pPr>
        <w:rPr>
          <w:rFonts w:ascii="Californian FB" w:hAnsi="Californian FB"/>
        </w:rPr>
      </w:pPr>
      <w:r w:rsidRPr="00BD7393">
        <w:rPr>
          <w:rFonts w:ascii="Californian FB" w:hAnsi="Californian FB"/>
        </w:rPr>
        <w:t xml:space="preserve">Strategic Objective 1:  Increase population covered by defined essential health package  </w:t>
      </w:r>
    </w:p>
    <w:p w14:paraId="57766A01" w14:textId="77777777" w:rsidR="00BD7393" w:rsidRPr="00BD7393" w:rsidRDefault="00BD7393" w:rsidP="00BD7393">
      <w:pPr>
        <w:rPr>
          <w:rFonts w:ascii="Californian FB" w:hAnsi="Californian FB"/>
        </w:rPr>
      </w:pPr>
      <w:r w:rsidRPr="00BD7393">
        <w:rPr>
          <w:rFonts w:ascii="Californian FB" w:hAnsi="Californian FB"/>
          <w:noProof/>
        </w:rPr>
        <mc:AlternateContent>
          <mc:Choice Requires="wps">
            <w:drawing>
              <wp:anchor distT="0" distB="0" distL="114300" distR="114300" simplePos="0" relativeHeight="251657216" behindDoc="0" locked="0" layoutInCell="1" allowOverlap="1" wp14:anchorId="7D0B03A0" wp14:editId="2A97172C">
                <wp:simplePos x="0" y="0"/>
                <wp:positionH relativeFrom="column">
                  <wp:posOffset>0</wp:posOffset>
                </wp:positionH>
                <wp:positionV relativeFrom="paragraph">
                  <wp:posOffset>4379595</wp:posOffset>
                </wp:positionV>
                <wp:extent cx="4368800" cy="131445"/>
                <wp:effectExtent l="0" t="0" r="3175" b="1270"/>
                <wp:wrapTight wrapText="bothSides">
                  <wp:wrapPolygon edited="0">
                    <wp:start x="-47" y="0"/>
                    <wp:lineTo x="-47" y="20139"/>
                    <wp:lineTo x="21600" y="20139"/>
                    <wp:lineTo x="21600" y="0"/>
                    <wp:lineTo x="-47" y="0"/>
                  </wp:wrapPolygon>
                </wp:wrapTight>
                <wp:docPr id="117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0" cy="131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3AB96C" w14:textId="77777777" w:rsidR="00D20DC2" w:rsidRPr="009840F3" w:rsidRDefault="00D20DC2" w:rsidP="00BD7393">
                            <w:pPr>
                              <w:pStyle w:val="Caption"/>
                              <w:spacing w:after="0"/>
                              <w:rPr>
                                <w:rFonts w:ascii="Arial Narrow" w:hAnsi="Arial Narrow" w:cs="Arial"/>
                                <w:b/>
                                <w:i w:val="0"/>
                                <w:noProof/>
                                <w:sz w:val="20"/>
                                <w:szCs w:val="24"/>
                              </w:rPr>
                            </w:pPr>
                            <w:r w:rsidRPr="009840F3">
                              <w:rPr>
                                <w:rFonts w:ascii="Arial Narrow" w:hAnsi="Arial Narrow"/>
                                <w:b/>
                                <w:i w:val="0"/>
                              </w:rPr>
                              <w:t xml:space="preserve">Figure </w:t>
                            </w:r>
                            <w:r>
                              <w:rPr>
                                <w:rFonts w:ascii="Arial Narrow" w:hAnsi="Arial Narrow"/>
                                <w:b/>
                                <w:i w:val="0"/>
                              </w:rPr>
                              <w:fldChar w:fldCharType="begin"/>
                            </w:r>
                            <w:r>
                              <w:rPr>
                                <w:rFonts w:ascii="Arial Narrow" w:hAnsi="Arial Narrow"/>
                                <w:b/>
                                <w:i w:val="0"/>
                              </w:rPr>
                              <w:instrText xml:space="preserve"> SEQ Figure \* ARABIC </w:instrText>
                            </w:r>
                            <w:r>
                              <w:rPr>
                                <w:rFonts w:ascii="Arial Narrow" w:hAnsi="Arial Narrow"/>
                                <w:b/>
                                <w:i w:val="0"/>
                              </w:rPr>
                              <w:fldChar w:fldCharType="separate"/>
                            </w:r>
                            <w:r>
                              <w:rPr>
                                <w:rFonts w:ascii="Arial Narrow" w:hAnsi="Arial Narrow"/>
                                <w:b/>
                                <w:i w:val="0"/>
                                <w:noProof/>
                              </w:rPr>
                              <w:t>5</w:t>
                            </w:r>
                            <w:r>
                              <w:rPr>
                                <w:rFonts w:ascii="Arial Narrow" w:hAnsi="Arial Narrow"/>
                                <w:b/>
                                <w:i w:val="0"/>
                              </w:rPr>
                              <w:fldChar w:fldCharType="end"/>
                            </w:r>
                            <w:r w:rsidRPr="009840F3">
                              <w:rPr>
                                <w:rFonts w:ascii="Arial Narrow" w:hAnsi="Arial Narrow"/>
                                <w:b/>
                                <w:i w:val="0"/>
                              </w:rPr>
                              <w:t>: Results framework: Monitoring progress towards UHC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7D0B03A0" id="Text Box 36" o:spid="_x0000_s1065" type="#_x0000_t202" style="position:absolute;margin-left:0;margin-top:344.85pt;width:344pt;height:10.3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" stroked="f">
                <v:textbox style="mso-fit-shape-to-text:t" inset="0,0,0,0">
                  <w:txbxContent>
                    <w:p w14:paraId="5F3AB96C" w14:textId="77777777" w:rsidR="00D20DC2" w:rsidRPr="009840F3" w:rsidRDefault="00D20DC2" w:rsidP="00BD7393">
                      <w:pPr>
                        <w:pStyle w:val="Caption"/>
                        <w:spacing w:after="0"/>
                        <w:rPr>
                          <w:rFonts w:ascii="Arial Narrow" w:hAnsi="Arial Narrow" w:cs="Arial"/>
                          <w:b/>
                          <w:i w:val="0"/>
                          <w:noProof/>
                          <w:sz w:val="20"/>
                          <w:szCs w:val="24"/>
                        </w:rPr>
                      </w:pPr>
                      <w:r w:rsidRPr="009840F3">
                        <w:rPr>
                          <w:rFonts w:ascii="Arial Narrow" w:hAnsi="Arial Narrow"/>
                          <w:b/>
                          <w:i w:val="0"/>
                        </w:rPr>
                        <w:t xml:space="preserve">Figure </w:t>
                      </w:r>
                      <w:r>
                        <w:rPr>
                          <w:rFonts w:ascii="Arial Narrow" w:hAnsi="Arial Narrow"/>
                          <w:b/>
                          <w:i w:val="0"/>
                        </w:rPr>
                        <w:fldChar w:fldCharType="begin"/>
                      </w:r>
                      <w:r>
                        <w:rPr>
                          <w:rFonts w:ascii="Arial Narrow" w:hAnsi="Arial Narrow"/>
                          <w:b/>
                          <w:i w:val="0"/>
                        </w:rPr>
                        <w:instrText xml:space="preserve"> SEQ Figure \* ARABIC </w:instrText>
                      </w:r>
                      <w:r>
                        <w:rPr>
                          <w:rFonts w:ascii="Arial Narrow" w:hAnsi="Arial Narrow"/>
                          <w:b/>
                          <w:i w:val="0"/>
                        </w:rPr>
                        <w:fldChar w:fldCharType="separate"/>
                      </w:r>
                      <w:r>
                        <w:rPr>
                          <w:rFonts w:ascii="Arial Narrow" w:hAnsi="Arial Narrow"/>
                          <w:b/>
                          <w:i w:val="0"/>
                          <w:noProof/>
                        </w:rPr>
                        <w:t>5</w:t>
                      </w:r>
                      <w:r>
                        <w:rPr>
                          <w:rFonts w:ascii="Arial Narrow" w:hAnsi="Arial Narrow"/>
                          <w:b/>
                          <w:i w:val="0"/>
                        </w:rPr>
                        <w:fldChar w:fldCharType="end"/>
                      </w:r>
                      <w:r w:rsidRPr="009840F3">
                        <w:rPr>
                          <w:rFonts w:ascii="Arial Narrow" w:hAnsi="Arial Narrow"/>
                          <w:b/>
                          <w:i w:val="0"/>
                        </w:rPr>
                        <w:t>: Results framework: Monitoring progress towards UHC</w:t>
                      </w:r>
                    </w:p>
                  </w:txbxContent>
                </v:textbox>
                <w10:wrap type="tight"/>
              </v:shape>
            </w:pict>
          </mc:Fallback>
        </mc:AlternateContent>
      </w:r>
      <w:r w:rsidRPr="00BD7393">
        <w:rPr>
          <w:rFonts w:ascii="Californian FB" w:hAnsi="Californian FB"/>
          <w:noProof/>
        </w:rPr>
        <w:drawing>
          <wp:anchor distT="0" distB="0" distL="114300" distR="114300" simplePos="0" relativeHeight="251656192" behindDoc="1" locked="0" layoutInCell="1" allowOverlap="1" wp14:anchorId="0160CB2E" wp14:editId="795F4F2B">
            <wp:simplePos x="0" y="0"/>
            <wp:positionH relativeFrom="column">
              <wp:posOffset>0</wp:posOffset>
            </wp:positionH>
            <wp:positionV relativeFrom="paragraph">
              <wp:posOffset>70485</wp:posOffset>
            </wp:positionV>
            <wp:extent cx="4368800" cy="4251960"/>
            <wp:effectExtent l="0" t="0" r="0" b="0"/>
            <wp:wrapTight wrapText="bothSides">
              <wp:wrapPolygon edited="0">
                <wp:start x="0" y="0"/>
                <wp:lineTo x="0" y="21484"/>
                <wp:lineTo x="21474" y="21484"/>
                <wp:lineTo x="214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68800" cy="4251960"/>
                    </a:xfrm>
                    <a:prstGeom prst="rect">
                      <a:avLst/>
                    </a:prstGeom>
                    <a:noFill/>
                  </pic:spPr>
                </pic:pic>
              </a:graphicData>
            </a:graphic>
            <wp14:sizeRelH relativeFrom="page">
              <wp14:pctWidth>0</wp14:pctWidth>
            </wp14:sizeRelH>
            <wp14:sizeRelV relativeFrom="page">
              <wp14:pctHeight>0</wp14:pctHeight>
            </wp14:sizeRelV>
          </wp:anchor>
        </w:drawing>
      </w:r>
    </w:p>
    <w:p w14:paraId="74CD81D3" w14:textId="77777777" w:rsidR="00BD7393" w:rsidRPr="00BD7393" w:rsidRDefault="00BD7393" w:rsidP="00BD7393">
      <w:pPr>
        <w:rPr>
          <w:rFonts w:ascii="Californian FB" w:hAnsi="Californian FB"/>
        </w:rPr>
      </w:pPr>
      <w:r w:rsidRPr="00BD7393">
        <w:rPr>
          <w:rFonts w:ascii="Californian FB" w:hAnsi="Californian FB"/>
        </w:rPr>
        <w:t>Health Impact</w:t>
      </w:r>
    </w:p>
    <w:p w14:paraId="0AFA7736" w14:textId="77777777" w:rsidR="00BD7393" w:rsidRPr="00BD7393" w:rsidRDefault="00BD7393" w:rsidP="00BD7393">
      <w:pPr>
        <w:rPr>
          <w:rFonts w:ascii="Californian FB" w:hAnsi="Californian FB"/>
        </w:rPr>
      </w:pPr>
    </w:p>
    <w:p w14:paraId="45BC1A53" w14:textId="77777777" w:rsidR="00BD7393" w:rsidRPr="00BD7393" w:rsidRDefault="00BD7393" w:rsidP="00BD7393">
      <w:pPr>
        <w:rPr>
          <w:rFonts w:ascii="Californian FB" w:hAnsi="Californian FB"/>
        </w:rPr>
      </w:pPr>
      <w:r w:rsidRPr="00BD7393">
        <w:rPr>
          <w:rFonts w:ascii="Californian FB" w:hAnsi="Californian FB"/>
        </w:rPr>
        <w:t>Level and distribution</w:t>
      </w:r>
    </w:p>
    <w:p w14:paraId="5C4AB579" w14:textId="77777777" w:rsidR="00BD7393" w:rsidRPr="00BD7393" w:rsidRDefault="00BD7393" w:rsidP="00BD7393">
      <w:pPr>
        <w:rPr>
          <w:rFonts w:ascii="Californian FB" w:hAnsi="Californian FB"/>
        </w:rPr>
      </w:pPr>
    </w:p>
    <w:p w14:paraId="3920BC33" w14:textId="77777777" w:rsidR="00BD7393" w:rsidRPr="00BD7393" w:rsidRDefault="00BD7393" w:rsidP="00BD7393">
      <w:pPr>
        <w:rPr>
          <w:rFonts w:ascii="Californian FB" w:hAnsi="Californian FB"/>
        </w:rPr>
      </w:pPr>
    </w:p>
    <w:p w14:paraId="37E0B0D1" w14:textId="77777777" w:rsidR="00BD7393" w:rsidRPr="00BD7393" w:rsidRDefault="00BD7393" w:rsidP="00BD7393">
      <w:pPr>
        <w:rPr>
          <w:rFonts w:ascii="Californian FB" w:hAnsi="Californian FB"/>
        </w:rPr>
      </w:pPr>
    </w:p>
    <w:p w14:paraId="41EC15EC" w14:textId="77777777" w:rsidR="00BD7393" w:rsidRPr="00BD7393" w:rsidRDefault="00BD7393" w:rsidP="00BD7393">
      <w:pPr>
        <w:rPr>
          <w:rFonts w:ascii="Californian FB" w:hAnsi="Californian FB"/>
        </w:rPr>
      </w:pPr>
      <w:r w:rsidRPr="00BD7393">
        <w:rPr>
          <w:rFonts w:ascii="Californian FB" w:hAnsi="Californian FB"/>
        </w:rPr>
        <w:t>Health Outcomes</w:t>
      </w:r>
    </w:p>
    <w:p w14:paraId="1911C9F7" w14:textId="77777777" w:rsidR="00BD7393" w:rsidRPr="00BD7393" w:rsidRDefault="00BD7393" w:rsidP="00BD7393">
      <w:pPr>
        <w:rPr>
          <w:rFonts w:ascii="Californian FB" w:hAnsi="Californian FB"/>
        </w:rPr>
      </w:pPr>
    </w:p>
    <w:p w14:paraId="5A7DCA4B" w14:textId="77777777" w:rsidR="00BD7393" w:rsidRPr="00BD7393" w:rsidRDefault="00BD7393" w:rsidP="00BD7393">
      <w:pPr>
        <w:rPr>
          <w:rFonts w:ascii="Californian FB" w:hAnsi="Californian FB"/>
        </w:rPr>
      </w:pPr>
    </w:p>
    <w:p w14:paraId="26C6769D" w14:textId="77777777" w:rsidR="00BD7393" w:rsidRPr="00BD7393" w:rsidRDefault="00BD7393" w:rsidP="00BD7393">
      <w:pPr>
        <w:rPr>
          <w:rFonts w:ascii="Californian FB" w:hAnsi="Californian FB"/>
        </w:rPr>
      </w:pPr>
      <w:r w:rsidRPr="00BD7393">
        <w:rPr>
          <w:rFonts w:ascii="Californian FB" w:hAnsi="Californian FB"/>
        </w:rPr>
        <w:t>Status and distribution of indicator targets across 6 outcome areas</w:t>
      </w:r>
    </w:p>
    <w:p w14:paraId="26C136EF" w14:textId="77777777" w:rsidR="00BD7393" w:rsidRPr="00BD7393" w:rsidRDefault="00BD7393" w:rsidP="00BD7393">
      <w:pPr>
        <w:rPr>
          <w:rFonts w:ascii="Californian FB" w:hAnsi="Californian FB"/>
        </w:rPr>
      </w:pPr>
    </w:p>
    <w:p w14:paraId="5D6536C1" w14:textId="77777777" w:rsidR="00BD7393" w:rsidRPr="00BD7393" w:rsidRDefault="00BD7393" w:rsidP="00BD7393">
      <w:pPr>
        <w:rPr>
          <w:rFonts w:ascii="Californian FB" w:hAnsi="Californian FB"/>
        </w:rPr>
      </w:pPr>
    </w:p>
    <w:p w14:paraId="0EF27258" w14:textId="77777777" w:rsidR="00BD7393" w:rsidRPr="00BD7393" w:rsidRDefault="00BD7393" w:rsidP="00BD7393">
      <w:pPr>
        <w:rPr>
          <w:rFonts w:ascii="Californian FB" w:hAnsi="Californian FB"/>
        </w:rPr>
      </w:pPr>
    </w:p>
    <w:p w14:paraId="0619407C" w14:textId="77777777" w:rsidR="00BD7393" w:rsidRPr="00BD7393" w:rsidRDefault="00BD7393" w:rsidP="00BD7393">
      <w:pPr>
        <w:rPr>
          <w:rFonts w:ascii="Californian FB" w:hAnsi="Californian FB"/>
        </w:rPr>
      </w:pPr>
    </w:p>
    <w:p w14:paraId="11CB9676" w14:textId="77777777" w:rsidR="00BD7393" w:rsidRPr="00BD7393" w:rsidRDefault="00BD7393" w:rsidP="00BD7393">
      <w:pPr>
        <w:rPr>
          <w:rFonts w:ascii="Californian FB" w:hAnsi="Californian FB"/>
        </w:rPr>
      </w:pPr>
    </w:p>
    <w:p w14:paraId="4A57F64C" w14:textId="77777777" w:rsidR="00BD7393" w:rsidRPr="00BD7393" w:rsidRDefault="00BD7393" w:rsidP="00BD7393">
      <w:pPr>
        <w:rPr>
          <w:rFonts w:ascii="Californian FB" w:hAnsi="Californian FB"/>
        </w:rPr>
      </w:pPr>
      <w:r w:rsidRPr="00BD7393">
        <w:rPr>
          <w:rFonts w:ascii="Californian FB" w:hAnsi="Californian FB"/>
        </w:rPr>
        <w:t>System Performance</w:t>
      </w:r>
    </w:p>
    <w:p w14:paraId="2B909BC0" w14:textId="77777777" w:rsidR="00BD7393" w:rsidRPr="00BD7393" w:rsidRDefault="00BD7393" w:rsidP="00BD7393">
      <w:pPr>
        <w:rPr>
          <w:rFonts w:ascii="Californian FB" w:hAnsi="Californian FB"/>
        </w:rPr>
      </w:pPr>
      <w:r w:rsidRPr="00BD7393">
        <w:rPr>
          <w:rFonts w:ascii="Californian FB" w:hAnsi="Californian FB"/>
        </w:rPr>
        <w:t>Status and distribution of indicator targets across 4 performance areas</w:t>
      </w:r>
    </w:p>
    <w:p w14:paraId="65B3DBEE" w14:textId="77777777" w:rsidR="00BD7393" w:rsidRPr="00BD7393" w:rsidRDefault="00BD7393" w:rsidP="00BD7393">
      <w:pPr>
        <w:rPr>
          <w:rFonts w:ascii="Californian FB" w:hAnsi="Californian FB"/>
        </w:rPr>
      </w:pPr>
    </w:p>
    <w:p w14:paraId="5D841E88" w14:textId="77777777" w:rsidR="00BD7393" w:rsidRPr="00C559FB" w:rsidRDefault="00BD7393" w:rsidP="00BD7393">
      <w:pPr>
        <w:rPr>
          <w:rFonts w:ascii="Californian FB" w:hAnsi="Californian FB"/>
          <w:b/>
        </w:rPr>
      </w:pPr>
      <w:r w:rsidRPr="00C559FB">
        <w:rPr>
          <w:rFonts w:ascii="Californian FB" w:hAnsi="Californian FB"/>
          <w:b/>
        </w:rPr>
        <w:lastRenderedPageBreak/>
        <w:t>Health Investments</w:t>
      </w:r>
    </w:p>
    <w:p w14:paraId="309426F1" w14:textId="77777777" w:rsidR="00BD7393" w:rsidRPr="00BD7393" w:rsidRDefault="00BD7393" w:rsidP="00BD7393">
      <w:pPr>
        <w:rPr>
          <w:rFonts w:ascii="Californian FB" w:hAnsi="Californian FB"/>
        </w:rPr>
      </w:pPr>
      <w:r w:rsidRPr="00BD7393">
        <w:rPr>
          <w:rFonts w:ascii="Californian FB" w:hAnsi="Californian FB"/>
        </w:rPr>
        <w:t>Status of indicators across 7 investment areas</w:t>
      </w:r>
    </w:p>
    <w:p w14:paraId="3EA6B5BB" w14:textId="77777777" w:rsidR="00BD7393" w:rsidRPr="00BD7393" w:rsidRDefault="00BD7393" w:rsidP="00BD7393">
      <w:pPr>
        <w:rPr>
          <w:rFonts w:ascii="Californian FB" w:hAnsi="Californian FB"/>
        </w:rPr>
      </w:pPr>
      <w:r w:rsidRPr="00BD7393">
        <w:rPr>
          <w:rFonts w:ascii="Californian FB" w:hAnsi="Californian FB"/>
        </w:rPr>
        <w:t>Progress of actions across 7 investment areas</w:t>
      </w:r>
    </w:p>
    <w:p w14:paraId="1C969A08" w14:textId="77777777" w:rsidR="00BD7393" w:rsidRPr="00BD7393" w:rsidRDefault="00BD7393" w:rsidP="00BD7393">
      <w:pPr>
        <w:rPr>
          <w:rFonts w:ascii="Californian FB" w:hAnsi="Californian FB"/>
        </w:rPr>
      </w:pPr>
    </w:p>
    <w:p w14:paraId="589FE93D" w14:textId="77777777" w:rsidR="00BD7393" w:rsidRPr="00BD7393" w:rsidRDefault="00BD7393" w:rsidP="00BD7393">
      <w:pPr>
        <w:rPr>
          <w:rFonts w:ascii="Californian FB" w:hAnsi="Californian FB"/>
        </w:rPr>
      </w:pPr>
      <w:r w:rsidRPr="00BD7393">
        <w:rPr>
          <w:rFonts w:ascii="Californian FB" w:hAnsi="Californian FB"/>
        </w:rPr>
        <w:t>Health Sector Performance</w:t>
      </w:r>
    </w:p>
    <w:p w14:paraId="09C3BC2E" w14:textId="77777777" w:rsidR="00BD7393" w:rsidRPr="00BD7393" w:rsidRDefault="00BD7393" w:rsidP="00BD7393">
      <w:pPr>
        <w:rPr>
          <w:rFonts w:ascii="Californian FB" w:hAnsi="Californian FB"/>
        </w:rPr>
      </w:pPr>
      <w:r w:rsidRPr="00BD7393">
        <w:rPr>
          <w:rFonts w:ascii="Californian FB" w:hAnsi="Californian FB"/>
        </w:rPr>
        <w:t>Efficiency across logical chain</w:t>
      </w:r>
    </w:p>
    <w:p w14:paraId="3516DD38" w14:textId="77777777" w:rsidR="00BD7393" w:rsidRPr="00BD7393" w:rsidRDefault="00BD7393" w:rsidP="00BD7393">
      <w:pPr>
        <w:rPr>
          <w:rFonts w:ascii="Californian FB" w:hAnsi="Californian FB"/>
        </w:rPr>
      </w:pPr>
      <w:r w:rsidRPr="00BD7393">
        <w:rPr>
          <w:rFonts w:ascii="Californian FB" w:hAnsi="Californian FB"/>
        </w:rPr>
        <w:t>Equity across logical chain</w:t>
      </w:r>
    </w:p>
    <w:p w14:paraId="62BC0DAE" w14:textId="77777777" w:rsidR="00BD7393" w:rsidRPr="00BD7393" w:rsidRDefault="00BD7393" w:rsidP="00BD7393">
      <w:pPr>
        <w:rPr>
          <w:rFonts w:ascii="Californian FB" w:hAnsi="Californian FB"/>
        </w:rPr>
      </w:pPr>
    </w:p>
    <w:p w14:paraId="6365AC91" w14:textId="77777777" w:rsidR="00BD7393" w:rsidRPr="00BD7393" w:rsidRDefault="00BD7393" w:rsidP="00BD7393">
      <w:pPr>
        <w:keepNext/>
        <w:rPr>
          <w:rFonts w:ascii="Californian FB" w:hAnsi="Californian FB"/>
        </w:rPr>
      </w:pPr>
      <w:r w:rsidRPr="00BD7393">
        <w:rPr>
          <w:rFonts w:ascii="Californian FB" w:hAnsi="Californian FB"/>
          <w:noProof/>
        </w:rPr>
        <w:drawing>
          <wp:inline distT="0" distB="0" distL="0" distR="0" wp14:anchorId="586D0BF2" wp14:editId="6A703AB9">
            <wp:extent cx="5650865" cy="32988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54378" cy="3300876"/>
                    </a:xfrm>
                    <a:prstGeom prst="rect">
                      <a:avLst/>
                    </a:prstGeom>
                  </pic:spPr>
                </pic:pic>
              </a:graphicData>
            </a:graphic>
          </wp:inline>
        </w:drawing>
      </w:r>
    </w:p>
    <w:p w14:paraId="4E9A2725" w14:textId="77777777" w:rsidR="00BD7393" w:rsidRPr="00BD7393" w:rsidRDefault="00BD7393" w:rsidP="00BD7393">
      <w:pPr>
        <w:pStyle w:val="Caption"/>
        <w:spacing w:after="0"/>
        <w:rPr>
          <w:rFonts w:ascii="Californian FB" w:hAnsi="Californian FB"/>
          <w:i w:val="0"/>
          <w:iCs w:val="0"/>
          <w:color w:val="auto"/>
          <w:sz w:val="22"/>
          <w:szCs w:val="22"/>
          <w:lang w:val="en-US"/>
        </w:rPr>
      </w:pPr>
      <w:r w:rsidRPr="00BD7393">
        <w:rPr>
          <w:rFonts w:ascii="Californian FB" w:hAnsi="Californian FB"/>
          <w:i w:val="0"/>
          <w:iCs w:val="0"/>
          <w:color w:val="auto"/>
          <w:sz w:val="22"/>
          <w:szCs w:val="22"/>
          <w:lang w:val="en-US"/>
        </w:rPr>
        <w:t xml:space="preserve">Figure </w:t>
      </w:r>
      <w:r w:rsidRPr="00BD7393">
        <w:rPr>
          <w:rFonts w:ascii="Californian FB" w:hAnsi="Californian FB"/>
          <w:i w:val="0"/>
          <w:iCs w:val="0"/>
          <w:color w:val="auto"/>
          <w:sz w:val="22"/>
          <w:szCs w:val="22"/>
          <w:lang w:val="en-US"/>
        </w:rPr>
        <w:fldChar w:fldCharType="begin"/>
      </w:r>
      <w:r w:rsidRPr="00BD7393">
        <w:rPr>
          <w:rFonts w:ascii="Californian FB" w:hAnsi="Californian FB"/>
          <w:i w:val="0"/>
          <w:iCs w:val="0"/>
          <w:color w:val="auto"/>
          <w:sz w:val="22"/>
          <w:szCs w:val="22"/>
          <w:lang w:val="en-US"/>
        </w:rPr>
        <w:instrText xml:space="preserve"> SEQ Figure \* ARABIC </w:instrText>
      </w:r>
      <w:r w:rsidRPr="00BD7393">
        <w:rPr>
          <w:rFonts w:ascii="Californian FB" w:hAnsi="Californian FB"/>
          <w:i w:val="0"/>
          <w:iCs w:val="0"/>
          <w:color w:val="auto"/>
          <w:sz w:val="22"/>
          <w:szCs w:val="22"/>
          <w:lang w:val="en-US"/>
        </w:rPr>
        <w:fldChar w:fldCharType="separate"/>
      </w:r>
      <w:r w:rsidRPr="00BD7393">
        <w:rPr>
          <w:rFonts w:ascii="Californian FB" w:hAnsi="Californian FB"/>
          <w:i w:val="0"/>
          <w:iCs w:val="0"/>
          <w:color w:val="auto"/>
          <w:sz w:val="22"/>
          <w:szCs w:val="22"/>
          <w:lang w:val="en-US"/>
        </w:rPr>
        <w:t>6</w:t>
      </w:r>
      <w:r w:rsidRPr="00BD7393">
        <w:rPr>
          <w:rFonts w:ascii="Californian FB" w:hAnsi="Californian FB"/>
          <w:i w:val="0"/>
          <w:iCs w:val="0"/>
          <w:color w:val="auto"/>
          <w:sz w:val="22"/>
          <w:szCs w:val="22"/>
          <w:lang w:val="en-US"/>
        </w:rPr>
        <w:fldChar w:fldCharType="end"/>
      </w:r>
      <w:r w:rsidRPr="00BD7393">
        <w:rPr>
          <w:rFonts w:ascii="Californian FB" w:hAnsi="Californian FB"/>
          <w:i w:val="0"/>
          <w:iCs w:val="0"/>
          <w:color w:val="auto"/>
          <w:sz w:val="22"/>
          <w:szCs w:val="22"/>
          <w:lang w:val="en-US"/>
        </w:rPr>
        <w:t>: Results framework: monitoring progress towards UHC</w:t>
      </w:r>
    </w:p>
    <w:p w14:paraId="0ADC8292" w14:textId="77777777" w:rsidR="00BD7393" w:rsidRPr="00BD7393" w:rsidRDefault="00BD7393" w:rsidP="00BD7393">
      <w:pPr>
        <w:rPr>
          <w:rFonts w:ascii="Californian FB" w:hAnsi="Californian FB"/>
        </w:rPr>
      </w:pPr>
    </w:p>
    <w:p w14:paraId="4889E37F" w14:textId="77777777" w:rsidR="00BD7393" w:rsidRPr="00BD7393" w:rsidRDefault="00BD7393" w:rsidP="00BD7393">
      <w:pPr>
        <w:rPr>
          <w:rFonts w:ascii="Californian FB" w:hAnsi="Californian FB"/>
        </w:rPr>
      </w:pPr>
    </w:p>
    <w:p w14:paraId="6CE94B69" w14:textId="77777777" w:rsidR="00BD7393" w:rsidRPr="00BD7393" w:rsidRDefault="00BD7393" w:rsidP="00BD7393">
      <w:pPr>
        <w:rPr>
          <w:rFonts w:ascii="Californian FB" w:hAnsi="Californian FB"/>
        </w:rPr>
      </w:pPr>
    </w:p>
    <w:p w14:paraId="4CFEF7E6" w14:textId="77777777" w:rsidR="00BD7393" w:rsidRPr="00BD7393" w:rsidRDefault="00BD7393" w:rsidP="00BD7393">
      <w:pPr>
        <w:rPr>
          <w:rFonts w:ascii="Californian FB" w:hAnsi="Californian FB"/>
        </w:rPr>
      </w:pPr>
    </w:p>
    <w:p w14:paraId="6C791D07" w14:textId="77777777" w:rsidR="00BD7393" w:rsidRPr="00BD7393" w:rsidRDefault="00BD7393" w:rsidP="00BD7393">
      <w:pPr>
        <w:rPr>
          <w:rFonts w:ascii="Californian FB" w:hAnsi="Californian FB"/>
        </w:rPr>
      </w:pPr>
    </w:p>
    <w:p w14:paraId="7D5B73A6" w14:textId="77777777" w:rsidR="00BD7393" w:rsidRPr="00BD7393" w:rsidRDefault="00BD7393" w:rsidP="00BD7393">
      <w:pPr>
        <w:rPr>
          <w:rFonts w:ascii="Californian FB" w:hAnsi="Californian FB"/>
        </w:rPr>
      </w:pPr>
    </w:p>
    <w:p w14:paraId="3870ACE7" w14:textId="77777777" w:rsidR="00BD7393" w:rsidRPr="00BD7393" w:rsidRDefault="00BD7393" w:rsidP="00BD7393">
      <w:pPr>
        <w:rPr>
          <w:rFonts w:ascii="Californian FB" w:hAnsi="Californian FB"/>
        </w:rPr>
      </w:pPr>
    </w:p>
    <w:p w14:paraId="55A5EEA9" w14:textId="77777777" w:rsidR="00BD7393" w:rsidRPr="00BD7393" w:rsidRDefault="00BD7393" w:rsidP="00BD7393">
      <w:pPr>
        <w:rPr>
          <w:rFonts w:ascii="Californian FB" w:hAnsi="Californian FB"/>
        </w:rPr>
      </w:pPr>
    </w:p>
    <w:p w14:paraId="59C1B3F1" w14:textId="77777777" w:rsidR="00BD7393" w:rsidRPr="00BD7393" w:rsidRDefault="00BD7393" w:rsidP="00BD7393">
      <w:pPr>
        <w:rPr>
          <w:rFonts w:ascii="Californian FB" w:hAnsi="Californian FB"/>
        </w:rPr>
      </w:pPr>
    </w:p>
    <w:p w14:paraId="772109A0" w14:textId="77777777" w:rsidR="00BD7393" w:rsidRPr="00BD7393" w:rsidRDefault="00BD7393" w:rsidP="00BD7393">
      <w:pPr>
        <w:rPr>
          <w:rFonts w:ascii="Californian FB" w:hAnsi="Californian FB"/>
        </w:rPr>
      </w:pPr>
    </w:p>
    <w:p w14:paraId="497B409A" w14:textId="77777777" w:rsidR="00BD7393" w:rsidRPr="00BD7393" w:rsidRDefault="00BD7393" w:rsidP="00BD7393">
      <w:pPr>
        <w:rPr>
          <w:rFonts w:ascii="Californian FB" w:hAnsi="Californian FB"/>
        </w:rPr>
      </w:pPr>
    </w:p>
    <w:p w14:paraId="186A28FE" w14:textId="77777777" w:rsidR="00BD7393" w:rsidRPr="00BD7393" w:rsidRDefault="00BD7393" w:rsidP="00BD7393">
      <w:pPr>
        <w:rPr>
          <w:rFonts w:ascii="Californian FB" w:hAnsi="Californian FB"/>
        </w:rPr>
      </w:pPr>
    </w:p>
    <w:p w14:paraId="3BB351F8" w14:textId="77777777" w:rsidR="00BD7393" w:rsidRPr="00BD7393" w:rsidRDefault="00BD7393" w:rsidP="00BD7393">
      <w:pPr>
        <w:rPr>
          <w:rFonts w:ascii="Californian FB" w:hAnsi="Californian FB"/>
        </w:rPr>
      </w:pPr>
    </w:p>
    <w:p w14:paraId="695C6BB0" w14:textId="77777777" w:rsidR="00BD7393" w:rsidRPr="00BD7393" w:rsidRDefault="00BD7393" w:rsidP="00BD7393">
      <w:pPr>
        <w:rPr>
          <w:rFonts w:ascii="Californian FB" w:hAnsi="Californian FB"/>
        </w:rPr>
      </w:pPr>
    </w:p>
    <w:p w14:paraId="199C1B8D" w14:textId="77777777" w:rsidR="00BD7393" w:rsidRPr="00BD7393" w:rsidRDefault="00BD7393" w:rsidP="00BD7393">
      <w:pPr>
        <w:rPr>
          <w:rFonts w:ascii="Californian FB" w:hAnsi="Californian FB"/>
        </w:rPr>
      </w:pPr>
    </w:p>
    <w:p w14:paraId="14D9B72F" w14:textId="77777777" w:rsidR="00BD7393" w:rsidRPr="00BD7393" w:rsidRDefault="00BD7393" w:rsidP="00BD7393">
      <w:pPr>
        <w:rPr>
          <w:rFonts w:ascii="Californian FB" w:hAnsi="Californian FB"/>
        </w:rPr>
      </w:pPr>
    </w:p>
    <w:p w14:paraId="7F553A12" w14:textId="77777777" w:rsidR="00BD7393" w:rsidRPr="00BD7393" w:rsidRDefault="00BD7393" w:rsidP="00BD7393">
      <w:pPr>
        <w:rPr>
          <w:rFonts w:ascii="Californian FB" w:hAnsi="Californian FB"/>
        </w:rPr>
      </w:pPr>
    </w:p>
    <w:p w14:paraId="03A1C6FE" w14:textId="77777777" w:rsidR="00BD7393" w:rsidRPr="00BD7393" w:rsidRDefault="00BD7393" w:rsidP="00BD7393">
      <w:pPr>
        <w:rPr>
          <w:rFonts w:ascii="Californian FB" w:hAnsi="Californian FB"/>
        </w:rPr>
      </w:pPr>
    </w:p>
    <w:p w14:paraId="705BBAE3" w14:textId="77777777" w:rsidR="00BD7393" w:rsidRPr="00BD7393" w:rsidRDefault="00BD7393" w:rsidP="00BD7393">
      <w:pPr>
        <w:rPr>
          <w:rFonts w:ascii="Californian FB" w:hAnsi="Californian FB"/>
        </w:rPr>
      </w:pPr>
    </w:p>
    <w:p w14:paraId="0A1D94A6" w14:textId="77777777" w:rsidR="00BD7393" w:rsidRPr="00BD7393" w:rsidRDefault="00BD7393" w:rsidP="00BD7393">
      <w:pPr>
        <w:rPr>
          <w:rFonts w:ascii="Californian FB" w:hAnsi="Californian FB"/>
        </w:rPr>
      </w:pPr>
    </w:p>
    <w:p w14:paraId="2BDC5349" w14:textId="77777777" w:rsidR="00BD7393" w:rsidRPr="00BD7393" w:rsidRDefault="00BD7393" w:rsidP="00BD7393">
      <w:pPr>
        <w:rPr>
          <w:rFonts w:ascii="Californian FB" w:hAnsi="Californian FB"/>
        </w:rPr>
      </w:pPr>
    </w:p>
    <w:p w14:paraId="3E73ED17" w14:textId="77777777" w:rsidR="00BD7393" w:rsidRPr="00BD7393" w:rsidRDefault="00BD7393" w:rsidP="00BD7393">
      <w:pPr>
        <w:rPr>
          <w:rFonts w:ascii="Californian FB" w:hAnsi="Californian FB"/>
        </w:rPr>
      </w:pPr>
    </w:p>
    <w:p w14:paraId="005B4F78" w14:textId="77777777" w:rsidR="00BD7393" w:rsidRPr="00BD7393" w:rsidRDefault="00BD7393" w:rsidP="00BD7393">
      <w:pPr>
        <w:rPr>
          <w:rFonts w:ascii="Californian FB" w:hAnsi="Californian FB"/>
        </w:rPr>
      </w:pPr>
    </w:p>
    <w:p w14:paraId="4A046657" w14:textId="77777777" w:rsidR="00BD7393" w:rsidRPr="00BD7393" w:rsidRDefault="00BD7393" w:rsidP="00BD7393">
      <w:pPr>
        <w:rPr>
          <w:rFonts w:ascii="Californian FB" w:hAnsi="Californian FB"/>
        </w:rPr>
      </w:pPr>
    </w:p>
    <w:p w14:paraId="25D6F6D8" w14:textId="77777777" w:rsidR="00BD7393" w:rsidRPr="00BD7393" w:rsidRDefault="00BD7393" w:rsidP="00BD7393">
      <w:pPr>
        <w:rPr>
          <w:rFonts w:ascii="Californian FB" w:hAnsi="Californian FB"/>
        </w:rPr>
      </w:pPr>
    </w:p>
    <w:p w14:paraId="76294536" w14:textId="77777777" w:rsidR="00BD7393" w:rsidRDefault="00BD7393" w:rsidP="00BD7393">
      <w:pPr>
        <w:jc w:val="both"/>
        <w:rPr>
          <w:rFonts w:ascii="Californian FB" w:hAnsi="Californian FB"/>
        </w:rPr>
      </w:pPr>
    </w:p>
    <w:p w14:paraId="3A54772A" w14:textId="77777777" w:rsidR="00525598" w:rsidRDefault="00525598" w:rsidP="00BD7393">
      <w:pPr>
        <w:jc w:val="both"/>
        <w:rPr>
          <w:rFonts w:ascii="Californian FB" w:hAnsi="Californian FB"/>
        </w:rPr>
      </w:pPr>
    </w:p>
    <w:p w14:paraId="556C5FDF" w14:textId="77777777" w:rsidR="00525598" w:rsidRDefault="00525598" w:rsidP="00BD7393">
      <w:pPr>
        <w:jc w:val="both"/>
        <w:rPr>
          <w:rFonts w:ascii="Californian FB" w:hAnsi="Californian FB"/>
        </w:rPr>
      </w:pPr>
    </w:p>
    <w:p w14:paraId="39A6DC9B" w14:textId="77777777" w:rsidR="00525598" w:rsidRDefault="00525598" w:rsidP="00BD7393">
      <w:pPr>
        <w:jc w:val="both"/>
        <w:rPr>
          <w:rFonts w:ascii="Californian FB" w:hAnsi="Californian FB"/>
        </w:rPr>
      </w:pPr>
    </w:p>
    <w:p w14:paraId="516A040B" w14:textId="77777777" w:rsidR="00525598" w:rsidRDefault="00525598" w:rsidP="00BD7393">
      <w:pPr>
        <w:jc w:val="both"/>
        <w:rPr>
          <w:rFonts w:ascii="Californian FB" w:hAnsi="Californian FB"/>
        </w:rPr>
      </w:pPr>
    </w:p>
    <w:p w14:paraId="6B29FCC0" w14:textId="77777777" w:rsidR="00525598" w:rsidRDefault="00525598" w:rsidP="00BD7393">
      <w:pPr>
        <w:jc w:val="both"/>
        <w:rPr>
          <w:rFonts w:ascii="Californian FB" w:hAnsi="Californian FB"/>
        </w:rPr>
      </w:pPr>
    </w:p>
    <w:p w14:paraId="2BF399FB" w14:textId="77777777" w:rsidR="0044532E" w:rsidRPr="00BD7393" w:rsidRDefault="0044532E" w:rsidP="00BD7393">
      <w:pPr>
        <w:jc w:val="both"/>
        <w:rPr>
          <w:rFonts w:ascii="Californian FB" w:hAnsi="Californian FB"/>
        </w:rPr>
      </w:pPr>
    </w:p>
    <w:p w14:paraId="28510F7F" w14:textId="77777777" w:rsidR="00BD7393" w:rsidRPr="00C559FB" w:rsidRDefault="00BD7393" w:rsidP="00BD7393">
      <w:pPr>
        <w:jc w:val="both"/>
        <w:rPr>
          <w:rFonts w:ascii="Californian FB" w:hAnsi="Californian FB"/>
          <w:b/>
        </w:rPr>
      </w:pPr>
      <w:r w:rsidRPr="00C559FB">
        <w:rPr>
          <w:rFonts w:ascii="Californian FB" w:hAnsi="Californian FB"/>
          <w:b/>
        </w:rPr>
        <w:t>2.4 Logic Model (or Logical Framework)</w:t>
      </w:r>
    </w:p>
    <w:p w14:paraId="48CC3DBF" w14:textId="77777777" w:rsidR="00BD7393" w:rsidRPr="00BD7393" w:rsidRDefault="00BD7393" w:rsidP="00BD7393">
      <w:pPr>
        <w:pStyle w:val="BodyText"/>
        <w:spacing w:after="0"/>
        <w:rPr>
          <w:rFonts w:ascii="Californian FB" w:eastAsiaTheme="minorHAnsi" w:hAnsi="Californian FB" w:cstheme="minorBidi"/>
          <w:lang w:val="en-US" w:eastAsia="en-US"/>
        </w:rPr>
      </w:pPr>
      <w:bookmarkStart w:id="28" w:name="_Hlk520301376"/>
      <w:r w:rsidRPr="00BD7393">
        <w:rPr>
          <w:rFonts w:ascii="Californian FB" w:eastAsiaTheme="minorHAnsi" w:hAnsi="Californian FB" w:cstheme="minorBidi"/>
          <w:lang w:val="en-US" w:eastAsia="en-US"/>
        </w:rPr>
        <w:lastRenderedPageBreak/>
        <w:t>Provide a logic model for your project/programme indicating the problem statement (from your situation analysis), the objectives and how these objectives are to be achieved through the necessary inputs and activities, which will lead to expected outputs, which in turn should translate into expected outcomes, and finally, how the outcomes will result into the expected impact on the general population.</w:t>
      </w:r>
    </w:p>
    <w:bookmarkEnd w:id="28"/>
    <w:p w14:paraId="5E69B495" w14:textId="77777777" w:rsidR="00BD7393" w:rsidRPr="00BD7393" w:rsidRDefault="00BD7393" w:rsidP="00BD7393">
      <w:pPr>
        <w:jc w:val="both"/>
        <w:rPr>
          <w:rFonts w:ascii="Californian FB" w:hAnsi="Californian FB"/>
        </w:rPr>
      </w:pPr>
    </w:p>
    <w:tbl>
      <w:tblPr>
        <w:tblStyle w:val="GridTable6Colorful1"/>
        <w:tblW w:w="13783" w:type="dxa"/>
        <w:tblLook w:val="0000" w:firstRow="0" w:lastRow="0" w:firstColumn="0" w:lastColumn="0" w:noHBand="0" w:noVBand="0"/>
      </w:tblPr>
      <w:tblGrid>
        <w:gridCol w:w="2815"/>
        <w:gridCol w:w="2633"/>
        <w:gridCol w:w="2678"/>
        <w:gridCol w:w="2790"/>
        <w:gridCol w:w="2867"/>
      </w:tblGrid>
      <w:tr w:rsidR="00BD7393" w:rsidRPr="00BD7393" w14:paraId="02F0E5C1" w14:textId="77777777" w:rsidTr="00C559FB">
        <w:trPr>
          <w:cnfStyle w:val="000000100000" w:firstRow="0" w:lastRow="0" w:firstColumn="0" w:lastColumn="0" w:oddVBand="0" w:evenVBand="0" w:oddHBand="1" w:evenHBand="0" w:firstRowFirstColumn="0" w:firstRowLastColumn="0" w:lastRowFirstColumn="0" w:lastRowLastColumn="0"/>
          <w:trHeight w:val="260"/>
        </w:trPr>
        <w:tc>
          <w:tcPr>
            <w:cnfStyle w:val="000010000000" w:firstRow="0" w:lastRow="0" w:firstColumn="0" w:lastColumn="0" w:oddVBand="1" w:evenVBand="0" w:oddHBand="0" w:evenHBand="0" w:firstRowFirstColumn="0" w:firstRowLastColumn="0" w:lastRowFirstColumn="0" w:lastRowLastColumn="0"/>
            <w:tcW w:w="2815" w:type="dxa"/>
          </w:tcPr>
          <w:p w14:paraId="18419D0F" w14:textId="77777777" w:rsidR="00BD7393" w:rsidRPr="00BD7393" w:rsidRDefault="00BD7393" w:rsidP="00C559FB">
            <w:pPr>
              <w:jc w:val="center"/>
              <w:rPr>
                <w:rFonts w:ascii="Californian FB" w:hAnsi="Californian FB"/>
                <w:color w:val="auto"/>
              </w:rPr>
            </w:pPr>
            <w:bookmarkStart w:id="29" w:name="_Hlk520328653"/>
            <w:r w:rsidRPr="00BD7393">
              <w:rPr>
                <w:rFonts w:ascii="Californian FB" w:hAnsi="Californian FB"/>
                <w:color w:val="auto"/>
              </w:rPr>
              <w:t>Inputs</w:t>
            </w:r>
          </w:p>
        </w:tc>
        <w:tc>
          <w:tcPr>
            <w:tcW w:w="2633" w:type="dxa"/>
          </w:tcPr>
          <w:p w14:paraId="283315A1" w14:textId="77777777" w:rsidR="00BD7393" w:rsidRPr="00BD7393" w:rsidRDefault="00BD7393" w:rsidP="00C559FB">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color w:val="auto"/>
              </w:rPr>
            </w:pPr>
            <w:r w:rsidRPr="00BD7393">
              <w:rPr>
                <w:rFonts w:ascii="Californian FB" w:hAnsi="Californian FB"/>
                <w:color w:val="auto"/>
              </w:rPr>
              <w:t>Activities</w:t>
            </w:r>
          </w:p>
        </w:tc>
        <w:tc>
          <w:tcPr>
            <w:cnfStyle w:val="000010000000" w:firstRow="0" w:lastRow="0" w:firstColumn="0" w:lastColumn="0" w:oddVBand="1" w:evenVBand="0" w:oddHBand="0" w:evenHBand="0" w:firstRowFirstColumn="0" w:firstRowLastColumn="0" w:lastRowFirstColumn="0" w:lastRowLastColumn="0"/>
            <w:tcW w:w="2678" w:type="dxa"/>
          </w:tcPr>
          <w:p w14:paraId="4AD17869" w14:textId="77777777" w:rsidR="00BD7393" w:rsidRPr="00BD7393" w:rsidRDefault="00BD7393" w:rsidP="00C559FB">
            <w:pPr>
              <w:jc w:val="center"/>
              <w:rPr>
                <w:rFonts w:ascii="Californian FB" w:hAnsi="Californian FB"/>
                <w:color w:val="auto"/>
              </w:rPr>
            </w:pPr>
            <w:r w:rsidRPr="00BD7393">
              <w:rPr>
                <w:rFonts w:ascii="Californian FB" w:hAnsi="Californian FB"/>
                <w:color w:val="auto"/>
              </w:rPr>
              <w:t>Outputs</w:t>
            </w:r>
          </w:p>
        </w:tc>
        <w:tc>
          <w:tcPr>
            <w:tcW w:w="2790" w:type="dxa"/>
          </w:tcPr>
          <w:p w14:paraId="61053374" w14:textId="77777777" w:rsidR="00BD7393" w:rsidRPr="00BD7393" w:rsidRDefault="00BD7393" w:rsidP="00C559FB">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color w:val="auto"/>
              </w:rPr>
            </w:pPr>
            <w:r w:rsidRPr="00BD7393">
              <w:rPr>
                <w:rFonts w:ascii="Californian FB" w:hAnsi="Californian FB"/>
                <w:color w:val="auto"/>
              </w:rPr>
              <w:t>Outcomes</w:t>
            </w:r>
          </w:p>
        </w:tc>
        <w:tc>
          <w:tcPr>
            <w:cnfStyle w:val="000010000000" w:firstRow="0" w:lastRow="0" w:firstColumn="0" w:lastColumn="0" w:oddVBand="1" w:evenVBand="0" w:oddHBand="0" w:evenHBand="0" w:firstRowFirstColumn="0" w:firstRowLastColumn="0" w:lastRowFirstColumn="0" w:lastRowLastColumn="0"/>
            <w:tcW w:w="2867" w:type="dxa"/>
          </w:tcPr>
          <w:p w14:paraId="1F93C4C8" w14:textId="77777777" w:rsidR="00BD7393" w:rsidRPr="00BD7393" w:rsidRDefault="00BD7393" w:rsidP="00C559FB">
            <w:pPr>
              <w:jc w:val="center"/>
              <w:rPr>
                <w:rFonts w:ascii="Californian FB" w:hAnsi="Californian FB"/>
                <w:color w:val="auto"/>
              </w:rPr>
            </w:pPr>
            <w:r w:rsidRPr="00BD7393">
              <w:rPr>
                <w:rFonts w:ascii="Californian FB" w:hAnsi="Californian FB"/>
                <w:color w:val="auto"/>
              </w:rPr>
              <w:t>Impact</w:t>
            </w:r>
          </w:p>
        </w:tc>
      </w:tr>
      <w:tr w:rsidR="00BD7393" w:rsidRPr="00BD7393" w14:paraId="16804ECA" w14:textId="77777777" w:rsidTr="00C559FB">
        <w:trPr>
          <w:trHeight w:val="5286"/>
        </w:trPr>
        <w:tc>
          <w:tcPr>
            <w:cnfStyle w:val="000010000000" w:firstRow="0" w:lastRow="0" w:firstColumn="0" w:lastColumn="0" w:oddVBand="1" w:evenVBand="0" w:oddHBand="0" w:evenHBand="0" w:firstRowFirstColumn="0" w:firstRowLastColumn="0" w:lastRowFirstColumn="0" w:lastRowLastColumn="0"/>
            <w:tcW w:w="2815" w:type="dxa"/>
          </w:tcPr>
          <w:p w14:paraId="6EAAE052" w14:textId="77777777" w:rsidR="00BD7393" w:rsidRPr="00BD7393" w:rsidRDefault="00BD7393" w:rsidP="00C559FB">
            <w:pPr>
              <w:rPr>
                <w:rFonts w:ascii="Californian FB" w:hAnsi="Californian FB"/>
                <w:color w:val="auto"/>
              </w:rPr>
            </w:pPr>
            <w:r w:rsidRPr="00BD7393">
              <w:rPr>
                <w:rFonts w:ascii="Californian FB" w:hAnsi="Californian FB"/>
                <w:color w:val="auto"/>
              </w:rPr>
              <w:t>What goes in…</w:t>
            </w:r>
          </w:p>
          <w:p w14:paraId="2C6CA75F" w14:textId="77777777" w:rsidR="00BD7393" w:rsidRPr="00BD7393" w:rsidRDefault="00BD7393" w:rsidP="00C559FB">
            <w:pPr>
              <w:rPr>
                <w:rFonts w:ascii="Californian FB" w:hAnsi="Californian FB"/>
                <w:color w:val="auto"/>
              </w:rPr>
            </w:pPr>
            <w:r w:rsidRPr="00BD7393">
              <w:rPr>
                <w:rFonts w:ascii="Californian FB" w:hAnsi="Californian FB"/>
                <w:color w:val="auto"/>
              </w:rPr>
              <w:t>What you budget for...</w:t>
            </w:r>
          </w:p>
          <w:p w14:paraId="5F5DC266" w14:textId="77777777" w:rsidR="00BD7393" w:rsidRPr="00BD7393" w:rsidRDefault="00BD7393" w:rsidP="00C559FB">
            <w:pPr>
              <w:rPr>
                <w:rFonts w:ascii="Californian FB" w:hAnsi="Californian FB"/>
                <w:color w:val="auto"/>
              </w:rPr>
            </w:pPr>
          </w:p>
          <w:p w14:paraId="2AF7A98F" w14:textId="77777777" w:rsidR="00BD7393" w:rsidRPr="00BD7393" w:rsidRDefault="00BD7393" w:rsidP="00C559FB">
            <w:pPr>
              <w:rPr>
                <w:rFonts w:ascii="Californian FB" w:hAnsi="Californian FB"/>
                <w:color w:val="auto"/>
              </w:rPr>
            </w:pPr>
          </w:p>
        </w:tc>
        <w:tc>
          <w:tcPr>
            <w:tcW w:w="2633" w:type="dxa"/>
          </w:tcPr>
          <w:p w14:paraId="7A309901"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r w:rsidRPr="00BD7393">
              <w:rPr>
                <w:rFonts w:ascii="Californian FB" w:hAnsi="Californian FB"/>
                <w:color w:val="auto"/>
              </w:rPr>
              <w:t>What you do to reach your goal…</w:t>
            </w:r>
          </w:p>
          <w:p w14:paraId="356AB533"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r w:rsidRPr="00BD7393">
              <w:rPr>
                <w:rFonts w:ascii="Californian FB" w:hAnsi="Californian FB"/>
                <w:color w:val="auto"/>
              </w:rPr>
              <w:t>Each activity may have its own framework</w:t>
            </w:r>
          </w:p>
        </w:tc>
        <w:tc>
          <w:tcPr>
            <w:cnfStyle w:val="000010000000" w:firstRow="0" w:lastRow="0" w:firstColumn="0" w:lastColumn="0" w:oddVBand="1" w:evenVBand="0" w:oddHBand="0" w:evenHBand="0" w:firstRowFirstColumn="0" w:firstRowLastColumn="0" w:lastRowFirstColumn="0" w:lastRowLastColumn="0"/>
            <w:tcW w:w="2678" w:type="dxa"/>
          </w:tcPr>
          <w:p w14:paraId="59B62657" w14:textId="77777777" w:rsidR="00BD7393" w:rsidRPr="00BD7393" w:rsidRDefault="00BD7393" w:rsidP="00C559FB">
            <w:pPr>
              <w:rPr>
                <w:rFonts w:ascii="Californian FB" w:hAnsi="Californian FB"/>
                <w:color w:val="auto"/>
              </w:rPr>
            </w:pPr>
            <w:r w:rsidRPr="00BD7393">
              <w:rPr>
                <w:rFonts w:ascii="Californian FB" w:hAnsi="Californian FB"/>
                <w:color w:val="auto"/>
              </w:rPr>
              <w:t>What you get from your activity… more immediate</w:t>
            </w:r>
          </w:p>
          <w:p w14:paraId="3BE9B604" w14:textId="77777777" w:rsidR="00BD7393" w:rsidRPr="00BD7393" w:rsidRDefault="00BD7393" w:rsidP="00C559FB">
            <w:pPr>
              <w:rPr>
                <w:rFonts w:ascii="Californian FB" w:hAnsi="Californian FB"/>
                <w:color w:val="auto"/>
              </w:rPr>
            </w:pPr>
            <w:r w:rsidRPr="00BD7393">
              <w:rPr>
                <w:rFonts w:ascii="Californian FB" w:hAnsi="Californian FB"/>
                <w:color w:val="auto"/>
              </w:rPr>
              <w:t>Relate to your project OBJECTIVES</w:t>
            </w:r>
          </w:p>
          <w:p w14:paraId="0FF88C33" w14:textId="77777777" w:rsidR="00BD7393" w:rsidRPr="00BD7393" w:rsidRDefault="00BD7393" w:rsidP="00C559FB">
            <w:pPr>
              <w:rPr>
                <w:rFonts w:ascii="Californian FB" w:hAnsi="Californian FB"/>
                <w:color w:val="auto"/>
              </w:rPr>
            </w:pPr>
          </w:p>
        </w:tc>
        <w:tc>
          <w:tcPr>
            <w:tcW w:w="2790" w:type="dxa"/>
          </w:tcPr>
          <w:p w14:paraId="4D2744B6"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r w:rsidRPr="00BD7393">
              <w:rPr>
                <w:rFonts w:ascii="Californian FB" w:hAnsi="Californian FB"/>
                <w:color w:val="auto"/>
              </w:rPr>
              <w:t>What you get… down the road and involves some sort of change in behaviour, knowledge, attitude, ……….</w:t>
            </w:r>
          </w:p>
          <w:p w14:paraId="7683DF31"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r w:rsidRPr="00BD7393">
              <w:rPr>
                <w:rFonts w:ascii="Californian FB" w:hAnsi="Californian FB"/>
                <w:color w:val="auto"/>
              </w:rPr>
              <w:t>Relate to your project GOALS</w:t>
            </w:r>
          </w:p>
          <w:p w14:paraId="3C165C47"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p>
          <w:p w14:paraId="40DEE4D6" w14:textId="77777777" w:rsidR="00BD7393" w:rsidRPr="00BD7393" w:rsidRDefault="00BD7393" w:rsidP="00C559FB">
            <w:pPr>
              <w:cnfStyle w:val="000000000000" w:firstRow="0" w:lastRow="0" w:firstColumn="0" w:lastColumn="0" w:oddVBand="0" w:evenVBand="0" w:oddHBand="0" w:evenHBand="0" w:firstRowFirstColumn="0" w:firstRowLastColumn="0" w:lastRowFirstColumn="0" w:lastRowLastColumn="0"/>
              <w:rPr>
                <w:rFonts w:ascii="Californian FB" w:hAnsi="Californian FB"/>
                <w:color w:val="auto"/>
              </w:rPr>
            </w:pPr>
          </w:p>
        </w:tc>
        <w:tc>
          <w:tcPr>
            <w:cnfStyle w:val="000010000000" w:firstRow="0" w:lastRow="0" w:firstColumn="0" w:lastColumn="0" w:oddVBand="1" w:evenVBand="0" w:oddHBand="0" w:evenHBand="0" w:firstRowFirstColumn="0" w:firstRowLastColumn="0" w:lastRowFirstColumn="0" w:lastRowLastColumn="0"/>
            <w:tcW w:w="2867" w:type="dxa"/>
          </w:tcPr>
          <w:p w14:paraId="41FDC5CD" w14:textId="77777777" w:rsidR="00BD7393" w:rsidRPr="00BD7393" w:rsidRDefault="00BD7393" w:rsidP="00C559FB">
            <w:pPr>
              <w:rPr>
                <w:rFonts w:ascii="Californian FB" w:hAnsi="Californian FB"/>
                <w:color w:val="auto"/>
              </w:rPr>
            </w:pPr>
            <w:r w:rsidRPr="00BD7393">
              <w:rPr>
                <w:rFonts w:ascii="Californian FB" w:hAnsi="Californian FB"/>
                <w:color w:val="auto"/>
              </w:rPr>
              <w:t>How the whole programme affects the general population – this is a long-term result</w:t>
            </w:r>
          </w:p>
          <w:p w14:paraId="3F9A1E11" w14:textId="77777777" w:rsidR="00BD7393" w:rsidRPr="00BD7393" w:rsidRDefault="00BD7393" w:rsidP="00C559FB">
            <w:pPr>
              <w:rPr>
                <w:rFonts w:ascii="Californian FB" w:hAnsi="Californian FB"/>
                <w:color w:val="auto"/>
              </w:rPr>
            </w:pPr>
            <w:r w:rsidRPr="00BD7393">
              <w:rPr>
                <w:rFonts w:ascii="Californian FB" w:hAnsi="Californian FB"/>
                <w:color w:val="auto"/>
              </w:rPr>
              <w:t>Relates to Mission / Vision</w:t>
            </w:r>
          </w:p>
        </w:tc>
      </w:tr>
      <w:bookmarkEnd w:id="29"/>
    </w:tbl>
    <w:p w14:paraId="535B6257" w14:textId="77777777" w:rsidR="00BD7393" w:rsidRPr="00BD7393" w:rsidRDefault="00BD7393" w:rsidP="00BD7393">
      <w:pPr>
        <w:jc w:val="both"/>
        <w:rPr>
          <w:rFonts w:ascii="Californian FB" w:hAnsi="Californian FB"/>
        </w:rPr>
      </w:pPr>
    </w:p>
    <w:p w14:paraId="73D87DF7" w14:textId="77777777" w:rsidR="00BD7393" w:rsidRPr="00BD7393" w:rsidRDefault="00BD7393" w:rsidP="00BD7393">
      <w:pPr>
        <w:jc w:val="both"/>
        <w:rPr>
          <w:rFonts w:ascii="Californian FB" w:hAnsi="Californian FB"/>
        </w:rPr>
      </w:pPr>
    </w:p>
    <w:p w14:paraId="53656F2E" w14:textId="77777777" w:rsidR="00BD7393" w:rsidRPr="00BD7393" w:rsidRDefault="00BD7393" w:rsidP="00BD7393">
      <w:pPr>
        <w:jc w:val="both"/>
        <w:rPr>
          <w:rFonts w:ascii="Californian FB" w:hAnsi="Californian FB"/>
        </w:rPr>
      </w:pPr>
    </w:p>
    <w:p w14:paraId="75671AB0" w14:textId="77777777" w:rsidR="00BD7393" w:rsidRPr="00BD7393" w:rsidRDefault="00BD7393" w:rsidP="00BD7393">
      <w:pPr>
        <w:jc w:val="both"/>
        <w:rPr>
          <w:rFonts w:ascii="Californian FB" w:hAnsi="Californian FB"/>
        </w:rPr>
      </w:pPr>
    </w:p>
    <w:p w14:paraId="0F77D01F" w14:textId="77777777" w:rsidR="00BD7393" w:rsidRPr="00BD7393" w:rsidRDefault="00BD7393" w:rsidP="00BD7393">
      <w:pPr>
        <w:jc w:val="both"/>
        <w:rPr>
          <w:rFonts w:ascii="Californian FB" w:hAnsi="Californian FB"/>
        </w:rPr>
      </w:pPr>
    </w:p>
    <w:p w14:paraId="0277E43F" w14:textId="77777777" w:rsidR="00BD7393" w:rsidRPr="00BD7393" w:rsidRDefault="00BD7393" w:rsidP="00BD7393">
      <w:pPr>
        <w:jc w:val="both"/>
        <w:rPr>
          <w:rFonts w:ascii="Californian FB" w:hAnsi="Californian FB"/>
        </w:rPr>
      </w:pPr>
    </w:p>
    <w:p w14:paraId="29388607" w14:textId="77777777" w:rsidR="00BD7393" w:rsidRPr="00BD7393" w:rsidRDefault="00BD7393" w:rsidP="00BD7393">
      <w:pPr>
        <w:jc w:val="both"/>
        <w:rPr>
          <w:rFonts w:ascii="Californian FB" w:hAnsi="Californian FB"/>
        </w:rPr>
      </w:pPr>
    </w:p>
    <w:p w14:paraId="6925217F" w14:textId="77777777" w:rsidR="00BD7393" w:rsidRDefault="00BD7393" w:rsidP="00BD7393">
      <w:pPr>
        <w:jc w:val="both"/>
        <w:rPr>
          <w:rFonts w:ascii="Californian FB" w:hAnsi="Californian FB"/>
        </w:rPr>
      </w:pPr>
    </w:p>
    <w:p w14:paraId="78891F86" w14:textId="77777777" w:rsidR="00525598" w:rsidRDefault="00525598" w:rsidP="00BD7393">
      <w:pPr>
        <w:jc w:val="both"/>
        <w:rPr>
          <w:rFonts w:ascii="Californian FB" w:hAnsi="Californian FB"/>
        </w:rPr>
      </w:pPr>
    </w:p>
    <w:p w14:paraId="3F8B4334" w14:textId="77777777" w:rsidR="00525598" w:rsidRPr="00BD7393" w:rsidRDefault="00525598" w:rsidP="00BD7393">
      <w:pPr>
        <w:jc w:val="both"/>
        <w:rPr>
          <w:rFonts w:ascii="Californian FB" w:hAnsi="Californian FB"/>
        </w:rPr>
      </w:pPr>
    </w:p>
    <w:p w14:paraId="50830231" w14:textId="77777777" w:rsidR="00BD7393" w:rsidRPr="00BD7393" w:rsidRDefault="00BD7393" w:rsidP="0044532E">
      <w:pPr>
        <w:pStyle w:val="Heading2"/>
        <w:numPr>
          <w:ilvl w:val="0"/>
          <w:numId w:val="0"/>
        </w:numPr>
        <w:ind w:left="576" w:hanging="576"/>
        <w:rPr>
          <w:rFonts w:ascii="Californian FB" w:eastAsiaTheme="minorHAnsi" w:hAnsi="Californian FB" w:cstheme="minorBidi"/>
          <w:b w:val="0"/>
          <w:bCs w:val="0"/>
          <w:color w:val="auto"/>
          <w:sz w:val="22"/>
          <w:szCs w:val="22"/>
          <w:lang w:val="en-US"/>
        </w:rPr>
      </w:pPr>
      <w:bookmarkStart w:id="30" w:name="_Toc520711813"/>
      <w:bookmarkStart w:id="31" w:name="_Toc520793115"/>
      <w:r w:rsidRPr="00BD7393">
        <w:rPr>
          <w:rFonts w:ascii="Californian FB" w:eastAsiaTheme="minorHAnsi" w:hAnsi="Californian FB" w:cstheme="minorBidi"/>
          <w:b w:val="0"/>
          <w:bCs w:val="0"/>
          <w:color w:val="auto"/>
          <w:sz w:val="22"/>
          <w:szCs w:val="22"/>
          <w:lang w:val="en-US"/>
        </w:rPr>
        <w:t>2.6 Critical Assumptions</w:t>
      </w:r>
      <w:bookmarkEnd w:id="30"/>
      <w:bookmarkEnd w:id="31"/>
    </w:p>
    <w:p w14:paraId="4CF7F1B5" w14:textId="77777777" w:rsidR="00BD7393" w:rsidRPr="00BD7393" w:rsidRDefault="00BD7393" w:rsidP="00BD7393">
      <w:pPr>
        <w:ind w:left="720"/>
        <w:jc w:val="both"/>
        <w:rPr>
          <w:rFonts w:ascii="Californian FB" w:hAnsi="Californian FB"/>
        </w:rPr>
      </w:pPr>
    </w:p>
    <w:p w14:paraId="5F0099C6" w14:textId="77777777" w:rsidR="00BD7393" w:rsidRPr="00BD7393" w:rsidRDefault="00BD7393" w:rsidP="00BD7393">
      <w:pPr>
        <w:jc w:val="both"/>
        <w:rPr>
          <w:rFonts w:ascii="Californian FB" w:hAnsi="Californian FB"/>
        </w:rPr>
      </w:pPr>
    </w:p>
    <w:p w14:paraId="351825C9" w14:textId="77777777" w:rsidR="00BD7393" w:rsidRPr="00BD7393" w:rsidRDefault="00BD7393" w:rsidP="00BD7393">
      <w:pPr>
        <w:jc w:val="both"/>
        <w:rPr>
          <w:rFonts w:ascii="Californian FB" w:hAnsi="Californian FB"/>
        </w:rPr>
      </w:pPr>
    </w:p>
    <w:p w14:paraId="7A6E5639" w14:textId="77777777" w:rsidR="00BD7393" w:rsidRPr="00BD7393" w:rsidRDefault="00BD7393" w:rsidP="00BD7393">
      <w:pPr>
        <w:jc w:val="both"/>
        <w:rPr>
          <w:rFonts w:ascii="Californian FB" w:hAnsi="Californian FB"/>
        </w:rPr>
      </w:pPr>
    </w:p>
    <w:p w14:paraId="75EED079" w14:textId="77777777" w:rsidR="00BD7393" w:rsidRPr="00BD7393" w:rsidRDefault="00BD7393" w:rsidP="00BD7393">
      <w:pPr>
        <w:jc w:val="both"/>
        <w:rPr>
          <w:rFonts w:ascii="Californian FB" w:hAnsi="Californian FB"/>
        </w:rPr>
      </w:pPr>
    </w:p>
    <w:p w14:paraId="65C0B741" w14:textId="77777777" w:rsidR="00BD7393" w:rsidRPr="00BD7393" w:rsidRDefault="00BD7393" w:rsidP="00BD7393">
      <w:pPr>
        <w:jc w:val="both"/>
        <w:rPr>
          <w:rFonts w:ascii="Californian FB" w:hAnsi="Californian FB"/>
        </w:rPr>
      </w:pPr>
    </w:p>
    <w:p w14:paraId="2D4317D9" w14:textId="77777777" w:rsidR="00BD7393" w:rsidRPr="00BD7393" w:rsidRDefault="00BD7393" w:rsidP="00BD7393">
      <w:pPr>
        <w:jc w:val="both"/>
        <w:rPr>
          <w:rFonts w:ascii="Californian FB" w:hAnsi="Californian FB"/>
        </w:rPr>
      </w:pPr>
    </w:p>
    <w:p w14:paraId="01F6B481" w14:textId="77777777" w:rsidR="00BD7393" w:rsidRPr="00BD7393" w:rsidRDefault="00BD7393" w:rsidP="00BD7393">
      <w:pPr>
        <w:jc w:val="both"/>
        <w:rPr>
          <w:rFonts w:ascii="Californian FB" w:hAnsi="Californian FB"/>
        </w:rPr>
      </w:pPr>
    </w:p>
    <w:p w14:paraId="70777614" w14:textId="77777777" w:rsidR="00BD7393" w:rsidRPr="00BD7393" w:rsidRDefault="00BD7393" w:rsidP="00BD7393">
      <w:pPr>
        <w:jc w:val="both"/>
        <w:rPr>
          <w:rFonts w:ascii="Californian FB" w:hAnsi="Californian FB"/>
        </w:rPr>
      </w:pPr>
    </w:p>
    <w:p w14:paraId="31F9C678" w14:textId="77777777" w:rsidR="00BD7393" w:rsidRPr="00BD7393" w:rsidRDefault="00BD7393" w:rsidP="00BD7393">
      <w:pPr>
        <w:jc w:val="both"/>
        <w:rPr>
          <w:rFonts w:ascii="Californian FB" w:hAnsi="Californian FB"/>
        </w:rPr>
      </w:pPr>
    </w:p>
    <w:p w14:paraId="563FB4E5" w14:textId="77777777" w:rsidR="00BD7393" w:rsidRPr="00BD7393" w:rsidRDefault="00BD7393" w:rsidP="00BD7393">
      <w:pPr>
        <w:jc w:val="both"/>
        <w:rPr>
          <w:rFonts w:ascii="Californian FB" w:hAnsi="Californian FB"/>
        </w:rPr>
      </w:pPr>
    </w:p>
    <w:p w14:paraId="650BA415" w14:textId="77777777" w:rsidR="00BD7393" w:rsidRPr="00BD7393" w:rsidRDefault="00BD7393" w:rsidP="00BD7393">
      <w:pPr>
        <w:jc w:val="both"/>
        <w:rPr>
          <w:rFonts w:ascii="Californian FB" w:hAnsi="Californian FB"/>
        </w:rPr>
      </w:pPr>
    </w:p>
    <w:p w14:paraId="0AA2B33E" w14:textId="77777777" w:rsidR="00BD7393" w:rsidRPr="00BD7393" w:rsidRDefault="00BD7393" w:rsidP="00BD7393">
      <w:pPr>
        <w:jc w:val="both"/>
        <w:rPr>
          <w:rFonts w:ascii="Californian FB" w:hAnsi="Californian FB"/>
        </w:rPr>
      </w:pPr>
    </w:p>
    <w:p w14:paraId="1EC2FD6F" w14:textId="77777777" w:rsidR="00BD7393" w:rsidRPr="00BD7393" w:rsidRDefault="00BD7393" w:rsidP="00BD7393">
      <w:pPr>
        <w:jc w:val="both"/>
        <w:rPr>
          <w:rFonts w:ascii="Californian FB" w:hAnsi="Californian FB"/>
        </w:rPr>
      </w:pPr>
    </w:p>
    <w:p w14:paraId="39814FBC" w14:textId="77777777" w:rsidR="00BD7393" w:rsidRPr="00BD7393" w:rsidRDefault="00BD7393" w:rsidP="00BD7393">
      <w:pPr>
        <w:jc w:val="both"/>
        <w:rPr>
          <w:rFonts w:ascii="Californian FB" w:hAnsi="Californian FB"/>
        </w:rPr>
      </w:pPr>
    </w:p>
    <w:p w14:paraId="30DCB2EB" w14:textId="77777777" w:rsidR="00BD7393" w:rsidRPr="00BD7393" w:rsidRDefault="00BD7393" w:rsidP="00BD7393">
      <w:pPr>
        <w:jc w:val="both"/>
        <w:rPr>
          <w:rFonts w:ascii="Californian FB" w:hAnsi="Californian FB"/>
        </w:rPr>
      </w:pPr>
    </w:p>
    <w:p w14:paraId="1DC8B020" w14:textId="77777777" w:rsidR="00BD7393" w:rsidRPr="00BD7393" w:rsidRDefault="00BD7393" w:rsidP="00BD7393">
      <w:pPr>
        <w:jc w:val="both"/>
        <w:rPr>
          <w:rFonts w:ascii="Californian FB" w:hAnsi="Californian FB"/>
        </w:rPr>
      </w:pPr>
    </w:p>
    <w:p w14:paraId="37196B6E" w14:textId="77777777" w:rsidR="00BD7393" w:rsidRPr="00BD7393" w:rsidRDefault="00BD7393" w:rsidP="00BD7393">
      <w:pPr>
        <w:jc w:val="both"/>
        <w:rPr>
          <w:rFonts w:ascii="Californian FB" w:hAnsi="Californian FB"/>
        </w:rPr>
      </w:pPr>
    </w:p>
    <w:p w14:paraId="653B3074" w14:textId="77777777" w:rsidR="00BD7393" w:rsidRPr="00BD7393" w:rsidRDefault="00BD7393" w:rsidP="00BD7393">
      <w:pPr>
        <w:jc w:val="both"/>
        <w:rPr>
          <w:rFonts w:ascii="Californian FB" w:hAnsi="Californian FB"/>
        </w:rPr>
      </w:pPr>
    </w:p>
    <w:p w14:paraId="2ABEB5A6" w14:textId="77777777" w:rsidR="00BD7393" w:rsidRDefault="00BD7393" w:rsidP="00BD7393">
      <w:pPr>
        <w:jc w:val="both"/>
        <w:rPr>
          <w:rFonts w:ascii="Californian FB" w:hAnsi="Californian FB"/>
        </w:rPr>
      </w:pPr>
    </w:p>
    <w:p w14:paraId="4A3CBA22" w14:textId="77777777" w:rsidR="00525598" w:rsidRDefault="00525598" w:rsidP="00BD7393">
      <w:pPr>
        <w:jc w:val="both"/>
        <w:rPr>
          <w:rFonts w:ascii="Californian FB" w:hAnsi="Californian FB"/>
        </w:rPr>
      </w:pPr>
    </w:p>
    <w:p w14:paraId="16BD907B" w14:textId="77777777" w:rsidR="00525598" w:rsidRDefault="00525598" w:rsidP="00BD7393">
      <w:pPr>
        <w:jc w:val="both"/>
        <w:rPr>
          <w:rFonts w:ascii="Californian FB" w:hAnsi="Californian FB"/>
        </w:rPr>
      </w:pPr>
    </w:p>
    <w:p w14:paraId="015C8844" w14:textId="77777777" w:rsidR="00525598" w:rsidRDefault="00525598" w:rsidP="00BD7393">
      <w:pPr>
        <w:jc w:val="both"/>
        <w:rPr>
          <w:rFonts w:ascii="Californian FB" w:hAnsi="Californian FB"/>
        </w:rPr>
      </w:pPr>
    </w:p>
    <w:p w14:paraId="55E45A6A" w14:textId="77777777" w:rsidR="00525598" w:rsidRPr="00BD7393" w:rsidRDefault="00525598" w:rsidP="00BD7393">
      <w:pPr>
        <w:jc w:val="both"/>
        <w:rPr>
          <w:rFonts w:ascii="Californian FB" w:hAnsi="Californian FB"/>
        </w:rPr>
      </w:pPr>
    </w:p>
    <w:p w14:paraId="2A156D19" w14:textId="77777777" w:rsidR="00BD7393" w:rsidRPr="0025792C" w:rsidRDefault="00BD7393" w:rsidP="00BD7393">
      <w:pPr>
        <w:pStyle w:val="Heading1"/>
        <w:jc w:val="both"/>
        <w:rPr>
          <w:rFonts w:ascii="Californian FB" w:eastAsiaTheme="minorHAnsi" w:hAnsi="Californian FB" w:cstheme="minorBidi"/>
          <w:bCs w:val="0"/>
          <w:color w:val="auto"/>
          <w:sz w:val="22"/>
          <w:szCs w:val="22"/>
          <w:lang w:val="en-US"/>
        </w:rPr>
      </w:pPr>
      <w:bookmarkStart w:id="32" w:name="_Toc520711814"/>
      <w:bookmarkStart w:id="33" w:name="_Toc520793116"/>
      <w:r w:rsidRPr="0025792C">
        <w:rPr>
          <w:rFonts w:ascii="Californian FB" w:eastAsiaTheme="minorHAnsi" w:hAnsi="Californian FB" w:cstheme="minorBidi"/>
          <w:bCs w:val="0"/>
          <w:color w:val="auto"/>
          <w:sz w:val="22"/>
          <w:szCs w:val="22"/>
          <w:lang w:val="en-US"/>
        </w:rPr>
        <w:t>3.0 Monitoring Plan</w:t>
      </w:r>
      <w:bookmarkEnd w:id="32"/>
      <w:bookmarkEnd w:id="33"/>
    </w:p>
    <w:p w14:paraId="130723C3" w14:textId="77777777" w:rsidR="00BD7393" w:rsidRPr="00BD7393" w:rsidRDefault="00BD7393" w:rsidP="00BD7393">
      <w:pPr>
        <w:pStyle w:val="BodyText"/>
        <w:spacing w:after="0"/>
        <w:rPr>
          <w:rFonts w:ascii="Californian FB" w:eastAsiaTheme="minorHAnsi" w:hAnsi="Californian FB" w:cstheme="minorBidi"/>
          <w:lang w:val="en-US" w:eastAsia="en-US"/>
        </w:rPr>
      </w:pPr>
      <w:r w:rsidRPr="00BD7393">
        <w:rPr>
          <w:rFonts w:ascii="Californian FB" w:eastAsiaTheme="minorHAnsi" w:hAnsi="Californian FB" w:cstheme="minorBidi"/>
          <w:lang w:val="en-US" w:eastAsia="en-US"/>
        </w:rPr>
        <w:t xml:space="preserve">Include a monitoring plan including tools (see the template below) that you will be using to track the progress of your project.  Remember these are not the tools for collecting data but are related to monitoring the organisational and operational aspects of the rollout of the project.  These tools include things like benchmark calendars, budget sheets, GANNT charts, etc.  It is important to state how often the information captured in the </w:t>
      </w:r>
      <w:r w:rsidRPr="00BD7393">
        <w:rPr>
          <w:rFonts w:ascii="Californian FB" w:eastAsiaTheme="minorHAnsi" w:hAnsi="Californian FB" w:cstheme="minorBidi"/>
          <w:lang w:val="en-US" w:eastAsia="en-US"/>
        </w:rPr>
        <w:lastRenderedPageBreak/>
        <w:t>tools will be updated. Remember that these must inform operational issues and thus must be updated as often as the information would be useful for management of the project.  Do not waste time, money and level of effort using tools that have no operational impact when their content is reviewed.</w:t>
      </w:r>
    </w:p>
    <w:p w14:paraId="13F3B4DA" w14:textId="77777777" w:rsidR="00BD7393" w:rsidRPr="00BD7393" w:rsidRDefault="00BD7393" w:rsidP="00BD7393">
      <w:pPr>
        <w:pStyle w:val="BodyText"/>
        <w:spacing w:after="0"/>
        <w:rPr>
          <w:rFonts w:ascii="Californian FB" w:eastAsiaTheme="minorHAnsi" w:hAnsi="Californian FB" w:cstheme="minorBidi"/>
          <w:lang w:val="en-US" w:eastAsia="en-US"/>
        </w:rPr>
      </w:pPr>
    </w:p>
    <w:p w14:paraId="758D07C3" w14:textId="77777777" w:rsidR="00FB3334" w:rsidRDefault="00FB3334">
      <w:pPr>
        <w:rPr>
          <w:rFonts w:ascii="Californian FB" w:hAnsi="Californian FB"/>
        </w:rPr>
      </w:pPr>
      <w:r>
        <w:rPr>
          <w:rFonts w:ascii="Californian FB" w:hAnsi="Californian FB"/>
          <w:b/>
          <w:bCs/>
        </w:rPr>
        <w:br w:type="page"/>
      </w:r>
    </w:p>
    <w:p w14:paraId="3E6FB415" w14:textId="77777777" w:rsidR="00FB3334" w:rsidRDefault="00FB3334" w:rsidP="00FB3334">
      <w:pPr>
        <w:pStyle w:val="Heading2"/>
        <w:rPr>
          <w:rFonts w:ascii="Arial Narrow" w:hAnsi="Arial Narrow"/>
          <w:b w:val="0"/>
          <w:sz w:val="18"/>
        </w:rPr>
        <w:sectPr w:rsidR="00FB3334" w:rsidSect="00C559FB">
          <w:pgSz w:w="12240" w:h="15840"/>
          <w:pgMar w:top="1440" w:right="1080" w:bottom="1440" w:left="1080" w:header="720" w:footer="720" w:gutter="0"/>
          <w:pgNumType w:start="0"/>
          <w:cols w:space="720"/>
          <w:titlePg/>
          <w:docGrid w:linePitch="360"/>
        </w:sectPr>
      </w:pPr>
    </w:p>
    <w:p w14:paraId="5E5C6736" w14:textId="77777777" w:rsidR="00FB3334" w:rsidRPr="006E126D" w:rsidRDefault="00FB3334" w:rsidP="00FB3334">
      <w:pPr>
        <w:pStyle w:val="Heading2"/>
        <w:numPr>
          <w:ilvl w:val="0"/>
          <w:numId w:val="0"/>
        </w:numPr>
        <w:rPr>
          <w:rFonts w:ascii="Arial Narrow" w:hAnsi="Arial Narrow"/>
          <w:b w:val="0"/>
          <w:sz w:val="18"/>
        </w:rPr>
      </w:pPr>
      <w:bookmarkStart w:id="34" w:name="_Toc520711815"/>
      <w:bookmarkStart w:id="35" w:name="_Toc520793117"/>
      <w:r w:rsidRPr="006E126D">
        <w:rPr>
          <w:rFonts w:ascii="Arial Narrow" w:hAnsi="Arial Narrow"/>
          <w:b w:val="0"/>
          <w:sz w:val="18"/>
        </w:rPr>
        <w:lastRenderedPageBreak/>
        <w:t>3.1. UHC Performance Monitoring and Evaluation Matrix</w:t>
      </w:r>
      <w:bookmarkEnd w:id="34"/>
      <w:bookmarkEnd w:id="35"/>
      <w:r w:rsidRPr="006E126D">
        <w:rPr>
          <w:rFonts w:ascii="Arial Narrow" w:hAnsi="Arial Narrow"/>
          <w:b w:val="0"/>
          <w:sz w:val="18"/>
        </w:rPr>
        <w:t xml:space="preserve"> </w:t>
      </w:r>
    </w:p>
    <w:p w14:paraId="19F07DCD" w14:textId="77777777" w:rsidR="00FB3334" w:rsidRPr="002F4404" w:rsidRDefault="00FB3334" w:rsidP="00FB3334">
      <w:pPr>
        <w:tabs>
          <w:tab w:val="left" w:pos="630"/>
        </w:tabs>
        <w:jc w:val="both"/>
        <w:rPr>
          <w:rFonts w:ascii="Arial Narrow" w:hAnsi="Arial Narrow" w:cs="Tahoma"/>
          <w:sz w:val="16"/>
        </w:rPr>
      </w:pPr>
      <w:r w:rsidRPr="002F4404">
        <w:rPr>
          <w:rFonts w:ascii="Arial Narrow" w:hAnsi="Arial Narrow" w:cs="Tahoma"/>
          <w:sz w:val="16"/>
        </w:rPr>
        <w:t xml:space="preserve"> (This is a matrix that provides a snap shot of the M&amp;E system, what data will be collected, the frequency, the people responsible and how the results  will be used at the various levels, and also  when  the evaluations will be conducted)</w:t>
      </w:r>
    </w:p>
    <w:p w14:paraId="3A16ECA0" w14:textId="77777777" w:rsidR="00FB3334" w:rsidRPr="002F4404" w:rsidRDefault="00FB3334" w:rsidP="00FB3334">
      <w:pPr>
        <w:pStyle w:val="BodyText"/>
        <w:spacing w:after="0"/>
        <w:rPr>
          <w:rFonts w:ascii="Arial Narrow" w:hAnsi="Arial Narrow" w:cs="Arial"/>
          <w:sz w:val="16"/>
        </w:rPr>
      </w:pPr>
    </w:p>
    <w:tbl>
      <w:tblPr>
        <w:tblW w:w="11450" w:type="dxa"/>
        <w:tblInd w:w="-342" w:type="dxa"/>
        <w:tblLayout w:type="fixed"/>
        <w:tblLook w:val="00A0" w:firstRow="1" w:lastRow="0" w:firstColumn="1" w:lastColumn="0" w:noHBand="0" w:noVBand="0"/>
      </w:tblPr>
      <w:tblGrid>
        <w:gridCol w:w="1026"/>
        <w:gridCol w:w="828"/>
        <w:gridCol w:w="1130"/>
        <w:gridCol w:w="752"/>
        <w:gridCol w:w="752"/>
        <w:gridCol w:w="752"/>
        <w:gridCol w:w="752"/>
        <w:gridCol w:w="752"/>
        <w:gridCol w:w="752"/>
        <w:gridCol w:w="752"/>
        <w:gridCol w:w="13"/>
        <w:gridCol w:w="1042"/>
        <w:gridCol w:w="13"/>
        <w:gridCol w:w="1042"/>
        <w:gridCol w:w="13"/>
        <w:gridCol w:w="1071"/>
        <w:gridCol w:w="8"/>
      </w:tblGrid>
      <w:tr w:rsidR="00FB3334" w:rsidRPr="002F4404" w14:paraId="4B0FC6B0" w14:textId="77777777" w:rsidTr="00C559FB">
        <w:trPr>
          <w:trHeight w:val="377"/>
        </w:trPr>
        <w:tc>
          <w:tcPr>
            <w:tcW w:w="11450" w:type="dxa"/>
            <w:gridSpan w:val="17"/>
            <w:tcBorders>
              <w:top w:val="single" w:sz="6" w:space="0" w:color="C2113A"/>
              <w:left w:val="single" w:sz="6" w:space="0" w:color="C2113A"/>
              <w:bottom w:val="single" w:sz="18" w:space="0" w:color="C2113A"/>
            </w:tcBorders>
            <w:shd w:val="clear" w:color="auto" w:fill="DDDDDD"/>
          </w:tcPr>
          <w:p w14:paraId="1C809716" w14:textId="77777777" w:rsidR="00FB3334" w:rsidRPr="002F4404" w:rsidRDefault="00FB3334" w:rsidP="00C559FB">
            <w:pPr>
              <w:rPr>
                <w:rFonts w:ascii="Arial Narrow" w:hAnsi="Arial Narrow" w:cs="Tahoma"/>
                <w:b/>
                <w:bCs/>
                <w:sz w:val="18"/>
                <w:szCs w:val="18"/>
              </w:rPr>
            </w:pPr>
            <w:r w:rsidRPr="002F4404">
              <w:rPr>
                <w:rFonts w:ascii="Arial Narrow" w:hAnsi="Arial Narrow" w:cs="Tahoma"/>
                <w:b/>
                <w:bCs/>
                <w:sz w:val="18"/>
                <w:szCs w:val="18"/>
              </w:rPr>
              <w:t>Result Area</w:t>
            </w:r>
          </w:p>
          <w:p w14:paraId="0C30DC1F" w14:textId="77777777" w:rsidR="00FB3334" w:rsidRPr="002F4404" w:rsidRDefault="00FB3334" w:rsidP="00C559FB">
            <w:pPr>
              <w:rPr>
                <w:rFonts w:ascii="Arial Narrow" w:hAnsi="Arial Narrow" w:cs="Tahoma"/>
                <w:b/>
                <w:bCs/>
                <w:sz w:val="18"/>
                <w:szCs w:val="18"/>
              </w:rPr>
            </w:pPr>
            <w:r w:rsidRPr="002F4404">
              <w:rPr>
                <w:rFonts w:ascii="Arial Narrow" w:hAnsi="Arial Narrow" w:cs="Tahoma"/>
                <w:b/>
                <w:bCs/>
                <w:sz w:val="18"/>
                <w:szCs w:val="18"/>
              </w:rPr>
              <w:t xml:space="preserve">Intermediate Result </w:t>
            </w:r>
          </w:p>
          <w:p w14:paraId="49793C6C" w14:textId="77777777" w:rsidR="00FB3334" w:rsidRPr="002F4404" w:rsidRDefault="00FB3334" w:rsidP="00C559FB">
            <w:pPr>
              <w:rPr>
                <w:rFonts w:ascii="Arial Narrow" w:hAnsi="Arial Narrow" w:cs="Tahoma"/>
                <w:b/>
                <w:bCs/>
                <w:sz w:val="18"/>
                <w:szCs w:val="18"/>
              </w:rPr>
            </w:pPr>
            <w:r w:rsidRPr="002F4404">
              <w:rPr>
                <w:rFonts w:ascii="Arial Narrow" w:hAnsi="Arial Narrow" w:cs="Tahoma"/>
                <w:b/>
                <w:bCs/>
                <w:sz w:val="18"/>
                <w:szCs w:val="18"/>
              </w:rPr>
              <w:t>Expected Outcomes</w:t>
            </w:r>
          </w:p>
        </w:tc>
      </w:tr>
      <w:tr w:rsidR="00FB3334" w:rsidRPr="002F4404" w14:paraId="19B67431" w14:textId="77777777" w:rsidTr="00C559FB">
        <w:trPr>
          <w:trHeight w:val="377"/>
        </w:trPr>
        <w:tc>
          <w:tcPr>
            <w:tcW w:w="1026" w:type="dxa"/>
            <w:vMerge w:val="restart"/>
            <w:tcBorders>
              <w:top w:val="single" w:sz="6" w:space="0" w:color="C2113A"/>
              <w:left w:val="single" w:sz="6" w:space="0" w:color="C2113A"/>
              <w:right w:val="single" w:sz="6" w:space="0" w:color="C2113A"/>
            </w:tcBorders>
            <w:shd w:val="clear" w:color="auto" w:fill="DDDDDD"/>
            <w:vAlign w:val="bottom"/>
          </w:tcPr>
          <w:p w14:paraId="37462468" w14:textId="77777777" w:rsidR="00FB3334" w:rsidRPr="002F4404" w:rsidRDefault="00FB3334" w:rsidP="00C559FB">
            <w:pPr>
              <w:rPr>
                <w:rFonts w:ascii="Arial Narrow" w:hAnsi="Arial Narrow" w:cs="Tahoma"/>
                <w:b/>
                <w:bCs/>
                <w:sz w:val="18"/>
                <w:szCs w:val="18"/>
              </w:rPr>
            </w:pPr>
            <w:r w:rsidRPr="002F4404">
              <w:rPr>
                <w:rFonts w:ascii="Arial Narrow" w:hAnsi="Arial Narrow" w:cs="Tahoma"/>
                <w:b/>
                <w:sz w:val="18"/>
                <w:szCs w:val="18"/>
              </w:rPr>
              <w:t>Activities</w:t>
            </w:r>
          </w:p>
        </w:tc>
        <w:tc>
          <w:tcPr>
            <w:tcW w:w="828" w:type="dxa"/>
            <w:vMerge w:val="restart"/>
            <w:tcBorders>
              <w:top w:val="single" w:sz="6" w:space="0" w:color="C2113A"/>
              <w:left w:val="single" w:sz="6" w:space="0" w:color="C2113A"/>
              <w:bottom w:val="single" w:sz="18" w:space="0" w:color="C2113A"/>
              <w:right w:val="single" w:sz="6" w:space="0" w:color="C2113A"/>
            </w:tcBorders>
            <w:shd w:val="clear" w:color="auto" w:fill="DDDDDD"/>
            <w:vAlign w:val="bottom"/>
          </w:tcPr>
          <w:p w14:paraId="18EF74CA" w14:textId="77777777" w:rsidR="00FB3334" w:rsidRPr="002F4404" w:rsidRDefault="00FB3334" w:rsidP="00C559FB">
            <w:pPr>
              <w:jc w:val="center"/>
              <w:rPr>
                <w:rFonts w:ascii="Arial Narrow" w:hAnsi="Arial Narrow" w:cs="Tahoma"/>
                <w:b/>
                <w:bCs/>
                <w:sz w:val="18"/>
                <w:szCs w:val="18"/>
              </w:rPr>
            </w:pPr>
            <w:r w:rsidRPr="002F4404">
              <w:rPr>
                <w:rFonts w:ascii="Arial Narrow" w:hAnsi="Arial Narrow" w:cs="Tahoma"/>
                <w:b/>
                <w:bCs/>
                <w:sz w:val="18"/>
                <w:szCs w:val="18"/>
              </w:rPr>
              <w:t>Output</w:t>
            </w:r>
          </w:p>
        </w:tc>
        <w:tc>
          <w:tcPr>
            <w:tcW w:w="1130" w:type="dxa"/>
            <w:vMerge w:val="restart"/>
            <w:tcBorders>
              <w:top w:val="single" w:sz="6" w:space="0" w:color="C2113A"/>
              <w:left w:val="single" w:sz="6" w:space="0" w:color="C2113A"/>
              <w:bottom w:val="single" w:sz="18" w:space="0" w:color="C2113A"/>
              <w:right w:val="single" w:sz="6" w:space="0" w:color="C2113A"/>
            </w:tcBorders>
            <w:shd w:val="clear" w:color="auto" w:fill="DDDDDD"/>
            <w:noWrap/>
            <w:vAlign w:val="bottom"/>
          </w:tcPr>
          <w:p w14:paraId="3560160B" w14:textId="77777777" w:rsidR="00FB3334" w:rsidRPr="002F4404" w:rsidRDefault="00FB3334" w:rsidP="00C559FB">
            <w:pPr>
              <w:jc w:val="center"/>
              <w:rPr>
                <w:rFonts w:ascii="Arial Narrow" w:hAnsi="Arial Narrow" w:cs="Tahoma"/>
                <w:b/>
                <w:bCs/>
                <w:sz w:val="18"/>
                <w:szCs w:val="18"/>
              </w:rPr>
            </w:pPr>
            <w:r w:rsidRPr="002F4404">
              <w:rPr>
                <w:rFonts w:ascii="Arial Narrow" w:hAnsi="Arial Narrow" w:cs="Tahoma"/>
                <w:b/>
                <w:bCs/>
                <w:sz w:val="18"/>
                <w:szCs w:val="18"/>
              </w:rPr>
              <w:t>Indicator</w:t>
            </w:r>
          </w:p>
        </w:tc>
        <w:tc>
          <w:tcPr>
            <w:tcW w:w="5277" w:type="dxa"/>
            <w:gridSpan w:val="8"/>
            <w:tcBorders>
              <w:top w:val="single" w:sz="6" w:space="0" w:color="C2113A"/>
              <w:left w:val="single" w:sz="6" w:space="0" w:color="C2113A"/>
              <w:bottom w:val="single" w:sz="6" w:space="0" w:color="C2113A"/>
              <w:right w:val="single" w:sz="4" w:space="0" w:color="C2113A"/>
            </w:tcBorders>
            <w:shd w:val="clear" w:color="auto" w:fill="DDDDDD"/>
            <w:noWrap/>
            <w:vAlign w:val="bottom"/>
          </w:tcPr>
          <w:p w14:paraId="423A615D" w14:textId="77777777" w:rsidR="00FB3334" w:rsidRPr="002F4404" w:rsidRDefault="00FB3334" w:rsidP="00C559FB">
            <w:pPr>
              <w:spacing w:after="80"/>
              <w:jc w:val="center"/>
              <w:rPr>
                <w:rFonts w:ascii="Arial Narrow" w:hAnsi="Arial Narrow" w:cs="Tahoma"/>
                <w:b/>
                <w:bCs/>
                <w:sz w:val="18"/>
                <w:szCs w:val="18"/>
              </w:rPr>
            </w:pPr>
            <w:r w:rsidRPr="002F4404">
              <w:rPr>
                <w:rFonts w:ascii="Arial Narrow" w:hAnsi="Arial Narrow" w:cs="Tahoma"/>
                <w:b/>
                <w:bCs/>
                <w:sz w:val="18"/>
                <w:szCs w:val="18"/>
              </w:rPr>
              <w:t>Targets</w:t>
            </w:r>
          </w:p>
        </w:tc>
        <w:tc>
          <w:tcPr>
            <w:tcW w:w="1055" w:type="dxa"/>
            <w:gridSpan w:val="2"/>
            <w:tcBorders>
              <w:top w:val="single" w:sz="6" w:space="0" w:color="C2113A"/>
              <w:left w:val="single" w:sz="4" w:space="0" w:color="C2113A"/>
              <w:bottom w:val="single" w:sz="18" w:space="0" w:color="C2113A"/>
              <w:right w:val="single" w:sz="4" w:space="0" w:color="C2113A"/>
            </w:tcBorders>
            <w:shd w:val="clear" w:color="auto" w:fill="DDDDDD"/>
            <w:vAlign w:val="bottom"/>
          </w:tcPr>
          <w:p w14:paraId="54B5FD8F" w14:textId="77777777" w:rsidR="00FB3334" w:rsidRPr="002F4404" w:rsidRDefault="00FB3334" w:rsidP="00C559FB">
            <w:pPr>
              <w:jc w:val="center"/>
              <w:rPr>
                <w:rFonts w:ascii="Arial Narrow" w:hAnsi="Arial Narrow" w:cs="Tahoma"/>
                <w:b/>
                <w:bCs/>
                <w:sz w:val="18"/>
                <w:szCs w:val="18"/>
              </w:rPr>
            </w:pPr>
            <w:r w:rsidRPr="002F4404">
              <w:rPr>
                <w:rFonts w:ascii="Arial Narrow" w:hAnsi="Arial Narrow" w:cs="Tahoma"/>
                <w:b/>
                <w:bCs/>
                <w:sz w:val="18"/>
                <w:szCs w:val="18"/>
              </w:rPr>
              <w:t>Data source</w:t>
            </w:r>
          </w:p>
        </w:tc>
        <w:tc>
          <w:tcPr>
            <w:tcW w:w="1055" w:type="dxa"/>
            <w:gridSpan w:val="2"/>
            <w:tcBorders>
              <w:top w:val="single" w:sz="6" w:space="0" w:color="C2113A"/>
              <w:left w:val="single" w:sz="4" w:space="0" w:color="C2113A"/>
              <w:bottom w:val="single" w:sz="18" w:space="0" w:color="C2113A"/>
              <w:right w:val="single" w:sz="4" w:space="0" w:color="C2113A"/>
            </w:tcBorders>
            <w:shd w:val="clear" w:color="auto" w:fill="DDDDDD"/>
            <w:vAlign w:val="bottom"/>
          </w:tcPr>
          <w:p w14:paraId="64CD2971" w14:textId="77777777" w:rsidR="00FB3334" w:rsidRPr="002F4404" w:rsidRDefault="00FB3334" w:rsidP="00C559FB">
            <w:pPr>
              <w:jc w:val="center"/>
              <w:rPr>
                <w:rFonts w:ascii="Arial Narrow" w:hAnsi="Arial Narrow" w:cs="Tahoma"/>
                <w:b/>
                <w:bCs/>
                <w:sz w:val="18"/>
                <w:szCs w:val="18"/>
              </w:rPr>
            </w:pPr>
            <w:r w:rsidRPr="002F4404">
              <w:rPr>
                <w:rFonts w:ascii="Arial Narrow" w:hAnsi="Arial Narrow" w:cs="Tahoma"/>
                <w:b/>
                <w:bCs/>
                <w:sz w:val="18"/>
                <w:szCs w:val="18"/>
              </w:rPr>
              <w:t>Frequency of data collection</w:t>
            </w:r>
          </w:p>
        </w:tc>
        <w:tc>
          <w:tcPr>
            <w:tcW w:w="1078" w:type="dxa"/>
            <w:gridSpan w:val="2"/>
            <w:tcBorders>
              <w:top w:val="single" w:sz="6" w:space="0" w:color="C2113A"/>
              <w:left w:val="single" w:sz="4" w:space="0" w:color="C2113A"/>
              <w:bottom w:val="single" w:sz="18" w:space="0" w:color="C2113A"/>
            </w:tcBorders>
            <w:shd w:val="clear" w:color="auto" w:fill="DDDDDD"/>
            <w:vAlign w:val="bottom"/>
          </w:tcPr>
          <w:p w14:paraId="2DBBD3BB" w14:textId="77777777" w:rsidR="00FB3334" w:rsidRPr="002F4404" w:rsidRDefault="00FB3334" w:rsidP="00C559FB">
            <w:pPr>
              <w:jc w:val="center"/>
              <w:rPr>
                <w:rFonts w:ascii="Arial Narrow" w:hAnsi="Arial Narrow" w:cs="Tahoma"/>
                <w:b/>
                <w:bCs/>
                <w:sz w:val="18"/>
                <w:szCs w:val="18"/>
              </w:rPr>
            </w:pPr>
            <w:r w:rsidRPr="002F4404">
              <w:rPr>
                <w:rFonts w:ascii="Arial Narrow" w:hAnsi="Arial Narrow" w:cs="Tahoma"/>
                <w:b/>
                <w:bCs/>
                <w:sz w:val="18"/>
                <w:szCs w:val="18"/>
              </w:rPr>
              <w:t>Party responsible</w:t>
            </w:r>
          </w:p>
        </w:tc>
      </w:tr>
      <w:tr w:rsidR="00FB3334" w:rsidRPr="002F4404" w14:paraId="2F0A6240" w14:textId="77777777" w:rsidTr="00C559FB">
        <w:trPr>
          <w:gridAfter w:val="1"/>
          <w:wAfter w:w="8" w:type="dxa"/>
          <w:trHeight w:val="179"/>
        </w:trPr>
        <w:tc>
          <w:tcPr>
            <w:tcW w:w="1026" w:type="dxa"/>
            <w:vMerge/>
            <w:tcBorders>
              <w:left w:val="single" w:sz="6" w:space="0" w:color="C2113A"/>
              <w:bottom w:val="single" w:sz="18" w:space="0" w:color="C2113A"/>
              <w:right w:val="single" w:sz="6" w:space="0" w:color="C2113A"/>
            </w:tcBorders>
            <w:shd w:val="clear" w:color="auto" w:fill="BFBFBF"/>
          </w:tcPr>
          <w:p w14:paraId="07944BAE" w14:textId="77777777" w:rsidR="00FB3334" w:rsidRPr="00BF344E" w:rsidRDefault="00FB3334" w:rsidP="00C559FB">
            <w:pPr>
              <w:jc w:val="both"/>
              <w:rPr>
                <w:rFonts w:ascii="Arial Narrow" w:hAnsi="Arial Narrow" w:cs="Tahoma"/>
                <w:b/>
                <w:bCs/>
                <w:sz w:val="18"/>
                <w:szCs w:val="18"/>
              </w:rPr>
            </w:pPr>
          </w:p>
        </w:tc>
        <w:tc>
          <w:tcPr>
            <w:tcW w:w="828" w:type="dxa"/>
            <w:vMerge/>
            <w:tcBorders>
              <w:top w:val="single" w:sz="6" w:space="0" w:color="C2113A"/>
              <w:left w:val="single" w:sz="6" w:space="0" w:color="C2113A"/>
              <w:bottom w:val="single" w:sz="18" w:space="0" w:color="C2113A"/>
              <w:right w:val="single" w:sz="6" w:space="0" w:color="C2113A"/>
            </w:tcBorders>
            <w:shd w:val="clear" w:color="auto" w:fill="BFBFBF"/>
          </w:tcPr>
          <w:p w14:paraId="5F27F773" w14:textId="77777777" w:rsidR="00FB3334" w:rsidRPr="00BF344E" w:rsidRDefault="00FB3334" w:rsidP="00C559FB">
            <w:pPr>
              <w:jc w:val="both"/>
              <w:rPr>
                <w:rFonts w:ascii="Arial Narrow" w:hAnsi="Arial Narrow" w:cs="Tahoma"/>
                <w:b/>
                <w:bCs/>
                <w:sz w:val="18"/>
                <w:szCs w:val="18"/>
              </w:rPr>
            </w:pPr>
          </w:p>
        </w:tc>
        <w:tc>
          <w:tcPr>
            <w:tcW w:w="1130" w:type="dxa"/>
            <w:vMerge/>
            <w:tcBorders>
              <w:top w:val="single" w:sz="8" w:space="0" w:color="auto"/>
              <w:left w:val="single" w:sz="6" w:space="0" w:color="C2113A"/>
              <w:bottom w:val="single" w:sz="18" w:space="0" w:color="C2113A"/>
              <w:right w:val="single" w:sz="6" w:space="0" w:color="C2113A"/>
            </w:tcBorders>
            <w:shd w:val="clear" w:color="auto" w:fill="BFBFBF"/>
            <w:vAlign w:val="center"/>
          </w:tcPr>
          <w:p w14:paraId="1B4CDB2F" w14:textId="77777777" w:rsidR="00FB3334" w:rsidRPr="00BF344E" w:rsidRDefault="00FB3334" w:rsidP="00C559FB">
            <w:pPr>
              <w:jc w:val="both"/>
              <w:rPr>
                <w:rFonts w:ascii="Arial Narrow" w:hAnsi="Arial Narrow" w:cs="Tahoma"/>
                <w:b/>
                <w:bCs/>
                <w:sz w:val="18"/>
                <w:szCs w:val="18"/>
              </w:rPr>
            </w:pP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6E815CD5"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Base</w:t>
            </w:r>
          </w:p>
          <w:p w14:paraId="73D35182"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line</w:t>
            </w: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0CEAEB48"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Year1</w:t>
            </w: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2B50D0CB"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Year2</w:t>
            </w: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5666D8F5"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Year3</w:t>
            </w: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429E0758"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Year4</w:t>
            </w:r>
          </w:p>
        </w:tc>
        <w:tc>
          <w:tcPr>
            <w:tcW w:w="752" w:type="dxa"/>
            <w:tcBorders>
              <w:top w:val="single" w:sz="6" w:space="0" w:color="C2113A"/>
              <w:left w:val="single" w:sz="6" w:space="0" w:color="C2113A"/>
              <w:bottom w:val="single" w:sz="18" w:space="0" w:color="C2113A"/>
              <w:right w:val="single" w:sz="6" w:space="0" w:color="C2113A"/>
            </w:tcBorders>
            <w:shd w:val="clear" w:color="auto" w:fill="DDDDDD"/>
            <w:vAlign w:val="bottom"/>
          </w:tcPr>
          <w:p w14:paraId="438C9ABA"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Year5</w:t>
            </w:r>
          </w:p>
        </w:tc>
        <w:tc>
          <w:tcPr>
            <w:tcW w:w="752" w:type="dxa"/>
            <w:tcBorders>
              <w:top w:val="single" w:sz="6" w:space="0" w:color="C2113A"/>
              <w:left w:val="single" w:sz="6" w:space="0" w:color="C2113A"/>
              <w:bottom w:val="single" w:sz="18" w:space="0" w:color="C2113A"/>
              <w:right w:val="single" w:sz="4" w:space="0" w:color="C2113A"/>
            </w:tcBorders>
            <w:shd w:val="clear" w:color="auto" w:fill="DDDDDD"/>
            <w:vAlign w:val="bottom"/>
          </w:tcPr>
          <w:p w14:paraId="0418B0A9" w14:textId="77777777" w:rsidR="00FB3334" w:rsidRPr="00BF344E" w:rsidRDefault="00FB3334" w:rsidP="00C559FB">
            <w:pPr>
              <w:jc w:val="center"/>
              <w:rPr>
                <w:rFonts w:ascii="Arial Narrow" w:hAnsi="Arial Narrow" w:cs="Tahoma"/>
                <w:b/>
                <w:bCs/>
                <w:sz w:val="18"/>
                <w:szCs w:val="18"/>
              </w:rPr>
            </w:pPr>
            <w:r w:rsidRPr="00BF344E">
              <w:rPr>
                <w:rFonts w:ascii="Arial Narrow" w:hAnsi="Arial Narrow" w:cs="Tahoma"/>
                <w:b/>
                <w:bCs/>
                <w:sz w:val="18"/>
                <w:szCs w:val="18"/>
              </w:rPr>
              <w:t>Total</w:t>
            </w:r>
          </w:p>
        </w:tc>
        <w:tc>
          <w:tcPr>
            <w:tcW w:w="1055" w:type="dxa"/>
            <w:gridSpan w:val="2"/>
            <w:tcBorders>
              <w:top w:val="single" w:sz="4" w:space="0" w:color="auto"/>
              <w:left w:val="single" w:sz="4" w:space="0" w:color="C2113A"/>
              <w:bottom w:val="single" w:sz="18" w:space="0" w:color="C2113A"/>
              <w:right w:val="single" w:sz="4" w:space="0" w:color="C2113A"/>
            </w:tcBorders>
            <w:shd w:val="clear" w:color="auto" w:fill="BFBFBF"/>
          </w:tcPr>
          <w:p w14:paraId="423DE3C4" w14:textId="77777777" w:rsidR="00FB3334" w:rsidRPr="00BF344E" w:rsidRDefault="00FB3334" w:rsidP="00C559FB">
            <w:pPr>
              <w:jc w:val="both"/>
              <w:rPr>
                <w:rFonts w:ascii="Arial Narrow" w:hAnsi="Arial Narrow" w:cs="Tahoma"/>
                <w:b/>
                <w:bCs/>
                <w:sz w:val="18"/>
                <w:szCs w:val="18"/>
              </w:rPr>
            </w:pPr>
          </w:p>
        </w:tc>
        <w:tc>
          <w:tcPr>
            <w:tcW w:w="1055" w:type="dxa"/>
            <w:gridSpan w:val="2"/>
            <w:tcBorders>
              <w:top w:val="single" w:sz="4" w:space="0" w:color="auto"/>
              <w:left w:val="single" w:sz="4" w:space="0" w:color="C2113A"/>
              <w:bottom w:val="single" w:sz="18" w:space="0" w:color="C2113A"/>
              <w:right w:val="single" w:sz="4" w:space="0" w:color="C2113A"/>
            </w:tcBorders>
            <w:shd w:val="clear" w:color="auto" w:fill="BFBFBF"/>
          </w:tcPr>
          <w:p w14:paraId="5B579BA9" w14:textId="77777777" w:rsidR="00FB3334" w:rsidRPr="00BF344E" w:rsidRDefault="00FB3334" w:rsidP="00C559FB">
            <w:pPr>
              <w:jc w:val="both"/>
              <w:rPr>
                <w:rFonts w:ascii="Arial Narrow" w:hAnsi="Arial Narrow" w:cs="Tahoma"/>
                <w:b/>
                <w:bCs/>
                <w:sz w:val="18"/>
                <w:szCs w:val="18"/>
              </w:rPr>
            </w:pPr>
          </w:p>
        </w:tc>
        <w:tc>
          <w:tcPr>
            <w:tcW w:w="1084" w:type="dxa"/>
            <w:gridSpan w:val="2"/>
            <w:tcBorders>
              <w:top w:val="single" w:sz="4" w:space="0" w:color="auto"/>
              <w:left w:val="single" w:sz="4" w:space="0" w:color="C2113A"/>
              <w:bottom w:val="single" w:sz="18" w:space="0" w:color="C2113A"/>
            </w:tcBorders>
            <w:shd w:val="clear" w:color="auto" w:fill="BFBFBF"/>
          </w:tcPr>
          <w:p w14:paraId="4AFB8AD8" w14:textId="77777777" w:rsidR="00FB3334" w:rsidRPr="00BF344E" w:rsidRDefault="00FB3334" w:rsidP="00C559FB">
            <w:pPr>
              <w:jc w:val="both"/>
              <w:rPr>
                <w:rFonts w:ascii="Arial Narrow" w:hAnsi="Arial Narrow" w:cs="Tahoma"/>
                <w:b/>
                <w:bCs/>
                <w:sz w:val="18"/>
                <w:szCs w:val="18"/>
              </w:rPr>
            </w:pPr>
          </w:p>
        </w:tc>
      </w:tr>
      <w:tr w:rsidR="00FB3334" w:rsidRPr="002F4404" w14:paraId="5FF45C78"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3C680CAA"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7EBAA04F"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58A4ECA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A16FF4F"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F4D4839" w14:textId="77777777" w:rsidR="00FB3334" w:rsidRPr="002F4404" w:rsidRDefault="00FB3334" w:rsidP="00C559FB">
            <w:pPr>
              <w:jc w:val="both"/>
              <w:rPr>
                <w:rFonts w:ascii="Arial Narrow" w:hAnsi="Arial Narrow" w:cs="Tahoma"/>
                <w:b/>
                <w:bCs/>
                <w:sz w:val="18"/>
                <w:szCs w:val="18"/>
              </w:rPr>
            </w:pPr>
            <w:r w:rsidRPr="002F4404">
              <w:rPr>
                <w:rFonts w:ascii="Arial Narrow" w:hAnsi="Arial Narrow" w:cs="Tahoma"/>
                <w:b/>
                <w:bCs/>
                <w:sz w:val="18"/>
                <w:szCs w:val="18"/>
              </w:rPr>
              <w:t xml:space="preserve"> </w:t>
            </w: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02D89A56"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AA590CF"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CB13E8D"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6B98089"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584F563"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68C6CD33"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2DBB0F7F"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7C4E392D" w14:textId="77777777" w:rsidR="00FB3334" w:rsidRPr="002F4404" w:rsidRDefault="00FB3334" w:rsidP="00C559FB">
            <w:pPr>
              <w:jc w:val="both"/>
              <w:rPr>
                <w:rFonts w:ascii="Arial Narrow" w:hAnsi="Arial Narrow" w:cs="Tahoma"/>
                <w:b/>
                <w:bCs/>
                <w:sz w:val="18"/>
                <w:szCs w:val="18"/>
              </w:rPr>
            </w:pPr>
          </w:p>
        </w:tc>
      </w:tr>
      <w:tr w:rsidR="00FB3334" w:rsidRPr="002F4404" w14:paraId="24F23994"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3C8C61CD"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7090D920"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7FE690CA"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B4D9270"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9F7B2AB"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E8E3E1D"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1F198E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C83C2DD"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5D7762B"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5DD4050"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73F91E17"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3704612D"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3E10C8C0" w14:textId="77777777" w:rsidR="00FB3334" w:rsidRPr="002F4404" w:rsidRDefault="00FB3334" w:rsidP="00C559FB">
            <w:pPr>
              <w:jc w:val="both"/>
              <w:rPr>
                <w:rFonts w:ascii="Arial Narrow" w:hAnsi="Arial Narrow" w:cs="Tahoma"/>
                <w:b/>
                <w:bCs/>
                <w:sz w:val="18"/>
                <w:szCs w:val="18"/>
              </w:rPr>
            </w:pPr>
          </w:p>
        </w:tc>
      </w:tr>
      <w:tr w:rsidR="00FB3334" w:rsidRPr="002F4404" w14:paraId="2E602D2C"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7B97B5B5"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0622E3E2"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038D03A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3D12FF9"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1B2A404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3EF1591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BF4552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7745631"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51B9481"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E1CF8B2"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487DAAB7"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180B1775"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7C8FA955" w14:textId="77777777" w:rsidR="00FB3334" w:rsidRPr="002F4404" w:rsidRDefault="00FB3334" w:rsidP="00C559FB">
            <w:pPr>
              <w:jc w:val="both"/>
              <w:rPr>
                <w:rFonts w:ascii="Arial Narrow" w:hAnsi="Arial Narrow" w:cs="Tahoma"/>
                <w:b/>
                <w:bCs/>
                <w:sz w:val="18"/>
                <w:szCs w:val="18"/>
              </w:rPr>
            </w:pPr>
          </w:p>
        </w:tc>
      </w:tr>
      <w:tr w:rsidR="00FB3334" w:rsidRPr="002F4404" w14:paraId="7B86DB71"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3AB1BE3C"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4FDBE80D"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426215E9"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7EF67A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66873F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3035C610"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19FC2CE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A5372A1"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E618D16"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F6E75E9"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3BAE3B4B"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2625894F"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0911661B" w14:textId="77777777" w:rsidR="00FB3334" w:rsidRPr="002F4404" w:rsidRDefault="00FB3334" w:rsidP="00C559FB">
            <w:pPr>
              <w:jc w:val="both"/>
              <w:rPr>
                <w:rFonts w:ascii="Arial Narrow" w:hAnsi="Arial Narrow" w:cs="Tahoma"/>
                <w:b/>
                <w:bCs/>
                <w:sz w:val="18"/>
                <w:szCs w:val="18"/>
              </w:rPr>
            </w:pPr>
          </w:p>
        </w:tc>
      </w:tr>
      <w:tr w:rsidR="00FB3334" w:rsidRPr="002F4404" w14:paraId="4F925123"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7F9D82BF"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58ADCD99"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1EB55C4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EA290C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D99BD00"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DF4692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472502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0792242"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2242C1F"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0BD7B8D"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1039A558"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0E88E1A3"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3444D453" w14:textId="77777777" w:rsidR="00FB3334" w:rsidRPr="002F4404" w:rsidRDefault="00FB3334" w:rsidP="00C559FB">
            <w:pPr>
              <w:jc w:val="both"/>
              <w:rPr>
                <w:rFonts w:ascii="Arial Narrow" w:hAnsi="Arial Narrow" w:cs="Tahoma"/>
                <w:b/>
                <w:bCs/>
                <w:sz w:val="18"/>
                <w:szCs w:val="18"/>
              </w:rPr>
            </w:pPr>
          </w:p>
        </w:tc>
      </w:tr>
      <w:tr w:rsidR="00FB3334" w:rsidRPr="002F4404" w14:paraId="55C226BF"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3B3F9584"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1157AEB7"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6BD65A1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194A8291"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A7FAB4C"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EDB6C6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72DABDE6"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4CB424F4"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35FA7CFB"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59988F1"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4E2764A2"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584C87F2"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0B083ABD" w14:textId="77777777" w:rsidR="00FB3334" w:rsidRPr="002F4404" w:rsidRDefault="00FB3334" w:rsidP="00C559FB">
            <w:pPr>
              <w:jc w:val="both"/>
              <w:rPr>
                <w:rFonts w:ascii="Arial Narrow" w:hAnsi="Arial Narrow" w:cs="Tahoma"/>
                <w:b/>
                <w:bCs/>
                <w:sz w:val="18"/>
                <w:szCs w:val="18"/>
              </w:rPr>
            </w:pPr>
          </w:p>
        </w:tc>
      </w:tr>
      <w:tr w:rsidR="00FB3334" w:rsidRPr="002F4404" w14:paraId="45B97DD4" w14:textId="77777777" w:rsidTr="00C559FB">
        <w:trPr>
          <w:gridAfter w:val="1"/>
          <w:wAfter w:w="8" w:type="dxa"/>
          <w:trHeight w:val="266"/>
        </w:trPr>
        <w:tc>
          <w:tcPr>
            <w:tcW w:w="1026" w:type="dxa"/>
            <w:tcBorders>
              <w:top w:val="single" w:sz="18" w:space="0" w:color="C2113A"/>
              <w:left w:val="single" w:sz="6" w:space="0" w:color="C2113A"/>
              <w:bottom w:val="single" w:sz="4" w:space="0" w:color="C2113A"/>
              <w:right w:val="single" w:sz="4" w:space="0" w:color="C2113A"/>
            </w:tcBorders>
          </w:tcPr>
          <w:p w14:paraId="14554F2C" w14:textId="77777777" w:rsidR="00FB3334" w:rsidRPr="002F4404" w:rsidRDefault="00FB3334" w:rsidP="00C559FB">
            <w:pPr>
              <w:jc w:val="both"/>
              <w:rPr>
                <w:rFonts w:ascii="Arial Narrow" w:hAnsi="Arial Narrow" w:cs="Tahoma"/>
                <w:b/>
                <w:bCs/>
                <w:sz w:val="18"/>
                <w:szCs w:val="18"/>
              </w:rPr>
            </w:pPr>
          </w:p>
        </w:tc>
        <w:tc>
          <w:tcPr>
            <w:tcW w:w="828" w:type="dxa"/>
            <w:tcBorders>
              <w:top w:val="single" w:sz="18" w:space="0" w:color="C2113A"/>
              <w:left w:val="single" w:sz="6" w:space="0" w:color="C2113A"/>
              <w:bottom w:val="single" w:sz="4" w:space="0" w:color="C2113A"/>
              <w:right w:val="single" w:sz="4" w:space="0" w:color="C2113A"/>
            </w:tcBorders>
            <w:shd w:val="clear" w:color="auto" w:fill="auto"/>
          </w:tcPr>
          <w:p w14:paraId="27CB0009" w14:textId="77777777" w:rsidR="00FB3334" w:rsidRPr="002F4404" w:rsidRDefault="00FB3334" w:rsidP="00C559FB">
            <w:pPr>
              <w:jc w:val="both"/>
              <w:rPr>
                <w:rFonts w:ascii="Arial Narrow" w:hAnsi="Arial Narrow" w:cs="Tahoma"/>
                <w:b/>
                <w:bCs/>
                <w:sz w:val="18"/>
                <w:szCs w:val="18"/>
              </w:rPr>
            </w:pPr>
          </w:p>
        </w:tc>
        <w:tc>
          <w:tcPr>
            <w:tcW w:w="1130" w:type="dxa"/>
            <w:tcBorders>
              <w:top w:val="single" w:sz="18" w:space="0" w:color="C2113A"/>
              <w:left w:val="single" w:sz="4" w:space="0" w:color="C2113A"/>
              <w:bottom w:val="single" w:sz="4" w:space="0" w:color="C2113A"/>
              <w:right w:val="single" w:sz="4" w:space="0" w:color="C2113A"/>
            </w:tcBorders>
            <w:shd w:val="clear" w:color="auto" w:fill="auto"/>
            <w:vAlign w:val="center"/>
          </w:tcPr>
          <w:p w14:paraId="31CD23D3"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5E4253A"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3C74F82A"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E6131C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21BFAD49"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51678516"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0B698658" w14:textId="77777777" w:rsidR="00FB3334" w:rsidRPr="002F4404" w:rsidRDefault="00FB3334" w:rsidP="00C559FB">
            <w:pPr>
              <w:jc w:val="both"/>
              <w:rPr>
                <w:rFonts w:ascii="Arial Narrow" w:hAnsi="Arial Narrow" w:cs="Tahoma"/>
                <w:b/>
                <w:bCs/>
                <w:sz w:val="18"/>
                <w:szCs w:val="18"/>
              </w:rPr>
            </w:pPr>
          </w:p>
        </w:tc>
        <w:tc>
          <w:tcPr>
            <w:tcW w:w="752" w:type="dxa"/>
            <w:tcBorders>
              <w:top w:val="single" w:sz="18" w:space="0" w:color="C2113A"/>
              <w:left w:val="single" w:sz="4" w:space="0" w:color="C2113A"/>
              <w:bottom w:val="single" w:sz="4" w:space="0" w:color="C2113A"/>
              <w:right w:val="single" w:sz="4" w:space="0" w:color="C2113A"/>
            </w:tcBorders>
            <w:shd w:val="clear" w:color="auto" w:fill="auto"/>
            <w:vAlign w:val="bottom"/>
          </w:tcPr>
          <w:p w14:paraId="6A53A047"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2538BA7B"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18" w:space="0" w:color="C2113A"/>
              <w:left w:val="single" w:sz="4" w:space="0" w:color="C2113A"/>
              <w:bottom w:val="single" w:sz="4" w:space="0" w:color="C2113A"/>
              <w:right w:val="single" w:sz="4" w:space="0" w:color="C2113A"/>
            </w:tcBorders>
            <w:shd w:val="clear" w:color="auto" w:fill="auto"/>
          </w:tcPr>
          <w:p w14:paraId="0C56CFBD"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18" w:space="0" w:color="C2113A"/>
              <w:left w:val="single" w:sz="4" w:space="0" w:color="C2113A"/>
              <w:bottom w:val="single" w:sz="4" w:space="0" w:color="C2113A"/>
            </w:tcBorders>
            <w:shd w:val="clear" w:color="auto" w:fill="auto"/>
          </w:tcPr>
          <w:p w14:paraId="796C2AF9" w14:textId="77777777" w:rsidR="00FB3334" w:rsidRPr="002F4404" w:rsidRDefault="00FB3334" w:rsidP="00C559FB">
            <w:pPr>
              <w:jc w:val="both"/>
              <w:rPr>
                <w:rFonts w:ascii="Arial Narrow" w:hAnsi="Arial Narrow" w:cs="Tahoma"/>
                <w:b/>
                <w:bCs/>
                <w:sz w:val="18"/>
                <w:szCs w:val="18"/>
              </w:rPr>
            </w:pPr>
          </w:p>
        </w:tc>
      </w:tr>
      <w:tr w:rsidR="00FB3334" w:rsidRPr="002F4404" w14:paraId="5E3C6223" w14:textId="77777777" w:rsidTr="00C559FB">
        <w:trPr>
          <w:gridAfter w:val="1"/>
          <w:wAfter w:w="8" w:type="dxa"/>
          <w:trHeight w:val="389"/>
        </w:trPr>
        <w:tc>
          <w:tcPr>
            <w:tcW w:w="1026" w:type="dxa"/>
            <w:tcBorders>
              <w:top w:val="single" w:sz="4" w:space="0" w:color="C2113A"/>
              <w:left w:val="single" w:sz="6" w:space="0" w:color="C2113A"/>
              <w:bottom w:val="single" w:sz="18" w:space="0" w:color="C2113A"/>
              <w:right w:val="single" w:sz="4" w:space="0" w:color="C2113A"/>
            </w:tcBorders>
          </w:tcPr>
          <w:p w14:paraId="781D1317" w14:textId="77777777" w:rsidR="00FB3334" w:rsidRPr="002F4404" w:rsidRDefault="00FB3334" w:rsidP="00C559FB">
            <w:pPr>
              <w:jc w:val="both"/>
              <w:rPr>
                <w:rFonts w:ascii="Arial Narrow" w:hAnsi="Arial Narrow" w:cs="Tahoma"/>
                <w:b/>
                <w:bCs/>
                <w:sz w:val="18"/>
                <w:szCs w:val="18"/>
              </w:rPr>
            </w:pPr>
          </w:p>
        </w:tc>
        <w:tc>
          <w:tcPr>
            <w:tcW w:w="828" w:type="dxa"/>
            <w:tcBorders>
              <w:top w:val="single" w:sz="4" w:space="0" w:color="C2113A"/>
              <w:left w:val="single" w:sz="6" w:space="0" w:color="C2113A"/>
              <w:bottom w:val="single" w:sz="18" w:space="0" w:color="C2113A"/>
              <w:right w:val="single" w:sz="4" w:space="0" w:color="C2113A"/>
            </w:tcBorders>
            <w:shd w:val="clear" w:color="auto" w:fill="auto"/>
          </w:tcPr>
          <w:p w14:paraId="0E725AD6" w14:textId="77777777" w:rsidR="00FB3334" w:rsidRPr="002F4404" w:rsidRDefault="00FB3334" w:rsidP="00C559FB">
            <w:pPr>
              <w:jc w:val="both"/>
              <w:rPr>
                <w:rFonts w:ascii="Arial Narrow" w:hAnsi="Arial Narrow" w:cs="Tahoma"/>
                <w:b/>
                <w:bCs/>
                <w:sz w:val="18"/>
                <w:szCs w:val="18"/>
              </w:rPr>
            </w:pPr>
          </w:p>
        </w:tc>
        <w:tc>
          <w:tcPr>
            <w:tcW w:w="1130" w:type="dxa"/>
            <w:tcBorders>
              <w:top w:val="single" w:sz="4" w:space="0" w:color="C2113A"/>
              <w:left w:val="single" w:sz="4" w:space="0" w:color="C2113A"/>
              <w:bottom w:val="single" w:sz="18" w:space="0" w:color="C2113A"/>
              <w:right w:val="single" w:sz="4" w:space="0" w:color="C2113A"/>
            </w:tcBorders>
            <w:vAlign w:val="center"/>
          </w:tcPr>
          <w:p w14:paraId="5413726C"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0919794C"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314F06D7"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3FC642B8"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33FA53CD"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256DB9D7"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7D7F22D3" w14:textId="77777777" w:rsidR="00FB3334" w:rsidRPr="002F4404" w:rsidRDefault="00FB3334" w:rsidP="00C559FB">
            <w:pPr>
              <w:jc w:val="both"/>
              <w:rPr>
                <w:rFonts w:ascii="Arial Narrow" w:hAnsi="Arial Narrow" w:cs="Tahoma"/>
                <w:b/>
                <w:bCs/>
                <w:sz w:val="18"/>
                <w:szCs w:val="18"/>
              </w:rPr>
            </w:pPr>
          </w:p>
        </w:tc>
        <w:tc>
          <w:tcPr>
            <w:tcW w:w="752" w:type="dxa"/>
            <w:tcBorders>
              <w:top w:val="single" w:sz="4" w:space="0" w:color="C2113A"/>
              <w:left w:val="single" w:sz="4" w:space="0" w:color="C2113A"/>
              <w:bottom w:val="single" w:sz="18" w:space="0" w:color="C2113A"/>
              <w:right w:val="single" w:sz="4" w:space="0" w:color="C2113A"/>
            </w:tcBorders>
            <w:shd w:val="clear" w:color="000000" w:fill="auto"/>
            <w:vAlign w:val="bottom"/>
          </w:tcPr>
          <w:p w14:paraId="116801ED"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4" w:space="0" w:color="C2113A"/>
              <w:left w:val="single" w:sz="4" w:space="0" w:color="C2113A"/>
              <w:bottom w:val="single" w:sz="18" w:space="0" w:color="C2113A"/>
              <w:right w:val="single" w:sz="4" w:space="0" w:color="C2113A"/>
            </w:tcBorders>
            <w:shd w:val="clear" w:color="000000" w:fill="auto"/>
          </w:tcPr>
          <w:p w14:paraId="5E1E8B95" w14:textId="77777777" w:rsidR="00FB3334" w:rsidRPr="002F4404" w:rsidRDefault="00FB3334" w:rsidP="00C559FB">
            <w:pPr>
              <w:jc w:val="both"/>
              <w:rPr>
                <w:rFonts w:ascii="Arial Narrow" w:hAnsi="Arial Narrow" w:cs="Tahoma"/>
                <w:b/>
                <w:bCs/>
                <w:sz w:val="18"/>
                <w:szCs w:val="18"/>
              </w:rPr>
            </w:pPr>
          </w:p>
        </w:tc>
        <w:tc>
          <w:tcPr>
            <w:tcW w:w="1055" w:type="dxa"/>
            <w:gridSpan w:val="2"/>
            <w:tcBorders>
              <w:top w:val="single" w:sz="4" w:space="0" w:color="C2113A"/>
              <w:left w:val="single" w:sz="4" w:space="0" w:color="C2113A"/>
              <w:bottom w:val="single" w:sz="18" w:space="0" w:color="C2113A"/>
              <w:right w:val="single" w:sz="4" w:space="0" w:color="C2113A"/>
            </w:tcBorders>
            <w:shd w:val="clear" w:color="000000" w:fill="auto"/>
          </w:tcPr>
          <w:p w14:paraId="54DDAC98" w14:textId="77777777" w:rsidR="00FB3334" w:rsidRPr="002F4404" w:rsidRDefault="00FB3334" w:rsidP="00C559FB">
            <w:pPr>
              <w:jc w:val="both"/>
              <w:rPr>
                <w:rFonts w:ascii="Arial Narrow" w:hAnsi="Arial Narrow" w:cs="Tahoma"/>
                <w:b/>
                <w:bCs/>
                <w:sz w:val="18"/>
                <w:szCs w:val="18"/>
              </w:rPr>
            </w:pPr>
          </w:p>
        </w:tc>
        <w:tc>
          <w:tcPr>
            <w:tcW w:w="1084" w:type="dxa"/>
            <w:gridSpan w:val="2"/>
            <w:tcBorders>
              <w:top w:val="single" w:sz="4" w:space="0" w:color="C2113A"/>
              <w:left w:val="single" w:sz="4" w:space="0" w:color="C2113A"/>
              <w:bottom w:val="single" w:sz="18" w:space="0" w:color="C2113A"/>
            </w:tcBorders>
            <w:shd w:val="clear" w:color="000000" w:fill="auto"/>
          </w:tcPr>
          <w:p w14:paraId="57331869" w14:textId="77777777" w:rsidR="00FB3334" w:rsidRPr="002F4404" w:rsidRDefault="00FB3334" w:rsidP="00C559FB">
            <w:pPr>
              <w:jc w:val="both"/>
              <w:rPr>
                <w:rFonts w:ascii="Arial Narrow" w:hAnsi="Arial Narrow" w:cs="Tahoma"/>
                <w:b/>
                <w:bCs/>
                <w:sz w:val="18"/>
                <w:szCs w:val="18"/>
              </w:rPr>
            </w:pPr>
          </w:p>
        </w:tc>
      </w:tr>
    </w:tbl>
    <w:p w14:paraId="4D8DCB6E" w14:textId="77777777" w:rsidR="00FB3334" w:rsidRPr="002F4404" w:rsidRDefault="00FB3334" w:rsidP="00FB3334">
      <w:pPr>
        <w:spacing w:before="40" w:after="320"/>
        <w:ind w:left="274"/>
        <w:rPr>
          <w:rFonts w:ascii="Arial Narrow" w:hAnsi="Arial Narrow" w:cs="Tahoma"/>
          <w:sz w:val="14"/>
          <w:szCs w:val="18"/>
        </w:rPr>
      </w:pPr>
      <w:r w:rsidRPr="002F4404">
        <w:rPr>
          <w:rFonts w:ascii="Arial Narrow" w:hAnsi="Arial Narrow" w:cs="Tahoma"/>
          <w:bCs/>
          <w:sz w:val="14"/>
          <w:szCs w:val="18"/>
          <w:lang w:eastAsia="en-GB"/>
        </w:rPr>
        <w:t>Address population issues at beginning of year (identify eligible, baseline and target population).</w:t>
      </w:r>
    </w:p>
    <w:p w14:paraId="53C21852" w14:textId="77777777" w:rsidR="00FB3334" w:rsidRDefault="00FB3334" w:rsidP="00FB3334">
      <w:pPr>
        <w:jc w:val="both"/>
        <w:rPr>
          <w:rFonts w:ascii="Arial Narrow" w:hAnsi="Arial Narrow" w:cs="Tahoma"/>
          <w:sz w:val="20"/>
          <w:szCs w:val="20"/>
        </w:rPr>
      </w:pPr>
    </w:p>
    <w:p w14:paraId="582BE811" w14:textId="77777777" w:rsidR="00FB3334" w:rsidRDefault="00FB3334" w:rsidP="00FB3334">
      <w:pPr>
        <w:jc w:val="both"/>
        <w:rPr>
          <w:rFonts w:ascii="Arial Narrow" w:hAnsi="Arial Narrow" w:cs="Tahoma"/>
          <w:sz w:val="20"/>
          <w:szCs w:val="20"/>
        </w:rPr>
      </w:pPr>
    </w:p>
    <w:p w14:paraId="2772ABB2" w14:textId="77777777" w:rsidR="00FB3334" w:rsidRDefault="00FB3334" w:rsidP="00FB3334">
      <w:pPr>
        <w:jc w:val="both"/>
        <w:rPr>
          <w:rFonts w:ascii="Arial Narrow" w:hAnsi="Arial Narrow" w:cs="Tahoma"/>
          <w:sz w:val="20"/>
          <w:szCs w:val="20"/>
        </w:rPr>
      </w:pPr>
    </w:p>
    <w:tbl>
      <w:tblPr>
        <w:tblStyle w:val="GridTable6Colorful1"/>
        <w:tblW w:w="5000" w:type="pct"/>
        <w:tblLayout w:type="fixed"/>
        <w:tblLook w:val="04A0" w:firstRow="1" w:lastRow="0" w:firstColumn="1" w:lastColumn="0" w:noHBand="0" w:noVBand="1"/>
      </w:tblPr>
      <w:tblGrid>
        <w:gridCol w:w="1162"/>
        <w:gridCol w:w="92"/>
        <w:gridCol w:w="1318"/>
        <w:gridCol w:w="1484"/>
        <w:gridCol w:w="860"/>
        <w:gridCol w:w="1039"/>
        <w:gridCol w:w="1261"/>
        <w:gridCol w:w="1419"/>
        <w:gridCol w:w="117"/>
        <w:gridCol w:w="189"/>
        <w:gridCol w:w="153"/>
        <w:gridCol w:w="218"/>
        <w:gridCol w:w="210"/>
        <w:gridCol w:w="218"/>
        <w:gridCol w:w="210"/>
        <w:gridCol w:w="412"/>
        <w:gridCol w:w="1339"/>
        <w:gridCol w:w="583"/>
        <w:gridCol w:w="666"/>
      </w:tblGrid>
      <w:tr w:rsidR="00C015CA" w:rsidRPr="00BF344E" w14:paraId="630B6D17" w14:textId="77777777" w:rsidTr="00C559FB">
        <w:trPr>
          <w:cnfStyle w:val="100000000000" w:firstRow="1" w:lastRow="0" w:firstColumn="0" w:lastColumn="0" w:oddVBand="0" w:evenVBand="0" w:oddHBand="0"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85" w:type="pct"/>
            <w:gridSpan w:val="2"/>
            <w:hideMark/>
          </w:tcPr>
          <w:p w14:paraId="75318522"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Priority Initiatives </w:t>
            </w:r>
          </w:p>
        </w:tc>
        <w:tc>
          <w:tcPr>
            <w:tcW w:w="509" w:type="pct"/>
            <w:hideMark/>
          </w:tcPr>
          <w:p w14:paraId="07CD4F68"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Key Output</w:t>
            </w:r>
          </w:p>
        </w:tc>
        <w:tc>
          <w:tcPr>
            <w:tcW w:w="573" w:type="pct"/>
            <w:hideMark/>
          </w:tcPr>
          <w:p w14:paraId="6A6C0B64"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Output Indicator</w:t>
            </w:r>
          </w:p>
        </w:tc>
        <w:tc>
          <w:tcPr>
            <w:tcW w:w="332" w:type="pct"/>
            <w:hideMark/>
          </w:tcPr>
          <w:p w14:paraId="4DFDE786"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w:t>
            </w:r>
          </w:p>
        </w:tc>
        <w:tc>
          <w:tcPr>
            <w:tcW w:w="401" w:type="pct"/>
            <w:hideMark/>
          </w:tcPr>
          <w:p w14:paraId="20A7E49C"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w:t>
            </w:r>
          </w:p>
        </w:tc>
        <w:tc>
          <w:tcPr>
            <w:tcW w:w="487" w:type="pct"/>
            <w:hideMark/>
          </w:tcPr>
          <w:p w14:paraId="63FA01D9"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Key Activities</w:t>
            </w:r>
          </w:p>
        </w:tc>
        <w:tc>
          <w:tcPr>
            <w:tcW w:w="548" w:type="pct"/>
            <w:hideMark/>
          </w:tcPr>
          <w:p w14:paraId="0925BF1F"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Sub-activities </w:t>
            </w:r>
          </w:p>
        </w:tc>
        <w:tc>
          <w:tcPr>
            <w:tcW w:w="665" w:type="pct"/>
            <w:gridSpan w:val="8"/>
            <w:hideMark/>
          </w:tcPr>
          <w:p w14:paraId="0821C136"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  Timelines</w:t>
            </w:r>
          </w:p>
        </w:tc>
        <w:tc>
          <w:tcPr>
            <w:tcW w:w="517" w:type="pct"/>
            <w:hideMark/>
          </w:tcPr>
          <w:p w14:paraId="11FDE9E5"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Responsibility</w:t>
            </w:r>
          </w:p>
        </w:tc>
        <w:tc>
          <w:tcPr>
            <w:tcW w:w="483" w:type="pct"/>
            <w:gridSpan w:val="2"/>
            <w:hideMark/>
          </w:tcPr>
          <w:p w14:paraId="5502AF49" w14:textId="77777777" w:rsidR="00FB3334" w:rsidRPr="00CC343C" w:rsidRDefault="00FB3334" w:rsidP="00C559FB">
            <w:pPr>
              <w:jc w:val="both"/>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Budget </w:t>
            </w:r>
          </w:p>
        </w:tc>
      </w:tr>
      <w:tr w:rsidR="00C015CA" w:rsidRPr="00BF344E" w14:paraId="2987ED41" w14:textId="77777777" w:rsidTr="00C559FB">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485" w:type="pct"/>
            <w:gridSpan w:val="2"/>
            <w:hideMark/>
          </w:tcPr>
          <w:p w14:paraId="486508EF"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p>
        </w:tc>
        <w:tc>
          <w:tcPr>
            <w:tcW w:w="509" w:type="pct"/>
            <w:hideMark/>
          </w:tcPr>
          <w:p w14:paraId="6714A32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73" w:type="pct"/>
            <w:hideMark/>
          </w:tcPr>
          <w:p w14:paraId="1DC3B8F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332" w:type="pct"/>
            <w:hideMark/>
          </w:tcPr>
          <w:p w14:paraId="789C36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Baseline (2017)</w:t>
            </w:r>
          </w:p>
        </w:tc>
        <w:tc>
          <w:tcPr>
            <w:tcW w:w="401" w:type="pct"/>
            <w:hideMark/>
          </w:tcPr>
          <w:p w14:paraId="1BDBD58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Target (2018)</w:t>
            </w:r>
          </w:p>
        </w:tc>
        <w:tc>
          <w:tcPr>
            <w:tcW w:w="487" w:type="pct"/>
            <w:hideMark/>
          </w:tcPr>
          <w:p w14:paraId="5B9B86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p>
        </w:tc>
        <w:tc>
          <w:tcPr>
            <w:tcW w:w="548" w:type="pct"/>
            <w:hideMark/>
          </w:tcPr>
          <w:p w14:paraId="788A13C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77" w:type="pct"/>
            <w:gridSpan w:val="3"/>
            <w:textDirection w:val="btLr"/>
            <w:hideMark/>
          </w:tcPr>
          <w:p w14:paraId="64269CD3" w14:textId="77777777" w:rsidR="00FB3334" w:rsidRPr="00CC343C" w:rsidRDefault="00FB3334" w:rsidP="00C559FB">
            <w:pPr>
              <w:ind w:left="113" w:right="113"/>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color w:val="000000"/>
                <w:sz w:val="18"/>
                <w:szCs w:val="20"/>
              </w:rPr>
            </w:pPr>
            <w:r w:rsidRPr="00CC343C">
              <w:rPr>
                <w:rFonts w:ascii="Arial Narrow" w:eastAsia="Times New Roman" w:hAnsi="Arial Narrow" w:cstheme="minorHAnsi"/>
                <w:b/>
                <w:color w:val="000000"/>
                <w:sz w:val="18"/>
                <w:szCs w:val="20"/>
              </w:rPr>
              <w:t>Q 1</w:t>
            </w:r>
          </w:p>
        </w:tc>
        <w:tc>
          <w:tcPr>
            <w:tcW w:w="165" w:type="pct"/>
            <w:gridSpan w:val="2"/>
            <w:textDirection w:val="btLr"/>
            <w:hideMark/>
          </w:tcPr>
          <w:p w14:paraId="385B4682" w14:textId="77777777" w:rsidR="00FB3334" w:rsidRPr="00CC343C" w:rsidRDefault="00FB3334" w:rsidP="00C559FB">
            <w:pPr>
              <w:ind w:left="113" w:right="113"/>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color w:val="000000"/>
                <w:sz w:val="18"/>
                <w:szCs w:val="20"/>
              </w:rPr>
            </w:pPr>
            <w:r w:rsidRPr="00CC343C">
              <w:rPr>
                <w:rFonts w:ascii="Arial Narrow" w:eastAsia="Times New Roman" w:hAnsi="Arial Narrow" w:cstheme="minorHAnsi"/>
                <w:b/>
                <w:color w:val="000000"/>
                <w:sz w:val="18"/>
                <w:szCs w:val="20"/>
              </w:rPr>
              <w:t>Q 2</w:t>
            </w:r>
          </w:p>
        </w:tc>
        <w:tc>
          <w:tcPr>
            <w:tcW w:w="165" w:type="pct"/>
            <w:gridSpan w:val="2"/>
            <w:textDirection w:val="btLr"/>
            <w:hideMark/>
          </w:tcPr>
          <w:p w14:paraId="20ACCCBC" w14:textId="77777777" w:rsidR="00FB3334" w:rsidRPr="00CC343C" w:rsidRDefault="00FB3334" w:rsidP="00C559FB">
            <w:pPr>
              <w:ind w:left="113" w:right="113"/>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color w:val="000000"/>
                <w:sz w:val="18"/>
                <w:szCs w:val="20"/>
              </w:rPr>
            </w:pPr>
            <w:r w:rsidRPr="00CC343C">
              <w:rPr>
                <w:rFonts w:ascii="Arial Narrow" w:eastAsia="Times New Roman" w:hAnsi="Arial Narrow" w:cstheme="minorHAnsi"/>
                <w:b/>
                <w:color w:val="000000"/>
                <w:sz w:val="18"/>
                <w:szCs w:val="20"/>
              </w:rPr>
              <w:t>Q 3</w:t>
            </w:r>
          </w:p>
        </w:tc>
        <w:tc>
          <w:tcPr>
            <w:tcW w:w="159" w:type="pct"/>
            <w:textDirection w:val="btLr"/>
            <w:hideMark/>
          </w:tcPr>
          <w:p w14:paraId="2037042B" w14:textId="77777777" w:rsidR="00FB3334" w:rsidRPr="00CC343C" w:rsidRDefault="00FB3334" w:rsidP="00C559FB">
            <w:pPr>
              <w:ind w:left="113" w:right="113"/>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color w:val="000000"/>
                <w:sz w:val="18"/>
                <w:szCs w:val="20"/>
              </w:rPr>
            </w:pPr>
            <w:r w:rsidRPr="00CC343C">
              <w:rPr>
                <w:rFonts w:ascii="Arial Narrow" w:eastAsia="Times New Roman" w:hAnsi="Arial Narrow" w:cstheme="minorHAnsi"/>
                <w:b/>
                <w:color w:val="000000"/>
                <w:sz w:val="18"/>
                <w:szCs w:val="20"/>
              </w:rPr>
              <w:t>Q 4</w:t>
            </w:r>
          </w:p>
        </w:tc>
        <w:tc>
          <w:tcPr>
            <w:tcW w:w="517" w:type="pct"/>
            <w:hideMark/>
          </w:tcPr>
          <w:p w14:paraId="79A79E1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3" w:type="pct"/>
            <w:gridSpan w:val="2"/>
            <w:hideMark/>
          </w:tcPr>
          <w:p w14:paraId="2E69BD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12C022B9" w14:textId="77777777" w:rsidTr="00C559FB">
        <w:trPr>
          <w:trHeight w:val="80"/>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5EA59E8B"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UHC Critical Driver: Insurance Coverage</w:t>
            </w:r>
          </w:p>
        </w:tc>
      </w:tr>
      <w:tr w:rsidR="00FB3334" w:rsidRPr="00BF344E" w14:paraId="07EEF84A" w14:textId="77777777" w:rsidTr="00C559FB">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7000E015"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Strategic Objective 1:  Increase population covered by health insurance from 36% in 2017 to 100% by 2022 (16,538,982 persons to </w:t>
            </w:r>
            <w:r w:rsidRPr="00CC343C">
              <w:rPr>
                <w:rFonts w:ascii="Arial Narrow" w:eastAsia="Times New Roman" w:hAnsi="Arial Narrow" w:cstheme="minorHAnsi"/>
                <w:sz w:val="18"/>
                <w:szCs w:val="20"/>
              </w:rPr>
              <w:t>56,740,788 persons</w:t>
            </w:r>
            <w:r w:rsidRPr="00CC343C">
              <w:rPr>
                <w:rFonts w:ascii="Arial Narrow" w:eastAsia="Times New Roman" w:hAnsi="Arial Narrow" w:cstheme="minorHAnsi"/>
                <w:color w:val="000000"/>
                <w:sz w:val="18"/>
                <w:szCs w:val="20"/>
              </w:rPr>
              <w:t xml:space="preserve">);               </w:t>
            </w:r>
          </w:p>
          <w:p w14:paraId="6CA16D6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r>
      <w:tr w:rsidR="00FB3334" w:rsidRPr="00BF344E" w14:paraId="2B8D686C" w14:textId="77777777" w:rsidTr="00C559FB">
        <w:trPr>
          <w:trHeight w:val="98"/>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75B7E9B3"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Key Outcome 1: Increased financial risk protection in health </w:t>
            </w:r>
          </w:p>
        </w:tc>
      </w:tr>
      <w:tr w:rsidR="00C015CA" w:rsidRPr="00BF344E" w14:paraId="3FB26B95" w14:textId="77777777" w:rsidTr="00C559FB">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6AEBBC64"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Increase NHIF uptake </w:t>
            </w:r>
          </w:p>
          <w:p w14:paraId="70A73B44"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5A9991F8"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5081B115"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1A73523D"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5526BF4E"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4A8608AC"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1307998F"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259ACC15"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3E93FFE5"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09" w:type="pct"/>
            <w:vMerge w:val="restart"/>
            <w:hideMark/>
          </w:tcPr>
          <w:p w14:paraId="4ECCCBD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Increased health insurance coverage through NHIF</w:t>
            </w:r>
          </w:p>
          <w:p w14:paraId="21B57E5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4ABC3A5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73" w:type="pct"/>
            <w:vMerge w:val="restart"/>
            <w:hideMark/>
          </w:tcPr>
          <w:p w14:paraId="32166BE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Persons contributing to health insurance</w:t>
            </w:r>
          </w:p>
          <w:p w14:paraId="2135558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161EFE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E07E28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4F8AF5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20F10F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5AE584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2244EF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5F53C4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1C1764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332" w:type="pct"/>
            <w:vMerge w:val="restart"/>
            <w:hideMark/>
          </w:tcPr>
          <w:p w14:paraId="4876D5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7.16 M                                                  </w:t>
            </w:r>
            <w:r w:rsidRPr="00CC343C">
              <w:rPr>
                <w:rFonts w:ascii="Arial Narrow" w:eastAsia="Times New Roman" w:hAnsi="Arial Narrow" w:cstheme="minorHAnsi"/>
                <w:i/>
                <w:iCs/>
                <w:color w:val="000000"/>
                <w:sz w:val="18"/>
                <w:szCs w:val="20"/>
              </w:rPr>
              <w:t>- (Formal; 3.8), (Informal; 3.1), (Indigents; 181k), (Older Persons; 42k), (Linda mama;1.2)</w:t>
            </w:r>
          </w:p>
          <w:p w14:paraId="11E2705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6FBE93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792E73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0621B3C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55FB603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27A706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4DA8CC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5FA6FFA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24AA99D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01" w:type="pct"/>
            <w:vMerge w:val="restart"/>
            <w:hideMark/>
          </w:tcPr>
          <w:p w14:paraId="3FDC7D5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9.9 M                                                    </w:t>
            </w:r>
            <w:r w:rsidRPr="00CC343C">
              <w:rPr>
                <w:rFonts w:ascii="Arial Narrow" w:eastAsia="Times New Roman" w:hAnsi="Arial Narrow" w:cstheme="minorHAnsi"/>
                <w:i/>
                <w:iCs/>
                <w:color w:val="000000"/>
                <w:sz w:val="18"/>
                <w:szCs w:val="20"/>
              </w:rPr>
              <w:t>- (Formal; 3.8), (Informal; 4.7), (Indigents; 350k), (Older Persons; 1.04M), (Linda mama 1.23)</w:t>
            </w:r>
          </w:p>
          <w:p w14:paraId="08C20B5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173AB99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42EDAD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3310E7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7C052D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6DC1602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val="restart"/>
            <w:hideMark/>
          </w:tcPr>
          <w:p w14:paraId="2E92A8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Enlist 37,000 banking sector agent network; 4 banks, 3 mobile Telkom networks 2) - Ajira agents 3) -Self-help groups </w:t>
            </w:r>
          </w:p>
        </w:tc>
        <w:tc>
          <w:tcPr>
            <w:tcW w:w="548" w:type="pct"/>
            <w:hideMark/>
          </w:tcPr>
          <w:p w14:paraId="4B67C0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 concept note </w:t>
            </w:r>
          </w:p>
        </w:tc>
        <w:tc>
          <w:tcPr>
            <w:tcW w:w="177" w:type="pct"/>
            <w:gridSpan w:val="3"/>
            <w:hideMark/>
          </w:tcPr>
          <w:p w14:paraId="66601CD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103FED9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7F8A0F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6E7F69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15" w:type="pct"/>
            <w:vMerge w:val="restart"/>
            <w:hideMark/>
          </w:tcPr>
          <w:p w14:paraId="2902DCB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p w14:paraId="6DD9182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3C7FEC8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5" w:type="pct"/>
            <w:gridSpan w:val="2"/>
            <w:hideMark/>
          </w:tcPr>
          <w:p w14:paraId="12A0D9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82C6898"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AD61A02"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42B0814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85BCC9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4C3BFB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249F0F6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051D905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A36675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Mobilize and sensitize potential agents/self-help groups</w:t>
            </w:r>
          </w:p>
        </w:tc>
        <w:tc>
          <w:tcPr>
            <w:tcW w:w="177" w:type="pct"/>
            <w:gridSpan w:val="3"/>
            <w:hideMark/>
          </w:tcPr>
          <w:p w14:paraId="74274E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22F65D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6062E4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4CE7637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15" w:type="pct"/>
            <w:vMerge/>
            <w:hideMark/>
          </w:tcPr>
          <w:p w14:paraId="63E0CA4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5" w:type="pct"/>
            <w:gridSpan w:val="2"/>
            <w:hideMark/>
          </w:tcPr>
          <w:p w14:paraId="41BD59D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EA32852"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AB560BD"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1B4D247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97D32D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3151A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6B9D24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069C897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E5300E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Carry out Registration of agents (banking and Ajira) and the self-help groups  </w:t>
            </w:r>
          </w:p>
        </w:tc>
        <w:tc>
          <w:tcPr>
            <w:tcW w:w="177" w:type="pct"/>
            <w:gridSpan w:val="3"/>
            <w:hideMark/>
          </w:tcPr>
          <w:p w14:paraId="1157B51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6CCA9B7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33BA8D2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59" w:type="pct"/>
            <w:hideMark/>
          </w:tcPr>
          <w:p w14:paraId="16C5ED1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515" w:type="pct"/>
            <w:vMerge/>
            <w:hideMark/>
          </w:tcPr>
          <w:p w14:paraId="4225F9C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5" w:type="pct"/>
            <w:gridSpan w:val="2"/>
            <w:hideMark/>
          </w:tcPr>
          <w:p w14:paraId="45EC20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1AD3263" w14:textId="77777777" w:rsidTr="00C559FB">
        <w:trPr>
          <w:trHeight w:val="566"/>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244E87AA"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73B74F3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A679F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468FC7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5AAB42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77320B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5FDA1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Sensitization of agents/self-help groups and continuous recruitment of members through the agents /self-help groups</w:t>
            </w:r>
          </w:p>
        </w:tc>
        <w:tc>
          <w:tcPr>
            <w:tcW w:w="177" w:type="pct"/>
            <w:gridSpan w:val="3"/>
            <w:hideMark/>
          </w:tcPr>
          <w:p w14:paraId="7E178C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6884F0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4F1016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59" w:type="pct"/>
            <w:hideMark/>
          </w:tcPr>
          <w:p w14:paraId="37324CD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515" w:type="pct"/>
            <w:hideMark/>
          </w:tcPr>
          <w:p w14:paraId="1FBAF22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61E7B8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FDE5F59" w14:textId="77777777" w:rsidTr="00C559FB">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C72C9D8"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1AB6410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CEA8AE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CDFB17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1CA6D0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hideMark/>
          </w:tcPr>
          <w:p w14:paraId="469135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Advocate through religious organizations </w:t>
            </w:r>
          </w:p>
        </w:tc>
        <w:tc>
          <w:tcPr>
            <w:tcW w:w="548" w:type="pct"/>
            <w:hideMark/>
          </w:tcPr>
          <w:p w14:paraId="4BC3CC7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Hold advocacy meetings with religious groups </w:t>
            </w:r>
          </w:p>
        </w:tc>
        <w:tc>
          <w:tcPr>
            <w:tcW w:w="177" w:type="pct"/>
            <w:gridSpan w:val="3"/>
            <w:hideMark/>
          </w:tcPr>
          <w:p w14:paraId="3187BCA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F5E5C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1FDDD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3141C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515" w:type="pct"/>
            <w:hideMark/>
          </w:tcPr>
          <w:p w14:paraId="5583CF8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3CBDFE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C25BE6C" w14:textId="77777777" w:rsidTr="00C559FB">
        <w:trPr>
          <w:trHeight w:val="152"/>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0FCB2A5"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295E51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26BD14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D47C9E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6619CFE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val="restart"/>
            <w:hideMark/>
          </w:tcPr>
          <w:p w14:paraId="074AA0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Enlist 100,000 community health volunteers to recruit 20 </w:t>
            </w:r>
            <w:r w:rsidRPr="00CC343C">
              <w:rPr>
                <w:rFonts w:ascii="Arial Narrow" w:eastAsia="Times New Roman" w:hAnsi="Arial Narrow" w:cstheme="minorHAnsi"/>
                <w:color w:val="000000"/>
                <w:sz w:val="18"/>
                <w:szCs w:val="20"/>
              </w:rPr>
              <w:lastRenderedPageBreak/>
              <w:t>households per CHV</w:t>
            </w:r>
          </w:p>
        </w:tc>
        <w:tc>
          <w:tcPr>
            <w:tcW w:w="548" w:type="pct"/>
            <w:hideMark/>
          </w:tcPr>
          <w:p w14:paraId="54FFDDD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lastRenderedPageBreak/>
              <w:t>Sensitize the community &amp; CHVs</w:t>
            </w:r>
          </w:p>
        </w:tc>
        <w:tc>
          <w:tcPr>
            <w:tcW w:w="177" w:type="pct"/>
            <w:gridSpan w:val="3"/>
            <w:hideMark/>
          </w:tcPr>
          <w:p w14:paraId="76EDFC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2FB0A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3D506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E73E28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15" w:type="pct"/>
            <w:hideMark/>
          </w:tcPr>
          <w:p w14:paraId="6EC579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28E09E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27BA22D"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F0715E4"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2DDFB1C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9B50DD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1E0E1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1B34D0D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543D85F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748A90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Register the CHVS </w:t>
            </w:r>
          </w:p>
        </w:tc>
        <w:tc>
          <w:tcPr>
            <w:tcW w:w="177" w:type="pct"/>
            <w:gridSpan w:val="3"/>
            <w:hideMark/>
          </w:tcPr>
          <w:p w14:paraId="198A0F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074CE5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C1CEB1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C74E65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15" w:type="pct"/>
            <w:hideMark/>
          </w:tcPr>
          <w:p w14:paraId="2BB58EF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6F3A81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584728A" w14:textId="77777777" w:rsidTr="00C559FB">
        <w:trPr>
          <w:trHeight w:val="1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4C095C9B"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1E32925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1525840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B47BC2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6A098D9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0B8AA66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11E027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Continuous recruitment of members </w:t>
            </w:r>
          </w:p>
        </w:tc>
        <w:tc>
          <w:tcPr>
            <w:tcW w:w="177" w:type="pct"/>
            <w:gridSpan w:val="3"/>
            <w:hideMark/>
          </w:tcPr>
          <w:p w14:paraId="5750D1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2818ED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F518D3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06A28EC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515" w:type="pct"/>
            <w:hideMark/>
          </w:tcPr>
          <w:p w14:paraId="254B68E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5904BAF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A467E0A"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52ADA71"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380B17B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1C9A7CB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DAF1D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7216E01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val="restart"/>
            <w:hideMark/>
          </w:tcPr>
          <w:p w14:paraId="72A0C3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Digitization of NHIF</w:t>
            </w:r>
          </w:p>
        </w:tc>
        <w:tc>
          <w:tcPr>
            <w:tcW w:w="548" w:type="pct"/>
            <w:hideMark/>
          </w:tcPr>
          <w:p w14:paraId="1C8B29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 Carry out an ICT audit  </w:t>
            </w:r>
          </w:p>
        </w:tc>
        <w:tc>
          <w:tcPr>
            <w:tcW w:w="177" w:type="pct"/>
            <w:gridSpan w:val="3"/>
            <w:hideMark/>
          </w:tcPr>
          <w:p w14:paraId="21B10DD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06BC77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1D017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720238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15" w:type="pct"/>
            <w:hideMark/>
          </w:tcPr>
          <w:p w14:paraId="76FF542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3C4BFD7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94503D5" w14:textId="77777777" w:rsidTr="00C559FB">
        <w:trPr>
          <w:trHeight w:val="359"/>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D5E22F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6F71508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92C08B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9581A7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23FD39D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44A03C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hideMark/>
          </w:tcPr>
          <w:p w14:paraId="5242B25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Implementation the recommendations from the audit </w:t>
            </w:r>
          </w:p>
        </w:tc>
        <w:tc>
          <w:tcPr>
            <w:tcW w:w="177" w:type="pct"/>
            <w:gridSpan w:val="3"/>
            <w:hideMark/>
          </w:tcPr>
          <w:p w14:paraId="63BFD8B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1E9D8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31115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16365C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515" w:type="pct"/>
            <w:hideMark/>
          </w:tcPr>
          <w:p w14:paraId="2D4378C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485" w:type="pct"/>
            <w:gridSpan w:val="2"/>
            <w:hideMark/>
          </w:tcPr>
          <w:p w14:paraId="107C3D3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10D8C8C3" w14:textId="77777777" w:rsidTr="00C559F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5000" w:type="pct"/>
            <w:gridSpan w:val="19"/>
          </w:tcPr>
          <w:p w14:paraId="37B0B33C"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Strategic Objective 2: To reduce the out-of-pocket expenditure from 26% in 2017 to 12% by 2022</w:t>
            </w:r>
          </w:p>
        </w:tc>
      </w:tr>
      <w:tr w:rsidR="00C015CA" w:rsidRPr="00BF344E" w14:paraId="1018E35B" w14:textId="77777777" w:rsidTr="00C559FB">
        <w:trPr>
          <w:trHeight w:val="359"/>
        </w:trPr>
        <w:tc>
          <w:tcPr>
            <w:cnfStyle w:val="001000000000" w:firstRow="0" w:lastRow="0" w:firstColumn="1" w:lastColumn="0" w:oddVBand="0" w:evenVBand="0" w:oddHBand="0" w:evenHBand="0" w:firstRowFirstColumn="0" w:firstRowLastColumn="0" w:lastRowFirstColumn="0" w:lastRowLastColumn="0"/>
            <w:tcW w:w="485" w:type="pct"/>
            <w:gridSpan w:val="2"/>
          </w:tcPr>
          <w:p w14:paraId="679A8AA6"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tcPr>
          <w:p w14:paraId="2EC5E9C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hAnsi="Arial Narrow" w:cstheme="minorHAnsi"/>
                <w:sz w:val="18"/>
                <w:szCs w:val="20"/>
              </w:rPr>
              <w:t>Reduction of out of pocket expenditure (50% Reduction in out of pocket medical expenses by 2022)</w:t>
            </w:r>
          </w:p>
        </w:tc>
        <w:tc>
          <w:tcPr>
            <w:tcW w:w="573" w:type="pct"/>
          </w:tcPr>
          <w:p w14:paraId="79A671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tcPr>
          <w:p w14:paraId="015FFF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tcPr>
          <w:p w14:paraId="5AC775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tcPr>
          <w:p w14:paraId="30EBE8E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6553F59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177" w:type="pct"/>
            <w:gridSpan w:val="3"/>
          </w:tcPr>
          <w:p w14:paraId="610150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A75B8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612400D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3D40A0E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7368A5B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0AB20E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FB3334" w:rsidRPr="00BF344E" w14:paraId="3D7AE83A" w14:textId="77777777" w:rsidTr="00C559FB">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000" w:type="pct"/>
            <w:gridSpan w:val="19"/>
          </w:tcPr>
          <w:p w14:paraId="25D6D375"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UHC Critical Driver: Health services coverage</w:t>
            </w:r>
          </w:p>
        </w:tc>
      </w:tr>
      <w:tr w:rsidR="00FB3334" w:rsidRPr="00BF344E" w14:paraId="3C6A074C"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5000" w:type="pct"/>
            <w:gridSpan w:val="19"/>
          </w:tcPr>
          <w:p w14:paraId="2F2BBFCE"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Strategic Objective 1:  Increase population covered by defined essential health package  </w:t>
            </w:r>
          </w:p>
        </w:tc>
      </w:tr>
      <w:tr w:rsidR="00FB3334" w:rsidRPr="00BF344E" w14:paraId="77D57E71" w14:textId="77777777" w:rsidTr="00C559FB">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000" w:type="pct"/>
            <w:gridSpan w:val="19"/>
          </w:tcPr>
          <w:p w14:paraId="4AA6B0B2"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Key Outcome:  Reduced morbidity and mortality  </w:t>
            </w:r>
          </w:p>
        </w:tc>
      </w:tr>
      <w:tr w:rsidR="00C015CA" w:rsidRPr="00BF344E" w14:paraId="661ACB7F" w14:textId="77777777" w:rsidTr="00C559FB">
        <w:trPr>
          <w:trHeight w:val="143"/>
        </w:trPr>
        <w:tc>
          <w:tcPr>
            <w:cnfStyle w:val="001000000000" w:firstRow="0" w:lastRow="0" w:firstColumn="1" w:lastColumn="0" w:oddVBand="0" w:evenVBand="0" w:oddHBand="0" w:evenHBand="0" w:firstRowFirstColumn="0" w:firstRowLastColumn="0" w:lastRowFirstColumn="0" w:lastRowLastColumn="0"/>
            <w:tcW w:w="485" w:type="pct"/>
            <w:gridSpan w:val="2"/>
            <w:vMerge w:val="restart"/>
          </w:tcPr>
          <w:p w14:paraId="5460B6D3" w14:textId="77777777" w:rsidR="00FB3334" w:rsidRPr="00CC343C" w:rsidRDefault="00FB3334" w:rsidP="00C559FB">
            <w:pPr>
              <w:jc w:val="both"/>
              <w:rPr>
                <w:rFonts w:ascii="Arial Narrow" w:hAnsi="Arial Narrow" w:cstheme="minorHAnsi"/>
                <w:sz w:val="18"/>
                <w:szCs w:val="20"/>
              </w:rPr>
            </w:pPr>
            <w:r w:rsidRPr="00CC343C">
              <w:rPr>
                <w:rFonts w:ascii="Arial Narrow" w:hAnsi="Arial Narrow" w:cstheme="minorHAnsi"/>
                <w:sz w:val="18"/>
                <w:szCs w:val="20"/>
              </w:rPr>
              <w:t xml:space="preserve"> Increase availability of Immunization services</w:t>
            </w:r>
          </w:p>
        </w:tc>
        <w:tc>
          <w:tcPr>
            <w:tcW w:w="509" w:type="pct"/>
            <w:vMerge w:val="restart"/>
          </w:tcPr>
          <w:p w14:paraId="1D52AD9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 xml:space="preserve">Increased Proportion (%) of Immunizing Public Health Facilities  </w:t>
            </w:r>
          </w:p>
        </w:tc>
        <w:tc>
          <w:tcPr>
            <w:tcW w:w="573" w:type="pct"/>
            <w:vMerge w:val="restart"/>
          </w:tcPr>
          <w:p w14:paraId="07D989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Proportion of Health Facilities Offering Immunization Services</w:t>
            </w:r>
          </w:p>
        </w:tc>
        <w:tc>
          <w:tcPr>
            <w:tcW w:w="332" w:type="pct"/>
            <w:vMerge w:val="restart"/>
          </w:tcPr>
          <w:p w14:paraId="3F8122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65%</w:t>
            </w:r>
          </w:p>
        </w:tc>
        <w:tc>
          <w:tcPr>
            <w:tcW w:w="401" w:type="pct"/>
            <w:vMerge w:val="restart"/>
          </w:tcPr>
          <w:p w14:paraId="58071A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100%</w:t>
            </w:r>
          </w:p>
        </w:tc>
        <w:tc>
          <w:tcPr>
            <w:tcW w:w="487" w:type="pct"/>
            <w:vMerge w:val="restart"/>
          </w:tcPr>
          <w:p w14:paraId="2390FB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Procure vaccine storage equipment for all Health Facilities to ensure universal access to immunization</w:t>
            </w:r>
          </w:p>
        </w:tc>
        <w:tc>
          <w:tcPr>
            <w:tcW w:w="548" w:type="pct"/>
          </w:tcPr>
          <w:p w14:paraId="0C024ED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Conduct a National Inventory of Cold Chain equipment</w:t>
            </w:r>
          </w:p>
        </w:tc>
        <w:tc>
          <w:tcPr>
            <w:tcW w:w="177" w:type="pct"/>
            <w:gridSpan w:val="3"/>
          </w:tcPr>
          <w:p w14:paraId="4F974A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A03740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18833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1128A2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5EF6945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34A62D0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F42C694" w14:textId="77777777" w:rsidTr="00C559FB">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2CFDB26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1BB32A5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436CE3B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4367AF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7BCD55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0F6079A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0327C4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Conduct an Assessment to determine vaccine storage capacity needs for all levels</w:t>
            </w:r>
          </w:p>
        </w:tc>
        <w:tc>
          <w:tcPr>
            <w:tcW w:w="177" w:type="pct"/>
            <w:gridSpan w:val="3"/>
          </w:tcPr>
          <w:p w14:paraId="27B2CAD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11D82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421E0B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12B6F17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0F5A87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1F168D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E862529" w14:textId="77777777" w:rsidTr="00C559FB">
        <w:trPr>
          <w:trHeight w:val="188"/>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7FC8E4BE"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58FC4A1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61B2C1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21AC81E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71FF4F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6A8AABC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64EBE8F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Procure Cold Chain Equipment</w:t>
            </w:r>
          </w:p>
        </w:tc>
        <w:tc>
          <w:tcPr>
            <w:tcW w:w="177" w:type="pct"/>
            <w:gridSpan w:val="3"/>
          </w:tcPr>
          <w:p w14:paraId="49566F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13F9CA8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0DC3F5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4C75D3D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5F4C37E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MOH/procurement </w:t>
            </w:r>
          </w:p>
        </w:tc>
        <w:tc>
          <w:tcPr>
            <w:tcW w:w="258" w:type="pct"/>
          </w:tcPr>
          <w:p w14:paraId="0A0A0C4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1BE57FFB" w14:textId="77777777" w:rsidTr="00C559FB">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3B4C6B2A"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7DB7F8D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15D2D82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54BB2DE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2BDCD9A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529784C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19CCE83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Distribute and Install cold chain equipment</w:t>
            </w:r>
          </w:p>
        </w:tc>
        <w:tc>
          <w:tcPr>
            <w:tcW w:w="177" w:type="pct"/>
            <w:gridSpan w:val="3"/>
          </w:tcPr>
          <w:p w14:paraId="64F4278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59CE7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6F7CCA7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21705D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6EC28D2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 promotive dept</w:t>
            </w:r>
          </w:p>
        </w:tc>
        <w:tc>
          <w:tcPr>
            <w:tcW w:w="258" w:type="pct"/>
          </w:tcPr>
          <w:p w14:paraId="38AE906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57BEC9C9" w14:textId="77777777" w:rsidTr="00C559FB">
        <w:trPr>
          <w:trHeight w:val="260"/>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4E6B7023"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val="restart"/>
          </w:tcPr>
          <w:p w14:paraId="0AB9D2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 xml:space="preserve"> uninterrupted availability of high quality Routine and Emergency Strategic Vaccines</w:t>
            </w:r>
          </w:p>
        </w:tc>
        <w:tc>
          <w:tcPr>
            <w:tcW w:w="573" w:type="pct"/>
            <w:vMerge w:val="restart"/>
          </w:tcPr>
          <w:p w14:paraId="15BFB0B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Proportion of Sub-counties reporting vaccine stock outs in a year</w:t>
            </w:r>
          </w:p>
        </w:tc>
        <w:tc>
          <w:tcPr>
            <w:tcW w:w="332" w:type="pct"/>
            <w:vMerge w:val="restart"/>
          </w:tcPr>
          <w:p w14:paraId="75EACC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5%</w:t>
            </w:r>
          </w:p>
        </w:tc>
        <w:tc>
          <w:tcPr>
            <w:tcW w:w="401" w:type="pct"/>
            <w:vMerge w:val="restart"/>
          </w:tcPr>
          <w:p w14:paraId="4BAF30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0%</w:t>
            </w:r>
          </w:p>
        </w:tc>
        <w:tc>
          <w:tcPr>
            <w:tcW w:w="487" w:type="pct"/>
            <w:vMerge w:val="restart"/>
          </w:tcPr>
          <w:p w14:paraId="1ADDDB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Procure and distribute Routine and Emergency Strategic Vaccines to all Counties</w:t>
            </w:r>
          </w:p>
        </w:tc>
        <w:tc>
          <w:tcPr>
            <w:tcW w:w="548" w:type="pct"/>
          </w:tcPr>
          <w:p w14:paraId="4C485C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Conduct a National and County Vaccine forecasting</w:t>
            </w:r>
          </w:p>
        </w:tc>
        <w:tc>
          <w:tcPr>
            <w:tcW w:w="177" w:type="pct"/>
            <w:gridSpan w:val="3"/>
          </w:tcPr>
          <w:p w14:paraId="0F1111E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CE7E9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7EA9BD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4E69CE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4C31D7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2F33227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168A175E" w14:textId="77777777" w:rsidTr="00C559FB">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4D4FFC96"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1099D4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7885427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2B53BD7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4697C61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4797F82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2C1739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Procure Routine and Emergency Strategic Vaccines for all Counties</w:t>
            </w:r>
          </w:p>
        </w:tc>
        <w:tc>
          <w:tcPr>
            <w:tcW w:w="177" w:type="pct"/>
            <w:gridSpan w:val="3"/>
          </w:tcPr>
          <w:p w14:paraId="1218B8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597CA09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1D2997E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5FB6151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67551EA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MOH/Preventive/ promotive dept/ procurement  </w:t>
            </w:r>
          </w:p>
        </w:tc>
        <w:tc>
          <w:tcPr>
            <w:tcW w:w="258" w:type="pct"/>
          </w:tcPr>
          <w:p w14:paraId="4786B9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03CE3F6C" w14:textId="77777777" w:rsidTr="00C559FB">
        <w:trPr>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4AAF3841"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3F0DFDE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16D2CDD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303007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3DAA000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3DCED6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430C445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Distribute all Routine and Emergency Strategic Vaccines to all Counties</w:t>
            </w:r>
          </w:p>
        </w:tc>
        <w:tc>
          <w:tcPr>
            <w:tcW w:w="177" w:type="pct"/>
            <w:gridSpan w:val="3"/>
          </w:tcPr>
          <w:p w14:paraId="48A688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7CAFC1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01357B5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7BCA481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1A3BB79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7FFF64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292C4838"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1A63B561"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7E3204F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5FF5FA9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A9BFC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4D206BB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6FD116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4363E58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Monitor utilization of the vaccines (Coverage) appropriately</w:t>
            </w:r>
          </w:p>
        </w:tc>
        <w:tc>
          <w:tcPr>
            <w:tcW w:w="177" w:type="pct"/>
            <w:gridSpan w:val="3"/>
          </w:tcPr>
          <w:p w14:paraId="6A6A257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052C3ED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0D748F1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4BA106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7B72AF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79BB800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17F2A2AD" w14:textId="77777777" w:rsidTr="00C559FB">
        <w:trPr>
          <w:trHeight w:val="260"/>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22DB4990"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51A1DC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4987788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6D28450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3CEE451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val="restart"/>
          </w:tcPr>
          <w:p w14:paraId="1BDE3C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Support vaccine clearance and operationalization (O&amp;M) of the Regional Vaccine depots and distribution</w:t>
            </w:r>
          </w:p>
        </w:tc>
        <w:tc>
          <w:tcPr>
            <w:tcW w:w="548" w:type="pct"/>
          </w:tcPr>
          <w:p w14:paraId="37BD57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Procure vaccine clearance and Distribution services</w:t>
            </w:r>
          </w:p>
        </w:tc>
        <w:tc>
          <w:tcPr>
            <w:tcW w:w="177" w:type="pct"/>
            <w:gridSpan w:val="3"/>
          </w:tcPr>
          <w:p w14:paraId="75DA718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5842196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7AD5DB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794E43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4A870E1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3A34D59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100A318"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52578FC1"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0432AED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276A2B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2F1E113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2F872C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6FD5E71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7C0F168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Secure financial allocation for O&amp;M and daily running of Regional vaccine depots</w:t>
            </w:r>
          </w:p>
        </w:tc>
        <w:tc>
          <w:tcPr>
            <w:tcW w:w="177" w:type="pct"/>
            <w:gridSpan w:val="3"/>
          </w:tcPr>
          <w:p w14:paraId="69E003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51EB54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4C1F10E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5ED969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55B9FA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5AD1E30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52089585" w14:textId="77777777" w:rsidTr="00C559FB">
        <w:trPr>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507DB818"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020C4B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2CBA7F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09CB0AB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4D6792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195A1E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3152619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hAnsi="Arial Narrow" w:cstheme="minorHAnsi"/>
                <w:sz w:val="18"/>
                <w:szCs w:val="20"/>
              </w:rPr>
            </w:pPr>
            <w:r w:rsidRPr="00CC343C">
              <w:rPr>
                <w:rFonts w:ascii="Arial Narrow" w:hAnsi="Arial Narrow" w:cstheme="minorHAnsi"/>
                <w:sz w:val="18"/>
                <w:szCs w:val="20"/>
              </w:rPr>
              <w:t>Monitor utilization of the vaccines (Coverage) appropriately</w:t>
            </w:r>
          </w:p>
        </w:tc>
        <w:tc>
          <w:tcPr>
            <w:tcW w:w="177" w:type="pct"/>
            <w:gridSpan w:val="3"/>
          </w:tcPr>
          <w:p w14:paraId="4077707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1227A6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62BF380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5CD4761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5DC380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30373C1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67AB356D" w14:textId="77777777" w:rsidTr="00C559FB">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85" w:type="pct"/>
            <w:gridSpan w:val="2"/>
            <w:vMerge w:val="restart"/>
          </w:tcPr>
          <w:p w14:paraId="2E5CE962"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Reduce morbidity and Mortality from vaccine preventable diseases (HPV)</w:t>
            </w:r>
          </w:p>
        </w:tc>
        <w:tc>
          <w:tcPr>
            <w:tcW w:w="509" w:type="pct"/>
            <w:vMerge w:val="restart"/>
          </w:tcPr>
          <w:p w14:paraId="3D7214D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New vaccines Introduced.</w:t>
            </w:r>
          </w:p>
        </w:tc>
        <w:tc>
          <w:tcPr>
            <w:tcW w:w="573" w:type="pct"/>
            <w:vMerge w:val="restart"/>
          </w:tcPr>
          <w:p w14:paraId="5C9562F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No. of new vaccines introduced</w:t>
            </w:r>
          </w:p>
        </w:tc>
        <w:tc>
          <w:tcPr>
            <w:tcW w:w="332" w:type="pct"/>
            <w:vMerge w:val="restart"/>
          </w:tcPr>
          <w:p w14:paraId="6A01F9F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1</w:t>
            </w:r>
          </w:p>
        </w:tc>
        <w:tc>
          <w:tcPr>
            <w:tcW w:w="401" w:type="pct"/>
            <w:vMerge w:val="restart"/>
          </w:tcPr>
          <w:p w14:paraId="68E046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1</w:t>
            </w:r>
          </w:p>
        </w:tc>
        <w:tc>
          <w:tcPr>
            <w:tcW w:w="487" w:type="pct"/>
            <w:vMerge w:val="restart"/>
          </w:tcPr>
          <w:p w14:paraId="7EFBF7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Plan for and Procure new vaccines</w:t>
            </w:r>
          </w:p>
        </w:tc>
        <w:tc>
          <w:tcPr>
            <w:tcW w:w="548" w:type="pct"/>
          </w:tcPr>
          <w:p w14:paraId="235C8D9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Set up planning committees for new vaccine introduction</w:t>
            </w:r>
          </w:p>
        </w:tc>
        <w:tc>
          <w:tcPr>
            <w:tcW w:w="177" w:type="pct"/>
            <w:gridSpan w:val="3"/>
          </w:tcPr>
          <w:p w14:paraId="30B1AC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2B31D7F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323752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F69EF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vMerge w:val="restart"/>
          </w:tcPr>
          <w:p w14:paraId="6E0CB21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MOH/Preventive/promotive dept </w:t>
            </w:r>
          </w:p>
        </w:tc>
        <w:tc>
          <w:tcPr>
            <w:tcW w:w="258" w:type="pct"/>
          </w:tcPr>
          <w:p w14:paraId="7818BA2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230457E7" w14:textId="77777777" w:rsidTr="00C559FB">
        <w:trPr>
          <w:trHeight w:val="287"/>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2E2D71C9"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2073080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7807F6D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6495916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58F94EC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6F50010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6B4385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Procure and Distribute new vaccines (HPV)</w:t>
            </w:r>
          </w:p>
        </w:tc>
        <w:tc>
          <w:tcPr>
            <w:tcW w:w="177" w:type="pct"/>
            <w:gridSpan w:val="3"/>
          </w:tcPr>
          <w:p w14:paraId="18771F4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2CF8032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419E65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74AFB4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vMerge/>
          </w:tcPr>
          <w:p w14:paraId="13BEC2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844D0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2B9DBAE1"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78AD0138"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2014CC6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58F2B6C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25AD9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2267D0B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03BFA29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69CCB8E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 National, County and Operational staff on the new vaccine</w:t>
            </w:r>
          </w:p>
        </w:tc>
        <w:tc>
          <w:tcPr>
            <w:tcW w:w="177" w:type="pct"/>
            <w:gridSpan w:val="3"/>
          </w:tcPr>
          <w:p w14:paraId="6DDEEF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1C8B83F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2F519D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691509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vMerge/>
          </w:tcPr>
          <w:p w14:paraId="6728BB4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20A66C8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05EFD826" w14:textId="77777777" w:rsidTr="00C559FB">
        <w:trPr>
          <w:trHeight w:val="188"/>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5D1702A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56CECF3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56F02A1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568B04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2E3793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2523D91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6B4C3D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and disseminate messages on the new vaccines to drive uptake</w:t>
            </w:r>
          </w:p>
        </w:tc>
        <w:tc>
          <w:tcPr>
            <w:tcW w:w="177" w:type="pct"/>
            <w:gridSpan w:val="3"/>
          </w:tcPr>
          <w:p w14:paraId="66EF3B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2C2F35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BFDCF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22FF26B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tcPr>
          <w:p w14:paraId="317DE8A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465354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E24CA30"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5D43D317"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0E05F66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15CB314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2F2E32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1A5184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444D256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5EA00F4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Monitor utilization of the new vaccines </w:t>
            </w:r>
            <w:r w:rsidRPr="00CC343C">
              <w:rPr>
                <w:rFonts w:ascii="Arial Narrow" w:eastAsia="Times New Roman" w:hAnsi="Arial Narrow" w:cstheme="minorHAnsi"/>
                <w:color w:val="000000"/>
                <w:sz w:val="18"/>
                <w:szCs w:val="20"/>
              </w:rPr>
              <w:lastRenderedPageBreak/>
              <w:t>(Coverage) appropriately</w:t>
            </w:r>
          </w:p>
        </w:tc>
        <w:tc>
          <w:tcPr>
            <w:tcW w:w="177" w:type="pct"/>
            <w:gridSpan w:val="3"/>
          </w:tcPr>
          <w:p w14:paraId="3D76AEC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D1B9A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76F780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0FFD1C8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tcPr>
          <w:p w14:paraId="7C3C73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362ED8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0FF9F69" w14:textId="77777777" w:rsidTr="00C559FB">
        <w:trPr>
          <w:trHeight w:val="908"/>
        </w:trPr>
        <w:tc>
          <w:tcPr>
            <w:cnfStyle w:val="001000000000" w:firstRow="0" w:lastRow="0" w:firstColumn="1" w:lastColumn="0" w:oddVBand="0" w:evenVBand="0" w:oddHBand="0" w:evenHBand="0" w:firstRowFirstColumn="0" w:firstRowLastColumn="0" w:lastRowFirstColumn="0" w:lastRowLastColumn="0"/>
            <w:tcW w:w="485" w:type="pct"/>
            <w:gridSpan w:val="2"/>
          </w:tcPr>
          <w:p w14:paraId="246D797E"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Raise awareness on NCD risk factors for prevention and control</w:t>
            </w:r>
          </w:p>
        </w:tc>
        <w:tc>
          <w:tcPr>
            <w:tcW w:w="509" w:type="pct"/>
          </w:tcPr>
          <w:p w14:paraId="16DA996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Increased awareness of NCDs</w:t>
            </w:r>
          </w:p>
        </w:tc>
        <w:tc>
          <w:tcPr>
            <w:tcW w:w="573" w:type="pct"/>
          </w:tcPr>
          <w:p w14:paraId="5B3B30C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Proportion of people with information on NCD risk factors and prevention</w:t>
            </w:r>
          </w:p>
        </w:tc>
        <w:tc>
          <w:tcPr>
            <w:tcW w:w="332" w:type="pct"/>
          </w:tcPr>
          <w:p w14:paraId="08CBE70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01" w:type="pct"/>
          </w:tcPr>
          <w:p w14:paraId="116B37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87" w:type="pct"/>
          </w:tcPr>
          <w:p w14:paraId="5948DD7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5B65BD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Hold meetings, barazas; use of media to Raise awareness on healthy diets; physical activity, Tobacco and substance abuse; exposure to harmful environmental contaminants and products among other risk factors </w:t>
            </w:r>
          </w:p>
        </w:tc>
        <w:tc>
          <w:tcPr>
            <w:tcW w:w="177" w:type="pct"/>
            <w:gridSpan w:val="3"/>
          </w:tcPr>
          <w:p w14:paraId="691E27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4E5B7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BAF09D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45192DF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7204FA5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440438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1C34C34"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val="restart"/>
          </w:tcPr>
          <w:p w14:paraId="1993796E"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Intensify NCD screening services</w:t>
            </w:r>
          </w:p>
        </w:tc>
        <w:tc>
          <w:tcPr>
            <w:tcW w:w="509" w:type="pct"/>
            <w:vMerge w:val="restart"/>
          </w:tcPr>
          <w:p w14:paraId="49A6353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NCD Screening programs in place</w:t>
            </w:r>
          </w:p>
        </w:tc>
        <w:tc>
          <w:tcPr>
            <w:tcW w:w="573" w:type="pct"/>
            <w:vMerge w:val="restart"/>
          </w:tcPr>
          <w:p w14:paraId="0854916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Number of individuals screened for priority NCDs</w:t>
            </w:r>
          </w:p>
        </w:tc>
        <w:tc>
          <w:tcPr>
            <w:tcW w:w="332" w:type="pct"/>
            <w:vMerge w:val="restart"/>
          </w:tcPr>
          <w:p w14:paraId="2F5A80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01" w:type="pct"/>
            <w:vMerge w:val="restart"/>
          </w:tcPr>
          <w:p w14:paraId="3DF99F3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87" w:type="pct"/>
            <w:vMerge w:val="restart"/>
          </w:tcPr>
          <w:p w14:paraId="2C5D90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1C887BB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VIA/VILI and cryotherapy capacity strengthened</w:t>
            </w:r>
          </w:p>
        </w:tc>
        <w:tc>
          <w:tcPr>
            <w:tcW w:w="177" w:type="pct"/>
            <w:gridSpan w:val="3"/>
          </w:tcPr>
          <w:p w14:paraId="3AFFB9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F87095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A7F419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7F0389E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val="restart"/>
          </w:tcPr>
          <w:p w14:paraId="45CF4E1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3CF3D8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68A4FB6E" w14:textId="77777777" w:rsidTr="00C559FB">
        <w:trPr>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6C4F48F8"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38AF49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37A1CE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5580575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37A2A90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763C1D6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7B40F5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Screening for Diabetes done as routine and opportunistically by CHW</w:t>
            </w:r>
          </w:p>
        </w:tc>
        <w:tc>
          <w:tcPr>
            <w:tcW w:w="177" w:type="pct"/>
            <w:gridSpan w:val="3"/>
          </w:tcPr>
          <w:p w14:paraId="0621826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E954C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50B0B0C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257A039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tcPr>
          <w:p w14:paraId="54E81D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67BA142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665B09D" w14:textId="77777777" w:rsidTr="00C559FB">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1C4E992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0E575A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4849AD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4D8232C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16E209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7890895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5BF1BA4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Screening for Hypertension done as routine and opportunistically by CHW</w:t>
            </w:r>
          </w:p>
        </w:tc>
        <w:tc>
          <w:tcPr>
            <w:tcW w:w="177" w:type="pct"/>
            <w:gridSpan w:val="3"/>
          </w:tcPr>
          <w:p w14:paraId="6384106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5C754A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AAD8FF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0F793B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tcPr>
          <w:p w14:paraId="38F7A9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034030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01FFEC5C" w14:textId="77777777" w:rsidTr="00C559FB">
        <w:trPr>
          <w:trHeight w:val="341"/>
        </w:trPr>
        <w:tc>
          <w:tcPr>
            <w:cnfStyle w:val="001000000000" w:firstRow="0" w:lastRow="0" w:firstColumn="1" w:lastColumn="0" w:oddVBand="0" w:evenVBand="0" w:oddHBand="0" w:evenHBand="0" w:firstRowFirstColumn="0" w:firstRowLastColumn="0" w:lastRowFirstColumn="0" w:lastRowLastColumn="0"/>
            <w:tcW w:w="485" w:type="pct"/>
            <w:gridSpan w:val="2"/>
            <w:vMerge w:val="restart"/>
          </w:tcPr>
          <w:p w14:paraId="763534EC"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School health</w:t>
            </w:r>
          </w:p>
          <w:p w14:paraId="723C4348"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0CEE239C"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26D8D44A"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6754F2B2"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p w14:paraId="40EF925F"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09" w:type="pct"/>
            <w:vMerge w:val="restart"/>
          </w:tcPr>
          <w:p w14:paraId="41CF1C1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School health program expanded</w:t>
            </w:r>
          </w:p>
        </w:tc>
        <w:tc>
          <w:tcPr>
            <w:tcW w:w="573" w:type="pct"/>
            <w:vMerge w:val="restart"/>
          </w:tcPr>
          <w:p w14:paraId="417515B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Proportion of school going children aware of healthy living and wellness</w:t>
            </w:r>
          </w:p>
        </w:tc>
        <w:tc>
          <w:tcPr>
            <w:tcW w:w="332" w:type="pct"/>
            <w:vMerge w:val="restart"/>
          </w:tcPr>
          <w:p w14:paraId="43CFD1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xx</w:t>
            </w:r>
          </w:p>
        </w:tc>
        <w:tc>
          <w:tcPr>
            <w:tcW w:w="401" w:type="pct"/>
            <w:vMerge w:val="restart"/>
          </w:tcPr>
          <w:p w14:paraId="16AF51C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5EE1FA2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50% </w:t>
            </w:r>
          </w:p>
          <w:p w14:paraId="1E461AA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7" w:type="pct"/>
            <w:vMerge w:val="restart"/>
          </w:tcPr>
          <w:p w14:paraId="0279883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Increase NCD awareness content in the program</w:t>
            </w:r>
          </w:p>
          <w:p w14:paraId="0B6C1A2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-capacity building for teachers on NCD prevention and control</w:t>
            </w:r>
          </w:p>
        </w:tc>
        <w:tc>
          <w:tcPr>
            <w:tcW w:w="548" w:type="pct"/>
          </w:tcPr>
          <w:p w14:paraId="4D34E28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Review content of the school health program </w:t>
            </w:r>
          </w:p>
        </w:tc>
        <w:tc>
          <w:tcPr>
            <w:tcW w:w="177" w:type="pct"/>
            <w:gridSpan w:val="3"/>
          </w:tcPr>
          <w:p w14:paraId="00E420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AC048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4DB14E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261E2D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vMerge w:val="restart"/>
          </w:tcPr>
          <w:p w14:paraId="6ECABB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MOH/MOEST</w:t>
            </w:r>
          </w:p>
        </w:tc>
        <w:tc>
          <w:tcPr>
            <w:tcW w:w="258" w:type="pct"/>
          </w:tcPr>
          <w:p w14:paraId="728561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02F3A11"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521B2AC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7746398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5C1A5B0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A229A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1C851F8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3A1795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35D99F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 teachers on prevention NCDs (e.g. diabetes, hypertension and priority cancers)</w:t>
            </w:r>
          </w:p>
        </w:tc>
        <w:tc>
          <w:tcPr>
            <w:tcW w:w="177" w:type="pct"/>
            <w:gridSpan w:val="3"/>
          </w:tcPr>
          <w:p w14:paraId="78DA11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60CB4A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71F5E2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11229F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vMerge/>
          </w:tcPr>
          <w:p w14:paraId="30E03C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258D13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5AD7D17A" w14:textId="77777777" w:rsidTr="00C559FB">
        <w:trPr>
          <w:trHeight w:val="89"/>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1ED36ADE"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2FB789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2F2F24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3E8CB81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377F40B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27E222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48" w:type="pct"/>
          </w:tcPr>
          <w:p w14:paraId="2958B5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Training of students</w:t>
            </w:r>
          </w:p>
          <w:p w14:paraId="4B366A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77" w:type="pct"/>
            <w:gridSpan w:val="3"/>
          </w:tcPr>
          <w:p w14:paraId="01A73D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07F00C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F2AED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4CE084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5C41588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51EF0D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2E5A61C" w14:textId="77777777" w:rsidTr="00C559FB">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485" w:type="pct"/>
            <w:gridSpan w:val="2"/>
          </w:tcPr>
          <w:p w14:paraId="248C2664"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lastRenderedPageBreak/>
              <w:t>Intensify Rehabilitation and palliative care</w:t>
            </w:r>
          </w:p>
          <w:p w14:paraId="2FA9817A"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tcPr>
          <w:p w14:paraId="14D8F3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Stand alone and hospital base palliative care units established</w:t>
            </w:r>
          </w:p>
        </w:tc>
        <w:tc>
          <w:tcPr>
            <w:tcW w:w="573" w:type="pct"/>
          </w:tcPr>
          <w:p w14:paraId="61F5AE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Institution based, and home based palliative care done </w:t>
            </w:r>
          </w:p>
        </w:tc>
        <w:tc>
          <w:tcPr>
            <w:tcW w:w="332" w:type="pct"/>
          </w:tcPr>
          <w:p w14:paraId="292AFA9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xx (get baseline from KEHPCA)</w:t>
            </w:r>
          </w:p>
        </w:tc>
        <w:tc>
          <w:tcPr>
            <w:tcW w:w="401" w:type="pct"/>
          </w:tcPr>
          <w:p w14:paraId="70DB1EF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100  </w:t>
            </w:r>
          </w:p>
        </w:tc>
        <w:tc>
          <w:tcPr>
            <w:tcW w:w="487" w:type="pct"/>
          </w:tcPr>
          <w:p w14:paraId="213F83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p>
        </w:tc>
        <w:tc>
          <w:tcPr>
            <w:tcW w:w="548" w:type="pct"/>
          </w:tcPr>
          <w:p w14:paraId="1C96790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bCs/>
                <w:color w:val="000000"/>
                <w:sz w:val="18"/>
                <w:szCs w:val="20"/>
              </w:rPr>
              <w:t xml:space="preserve">Continuous Institution based, and home based palliative care  </w:t>
            </w:r>
          </w:p>
        </w:tc>
        <w:tc>
          <w:tcPr>
            <w:tcW w:w="177" w:type="pct"/>
            <w:gridSpan w:val="3"/>
          </w:tcPr>
          <w:p w14:paraId="53AD0A6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07518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74B85C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47574F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7B7E7F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3EF11CA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91993C7" w14:textId="77777777" w:rsidTr="00C559FB">
        <w:trPr>
          <w:trHeight w:val="170"/>
        </w:trPr>
        <w:tc>
          <w:tcPr>
            <w:cnfStyle w:val="001000000000" w:firstRow="0" w:lastRow="0" w:firstColumn="1" w:lastColumn="0" w:oddVBand="0" w:evenVBand="0" w:oddHBand="0" w:evenHBand="0" w:firstRowFirstColumn="0" w:firstRowLastColumn="0" w:lastRowFirstColumn="0" w:lastRowLastColumn="0"/>
            <w:tcW w:w="485" w:type="pct"/>
            <w:gridSpan w:val="2"/>
            <w:vMerge w:val="restart"/>
          </w:tcPr>
          <w:p w14:paraId="7F225FC7"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Expand/ set up new community units by recruiting additional community Health Workers</w:t>
            </w:r>
          </w:p>
        </w:tc>
        <w:tc>
          <w:tcPr>
            <w:tcW w:w="509" w:type="pct"/>
            <w:vMerge w:val="restart"/>
          </w:tcPr>
          <w:p w14:paraId="64C14CC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Increased number of community health workers </w:t>
            </w:r>
          </w:p>
        </w:tc>
        <w:tc>
          <w:tcPr>
            <w:tcW w:w="573" w:type="pct"/>
            <w:vMerge w:val="restart"/>
          </w:tcPr>
          <w:p w14:paraId="66AC49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w:t>
            </w:r>
          </w:p>
          <w:p w14:paraId="7A9B552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Number of recruited community health workers  </w:t>
            </w:r>
          </w:p>
        </w:tc>
        <w:tc>
          <w:tcPr>
            <w:tcW w:w="332" w:type="pct"/>
            <w:vMerge w:val="restart"/>
          </w:tcPr>
          <w:p w14:paraId="341E31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w:t>
            </w:r>
          </w:p>
          <w:p w14:paraId="055BEDD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xx </w:t>
            </w:r>
          </w:p>
        </w:tc>
        <w:tc>
          <w:tcPr>
            <w:tcW w:w="401" w:type="pct"/>
            <w:vMerge w:val="restart"/>
          </w:tcPr>
          <w:p w14:paraId="32C0C5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 </w:t>
            </w:r>
          </w:p>
          <w:p w14:paraId="286C2C8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100,000</w:t>
            </w:r>
          </w:p>
        </w:tc>
        <w:tc>
          <w:tcPr>
            <w:tcW w:w="487" w:type="pct"/>
            <w:vMerge w:val="restart"/>
          </w:tcPr>
          <w:p w14:paraId="58F5171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Recruit and train CHVs</w:t>
            </w:r>
          </w:p>
        </w:tc>
        <w:tc>
          <w:tcPr>
            <w:tcW w:w="548" w:type="pct"/>
          </w:tcPr>
          <w:p w14:paraId="4D84150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Plan for and allocate resources to recruit CHVs</w:t>
            </w:r>
          </w:p>
        </w:tc>
        <w:tc>
          <w:tcPr>
            <w:tcW w:w="177" w:type="pct"/>
            <w:gridSpan w:val="3"/>
          </w:tcPr>
          <w:p w14:paraId="5F27FD3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C2B20D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3D97D8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5663F7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3E9D9B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3F555E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55F9A97" w14:textId="77777777" w:rsidTr="00C559FB">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75470E7C"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420399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573" w:type="pct"/>
            <w:vMerge/>
          </w:tcPr>
          <w:p w14:paraId="1F13075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332" w:type="pct"/>
            <w:vMerge/>
          </w:tcPr>
          <w:p w14:paraId="380DBE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401" w:type="pct"/>
            <w:vMerge/>
          </w:tcPr>
          <w:p w14:paraId="0259729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487" w:type="pct"/>
            <w:vMerge/>
          </w:tcPr>
          <w:p w14:paraId="3C8D6F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tcPr>
          <w:p w14:paraId="18F2FC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Conduct a mapping exercise to determine the distribution of CHVs</w:t>
            </w:r>
          </w:p>
        </w:tc>
        <w:tc>
          <w:tcPr>
            <w:tcW w:w="177" w:type="pct"/>
            <w:gridSpan w:val="3"/>
          </w:tcPr>
          <w:p w14:paraId="3CE072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09A74D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725A533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E3809A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16D711E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tcPr>
          <w:p w14:paraId="53D59F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7B669A6"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7FBA7203"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2EB4D12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p>
        </w:tc>
        <w:tc>
          <w:tcPr>
            <w:tcW w:w="573" w:type="pct"/>
            <w:vMerge/>
          </w:tcPr>
          <w:p w14:paraId="69C8AC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p>
        </w:tc>
        <w:tc>
          <w:tcPr>
            <w:tcW w:w="332" w:type="pct"/>
            <w:vMerge/>
          </w:tcPr>
          <w:p w14:paraId="529F895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p>
        </w:tc>
        <w:tc>
          <w:tcPr>
            <w:tcW w:w="401" w:type="pct"/>
            <w:vMerge/>
          </w:tcPr>
          <w:p w14:paraId="4D64CF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p>
        </w:tc>
        <w:tc>
          <w:tcPr>
            <w:tcW w:w="487" w:type="pct"/>
            <w:vMerge/>
          </w:tcPr>
          <w:p w14:paraId="2F6A2C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tcPr>
          <w:p w14:paraId="173467F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Recruit and deploy CHVs</w:t>
            </w:r>
          </w:p>
        </w:tc>
        <w:tc>
          <w:tcPr>
            <w:tcW w:w="177" w:type="pct"/>
            <w:gridSpan w:val="3"/>
          </w:tcPr>
          <w:p w14:paraId="50853E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22B9CC2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CDA7A4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74916B1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09C5B91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tcPr>
          <w:p w14:paraId="015A13C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F0C23E0"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2BFFFEC4"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tcPr>
          <w:p w14:paraId="16DD75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573" w:type="pct"/>
            <w:vMerge/>
          </w:tcPr>
          <w:p w14:paraId="48DE6B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332" w:type="pct"/>
            <w:vMerge/>
          </w:tcPr>
          <w:p w14:paraId="17E1FE2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401" w:type="pct"/>
            <w:vMerge/>
          </w:tcPr>
          <w:p w14:paraId="53E053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487" w:type="pct"/>
            <w:vMerge/>
          </w:tcPr>
          <w:p w14:paraId="5FF5B8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tcPr>
          <w:p w14:paraId="70A9A0B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 the CHVs to deliver on the Health Objectives</w:t>
            </w:r>
          </w:p>
        </w:tc>
        <w:tc>
          <w:tcPr>
            <w:tcW w:w="177" w:type="pct"/>
            <w:gridSpan w:val="3"/>
          </w:tcPr>
          <w:p w14:paraId="3687CBA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129B7AB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1BE894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35A6473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470790C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tcPr>
          <w:p w14:paraId="084AF7A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FB3334" w:rsidRPr="00BF344E" w14:paraId="745770F3" w14:textId="77777777" w:rsidTr="00C559FB">
        <w:trPr>
          <w:trHeight w:val="188"/>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4FC93086"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UHC Critical Driver 2: Access to services</w:t>
            </w:r>
          </w:p>
        </w:tc>
      </w:tr>
      <w:tr w:rsidR="00FB3334" w:rsidRPr="00BF344E" w14:paraId="451AB567" w14:textId="77777777" w:rsidTr="00C559FB">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5995062C"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Strategic Objective 2: To increase the population having access to a defined essential health service package</w:t>
            </w:r>
          </w:p>
        </w:tc>
      </w:tr>
      <w:tr w:rsidR="00FB3334" w:rsidRPr="00BF344E" w14:paraId="2C5EF10E" w14:textId="77777777" w:rsidTr="00C559FB">
        <w:trPr>
          <w:trHeight w:val="62"/>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2CAE0E14"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Key Outcome 2: Reduced morbidity and mortality due to ill health </w:t>
            </w:r>
          </w:p>
        </w:tc>
      </w:tr>
      <w:tr w:rsidR="00FB3334" w:rsidRPr="00BF344E" w14:paraId="6230F93B" w14:textId="77777777" w:rsidTr="00C559FB">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5000" w:type="pct"/>
            <w:gridSpan w:val="19"/>
          </w:tcPr>
          <w:p w14:paraId="51526D1E"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sz w:val="18"/>
                <w:szCs w:val="20"/>
              </w:rPr>
              <w:t xml:space="preserve">Health systems strengthening for Universal Health coverage </w:t>
            </w:r>
          </w:p>
        </w:tc>
      </w:tr>
      <w:tr w:rsidR="00C015CA" w:rsidRPr="00BF344E" w14:paraId="0F3944E2" w14:textId="77777777" w:rsidTr="00C559FB">
        <w:trPr>
          <w:trHeight w:val="269"/>
        </w:trPr>
        <w:tc>
          <w:tcPr>
            <w:cnfStyle w:val="001000000000" w:firstRow="0" w:lastRow="0" w:firstColumn="1" w:lastColumn="0" w:oddVBand="0" w:evenVBand="0" w:oddHBand="0" w:evenHBand="0" w:firstRowFirstColumn="0" w:firstRowLastColumn="0" w:lastRowFirstColumn="0" w:lastRowLastColumn="0"/>
            <w:tcW w:w="449" w:type="pct"/>
            <w:vMerge w:val="restart"/>
            <w:hideMark/>
          </w:tcPr>
          <w:p w14:paraId="0BD62467" w14:textId="77777777" w:rsidR="00FB3334" w:rsidRPr="00CC343C" w:rsidRDefault="00FB3334" w:rsidP="00C559FB">
            <w:pPr>
              <w:jc w:val="both"/>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Service delivery reforms </w:t>
            </w:r>
          </w:p>
        </w:tc>
        <w:tc>
          <w:tcPr>
            <w:tcW w:w="545" w:type="pct"/>
            <w:gridSpan w:val="2"/>
            <w:vMerge w:val="restart"/>
            <w:hideMark/>
          </w:tcPr>
          <w:p w14:paraId="313F405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r w:rsidRPr="00CC343C">
              <w:rPr>
                <w:rFonts w:ascii="Arial Narrow" w:eastAsia="Times New Roman" w:hAnsi="Arial Narrow" w:cstheme="minorHAnsi"/>
                <w:b/>
                <w:bCs/>
                <w:sz w:val="18"/>
                <w:szCs w:val="20"/>
                <w:highlight w:val="yellow"/>
              </w:rPr>
              <w:t>NHIF Benefit Package Reviewed</w:t>
            </w:r>
          </w:p>
        </w:tc>
        <w:tc>
          <w:tcPr>
            <w:tcW w:w="573" w:type="pct"/>
            <w:vMerge w:val="restart"/>
            <w:hideMark/>
          </w:tcPr>
          <w:p w14:paraId="6293F09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r w:rsidRPr="00CC343C">
              <w:rPr>
                <w:rFonts w:ascii="Arial Narrow" w:eastAsia="Times New Roman" w:hAnsi="Arial Narrow" w:cstheme="minorHAnsi"/>
                <w:b/>
                <w:bCs/>
                <w:sz w:val="18"/>
                <w:szCs w:val="20"/>
                <w:highlight w:val="yellow"/>
              </w:rPr>
              <w:t>Number of NHIF benefit packages available to the public</w:t>
            </w:r>
          </w:p>
        </w:tc>
        <w:tc>
          <w:tcPr>
            <w:tcW w:w="332" w:type="pct"/>
            <w:vMerge w:val="restart"/>
            <w:hideMark/>
          </w:tcPr>
          <w:p w14:paraId="6080D5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2 Packages</w:t>
            </w:r>
          </w:p>
        </w:tc>
        <w:tc>
          <w:tcPr>
            <w:tcW w:w="401" w:type="pct"/>
            <w:vMerge w:val="restart"/>
            <w:hideMark/>
          </w:tcPr>
          <w:p w14:paraId="499AAF9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3 Packages (Gold Platinum &amp; Bronze)</w:t>
            </w:r>
          </w:p>
        </w:tc>
        <w:tc>
          <w:tcPr>
            <w:tcW w:w="487" w:type="pct"/>
            <w:vMerge w:val="restart"/>
            <w:hideMark/>
          </w:tcPr>
          <w:p w14:paraId="4E5043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 xml:space="preserve">Develop a segregated Multi-tiered package </w:t>
            </w:r>
          </w:p>
        </w:tc>
        <w:tc>
          <w:tcPr>
            <w:tcW w:w="593" w:type="pct"/>
            <w:gridSpan w:val="2"/>
            <w:hideMark/>
          </w:tcPr>
          <w:p w14:paraId="782CE1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Develop a concept note</w:t>
            </w:r>
          </w:p>
        </w:tc>
        <w:tc>
          <w:tcPr>
            <w:tcW w:w="132" w:type="pct"/>
            <w:gridSpan w:val="2"/>
            <w:hideMark/>
          </w:tcPr>
          <w:p w14:paraId="6CC9081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774775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65" w:type="pct"/>
            <w:gridSpan w:val="2"/>
            <w:hideMark/>
          </w:tcPr>
          <w:p w14:paraId="0B767CE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59" w:type="pct"/>
            <w:hideMark/>
          </w:tcPr>
          <w:p w14:paraId="5BA308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742" w:type="pct"/>
            <w:gridSpan w:val="2"/>
            <w:hideMark/>
          </w:tcPr>
          <w:p w14:paraId="187F968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258" w:type="pct"/>
            <w:hideMark/>
          </w:tcPr>
          <w:p w14:paraId="71BD88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F1B7F2E" w14:textId="77777777" w:rsidTr="00C559FB">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49" w:type="pct"/>
            <w:vMerge/>
            <w:hideMark/>
          </w:tcPr>
          <w:p w14:paraId="23145278"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5DAC7A3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573" w:type="pct"/>
            <w:vMerge/>
            <w:hideMark/>
          </w:tcPr>
          <w:p w14:paraId="3CD8974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332" w:type="pct"/>
            <w:vMerge/>
            <w:hideMark/>
          </w:tcPr>
          <w:p w14:paraId="5C301A5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401" w:type="pct"/>
            <w:vMerge/>
            <w:hideMark/>
          </w:tcPr>
          <w:p w14:paraId="3C705B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487" w:type="pct"/>
            <w:vMerge/>
            <w:hideMark/>
          </w:tcPr>
          <w:p w14:paraId="3D8602E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593" w:type="pct"/>
            <w:gridSpan w:val="2"/>
            <w:hideMark/>
          </w:tcPr>
          <w:p w14:paraId="592B2E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 xml:space="preserve">Stakeholders engagement </w:t>
            </w:r>
          </w:p>
        </w:tc>
        <w:tc>
          <w:tcPr>
            <w:tcW w:w="132" w:type="pct"/>
            <w:gridSpan w:val="2"/>
            <w:hideMark/>
          </w:tcPr>
          <w:p w14:paraId="689ABD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135DCBB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65" w:type="pct"/>
            <w:gridSpan w:val="2"/>
            <w:hideMark/>
          </w:tcPr>
          <w:p w14:paraId="105D8FB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59" w:type="pct"/>
            <w:hideMark/>
          </w:tcPr>
          <w:p w14:paraId="705F1D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742" w:type="pct"/>
            <w:gridSpan w:val="2"/>
            <w:hideMark/>
          </w:tcPr>
          <w:p w14:paraId="0BFF40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258" w:type="pct"/>
            <w:hideMark/>
          </w:tcPr>
          <w:p w14:paraId="5A530CB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A446525" w14:textId="77777777" w:rsidTr="00C559FB">
        <w:trPr>
          <w:trHeight w:val="251"/>
        </w:trPr>
        <w:tc>
          <w:tcPr>
            <w:cnfStyle w:val="001000000000" w:firstRow="0" w:lastRow="0" w:firstColumn="1" w:lastColumn="0" w:oddVBand="0" w:evenVBand="0" w:oddHBand="0" w:evenHBand="0" w:firstRowFirstColumn="0" w:firstRowLastColumn="0" w:lastRowFirstColumn="0" w:lastRowLastColumn="0"/>
            <w:tcW w:w="449" w:type="pct"/>
            <w:vMerge/>
            <w:hideMark/>
          </w:tcPr>
          <w:p w14:paraId="1CEAD21E"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778B8A8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573" w:type="pct"/>
            <w:vMerge/>
            <w:hideMark/>
          </w:tcPr>
          <w:p w14:paraId="3F4E88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332" w:type="pct"/>
            <w:vMerge/>
            <w:hideMark/>
          </w:tcPr>
          <w:p w14:paraId="42C841A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401" w:type="pct"/>
            <w:vMerge/>
            <w:hideMark/>
          </w:tcPr>
          <w:p w14:paraId="178BBF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487" w:type="pct"/>
            <w:vMerge/>
            <w:hideMark/>
          </w:tcPr>
          <w:p w14:paraId="6744E3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593" w:type="pct"/>
            <w:gridSpan w:val="2"/>
            <w:hideMark/>
          </w:tcPr>
          <w:p w14:paraId="58E04F6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 xml:space="preserve">Launch of the package </w:t>
            </w:r>
          </w:p>
        </w:tc>
        <w:tc>
          <w:tcPr>
            <w:tcW w:w="132" w:type="pct"/>
            <w:gridSpan w:val="2"/>
            <w:hideMark/>
          </w:tcPr>
          <w:p w14:paraId="3052E22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76BBEEA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65" w:type="pct"/>
            <w:gridSpan w:val="2"/>
            <w:hideMark/>
          </w:tcPr>
          <w:p w14:paraId="22BF64B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159" w:type="pct"/>
            <w:hideMark/>
          </w:tcPr>
          <w:p w14:paraId="2388B26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742" w:type="pct"/>
            <w:gridSpan w:val="2"/>
            <w:hideMark/>
          </w:tcPr>
          <w:p w14:paraId="4E30EA0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258" w:type="pct"/>
            <w:hideMark/>
          </w:tcPr>
          <w:p w14:paraId="458F6C8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1503428" w14:textId="77777777" w:rsidTr="00C559F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9" w:type="pct"/>
            <w:vMerge/>
            <w:hideMark/>
          </w:tcPr>
          <w:p w14:paraId="1CE902F4"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3222FB3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573" w:type="pct"/>
            <w:vMerge/>
            <w:hideMark/>
          </w:tcPr>
          <w:p w14:paraId="030B7B9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332" w:type="pct"/>
            <w:vMerge/>
            <w:hideMark/>
          </w:tcPr>
          <w:p w14:paraId="6A9216B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401" w:type="pct"/>
            <w:vMerge/>
            <w:hideMark/>
          </w:tcPr>
          <w:p w14:paraId="017D6A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487" w:type="pct"/>
            <w:vMerge/>
            <w:hideMark/>
          </w:tcPr>
          <w:p w14:paraId="43631EC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p>
        </w:tc>
        <w:tc>
          <w:tcPr>
            <w:tcW w:w="593" w:type="pct"/>
            <w:gridSpan w:val="2"/>
            <w:hideMark/>
          </w:tcPr>
          <w:p w14:paraId="4CA185B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 xml:space="preserve">Implementation   </w:t>
            </w:r>
          </w:p>
        </w:tc>
        <w:tc>
          <w:tcPr>
            <w:tcW w:w="132" w:type="pct"/>
            <w:gridSpan w:val="2"/>
            <w:hideMark/>
          </w:tcPr>
          <w:p w14:paraId="6B93FB0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2712EA5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1BB472C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59" w:type="pct"/>
            <w:hideMark/>
          </w:tcPr>
          <w:p w14:paraId="74A51D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742" w:type="pct"/>
            <w:gridSpan w:val="2"/>
            <w:hideMark/>
          </w:tcPr>
          <w:p w14:paraId="7D7B00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258" w:type="pct"/>
            <w:hideMark/>
          </w:tcPr>
          <w:p w14:paraId="72D570A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2D897AC" w14:textId="77777777" w:rsidTr="00C559FB">
        <w:trPr>
          <w:trHeight w:val="143"/>
        </w:trPr>
        <w:tc>
          <w:tcPr>
            <w:cnfStyle w:val="001000000000" w:firstRow="0" w:lastRow="0" w:firstColumn="1" w:lastColumn="0" w:oddVBand="0" w:evenVBand="0" w:oddHBand="0" w:evenHBand="0" w:firstRowFirstColumn="0" w:firstRowLastColumn="0" w:lastRowFirstColumn="0" w:lastRowLastColumn="0"/>
            <w:tcW w:w="449" w:type="pct"/>
            <w:vMerge/>
            <w:hideMark/>
          </w:tcPr>
          <w:p w14:paraId="7CED8286"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3EB53E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573" w:type="pct"/>
            <w:vMerge/>
            <w:hideMark/>
          </w:tcPr>
          <w:p w14:paraId="4A194E6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highlight w:val="yellow"/>
              </w:rPr>
            </w:pPr>
          </w:p>
        </w:tc>
        <w:tc>
          <w:tcPr>
            <w:tcW w:w="332" w:type="pct"/>
            <w:vMerge/>
            <w:hideMark/>
          </w:tcPr>
          <w:p w14:paraId="47E1F10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401" w:type="pct"/>
            <w:vMerge/>
            <w:hideMark/>
          </w:tcPr>
          <w:p w14:paraId="41E78B8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487" w:type="pct"/>
            <w:vMerge/>
            <w:hideMark/>
          </w:tcPr>
          <w:p w14:paraId="6AE1986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p>
        </w:tc>
        <w:tc>
          <w:tcPr>
            <w:tcW w:w="593" w:type="pct"/>
            <w:gridSpan w:val="2"/>
            <w:hideMark/>
          </w:tcPr>
          <w:p w14:paraId="6BA0B5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highlight w:val="yellow"/>
              </w:rPr>
            </w:pPr>
            <w:r w:rsidRPr="00CC343C">
              <w:rPr>
                <w:rFonts w:ascii="Arial Narrow" w:eastAsia="Times New Roman" w:hAnsi="Arial Narrow" w:cstheme="minorHAnsi"/>
                <w:sz w:val="18"/>
                <w:szCs w:val="20"/>
                <w:highlight w:val="yellow"/>
              </w:rPr>
              <w:t xml:space="preserve">Monitoring and Review </w:t>
            </w:r>
          </w:p>
        </w:tc>
        <w:tc>
          <w:tcPr>
            <w:tcW w:w="132" w:type="pct"/>
            <w:gridSpan w:val="2"/>
            <w:hideMark/>
          </w:tcPr>
          <w:p w14:paraId="0F50B93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26DEDFF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65" w:type="pct"/>
            <w:gridSpan w:val="2"/>
            <w:hideMark/>
          </w:tcPr>
          <w:p w14:paraId="4F4367F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159" w:type="pct"/>
            <w:hideMark/>
          </w:tcPr>
          <w:p w14:paraId="67F8490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x</w:t>
            </w:r>
          </w:p>
        </w:tc>
        <w:tc>
          <w:tcPr>
            <w:tcW w:w="742" w:type="pct"/>
            <w:gridSpan w:val="2"/>
            <w:hideMark/>
          </w:tcPr>
          <w:p w14:paraId="3B1619F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highlight w:val="yellow"/>
              </w:rPr>
            </w:pPr>
            <w:r w:rsidRPr="00CC343C">
              <w:rPr>
                <w:rFonts w:ascii="Arial Narrow" w:eastAsia="Times New Roman" w:hAnsi="Arial Narrow" w:cstheme="minorHAnsi"/>
                <w:b/>
                <w:bCs/>
                <w:color w:val="000000"/>
                <w:sz w:val="18"/>
                <w:szCs w:val="20"/>
                <w:highlight w:val="yellow"/>
              </w:rPr>
              <w:t> </w:t>
            </w:r>
          </w:p>
        </w:tc>
        <w:tc>
          <w:tcPr>
            <w:tcW w:w="258" w:type="pct"/>
            <w:hideMark/>
          </w:tcPr>
          <w:p w14:paraId="59EDCCD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ABB330E" w14:textId="77777777" w:rsidTr="00C559FB">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449" w:type="pct"/>
            <w:vMerge/>
            <w:hideMark/>
          </w:tcPr>
          <w:p w14:paraId="1A3F581C"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val="restart"/>
            <w:hideMark/>
          </w:tcPr>
          <w:p w14:paraId="0B23ED9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Kenya Essential Package for Health Reviewed</w:t>
            </w:r>
          </w:p>
        </w:tc>
        <w:tc>
          <w:tcPr>
            <w:tcW w:w="573" w:type="pct"/>
            <w:vMerge w:val="restart"/>
            <w:hideMark/>
          </w:tcPr>
          <w:p w14:paraId="7C5F3F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xml:space="preserve">Number of KEPH </w:t>
            </w:r>
          </w:p>
        </w:tc>
        <w:tc>
          <w:tcPr>
            <w:tcW w:w="332" w:type="pct"/>
            <w:vMerge w:val="restart"/>
            <w:hideMark/>
          </w:tcPr>
          <w:p w14:paraId="6D113CE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1</w:t>
            </w:r>
          </w:p>
        </w:tc>
        <w:tc>
          <w:tcPr>
            <w:tcW w:w="401" w:type="pct"/>
            <w:vMerge w:val="restart"/>
            <w:hideMark/>
          </w:tcPr>
          <w:p w14:paraId="495AFB0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1</w:t>
            </w:r>
          </w:p>
        </w:tc>
        <w:tc>
          <w:tcPr>
            <w:tcW w:w="487" w:type="pct"/>
            <w:vMerge w:val="restart"/>
            <w:hideMark/>
          </w:tcPr>
          <w:p w14:paraId="425D3EE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Review of the KEPH</w:t>
            </w:r>
          </w:p>
        </w:tc>
        <w:tc>
          <w:tcPr>
            <w:tcW w:w="593" w:type="pct"/>
            <w:gridSpan w:val="2"/>
            <w:hideMark/>
          </w:tcPr>
          <w:p w14:paraId="0E429AA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Develop a concept note</w:t>
            </w:r>
          </w:p>
        </w:tc>
        <w:tc>
          <w:tcPr>
            <w:tcW w:w="132" w:type="pct"/>
            <w:gridSpan w:val="2"/>
            <w:hideMark/>
          </w:tcPr>
          <w:p w14:paraId="2C32D84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59EC6D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73F44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412582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71B94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81863D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C6F3390"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3AA274E8"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056BB37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p>
        </w:tc>
        <w:tc>
          <w:tcPr>
            <w:tcW w:w="573" w:type="pct"/>
            <w:vMerge/>
            <w:hideMark/>
          </w:tcPr>
          <w:p w14:paraId="0FCF8A4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p>
        </w:tc>
        <w:tc>
          <w:tcPr>
            <w:tcW w:w="332" w:type="pct"/>
            <w:vMerge/>
            <w:hideMark/>
          </w:tcPr>
          <w:p w14:paraId="27F8C7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401" w:type="pct"/>
            <w:vMerge/>
            <w:hideMark/>
          </w:tcPr>
          <w:p w14:paraId="0E0FD6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487" w:type="pct"/>
            <w:vMerge/>
            <w:hideMark/>
          </w:tcPr>
          <w:p w14:paraId="10A35E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93" w:type="pct"/>
            <w:gridSpan w:val="2"/>
            <w:hideMark/>
          </w:tcPr>
          <w:p w14:paraId="6674360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Form the TWGs </w:t>
            </w:r>
          </w:p>
        </w:tc>
        <w:tc>
          <w:tcPr>
            <w:tcW w:w="132" w:type="pct"/>
            <w:gridSpan w:val="2"/>
            <w:hideMark/>
          </w:tcPr>
          <w:p w14:paraId="134A0F0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B2E46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941118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04AF8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731315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453EFC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1C049B0"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7119EB2F"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0A605C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573" w:type="pct"/>
            <w:vMerge/>
            <w:hideMark/>
          </w:tcPr>
          <w:p w14:paraId="2DB7D01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332" w:type="pct"/>
            <w:vMerge/>
            <w:hideMark/>
          </w:tcPr>
          <w:p w14:paraId="7FB7B24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01" w:type="pct"/>
            <w:vMerge/>
            <w:hideMark/>
          </w:tcPr>
          <w:p w14:paraId="453EAA5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87" w:type="pct"/>
            <w:vMerge/>
            <w:hideMark/>
          </w:tcPr>
          <w:p w14:paraId="101A1BD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93" w:type="pct"/>
            <w:gridSpan w:val="2"/>
            <w:hideMark/>
          </w:tcPr>
          <w:p w14:paraId="54AA8B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Develop draft KEPH</w:t>
            </w:r>
          </w:p>
        </w:tc>
        <w:tc>
          <w:tcPr>
            <w:tcW w:w="132" w:type="pct"/>
            <w:gridSpan w:val="2"/>
            <w:hideMark/>
          </w:tcPr>
          <w:p w14:paraId="2DC028A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FE387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6C679C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73AC7B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50CC4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55D830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E83288D"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28D7CC7D"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79CCB24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p>
        </w:tc>
        <w:tc>
          <w:tcPr>
            <w:tcW w:w="573" w:type="pct"/>
            <w:vMerge/>
            <w:hideMark/>
          </w:tcPr>
          <w:p w14:paraId="3CE0F41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p>
        </w:tc>
        <w:tc>
          <w:tcPr>
            <w:tcW w:w="332" w:type="pct"/>
            <w:vMerge/>
            <w:hideMark/>
          </w:tcPr>
          <w:p w14:paraId="1D01C29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401" w:type="pct"/>
            <w:vMerge/>
            <w:hideMark/>
          </w:tcPr>
          <w:p w14:paraId="679314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487" w:type="pct"/>
            <w:vMerge/>
            <w:hideMark/>
          </w:tcPr>
          <w:p w14:paraId="108D8B1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p>
        </w:tc>
        <w:tc>
          <w:tcPr>
            <w:tcW w:w="593" w:type="pct"/>
            <w:gridSpan w:val="2"/>
            <w:hideMark/>
          </w:tcPr>
          <w:p w14:paraId="211EB5F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Stakeholder Consultations (Counties, partners, line Ministries)</w:t>
            </w:r>
          </w:p>
        </w:tc>
        <w:tc>
          <w:tcPr>
            <w:tcW w:w="132" w:type="pct"/>
            <w:gridSpan w:val="2"/>
            <w:hideMark/>
          </w:tcPr>
          <w:p w14:paraId="3236D9A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D48EC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1A8CED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4140FA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0A97C1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410B6DE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D0AD6CA"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38B7A4EE"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783F141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573" w:type="pct"/>
            <w:vMerge/>
            <w:hideMark/>
          </w:tcPr>
          <w:p w14:paraId="26F31A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332" w:type="pct"/>
            <w:vMerge/>
            <w:hideMark/>
          </w:tcPr>
          <w:p w14:paraId="575B507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01" w:type="pct"/>
            <w:vMerge/>
            <w:hideMark/>
          </w:tcPr>
          <w:p w14:paraId="652A51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87" w:type="pct"/>
            <w:vMerge/>
            <w:hideMark/>
          </w:tcPr>
          <w:p w14:paraId="238F03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593" w:type="pct"/>
            <w:gridSpan w:val="2"/>
            <w:hideMark/>
          </w:tcPr>
          <w:p w14:paraId="40955D8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Finalize KEPH Review and launch</w:t>
            </w:r>
          </w:p>
        </w:tc>
        <w:tc>
          <w:tcPr>
            <w:tcW w:w="132" w:type="pct"/>
            <w:gridSpan w:val="2"/>
            <w:hideMark/>
          </w:tcPr>
          <w:p w14:paraId="3D31EF1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FAF1B0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BACC0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D552FA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811E1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60F473C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15B9B7C" w14:textId="77777777" w:rsidTr="00C559FB">
        <w:trPr>
          <w:trHeight w:val="521"/>
        </w:trPr>
        <w:tc>
          <w:tcPr>
            <w:cnfStyle w:val="001000000000" w:firstRow="0" w:lastRow="0" w:firstColumn="1" w:lastColumn="0" w:oddVBand="0" w:evenVBand="0" w:oddHBand="0" w:evenHBand="0" w:firstRowFirstColumn="0" w:firstRowLastColumn="0" w:lastRowFirstColumn="0" w:lastRowLastColumn="0"/>
            <w:tcW w:w="449" w:type="pct"/>
            <w:vMerge/>
            <w:hideMark/>
          </w:tcPr>
          <w:p w14:paraId="43DEC505"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val="restart"/>
            <w:hideMark/>
          </w:tcPr>
          <w:p w14:paraId="54392F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xml:space="preserve">Linda Mama program expanded </w:t>
            </w:r>
          </w:p>
        </w:tc>
        <w:tc>
          <w:tcPr>
            <w:tcW w:w="573" w:type="pct"/>
            <w:vMerge w:val="restart"/>
            <w:hideMark/>
          </w:tcPr>
          <w:p w14:paraId="30D2B8F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Expanded Linda Mama Package</w:t>
            </w:r>
          </w:p>
        </w:tc>
        <w:tc>
          <w:tcPr>
            <w:tcW w:w="332" w:type="pct"/>
            <w:vMerge w:val="restart"/>
            <w:hideMark/>
          </w:tcPr>
          <w:p w14:paraId="1F0DE43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0</w:t>
            </w:r>
          </w:p>
        </w:tc>
        <w:tc>
          <w:tcPr>
            <w:tcW w:w="401" w:type="pct"/>
            <w:vMerge w:val="restart"/>
            <w:hideMark/>
          </w:tcPr>
          <w:p w14:paraId="72F91D0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1</w:t>
            </w:r>
          </w:p>
        </w:tc>
        <w:tc>
          <w:tcPr>
            <w:tcW w:w="487" w:type="pct"/>
            <w:hideMark/>
          </w:tcPr>
          <w:p w14:paraId="59DC33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Expand Linda Mama to include post-</w:t>
            </w:r>
            <w:r w:rsidRPr="00CC343C">
              <w:rPr>
                <w:rFonts w:ascii="Arial Narrow" w:eastAsia="Times New Roman" w:hAnsi="Arial Narrow" w:cstheme="minorHAnsi"/>
                <w:sz w:val="18"/>
                <w:szCs w:val="20"/>
              </w:rPr>
              <w:lastRenderedPageBreak/>
              <w:t xml:space="preserve">natal care, infants care and complications in the package </w:t>
            </w:r>
          </w:p>
        </w:tc>
        <w:tc>
          <w:tcPr>
            <w:tcW w:w="593" w:type="pct"/>
            <w:gridSpan w:val="2"/>
            <w:hideMark/>
          </w:tcPr>
          <w:p w14:paraId="6FC380F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lastRenderedPageBreak/>
              <w:t>Definition of the expanded package</w:t>
            </w:r>
          </w:p>
        </w:tc>
        <w:tc>
          <w:tcPr>
            <w:tcW w:w="132" w:type="pct"/>
            <w:gridSpan w:val="2"/>
            <w:hideMark/>
          </w:tcPr>
          <w:p w14:paraId="3A389BC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8BD76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776842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68B8AC9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FC261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MOH/NHIF</w:t>
            </w:r>
          </w:p>
        </w:tc>
        <w:tc>
          <w:tcPr>
            <w:tcW w:w="258" w:type="pct"/>
            <w:hideMark/>
          </w:tcPr>
          <w:p w14:paraId="2F10C4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2506FE5" w14:textId="77777777" w:rsidTr="00C559FB">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49" w:type="pct"/>
            <w:vMerge/>
            <w:hideMark/>
          </w:tcPr>
          <w:p w14:paraId="2268ACCE"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hideMark/>
          </w:tcPr>
          <w:p w14:paraId="24BA1CA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573" w:type="pct"/>
            <w:vMerge/>
            <w:hideMark/>
          </w:tcPr>
          <w:p w14:paraId="12E8EC0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sz w:val="18"/>
                <w:szCs w:val="20"/>
              </w:rPr>
            </w:pPr>
          </w:p>
        </w:tc>
        <w:tc>
          <w:tcPr>
            <w:tcW w:w="332" w:type="pct"/>
            <w:vMerge/>
            <w:hideMark/>
          </w:tcPr>
          <w:p w14:paraId="0CB3DAC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01" w:type="pct"/>
            <w:vMerge/>
            <w:hideMark/>
          </w:tcPr>
          <w:p w14:paraId="6ADDD9E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p>
        </w:tc>
        <w:tc>
          <w:tcPr>
            <w:tcW w:w="487" w:type="pct"/>
            <w:hideMark/>
          </w:tcPr>
          <w:p w14:paraId="5BFCDD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Scale up the Linda Mama cover to private care provider </w:t>
            </w:r>
          </w:p>
        </w:tc>
        <w:tc>
          <w:tcPr>
            <w:tcW w:w="593" w:type="pct"/>
            <w:gridSpan w:val="2"/>
            <w:hideMark/>
          </w:tcPr>
          <w:p w14:paraId="0EC9E0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Registration of private care providers</w:t>
            </w:r>
          </w:p>
        </w:tc>
        <w:tc>
          <w:tcPr>
            <w:tcW w:w="132" w:type="pct"/>
            <w:gridSpan w:val="2"/>
            <w:hideMark/>
          </w:tcPr>
          <w:p w14:paraId="71AACB8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0500E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A40B83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7FE7406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659EEBB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258" w:type="pct"/>
            <w:hideMark/>
          </w:tcPr>
          <w:p w14:paraId="1CC590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FF1E470" w14:textId="77777777" w:rsidTr="00C559FB">
        <w:trPr>
          <w:trHeight w:val="3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42E18E37"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val="restart"/>
            <w:hideMark/>
          </w:tcPr>
          <w:p w14:paraId="6219AE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Adopt low cost service delivery models </w:t>
            </w:r>
          </w:p>
        </w:tc>
        <w:tc>
          <w:tcPr>
            <w:tcW w:w="573" w:type="pct"/>
            <w:vMerge w:val="restart"/>
            <w:hideMark/>
          </w:tcPr>
          <w:p w14:paraId="0E4DC18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Leverage on Health care ICT (HCIT)  </w:t>
            </w:r>
          </w:p>
        </w:tc>
        <w:tc>
          <w:tcPr>
            <w:tcW w:w="332" w:type="pct"/>
            <w:vMerge w:val="restart"/>
            <w:hideMark/>
          </w:tcPr>
          <w:p w14:paraId="58069D8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0</w:t>
            </w:r>
          </w:p>
        </w:tc>
        <w:tc>
          <w:tcPr>
            <w:tcW w:w="401" w:type="pct"/>
            <w:vMerge w:val="restart"/>
            <w:hideMark/>
          </w:tcPr>
          <w:p w14:paraId="10D722E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2</w:t>
            </w:r>
          </w:p>
        </w:tc>
        <w:tc>
          <w:tcPr>
            <w:tcW w:w="487" w:type="pct"/>
            <w:vMerge w:val="restart"/>
          </w:tcPr>
          <w:p w14:paraId="2863F6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 National Data Centre (NDC) and a reporting Hub  </w:t>
            </w:r>
          </w:p>
        </w:tc>
        <w:tc>
          <w:tcPr>
            <w:tcW w:w="593" w:type="pct"/>
            <w:gridSpan w:val="2"/>
            <w:hideMark/>
          </w:tcPr>
          <w:p w14:paraId="1DE8F86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Construction of data Centre and reporting hub in KNH (</w:t>
            </w:r>
            <w:r w:rsidRPr="00CC343C">
              <w:rPr>
                <w:rFonts w:ascii="Arial Narrow" w:eastAsia="Times New Roman" w:hAnsi="Arial Narrow" w:cstheme="minorHAnsi"/>
                <w:i/>
                <w:color w:val="000000"/>
                <w:sz w:val="18"/>
                <w:szCs w:val="20"/>
              </w:rPr>
              <w:t>ongoing</w:t>
            </w:r>
            <w:r w:rsidRPr="00CC343C">
              <w:rPr>
                <w:rFonts w:ascii="Arial Narrow" w:eastAsia="Times New Roman" w:hAnsi="Arial Narrow" w:cstheme="minorHAnsi"/>
                <w:color w:val="000000"/>
                <w:sz w:val="18"/>
                <w:szCs w:val="20"/>
              </w:rPr>
              <w:t>)</w:t>
            </w:r>
          </w:p>
        </w:tc>
        <w:tc>
          <w:tcPr>
            <w:tcW w:w="132" w:type="pct"/>
            <w:gridSpan w:val="2"/>
            <w:hideMark/>
          </w:tcPr>
          <w:p w14:paraId="0D8DE3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75BABC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2DA254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5D4AD7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B0EBF0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MOH/Curative and rehab department</w:t>
            </w:r>
          </w:p>
        </w:tc>
        <w:tc>
          <w:tcPr>
            <w:tcW w:w="258" w:type="pct"/>
            <w:hideMark/>
          </w:tcPr>
          <w:p w14:paraId="7FC3A7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06B8A07" w14:textId="77777777" w:rsidTr="00C559FB">
        <w:trPr>
          <w:cnfStyle w:val="000000100000" w:firstRow="0" w:lastRow="0" w:firstColumn="0" w:lastColumn="0" w:oddVBand="0" w:evenVBand="0" w:oddHBand="1" w:evenHBand="0" w:firstRowFirstColumn="0" w:firstRowLastColumn="0" w:lastRowFirstColumn="0" w:lastRowLastColumn="0"/>
          <w:trHeight w:val="116"/>
        </w:trPr>
        <w:tc>
          <w:tcPr>
            <w:cnfStyle w:val="001000000000" w:firstRow="0" w:lastRow="0" w:firstColumn="1" w:lastColumn="0" w:oddVBand="0" w:evenVBand="0" w:oddHBand="0" w:evenHBand="0" w:firstRowFirstColumn="0" w:firstRowLastColumn="0" w:lastRowFirstColumn="0" w:lastRowLastColumn="0"/>
            <w:tcW w:w="449" w:type="pct"/>
            <w:vMerge/>
          </w:tcPr>
          <w:p w14:paraId="4DD543E0"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tcPr>
          <w:p w14:paraId="0999C22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6AB9A9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6FB33B2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49F1AE7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57BF274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5B53C2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Equipping of the center </w:t>
            </w:r>
          </w:p>
        </w:tc>
        <w:tc>
          <w:tcPr>
            <w:tcW w:w="132" w:type="pct"/>
            <w:gridSpan w:val="2"/>
          </w:tcPr>
          <w:p w14:paraId="3768595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938B8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4FFF429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EAA47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35978F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26AA5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E749E17" w14:textId="77777777" w:rsidTr="00C559FB">
        <w:trPr>
          <w:trHeight w:val="242"/>
        </w:trPr>
        <w:tc>
          <w:tcPr>
            <w:cnfStyle w:val="001000000000" w:firstRow="0" w:lastRow="0" w:firstColumn="1" w:lastColumn="0" w:oddVBand="0" w:evenVBand="0" w:oddHBand="0" w:evenHBand="0" w:firstRowFirstColumn="0" w:firstRowLastColumn="0" w:lastRowFirstColumn="0" w:lastRowLastColumn="0"/>
            <w:tcW w:w="449" w:type="pct"/>
            <w:vMerge/>
          </w:tcPr>
          <w:p w14:paraId="589AF2BA"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tcPr>
          <w:p w14:paraId="4B5EAE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0A5EF16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7606AE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48F2731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tcPr>
          <w:p w14:paraId="183527C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4A438D2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Training of the health staff (users)</w:t>
            </w:r>
          </w:p>
        </w:tc>
        <w:tc>
          <w:tcPr>
            <w:tcW w:w="132" w:type="pct"/>
            <w:gridSpan w:val="2"/>
          </w:tcPr>
          <w:p w14:paraId="1C8BE4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DD04E7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B5FC7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2467464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28FF22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5EE7D21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61363462" w14:textId="77777777" w:rsidTr="00C559FB">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449" w:type="pct"/>
            <w:vMerge/>
          </w:tcPr>
          <w:p w14:paraId="5AE1C659" w14:textId="77777777" w:rsidR="00FB3334" w:rsidRPr="00CC343C" w:rsidRDefault="00FB3334" w:rsidP="00C559FB">
            <w:pPr>
              <w:jc w:val="both"/>
              <w:rPr>
                <w:rFonts w:ascii="Arial Narrow" w:eastAsia="Times New Roman" w:hAnsi="Arial Narrow" w:cstheme="minorHAnsi"/>
                <w:sz w:val="18"/>
                <w:szCs w:val="20"/>
              </w:rPr>
            </w:pPr>
          </w:p>
        </w:tc>
        <w:tc>
          <w:tcPr>
            <w:tcW w:w="545" w:type="pct"/>
            <w:gridSpan w:val="2"/>
            <w:vMerge/>
          </w:tcPr>
          <w:p w14:paraId="2283370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1EE3A4B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1E330D2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tcPr>
          <w:p w14:paraId="278B35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tcPr>
          <w:p w14:paraId="229AF3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Network 98 hospitals equipped under MES With the KNH data center </w:t>
            </w:r>
          </w:p>
        </w:tc>
        <w:tc>
          <w:tcPr>
            <w:tcW w:w="593" w:type="pct"/>
            <w:gridSpan w:val="2"/>
          </w:tcPr>
          <w:p w14:paraId="2D6DF8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Site preparation, installation and commissioning of equipment in the facilities;</w:t>
            </w:r>
          </w:p>
          <w:p w14:paraId="6EE9EDD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Training of Health care workers</w:t>
            </w:r>
          </w:p>
        </w:tc>
        <w:tc>
          <w:tcPr>
            <w:tcW w:w="132" w:type="pct"/>
            <w:gridSpan w:val="2"/>
          </w:tcPr>
          <w:p w14:paraId="1F557D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2DBBE2F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1BFF5E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2EC5DC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77B9290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56866A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130882D"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49" w:type="pct"/>
            <w:vMerge w:val="restart"/>
            <w:hideMark/>
          </w:tcPr>
          <w:p w14:paraId="77848424"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Increased investment in human capita</w:t>
            </w:r>
          </w:p>
        </w:tc>
        <w:tc>
          <w:tcPr>
            <w:tcW w:w="545" w:type="pct"/>
            <w:gridSpan w:val="2"/>
            <w:vMerge w:val="restart"/>
            <w:hideMark/>
          </w:tcPr>
          <w:p w14:paraId="31CE52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Increase in the ratio of health worker per 10,000 population </w:t>
            </w:r>
          </w:p>
        </w:tc>
        <w:tc>
          <w:tcPr>
            <w:tcW w:w="573" w:type="pct"/>
            <w:vMerge w:val="restart"/>
            <w:hideMark/>
          </w:tcPr>
          <w:p w14:paraId="53413C8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No of staff recruited</w:t>
            </w:r>
          </w:p>
        </w:tc>
        <w:tc>
          <w:tcPr>
            <w:tcW w:w="332" w:type="pct"/>
            <w:vMerge w:val="restart"/>
            <w:hideMark/>
          </w:tcPr>
          <w:p w14:paraId="08BC74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0000"/>
                <w:sz w:val="18"/>
                <w:szCs w:val="20"/>
              </w:rPr>
            </w:pPr>
            <w:r w:rsidRPr="00CC343C">
              <w:rPr>
                <w:rFonts w:ascii="Arial Narrow" w:eastAsia="Times New Roman" w:hAnsi="Arial Narrow" w:cstheme="minorHAnsi"/>
                <w:color w:val="FF0000"/>
                <w:sz w:val="18"/>
                <w:szCs w:val="20"/>
              </w:rPr>
              <w:t>35,000</w:t>
            </w:r>
          </w:p>
        </w:tc>
        <w:tc>
          <w:tcPr>
            <w:tcW w:w="401" w:type="pct"/>
            <w:vMerge w:val="restart"/>
            <w:hideMark/>
          </w:tcPr>
          <w:p w14:paraId="40BF71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40,500</w:t>
            </w:r>
          </w:p>
        </w:tc>
        <w:tc>
          <w:tcPr>
            <w:tcW w:w="487" w:type="pct"/>
            <w:vMerge w:val="restart"/>
            <w:hideMark/>
          </w:tcPr>
          <w:p w14:paraId="0B77C3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Human resources for Health recruitment and Development </w:t>
            </w:r>
          </w:p>
        </w:tc>
        <w:tc>
          <w:tcPr>
            <w:tcW w:w="593" w:type="pct"/>
            <w:gridSpan w:val="2"/>
            <w:hideMark/>
          </w:tcPr>
          <w:p w14:paraId="0C92CE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 recruitment plan </w:t>
            </w:r>
          </w:p>
        </w:tc>
        <w:tc>
          <w:tcPr>
            <w:tcW w:w="132" w:type="pct"/>
            <w:gridSpan w:val="2"/>
            <w:hideMark/>
          </w:tcPr>
          <w:p w14:paraId="7706F54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0FCAD6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8948D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6148F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vMerge w:val="restart"/>
            <w:hideMark/>
          </w:tcPr>
          <w:p w14:paraId="6DDA2D2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 (/HR dept); Counties </w:t>
            </w:r>
          </w:p>
          <w:p w14:paraId="6604256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481C15F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7883A95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p w14:paraId="6E04CE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980E7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60D95CB"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6DE50B59"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06F14FD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290C45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6C94A9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FF0000"/>
                <w:sz w:val="18"/>
                <w:szCs w:val="20"/>
              </w:rPr>
            </w:pPr>
          </w:p>
        </w:tc>
        <w:tc>
          <w:tcPr>
            <w:tcW w:w="401" w:type="pct"/>
            <w:vMerge/>
            <w:hideMark/>
          </w:tcPr>
          <w:p w14:paraId="634089C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DF1A2B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79FBBB5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Advertise for the posts</w:t>
            </w:r>
          </w:p>
        </w:tc>
        <w:tc>
          <w:tcPr>
            <w:tcW w:w="132" w:type="pct"/>
            <w:gridSpan w:val="2"/>
            <w:hideMark/>
          </w:tcPr>
          <w:p w14:paraId="494DE9C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D0EE2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F199BD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247DA23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vMerge/>
            <w:hideMark/>
          </w:tcPr>
          <w:p w14:paraId="02C5CB0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hideMark/>
          </w:tcPr>
          <w:p w14:paraId="790B00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276D438"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4238577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067FB44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C3448B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CD723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0000"/>
                <w:sz w:val="18"/>
                <w:szCs w:val="20"/>
              </w:rPr>
            </w:pPr>
          </w:p>
        </w:tc>
        <w:tc>
          <w:tcPr>
            <w:tcW w:w="401" w:type="pct"/>
            <w:vMerge/>
            <w:hideMark/>
          </w:tcPr>
          <w:p w14:paraId="547C789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62C4A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C3D4D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shortlist and conduct interviews </w:t>
            </w:r>
          </w:p>
        </w:tc>
        <w:tc>
          <w:tcPr>
            <w:tcW w:w="132" w:type="pct"/>
            <w:gridSpan w:val="2"/>
            <w:hideMark/>
          </w:tcPr>
          <w:p w14:paraId="46DA6F3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4EA859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41423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159" w:type="pct"/>
            <w:hideMark/>
          </w:tcPr>
          <w:p w14:paraId="43B185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vMerge/>
            <w:hideMark/>
          </w:tcPr>
          <w:p w14:paraId="0C4CBF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hideMark/>
          </w:tcPr>
          <w:p w14:paraId="7748E4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2E2C9AB"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63B82DF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2BC7B9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82A884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2BBA7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FF0000"/>
                <w:sz w:val="18"/>
                <w:szCs w:val="20"/>
              </w:rPr>
            </w:pPr>
          </w:p>
        </w:tc>
        <w:tc>
          <w:tcPr>
            <w:tcW w:w="401" w:type="pct"/>
            <w:vMerge/>
            <w:hideMark/>
          </w:tcPr>
          <w:p w14:paraId="74201A7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EA32DC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5201C1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Induction and Deployment of the staff</w:t>
            </w:r>
          </w:p>
        </w:tc>
        <w:tc>
          <w:tcPr>
            <w:tcW w:w="132" w:type="pct"/>
            <w:gridSpan w:val="2"/>
            <w:hideMark/>
          </w:tcPr>
          <w:p w14:paraId="5BE1537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E4B411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80DC34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30A9C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hideMark/>
          </w:tcPr>
          <w:p w14:paraId="691DA6D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hideMark/>
          </w:tcPr>
          <w:p w14:paraId="3196D7D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5D8DED8"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515F5CF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27D6FC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313526A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F1922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0000"/>
                <w:sz w:val="18"/>
                <w:szCs w:val="20"/>
              </w:rPr>
            </w:pPr>
          </w:p>
        </w:tc>
        <w:tc>
          <w:tcPr>
            <w:tcW w:w="401" w:type="pct"/>
            <w:vMerge/>
            <w:hideMark/>
          </w:tcPr>
          <w:p w14:paraId="6252FA7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45EAD7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5F31CE6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and attract expertise in Key areas</w:t>
            </w:r>
          </w:p>
        </w:tc>
        <w:tc>
          <w:tcPr>
            <w:tcW w:w="132" w:type="pct"/>
            <w:gridSpan w:val="2"/>
            <w:hideMark/>
          </w:tcPr>
          <w:p w14:paraId="14C912C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0E2145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C33225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0B99AE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vMerge/>
            <w:hideMark/>
          </w:tcPr>
          <w:p w14:paraId="7B779A5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hideMark/>
          </w:tcPr>
          <w:p w14:paraId="36696F2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1336774" w14:textId="77777777" w:rsidTr="00C559FB">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449" w:type="pct"/>
            <w:vMerge/>
            <w:hideMark/>
          </w:tcPr>
          <w:p w14:paraId="6BE9AB2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7E5706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Increase the number of health workers trained </w:t>
            </w:r>
          </w:p>
        </w:tc>
        <w:tc>
          <w:tcPr>
            <w:tcW w:w="573" w:type="pct"/>
            <w:hideMark/>
          </w:tcPr>
          <w:p w14:paraId="6BA8E8A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apprentice/interns</w:t>
            </w:r>
          </w:p>
        </w:tc>
        <w:tc>
          <w:tcPr>
            <w:tcW w:w="332" w:type="pct"/>
            <w:hideMark/>
          </w:tcPr>
          <w:p w14:paraId="49F2309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FF0000"/>
                <w:sz w:val="18"/>
                <w:szCs w:val="20"/>
              </w:rPr>
            </w:pPr>
            <w:r w:rsidRPr="00CC343C">
              <w:rPr>
                <w:rFonts w:ascii="Arial Narrow" w:eastAsia="Times New Roman" w:hAnsi="Arial Narrow" w:cstheme="minorHAnsi"/>
                <w:color w:val="FF0000"/>
                <w:sz w:val="18"/>
                <w:szCs w:val="20"/>
              </w:rPr>
              <w:t> </w:t>
            </w:r>
          </w:p>
        </w:tc>
        <w:tc>
          <w:tcPr>
            <w:tcW w:w="401" w:type="pct"/>
            <w:hideMark/>
          </w:tcPr>
          <w:p w14:paraId="6B3F47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2,200</w:t>
            </w:r>
          </w:p>
        </w:tc>
        <w:tc>
          <w:tcPr>
            <w:tcW w:w="487" w:type="pct"/>
            <w:vMerge w:val="restart"/>
            <w:hideMark/>
          </w:tcPr>
          <w:p w14:paraId="7593E1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Training of HR for Health </w:t>
            </w:r>
          </w:p>
        </w:tc>
        <w:tc>
          <w:tcPr>
            <w:tcW w:w="593" w:type="pct"/>
            <w:gridSpan w:val="2"/>
            <w:hideMark/>
          </w:tcPr>
          <w:p w14:paraId="452BD5E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Offer apprentice/internship positions</w:t>
            </w:r>
          </w:p>
        </w:tc>
        <w:tc>
          <w:tcPr>
            <w:tcW w:w="132" w:type="pct"/>
            <w:gridSpan w:val="2"/>
            <w:hideMark/>
          </w:tcPr>
          <w:p w14:paraId="3DBADAF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46EDE7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C5A5A6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14BA21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2D9764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23FCB8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FD53D2B" w14:textId="77777777" w:rsidTr="00C559FB">
        <w:trPr>
          <w:trHeight w:val="98"/>
        </w:trPr>
        <w:tc>
          <w:tcPr>
            <w:cnfStyle w:val="001000000000" w:firstRow="0" w:lastRow="0" w:firstColumn="1" w:lastColumn="0" w:oddVBand="0" w:evenVBand="0" w:oddHBand="0" w:evenHBand="0" w:firstRowFirstColumn="0" w:firstRowLastColumn="0" w:lastRowFirstColumn="0" w:lastRowLastColumn="0"/>
            <w:tcW w:w="449" w:type="pct"/>
            <w:vMerge/>
            <w:hideMark/>
          </w:tcPr>
          <w:p w14:paraId="1C14885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ABF11C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6F18C9A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Specialists trained</w:t>
            </w:r>
          </w:p>
        </w:tc>
        <w:tc>
          <w:tcPr>
            <w:tcW w:w="332" w:type="pct"/>
            <w:hideMark/>
          </w:tcPr>
          <w:p w14:paraId="24FD73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0000"/>
                <w:sz w:val="18"/>
                <w:szCs w:val="20"/>
              </w:rPr>
            </w:pPr>
            <w:r w:rsidRPr="00CC343C">
              <w:rPr>
                <w:rFonts w:ascii="Arial Narrow" w:eastAsia="Times New Roman" w:hAnsi="Arial Narrow" w:cstheme="minorHAnsi"/>
                <w:color w:val="FF0000"/>
                <w:sz w:val="18"/>
                <w:szCs w:val="20"/>
              </w:rPr>
              <w:t> </w:t>
            </w:r>
          </w:p>
        </w:tc>
        <w:tc>
          <w:tcPr>
            <w:tcW w:w="401" w:type="pct"/>
            <w:hideMark/>
          </w:tcPr>
          <w:p w14:paraId="2A4788C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30</w:t>
            </w:r>
          </w:p>
        </w:tc>
        <w:tc>
          <w:tcPr>
            <w:tcW w:w="487" w:type="pct"/>
            <w:vMerge/>
            <w:hideMark/>
          </w:tcPr>
          <w:p w14:paraId="1556DA8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4009B1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Train oncologists </w:t>
            </w:r>
          </w:p>
        </w:tc>
        <w:tc>
          <w:tcPr>
            <w:tcW w:w="132" w:type="pct"/>
            <w:gridSpan w:val="2"/>
            <w:hideMark/>
          </w:tcPr>
          <w:p w14:paraId="4EEA5F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064445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19E79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7AF956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560468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0237C0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812E179" w14:textId="77777777" w:rsidTr="00C559FB">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449" w:type="pct"/>
            <w:vMerge/>
            <w:hideMark/>
          </w:tcPr>
          <w:p w14:paraId="22986FE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4D0963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7C38587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other staff trained</w:t>
            </w:r>
          </w:p>
        </w:tc>
        <w:tc>
          <w:tcPr>
            <w:tcW w:w="332" w:type="pct"/>
            <w:hideMark/>
          </w:tcPr>
          <w:p w14:paraId="18A791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FF0000"/>
                <w:sz w:val="18"/>
                <w:szCs w:val="20"/>
              </w:rPr>
            </w:pPr>
            <w:r w:rsidRPr="00CC343C">
              <w:rPr>
                <w:rFonts w:ascii="Arial Narrow" w:eastAsia="Times New Roman" w:hAnsi="Arial Narrow" w:cstheme="minorHAnsi"/>
                <w:color w:val="FF0000"/>
                <w:sz w:val="18"/>
                <w:szCs w:val="20"/>
              </w:rPr>
              <w:t> </w:t>
            </w:r>
          </w:p>
        </w:tc>
        <w:tc>
          <w:tcPr>
            <w:tcW w:w="401" w:type="pct"/>
            <w:hideMark/>
          </w:tcPr>
          <w:p w14:paraId="6F97B9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487" w:type="pct"/>
            <w:vMerge/>
            <w:hideMark/>
          </w:tcPr>
          <w:p w14:paraId="2ABEC33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7354BA9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FF0000"/>
                <w:sz w:val="18"/>
                <w:szCs w:val="20"/>
              </w:rPr>
            </w:pPr>
            <w:r w:rsidRPr="00CC343C">
              <w:rPr>
                <w:rFonts w:ascii="Arial Narrow" w:eastAsia="Times New Roman" w:hAnsi="Arial Narrow" w:cstheme="minorHAnsi"/>
                <w:color w:val="FF0000"/>
                <w:sz w:val="18"/>
                <w:szCs w:val="20"/>
              </w:rPr>
              <w:t></w:t>
            </w:r>
          </w:p>
        </w:tc>
        <w:tc>
          <w:tcPr>
            <w:tcW w:w="132" w:type="pct"/>
            <w:gridSpan w:val="2"/>
            <w:hideMark/>
          </w:tcPr>
          <w:p w14:paraId="148860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EDF305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34F1D3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D2111C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28B526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48A39E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4B2BC0E"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49" w:type="pct"/>
            <w:vMerge w:val="restart"/>
            <w:hideMark/>
          </w:tcPr>
          <w:p w14:paraId="1760C097"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lastRenderedPageBreak/>
              <w:t>Ensure availability of medical equipment</w:t>
            </w:r>
          </w:p>
        </w:tc>
        <w:tc>
          <w:tcPr>
            <w:tcW w:w="545" w:type="pct"/>
            <w:gridSpan w:val="2"/>
            <w:vMerge w:val="restart"/>
            <w:hideMark/>
          </w:tcPr>
          <w:p w14:paraId="75C92E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CT-Scan equipment for 37 hospitals availed </w:t>
            </w:r>
          </w:p>
        </w:tc>
        <w:tc>
          <w:tcPr>
            <w:tcW w:w="573" w:type="pct"/>
            <w:vMerge w:val="restart"/>
            <w:hideMark/>
          </w:tcPr>
          <w:p w14:paraId="420345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hospitals with   CT-Scan equipment</w:t>
            </w:r>
          </w:p>
        </w:tc>
        <w:tc>
          <w:tcPr>
            <w:tcW w:w="332" w:type="pct"/>
            <w:vMerge w:val="restart"/>
            <w:hideMark/>
          </w:tcPr>
          <w:p w14:paraId="1294CCC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17 </w:t>
            </w:r>
            <w:r w:rsidRPr="00CC343C">
              <w:rPr>
                <w:rFonts w:ascii="Arial Narrow" w:eastAsia="Times New Roman" w:hAnsi="Arial Narrow" w:cstheme="minorHAnsi"/>
                <w:bCs/>
                <w:i/>
                <w:color w:val="000000"/>
                <w:sz w:val="18"/>
                <w:szCs w:val="20"/>
              </w:rPr>
              <w:t>(5 to be replaced Machakos, Voi, coast General, Kenyatta and MTRH)</w:t>
            </w:r>
          </w:p>
        </w:tc>
        <w:tc>
          <w:tcPr>
            <w:tcW w:w="401" w:type="pct"/>
            <w:vMerge w:val="restart"/>
            <w:hideMark/>
          </w:tcPr>
          <w:p w14:paraId="717F9F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49</w:t>
            </w:r>
          </w:p>
        </w:tc>
        <w:tc>
          <w:tcPr>
            <w:tcW w:w="487" w:type="pct"/>
            <w:vMerge w:val="restart"/>
            <w:hideMark/>
          </w:tcPr>
          <w:p w14:paraId="481672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Provide CT scan Equipment for 37 hospitals </w:t>
            </w:r>
          </w:p>
        </w:tc>
        <w:tc>
          <w:tcPr>
            <w:tcW w:w="593" w:type="pct"/>
            <w:gridSpan w:val="2"/>
            <w:hideMark/>
          </w:tcPr>
          <w:p w14:paraId="202134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color w:val="000000"/>
                <w:sz w:val="18"/>
                <w:szCs w:val="20"/>
              </w:rPr>
              <w:t xml:space="preserve"> Install and commission the CT scans</w:t>
            </w:r>
          </w:p>
        </w:tc>
        <w:tc>
          <w:tcPr>
            <w:tcW w:w="132" w:type="pct"/>
            <w:gridSpan w:val="2"/>
            <w:hideMark/>
          </w:tcPr>
          <w:p w14:paraId="34E841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165" w:type="pct"/>
            <w:gridSpan w:val="2"/>
            <w:hideMark/>
          </w:tcPr>
          <w:p w14:paraId="4D21247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B81D2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0E65677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633E1E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MOH/Curative and Rehab dept </w:t>
            </w:r>
          </w:p>
        </w:tc>
        <w:tc>
          <w:tcPr>
            <w:tcW w:w="258" w:type="pct"/>
            <w:hideMark/>
          </w:tcPr>
          <w:p w14:paraId="612648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1F7AD8A" w14:textId="77777777" w:rsidTr="00C559FB">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449" w:type="pct"/>
            <w:vMerge/>
            <w:hideMark/>
          </w:tcPr>
          <w:p w14:paraId="27E51544"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1A6DA3A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B2CF2B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6696D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159A480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vMerge/>
            <w:hideMark/>
          </w:tcPr>
          <w:p w14:paraId="5AC9F26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1066678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color w:val="000000"/>
                <w:sz w:val="18"/>
                <w:szCs w:val="20"/>
              </w:rPr>
              <w:t>Train health workers (radio imaging staff) on operationalization of the equipment</w:t>
            </w:r>
          </w:p>
        </w:tc>
        <w:tc>
          <w:tcPr>
            <w:tcW w:w="132" w:type="pct"/>
            <w:gridSpan w:val="2"/>
            <w:hideMark/>
          </w:tcPr>
          <w:p w14:paraId="439DE89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BF137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FF9AE1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7897C1A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70EC16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258" w:type="pct"/>
            <w:hideMark/>
          </w:tcPr>
          <w:p w14:paraId="2C1CA5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225EBB4"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49" w:type="pct"/>
            <w:vMerge/>
            <w:hideMark/>
          </w:tcPr>
          <w:p w14:paraId="75C97D1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4DCFF1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Expansion of MES (21 Additional hospitals and increase capacity in other hospitals; with Surgical theatres, ICU, CSSD and dialysis equipment</w:t>
            </w:r>
          </w:p>
        </w:tc>
        <w:tc>
          <w:tcPr>
            <w:tcW w:w="573" w:type="pct"/>
            <w:vMerge w:val="restart"/>
            <w:hideMark/>
          </w:tcPr>
          <w:p w14:paraId="3D75A2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hospitals equipped with Surgical theatres, ICU, CSSD and dialysis equipment</w:t>
            </w:r>
          </w:p>
        </w:tc>
        <w:tc>
          <w:tcPr>
            <w:tcW w:w="332" w:type="pct"/>
            <w:vMerge w:val="restart"/>
            <w:hideMark/>
          </w:tcPr>
          <w:p w14:paraId="64E6045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As per different lots (below) </w:t>
            </w:r>
          </w:p>
        </w:tc>
        <w:tc>
          <w:tcPr>
            <w:tcW w:w="401" w:type="pct"/>
            <w:vMerge w:val="restart"/>
            <w:hideMark/>
          </w:tcPr>
          <w:p w14:paraId="67428E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As per different lots (below)  </w:t>
            </w:r>
          </w:p>
        </w:tc>
        <w:tc>
          <w:tcPr>
            <w:tcW w:w="487" w:type="pct"/>
            <w:vMerge w:val="restart"/>
            <w:hideMark/>
          </w:tcPr>
          <w:p w14:paraId="7F57E9A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Equip 21 additional hospitals with Surgical theatres, radiology and dialysis equipment </w:t>
            </w:r>
          </w:p>
        </w:tc>
        <w:tc>
          <w:tcPr>
            <w:tcW w:w="593" w:type="pct"/>
            <w:gridSpan w:val="2"/>
            <w:hideMark/>
          </w:tcPr>
          <w:p w14:paraId="6AAB21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Preparation of site</w:t>
            </w:r>
          </w:p>
        </w:tc>
        <w:tc>
          <w:tcPr>
            <w:tcW w:w="132" w:type="pct"/>
            <w:gridSpan w:val="2"/>
            <w:hideMark/>
          </w:tcPr>
          <w:p w14:paraId="423E89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44017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9C8235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6E01035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37EA24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MOH/Curative and Rehab department </w:t>
            </w:r>
          </w:p>
        </w:tc>
        <w:tc>
          <w:tcPr>
            <w:tcW w:w="258" w:type="pct"/>
            <w:hideMark/>
          </w:tcPr>
          <w:p w14:paraId="2C75115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0550329"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23D0105D"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00108D9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1613959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85FB31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A66D8B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695885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19C7C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Install and commission the equipment</w:t>
            </w:r>
          </w:p>
        </w:tc>
        <w:tc>
          <w:tcPr>
            <w:tcW w:w="132" w:type="pct"/>
            <w:gridSpan w:val="2"/>
            <w:hideMark/>
          </w:tcPr>
          <w:p w14:paraId="0B6A90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2491F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A47EA4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3F2559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12C97DF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r w:rsidRPr="00CC343C">
              <w:rPr>
                <w:rFonts w:ascii="Arial Narrow" w:eastAsia="Times New Roman" w:hAnsi="Arial Narrow" w:cstheme="minorHAnsi"/>
                <w:b/>
                <w:bCs/>
                <w:color w:val="000000"/>
                <w:sz w:val="18"/>
                <w:szCs w:val="20"/>
              </w:rPr>
              <w:t>MOH/Curative and Rehab department</w:t>
            </w:r>
          </w:p>
        </w:tc>
        <w:tc>
          <w:tcPr>
            <w:tcW w:w="258" w:type="pct"/>
            <w:hideMark/>
          </w:tcPr>
          <w:p w14:paraId="56F2EC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A8D9FA5" w14:textId="77777777" w:rsidTr="00C559FB">
        <w:trPr>
          <w:trHeight w:val="332"/>
        </w:trPr>
        <w:tc>
          <w:tcPr>
            <w:cnfStyle w:val="001000000000" w:firstRow="0" w:lastRow="0" w:firstColumn="1" w:lastColumn="0" w:oddVBand="0" w:evenVBand="0" w:oddHBand="0" w:evenHBand="0" w:firstRowFirstColumn="0" w:firstRowLastColumn="0" w:lastRowFirstColumn="0" w:lastRowLastColumn="0"/>
            <w:tcW w:w="449" w:type="pct"/>
            <w:vMerge/>
            <w:hideMark/>
          </w:tcPr>
          <w:p w14:paraId="18670E18"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44946C2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D0638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2B7939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17A5E18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1CA7B9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5FF457D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Train health workers on operationalization of the equipment</w:t>
            </w:r>
          </w:p>
        </w:tc>
        <w:tc>
          <w:tcPr>
            <w:tcW w:w="132" w:type="pct"/>
            <w:gridSpan w:val="2"/>
            <w:hideMark/>
          </w:tcPr>
          <w:p w14:paraId="3BDB13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E8E804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BDC18F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65B7325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012452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MOH/Curative and Rehab department</w:t>
            </w:r>
          </w:p>
        </w:tc>
        <w:tc>
          <w:tcPr>
            <w:tcW w:w="258" w:type="pct"/>
            <w:hideMark/>
          </w:tcPr>
          <w:p w14:paraId="17F419C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59BCF3F" w14:textId="77777777" w:rsidTr="00C559FB">
        <w:trPr>
          <w:cnfStyle w:val="000000100000" w:firstRow="0" w:lastRow="0" w:firstColumn="0" w:lastColumn="0" w:oddVBand="0" w:evenVBand="0" w:oddHBand="1"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449" w:type="pct"/>
            <w:vMerge/>
          </w:tcPr>
          <w:p w14:paraId="763220D4"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tcPr>
          <w:p w14:paraId="7C22657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i/>
                <w:color w:val="000000"/>
                <w:sz w:val="18"/>
                <w:szCs w:val="20"/>
              </w:rPr>
            </w:pPr>
            <w:r w:rsidRPr="00CC343C">
              <w:rPr>
                <w:rFonts w:ascii="Arial Narrow" w:eastAsia="Times New Roman" w:hAnsi="Arial Narrow" w:cstheme="minorHAnsi"/>
                <w:bCs/>
                <w:i/>
                <w:color w:val="000000"/>
                <w:sz w:val="18"/>
                <w:szCs w:val="20"/>
              </w:rPr>
              <w:t>Install 3 additional ICUs (Two new in Narok and Meru and Increase capacity in MTRH</w:t>
            </w:r>
          </w:p>
        </w:tc>
        <w:tc>
          <w:tcPr>
            <w:tcW w:w="573" w:type="pct"/>
          </w:tcPr>
          <w:p w14:paraId="4E9A86A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i/>
                <w:color w:val="000000"/>
                <w:sz w:val="18"/>
                <w:szCs w:val="20"/>
              </w:rPr>
            </w:pPr>
            <w:r w:rsidRPr="00CC343C">
              <w:rPr>
                <w:rFonts w:ascii="Arial Narrow" w:eastAsia="Times New Roman" w:hAnsi="Arial Narrow" w:cstheme="minorHAnsi"/>
                <w:bCs/>
                <w:i/>
                <w:color w:val="000000"/>
                <w:sz w:val="18"/>
                <w:szCs w:val="20"/>
              </w:rPr>
              <w:t xml:space="preserve">Number of hospitals with ICUs. </w:t>
            </w:r>
          </w:p>
        </w:tc>
        <w:tc>
          <w:tcPr>
            <w:tcW w:w="332" w:type="pct"/>
          </w:tcPr>
          <w:p w14:paraId="192B9B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11   </w:t>
            </w:r>
          </w:p>
        </w:tc>
        <w:tc>
          <w:tcPr>
            <w:tcW w:w="401" w:type="pct"/>
          </w:tcPr>
          <w:p w14:paraId="38FCC6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13  </w:t>
            </w:r>
          </w:p>
        </w:tc>
        <w:tc>
          <w:tcPr>
            <w:tcW w:w="487" w:type="pct"/>
          </w:tcPr>
          <w:p w14:paraId="544B696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Install ICUS in MTRH, Meru and Narok hospitals </w:t>
            </w:r>
          </w:p>
        </w:tc>
        <w:tc>
          <w:tcPr>
            <w:tcW w:w="593" w:type="pct"/>
            <w:gridSpan w:val="2"/>
          </w:tcPr>
          <w:p w14:paraId="6C17E2C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6B6382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63940C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operationalization of the equipment </w:t>
            </w:r>
          </w:p>
        </w:tc>
        <w:tc>
          <w:tcPr>
            <w:tcW w:w="132" w:type="pct"/>
            <w:gridSpan w:val="2"/>
          </w:tcPr>
          <w:p w14:paraId="41B9FE2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x</w:t>
            </w:r>
          </w:p>
        </w:tc>
        <w:tc>
          <w:tcPr>
            <w:tcW w:w="165" w:type="pct"/>
            <w:gridSpan w:val="2"/>
          </w:tcPr>
          <w:p w14:paraId="17575D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0D9CA1B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4CF4C4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6521108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4083A69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98A106F" w14:textId="77777777" w:rsidTr="00C559FB">
        <w:trPr>
          <w:trHeight w:val="683"/>
        </w:trPr>
        <w:tc>
          <w:tcPr>
            <w:cnfStyle w:val="001000000000" w:firstRow="0" w:lastRow="0" w:firstColumn="1" w:lastColumn="0" w:oddVBand="0" w:evenVBand="0" w:oddHBand="0" w:evenHBand="0" w:firstRowFirstColumn="0" w:firstRowLastColumn="0" w:lastRowFirstColumn="0" w:lastRowLastColumn="0"/>
            <w:tcW w:w="449" w:type="pct"/>
            <w:vMerge/>
          </w:tcPr>
          <w:p w14:paraId="156A612E"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tcPr>
          <w:p w14:paraId="2D1EEB8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i/>
                <w:color w:val="000000"/>
                <w:sz w:val="18"/>
                <w:szCs w:val="20"/>
              </w:rPr>
            </w:pPr>
            <w:r w:rsidRPr="00CC343C">
              <w:rPr>
                <w:rFonts w:ascii="Arial Narrow" w:eastAsia="Times New Roman" w:hAnsi="Arial Narrow" w:cstheme="minorHAnsi"/>
                <w:bCs/>
                <w:i/>
                <w:color w:val="000000"/>
                <w:sz w:val="18"/>
                <w:szCs w:val="20"/>
              </w:rPr>
              <w:t xml:space="preserve">Fully equip an additional 11 Dialysis centers (4 new and increase capacity in 7 high volume hospitals) </w:t>
            </w:r>
          </w:p>
        </w:tc>
        <w:tc>
          <w:tcPr>
            <w:tcW w:w="573" w:type="pct"/>
            <w:vMerge w:val="restart"/>
          </w:tcPr>
          <w:p w14:paraId="163DFD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i/>
                <w:color w:val="000000"/>
                <w:sz w:val="18"/>
                <w:szCs w:val="20"/>
              </w:rPr>
            </w:pPr>
            <w:r w:rsidRPr="00CC343C">
              <w:rPr>
                <w:rFonts w:ascii="Arial Narrow" w:eastAsia="Times New Roman" w:hAnsi="Arial Narrow" w:cstheme="minorHAnsi"/>
                <w:bCs/>
                <w:i/>
                <w:color w:val="000000"/>
                <w:sz w:val="18"/>
                <w:szCs w:val="20"/>
              </w:rPr>
              <w:t>Number of hospitals with dialysis centers</w:t>
            </w:r>
          </w:p>
        </w:tc>
        <w:tc>
          <w:tcPr>
            <w:tcW w:w="332" w:type="pct"/>
            <w:vMerge w:val="restart"/>
          </w:tcPr>
          <w:p w14:paraId="6335A2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49 (one per county and KNH and MTRH</w:t>
            </w:r>
          </w:p>
        </w:tc>
        <w:tc>
          <w:tcPr>
            <w:tcW w:w="401" w:type="pct"/>
            <w:vMerge w:val="restart"/>
          </w:tcPr>
          <w:p w14:paraId="1BBA41F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53</w:t>
            </w:r>
          </w:p>
        </w:tc>
        <w:tc>
          <w:tcPr>
            <w:tcW w:w="487" w:type="pct"/>
          </w:tcPr>
          <w:p w14:paraId="53815ED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Install dialysis centers in MTRH, KNH, JOOOTRH, Coast General, Moyale  </w:t>
            </w:r>
          </w:p>
          <w:p w14:paraId="252074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p>
        </w:tc>
        <w:tc>
          <w:tcPr>
            <w:tcW w:w="593" w:type="pct"/>
            <w:gridSpan w:val="2"/>
          </w:tcPr>
          <w:p w14:paraId="692487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3980C5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1C22D7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operationalization of the equipment </w:t>
            </w:r>
          </w:p>
        </w:tc>
        <w:tc>
          <w:tcPr>
            <w:tcW w:w="132" w:type="pct"/>
            <w:gridSpan w:val="2"/>
          </w:tcPr>
          <w:p w14:paraId="7FACF2C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x</w:t>
            </w:r>
          </w:p>
        </w:tc>
        <w:tc>
          <w:tcPr>
            <w:tcW w:w="165" w:type="pct"/>
            <w:gridSpan w:val="2"/>
          </w:tcPr>
          <w:p w14:paraId="28EAE7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56BA5BE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4664C8E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237CBFF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MOH/Curative and Rehab department </w:t>
            </w:r>
          </w:p>
        </w:tc>
        <w:tc>
          <w:tcPr>
            <w:tcW w:w="258" w:type="pct"/>
          </w:tcPr>
          <w:p w14:paraId="03DCD2A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5B1A0A50" w14:textId="77777777" w:rsidTr="00C559FB">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449" w:type="pct"/>
            <w:vMerge/>
          </w:tcPr>
          <w:p w14:paraId="50A53BE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6DF7F4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i/>
                <w:color w:val="000000"/>
                <w:sz w:val="18"/>
                <w:szCs w:val="20"/>
              </w:rPr>
            </w:pPr>
          </w:p>
        </w:tc>
        <w:tc>
          <w:tcPr>
            <w:tcW w:w="573" w:type="pct"/>
            <w:vMerge/>
          </w:tcPr>
          <w:p w14:paraId="5C7E99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i/>
                <w:color w:val="000000"/>
                <w:sz w:val="18"/>
                <w:szCs w:val="20"/>
              </w:rPr>
            </w:pPr>
          </w:p>
        </w:tc>
        <w:tc>
          <w:tcPr>
            <w:tcW w:w="332" w:type="pct"/>
            <w:vMerge/>
          </w:tcPr>
          <w:p w14:paraId="7FD68C6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p>
        </w:tc>
        <w:tc>
          <w:tcPr>
            <w:tcW w:w="401" w:type="pct"/>
            <w:vMerge/>
          </w:tcPr>
          <w:p w14:paraId="64D5D3E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p>
        </w:tc>
        <w:tc>
          <w:tcPr>
            <w:tcW w:w="487" w:type="pct"/>
          </w:tcPr>
          <w:p w14:paraId="7A2F993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dialysis Centers in Nakuru, Kisii, Meru, Machakos, Naivasha and Gatundu</w:t>
            </w:r>
          </w:p>
        </w:tc>
        <w:tc>
          <w:tcPr>
            <w:tcW w:w="593" w:type="pct"/>
            <w:gridSpan w:val="2"/>
          </w:tcPr>
          <w:p w14:paraId="0F14B6D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28B6CE8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081E50B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w:t>
            </w:r>
            <w:r w:rsidRPr="00CC343C">
              <w:rPr>
                <w:rFonts w:ascii="Arial Narrow" w:eastAsia="Times New Roman" w:hAnsi="Arial Narrow" w:cstheme="minorHAnsi"/>
                <w:i/>
                <w:color w:val="000000"/>
                <w:sz w:val="18"/>
                <w:szCs w:val="20"/>
              </w:rPr>
              <w:lastRenderedPageBreak/>
              <w:t xml:space="preserve">operationalization of the equipment </w:t>
            </w:r>
          </w:p>
        </w:tc>
        <w:tc>
          <w:tcPr>
            <w:tcW w:w="132" w:type="pct"/>
            <w:gridSpan w:val="2"/>
          </w:tcPr>
          <w:p w14:paraId="0E0B22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p>
        </w:tc>
        <w:tc>
          <w:tcPr>
            <w:tcW w:w="165" w:type="pct"/>
            <w:gridSpan w:val="2"/>
          </w:tcPr>
          <w:p w14:paraId="5C24F3B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tcPr>
          <w:p w14:paraId="10A7259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77594DA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38058E1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4828AA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CE7B377" w14:textId="77777777" w:rsidTr="00C559FB">
        <w:trPr>
          <w:trHeight w:val="638"/>
        </w:trPr>
        <w:tc>
          <w:tcPr>
            <w:cnfStyle w:val="001000000000" w:firstRow="0" w:lastRow="0" w:firstColumn="1" w:lastColumn="0" w:oddVBand="0" w:evenVBand="0" w:oddHBand="0" w:evenHBand="0" w:firstRowFirstColumn="0" w:firstRowLastColumn="0" w:lastRowFirstColumn="0" w:lastRowLastColumn="0"/>
            <w:tcW w:w="449" w:type="pct"/>
            <w:vMerge/>
          </w:tcPr>
          <w:p w14:paraId="110A7DB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tcPr>
          <w:p w14:paraId="5A84FF5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Fully equip 28 additional theatres (8 in new hospitals and increasing capacity in the 20)</w:t>
            </w:r>
          </w:p>
        </w:tc>
        <w:tc>
          <w:tcPr>
            <w:tcW w:w="573" w:type="pct"/>
            <w:vMerge w:val="restart"/>
          </w:tcPr>
          <w:p w14:paraId="3B437E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Number of theatres that are fully equipped through MES program</w:t>
            </w:r>
          </w:p>
        </w:tc>
        <w:tc>
          <w:tcPr>
            <w:tcW w:w="332" w:type="pct"/>
            <w:vMerge w:val="restart"/>
          </w:tcPr>
          <w:p w14:paraId="274F1D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183 theaters in </w:t>
            </w:r>
            <w:r w:rsidRPr="00CC343C">
              <w:rPr>
                <w:rFonts w:ascii="Arial Narrow" w:eastAsia="Times New Roman" w:hAnsi="Arial Narrow" w:cstheme="minorHAnsi"/>
                <w:color w:val="000000"/>
                <w:sz w:val="18"/>
                <w:szCs w:val="20"/>
                <w:highlight w:val="yellow"/>
              </w:rPr>
              <w:t>96</w:t>
            </w:r>
            <w:r w:rsidRPr="00CC343C">
              <w:rPr>
                <w:rFonts w:ascii="Arial Narrow" w:eastAsia="Times New Roman" w:hAnsi="Arial Narrow" w:cstheme="minorHAnsi"/>
                <w:color w:val="000000"/>
                <w:sz w:val="18"/>
                <w:szCs w:val="20"/>
              </w:rPr>
              <w:t xml:space="preserve"> Hospitals </w:t>
            </w:r>
          </w:p>
        </w:tc>
        <w:tc>
          <w:tcPr>
            <w:tcW w:w="401" w:type="pct"/>
            <w:vMerge w:val="restart"/>
          </w:tcPr>
          <w:p w14:paraId="211BCBE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211 theaters in 104 hospitals </w:t>
            </w:r>
          </w:p>
        </w:tc>
        <w:tc>
          <w:tcPr>
            <w:tcW w:w="487" w:type="pct"/>
          </w:tcPr>
          <w:p w14:paraId="426A40D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Fully equip 14 theatres; (2 each in MTRH; KNH, JOOOTRH, Coast General, Nakuru and Kisii; and 1 each in Moyale     and Kigumo hospitals </w:t>
            </w:r>
          </w:p>
        </w:tc>
        <w:tc>
          <w:tcPr>
            <w:tcW w:w="593" w:type="pct"/>
            <w:gridSpan w:val="2"/>
          </w:tcPr>
          <w:p w14:paraId="014790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31869C6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142C28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operationalization of the equipment </w:t>
            </w:r>
          </w:p>
          <w:p w14:paraId="7D24AF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32" w:type="pct"/>
            <w:gridSpan w:val="2"/>
          </w:tcPr>
          <w:p w14:paraId="0369A3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tcPr>
          <w:p w14:paraId="06A3D43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561161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73C801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5AE80B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1312A24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E52CDA2" w14:textId="77777777" w:rsidTr="00C559FB">
        <w:trPr>
          <w:cnfStyle w:val="000000100000" w:firstRow="0" w:lastRow="0" w:firstColumn="0" w:lastColumn="0" w:oddVBand="0" w:evenVBand="0" w:oddHBand="1"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449" w:type="pct"/>
            <w:vMerge/>
          </w:tcPr>
          <w:p w14:paraId="6FDCAEE0"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002DAEA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7391158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1FF2C6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3FB57C5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tcPr>
          <w:p w14:paraId="30708BD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Fully equip 14 theatres; (1 each in Nyamache, Yala, Molo, Londiani, Mwala, Kanyakine, Embu, Garissa and 2 each in Thika, Kakamega and Nyeri)</w:t>
            </w:r>
          </w:p>
        </w:tc>
        <w:tc>
          <w:tcPr>
            <w:tcW w:w="593" w:type="pct"/>
            <w:gridSpan w:val="2"/>
          </w:tcPr>
          <w:p w14:paraId="68B0CC2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6195F93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5185D0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operationalization of the equipment </w:t>
            </w:r>
          </w:p>
          <w:p w14:paraId="15896BD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tc>
        <w:tc>
          <w:tcPr>
            <w:tcW w:w="132" w:type="pct"/>
            <w:gridSpan w:val="2"/>
          </w:tcPr>
          <w:p w14:paraId="53FBCB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7DB28C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tcPr>
          <w:p w14:paraId="45CDBA4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06FEF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613AC36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2666BC4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20F07CA7" w14:textId="77777777" w:rsidTr="00C559FB">
        <w:trPr>
          <w:trHeight w:val="900"/>
        </w:trPr>
        <w:tc>
          <w:tcPr>
            <w:cnfStyle w:val="001000000000" w:firstRow="0" w:lastRow="0" w:firstColumn="1" w:lastColumn="0" w:oddVBand="0" w:evenVBand="0" w:oddHBand="0" w:evenHBand="0" w:firstRowFirstColumn="0" w:firstRowLastColumn="0" w:lastRowFirstColumn="0" w:lastRowLastColumn="0"/>
            <w:tcW w:w="449" w:type="pct"/>
            <w:vMerge/>
          </w:tcPr>
          <w:p w14:paraId="59A79CC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tcPr>
          <w:p w14:paraId="0E35C7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Full equip additional 24 hospitals with CSSD (21 New and additional capacity in 3 hospitals)</w:t>
            </w:r>
          </w:p>
        </w:tc>
        <w:tc>
          <w:tcPr>
            <w:tcW w:w="573" w:type="pct"/>
            <w:vMerge w:val="restart"/>
          </w:tcPr>
          <w:p w14:paraId="4039DB5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Number of hospitals with CSSDs through MES program </w:t>
            </w:r>
          </w:p>
        </w:tc>
        <w:tc>
          <w:tcPr>
            <w:tcW w:w="332" w:type="pct"/>
            <w:vMerge w:val="restart"/>
          </w:tcPr>
          <w:p w14:paraId="06A15C6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96</w:t>
            </w:r>
          </w:p>
        </w:tc>
        <w:tc>
          <w:tcPr>
            <w:tcW w:w="401" w:type="pct"/>
            <w:vMerge w:val="restart"/>
          </w:tcPr>
          <w:p w14:paraId="77617D5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117</w:t>
            </w:r>
          </w:p>
        </w:tc>
        <w:tc>
          <w:tcPr>
            <w:tcW w:w="487" w:type="pct"/>
          </w:tcPr>
          <w:p w14:paraId="7211F10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Equip (1 in each; MTRH, Moyale, KNH, Kigumo, Nyamache, Yala, Molo, Londiani, Mwala, Kanyakine, Thika, </w:t>
            </w:r>
            <w:r w:rsidRPr="00CC343C">
              <w:rPr>
                <w:rFonts w:ascii="Arial Narrow" w:eastAsia="Times New Roman" w:hAnsi="Arial Narrow" w:cstheme="minorHAnsi"/>
                <w:sz w:val="18"/>
                <w:szCs w:val="20"/>
              </w:rPr>
              <w:t xml:space="preserve">Kimbimbi,  </w:t>
            </w:r>
          </w:p>
        </w:tc>
        <w:tc>
          <w:tcPr>
            <w:tcW w:w="593" w:type="pct"/>
            <w:gridSpan w:val="2"/>
          </w:tcPr>
          <w:p w14:paraId="3558A0F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Preparation of site</w:t>
            </w:r>
          </w:p>
          <w:p w14:paraId="2422F9B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6CD2DC3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i/>
                <w:color w:val="000000"/>
                <w:sz w:val="18"/>
                <w:szCs w:val="20"/>
              </w:rPr>
              <w:t xml:space="preserve">-Train health workers on operationalization of the equipment </w:t>
            </w:r>
          </w:p>
        </w:tc>
        <w:tc>
          <w:tcPr>
            <w:tcW w:w="132" w:type="pct"/>
            <w:gridSpan w:val="2"/>
          </w:tcPr>
          <w:p w14:paraId="7056F1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x </w:t>
            </w:r>
          </w:p>
        </w:tc>
        <w:tc>
          <w:tcPr>
            <w:tcW w:w="165" w:type="pct"/>
            <w:gridSpan w:val="2"/>
          </w:tcPr>
          <w:p w14:paraId="5282C0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7D195D2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5117D7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1AAF0D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48B69E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768731BA" w14:textId="77777777" w:rsidTr="00C559FB">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449" w:type="pct"/>
            <w:vMerge/>
          </w:tcPr>
          <w:p w14:paraId="44EAD74D"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00528D8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7A0B29E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1952C0C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16B9ABB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tcPr>
          <w:p w14:paraId="6BFD72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Equip (1 in   Magutuni, Gesima, Takaba, Manga, Mpeketoni, </w:t>
            </w:r>
            <w:r w:rsidRPr="00CC343C">
              <w:rPr>
                <w:rFonts w:ascii="Arial Narrow" w:eastAsia="Times New Roman" w:hAnsi="Arial Narrow" w:cstheme="minorHAnsi"/>
                <w:color w:val="000000"/>
                <w:sz w:val="18"/>
                <w:szCs w:val="20"/>
              </w:rPr>
              <w:lastRenderedPageBreak/>
              <w:t>Naivasha, Kiambu, Narok, Naitiri, Eldas, Bura, Port Reitz, Wesu, Suguta Marmar, Kamwosor</w:t>
            </w:r>
          </w:p>
        </w:tc>
        <w:tc>
          <w:tcPr>
            <w:tcW w:w="593" w:type="pct"/>
            <w:gridSpan w:val="2"/>
          </w:tcPr>
          <w:p w14:paraId="7510565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lastRenderedPageBreak/>
              <w:t>Preparation of site</w:t>
            </w:r>
          </w:p>
          <w:p w14:paraId="0ECD5FA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-Install and commission the equipment</w:t>
            </w:r>
          </w:p>
          <w:p w14:paraId="77DAB8D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r w:rsidRPr="00CC343C">
              <w:rPr>
                <w:rFonts w:ascii="Arial Narrow" w:eastAsia="Times New Roman" w:hAnsi="Arial Narrow" w:cstheme="minorHAnsi"/>
                <w:i/>
                <w:color w:val="000000"/>
                <w:sz w:val="18"/>
                <w:szCs w:val="20"/>
              </w:rPr>
              <w:t xml:space="preserve">-Train health workers on </w:t>
            </w:r>
            <w:r w:rsidRPr="00CC343C">
              <w:rPr>
                <w:rFonts w:ascii="Arial Narrow" w:eastAsia="Times New Roman" w:hAnsi="Arial Narrow" w:cstheme="minorHAnsi"/>
                <w:i/>
                <w:color w:val="000000"/>
                <w:sz w:val="18"/>
                <w:szCs w:val="20"/>
              </w:rPr>
              <w:lastRenderedPageBreak/>
              <w:t xml:space="preserve">operationalization of the equipment </w:t>
            </w:r>
          </w:p>
          <w:p w14:paraId="1CF12A8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color w:val="000000"/>
                <w:sz w:val="18"/>
                <w:szCs w:val="20"/>
              </w:rPr>
            </w:pPr>
          </w:p>
        </w:tc>
        <w:tc>
          <w:tcPr>
            <w:tcW w:w="132" w:type="pct"/>
            <w:gridSpan w:val="2"/>
          </w:tcPr>
          <w:p w14:paraId="6AF865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56480F3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tcPr>
          <w:p w14:paraId="257D674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56EF2F7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30FD80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 department</w:t>
            </w:r>
          </w:p>
        </w:tc>
        <w:tc>
          <w:tcPr>
            <w:tcW w:w="258" w:type="pct"/>
          </w:tcPr>
          <w:p w14:paraId="0827B6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A377CF2" w14:textId="77777777" w:rsidTr="00C559FB">
        <w:trPr>
          <w:trHeight w:val="449"/>
        </w:trPr>
        <w:tc>
          <w:tcPr>
            <w:cnfStyle w:val="001000000000" w:firstRow="0" w:lastRow="0" w:firstColumn="1" w:lastColumn="0" w:oddVBand="0" w:evenVBand="0" w:oddHBand="0" w:evenHBand="0" w:firstRowFirstColumn="0" w:firstRowLastColumn="0" w:lastRowFirstColumn="0" w:lastRowLastColumn="0"/>
            <w:tcW w:w="449" w:type="pct"/>
            <w:vMerge/>
            <w:hideMark/>
          </w:tcPr>
          <w:p w14:paraId="3B8B982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75597D2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Primary care facilities with cold-chain equipment</w:t>
            </w:r>
          </w:p>
        </w:tc>
        <w:tc>
          <w:tcPr>
            <w:tcW w:w="573" w:type="pct"/>
            <w:vMerge w:val="restart"/>
            <w:hideMark/>
          </w:tcPr>
          <w:p w14:paraId="0523A26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Primary care facilities equipped with cold-chain equipment</w:t>
            </w:r>
          </w:p>
        </w:tc>
        <w:tc>
          <w:tcPr>
            <w:tcW w:w="332" w:type="pct"/>
            <w:vMerge w:val="restart"/>
            <w:hideMark/>
          </w:tcPr>
          <w:p w14:paraId="431A23B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401" w:type="pct"/>
            <w:vMerge w:val="restart"/>
            <w:hideMark/>
          </w:tcPr>
          <w:p w14:paraId="5CD8ABD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x+750</w:t>
            </w:r>
          </w:p>
        </w:tc>
        <w:tc>
          <w:tcPr>
            <w:tcW w:w="487" w:type="pct"/>
            <w:vMerge w:val="restart"/>
            <w:hideMark/>
          </w:tcPr>
          <w:p w14:paraId="7F46710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Equip 750 health facilities with cold chain equipment</w:t>
            </w:r>
          </w:p>
        </w:tc>
        <w:tc>
          <w:tcPr>
            <w:tcW w:w="593" w:type="pct"/>
            <w:gridSpan w:val="2"/>
            <w:hideMark/>
          </w:tcPr>
          <w:p w14:paraId="4C6B5D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Procurement of the equipment </w:t>
            </w:r>
          </w:p>
        </w:tc>
        <w:tc>
          <w:tcPr>
            <w:tcW w:w="132" w:type="pct"/>
            <w:gridSpan w:val="2"/>
            <w:hideMark/>
          </w:tcPr>
          <w:p w14:paraId="4DDFB1C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w:t>
            </w:r>
          </w:p>
        </w:tc>
        <w:tc>
          <w:tcPr>
            <w:tcW w:w="165" w:type="pct"/>
            <w:gridSpan w:val="2"/>
            <w:hideMark/>
          </w:tcPr>
          <w:p w14:paraId="19B4A28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41CC9A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159" w:type="pct"/>
            <w:hideMark/>
          </w:tcPr>
          <w:p w14:paraId="61547D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742" w:type="pct"/>
            <w:gridSpan w:val="2"/>
            <w:hideMark/>
          </w:tcPr>
          <w:p w14:paraId="015A03B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MOH/Dept of Preventive/Promotive services /procurement</w:t>
            </w:r>
          </w:p>
        </w:tc>
        <w:tc>
          <w:tcPr>
            <w:tcW w:w="258" w:type="pct"/>
            <w:hideMark/>
          </w:tcPr>
          <w:p w14:paraId="754D86C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30FA950" w14:textId="77777777" w:rsidTr="00C559F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449" w:type="pct"/>
            <w:vMerge/>
          </w:tcPr>
          <w:p w14:paraId="7DC1254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75BF2A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41D000F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63C2084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25C471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tcPr>
          <w:p w14:paraId="7C56142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0D51330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Distribution of equipment </w:t>
            </w:r>
          </w:p>
        </w:tc>
        <w:tc>
          <w:tcPr>
            <w:tcW w:w="132" w:type="pct"/>
            <w:gridSpan w:val="2"/>
          </w:tcPr>
          <w:p w14:paraId="7F1F793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tcPr>
          <w:p w14:paraId="757A45D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tcPr>
          <w:p w14:paraId="6ED623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281E6EA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3286D5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MOH/preventive/promotive dept</w:t>
            </w:r>
          </w:p>
        </w:tc>
        <w:tc>
          <w:tcPr>
            <w:tcW w:w="258" w:type="pct"/>
          </w:tcPr>
          <w:p w14:paraId="79CAC5B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E16DBE6" w14:textId="77777777" w:rsidTr="00C559FB">
        <w:trPr>
          <w:trHeight w:val="206"/>
        </w:trPr>
        <w:tc>
          <w:tcPr>
            <w:cnfStyle w:val="001000000000" w:firstRow="0" w:lastRow="0" w:firstColumn="1" w:lastColumn="0" w:oddVBand="0" w:evenVBand="0" w:oddHBand="0" w:evenHBand="0" w:firstRowFirstColumn="0" w:firstRowLastColumn="0" w:lastRowFirstColumn="0" w:lastRowLastColumn="0"/>
            <w:tcW w:w="449" w:type="pct"/>
            <w:vMerge w:val="restart"/>
          </w:tcPr>
          <w:p w14:paraId="3ADF45F1"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 Enhance availability of medical Commodities </w:t>
            </w:r>
          </w:p>
        </w:tc>
        <w:tc>
          <w:tcPr>
            <w:tcW w:w="545" w:type="pct"/>
            <w:gridSpan w:val="2"/>
            <w:vMerge w:val="restart"/>
          </w:tcPr>
          <w:p w14:paraId="228B0D5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 xml:space="preserve">Commodities available at health  facilities </w:t>
            </w:r>
          </w:p>
        </w:tc>
        <w:tc>
          <w:tcPr>
            <w:tcW w:w="573" w:type="pct"/>
            <w:vMerge w:val="restart"/>
          </w:tcPr>
          <w:p w14:paraId="4B8B6D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Proportion of facilities with tracer commodities</w:t>
            </w:r>
          </w:p>
        </w:tc>
        <w:tc>
          <w:tcPr>
            <w:tcW w:w="332" w:type="pct"/>
            <w:vMerge w:val="restart"/>
          </w:tcPr>
          <w:p w14:paraId="3EF3442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xx</w:t>
            </w:r>
          </w:p>
        </w:tc>
        <w:tc>
          <w:tcPr>
            <w:tcW w:w="401" w:type="pct"/>
            <w:vMerge w:val="restart"/>
          </w:tcPr>
          <w:p w14:paraId="158B32F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xx</w:t>
            </w:r>
          </w:p>
        </w:tc>
        <w:tc>
          <w:tcPr>
            <w:tcW w:w="487" w:type="pct"/>
          </w:tcPr>
          <w:p w14:paraId="182DEA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Procurement of necessary commodities by KEMSA </w:t>
            </w:r>
          </w:p>
        </w:tc>
        <w:tc>
          <w:tcPr>
            <w:tcW w:w="593" w:type="pct"/>
            <w:gridSpan w:val="2"/>
          </w:tcPr>
          <w:p w14:paraId="3491696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Quantification, place order, procurement</w:t>
            </w:r>
          </w:p>
        </w:tc>
        <w:tc>
          <w:tcPr>
            <w:tcW w:w="132" w:type="pct"/>
            <w:gridSpan w:val="2"/>
          </w:tcPr>
          <w:p w14:paraId="4985A43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26F94E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4546A9F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42F384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133D9A4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3D53ACB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3A42E96B" w14:textId="77777777" w:rsidTr="00C559FB">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49" w:type="pct"/>
            <w:vMerge/>
            <w:hideMark/>
          </w:tcPr>
          <w:p w14:paraId="5DFEEF74"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18351A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573" w:type="pct"/>
            <w:vMerge/>
            <w:hideMark/>
          </w:tcPr>
          <w:p w14:paraId="484171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Cs/>
                <w:color w:val="000000"/>
                <w:sz w:val="18"/>
                <w:szCs w:val="20"/>
              </w:rPr>
            </w:pPr>
          </w:p>
        </w:tc>
        <w:tc>
          <w:tcPr>
            <w:tcW w:w="332" w:type="pct"/>
            <w:vMerge/>
            <w:hideMark/>
          </w:tcPr>
          <w:p w14:paraId="11A07E5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01" w:type="pct"/>
            <w:vMerge/>
            <w:hideMark/>
          </w:tcPr>
          <w:p w14:paraId="551B3D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487" w:type="pct"/>
            <w:hideMark/>
          </w:tcPr>
          <w:p w14:paraId="110C66B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Avail medical commodities in health facilities</w:t>
            </w:r>
          </w:p>
        </w:tc>
        <w:tc>
          <w:tcPr>
            <w:tcW w:w="593" w:type="pct"/>
            <w:gridSpan w:val="2"/>
            <w:hideMark/>
          </w:tcPr>
          <w:p w14:paraId="23CCE12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Continuous distribution of commodities as per the orders from counties and referral facilities </w:t>
            </w:r>
          </w:p>
        </w:tc>
        <w:tc>
          <w:tcPr>
            <w:tcW w:w="132" w:type="pct"/>
            <w:gridSpan w:val="2"/>
            <w:hideMark/>
          </w:tcPr>
          <w:p w14:paraId="05E6863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 </w:t>
            </w:r>
          </w:p>
        </w:tc>
        <w:tc>
          <w:tcPr>
            <w:tcW w:w="165" w:type="pct"/>
            <w:gridSpan w:val="2"/>
            <w:hideMark/>
          </w:tcPr>
          <w:p w14:paraId="77B8894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w:t>
            </w:r>
          </w:p>
        </w:tc>
        <w:tc>
          <w:tcPr>
            <w:tcW w:w="165" w:type="pct"/>
            <w:gridSpan w:val="2"/>
            <w:hideMark/>
          </w:tcPr>
          <w:p w14:paraId="7D78698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w:t>
            </w:r>
          </w:p>
        </w:tc>
        <w:tc>
          <w:tcPr>
            <w:tcW w:w="159" w:type="pct"/>
            <w:hideMark/>
          </w:tcPr>
          <w:p w14:paraId="0F7615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w:t>
            </w:r>
          </w:p>
        </w:tc>
        <w:tc>
          <w:tcPr>
            <w:tcW w:w="742" w:type="pct"/>
            <w:gridSpan w:val="2"/>
            <w:hideMark/>
          </w:tcPr>
          <w:p w14:paraId="402669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KEMSA</w:t>
            </w:r>
          </w:p>
        </w:tc>
        <w:tc>
          <w:tcPr>
            <w:tcW w:w="258" w:type="pct"/>
            <w:hideMark/>
          </w:tcPr>
          <w:p w14:paraId="1CB0809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CAEF21A" w14:textId="77777777" w:rsidTr="00C559FB">
        <w:trPr>
          <w:trHeight w:val="480"/>
        </w:trPr>
        <w:tc>
          <w:tcPr>
            <w:cnfStyle w:val="001000000000" w:firstRow="0" w:lastRow="0" w:firstColumn="1" w:lastColumn="0" w:oddVBand="0" w:evenVBand="0" w:oddHBand="0" w:evenHBand="0" w:firstRowFirstColumn="0" w:firstRowLastColumn="0" w:lastRowFirstColumn="0" w:lastRowLastColumn="0"/>
            <w:tcW w:w="449" w:type="pct"/>
            <w:vMerge w:val="restart"/>
            <w:hideMark/>
          </w:tcPr>
          <w:p w14:paraId="3401744E"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Availability of medical infrastructure for specialized services </w:t>
            </w:r>
          </w:p>
        </w:tc>
        <w:tc>
          <w:tcPr>
            <w:tcW w:w="545" w:type="pct"/>
            <w:gridSpan w:val="2"/>
            <w:vMerge w:val="restart"/>
            <w:hideMark/>
          </w:tcPr>
          <w:p w14:paraId="36D7A44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sz w:val="18"/>
                <w:szCs w:val="20"/>
              </w:rPr>
            </w:pPr>
            <w:r w:rsidRPr="00CC343C">
              <w:rPr>
                <w:rFonts w:ascii="Arial Narrow" w:eastAsia="Times New Roman" w:hAnsi="Arial Narrow" w:cstheme="minorHAnsi"/>
                <w:bCs/>
                <w:sz w:val="18"/>
                <w:szCs w:val="20"/>
              </w:rPr>
              <w:t xml:space="preserve">10 additional referral hospitals established </w:t>
            </w:r>
          </w:p>
          <w:p w14:paraId="09C6571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sz w:val="18"/>
                <w:szCs w:val="20"/>
              </w:rPr>
              <w:t>(For year one—carry out the necessary preparatory measures)</w:t>
            </w:r>
          </w:p>
        </w:tc>
        <w:tc>
          <w:tcPr>
            <w:tcW w:w="573" w:type="pct"/>
            <w:vMerge w:val="restart"/>
            <w:hideMark/>
          </w:tcPr>
          <w:p w14:paraId="1907ED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Cs/>
                <w:color w:val="000000"/>
                <w:sz w:val="18"/>
                <w:szCs w:val="20"/>
              </w:rPr>
            </w:pPr>
            <w:r w:rsidRPr="00CC343C">
              <w:rPr>
                <w:rFonts w:ascii="Arial Narrow" w:eastAsia="Times New Roman" w:hAnsi="Arial Narrow" w:cstheme="minorHAnsi"/>
                <w:bCs/>
                <w:color w:val="000000"/>
                <w:sz w:val="18"/>
                <w:szCs w:val="20"/>
              </w:rPr>
              <w:t>Bill and Cabinet memo</w:t>
            </w:r>
          </w:p>
        </w:tc>
        <w:tc>
          <w:tcPr>
            <w:tcW w:w="332" w:type="pct"/>
            <w:vMerge w:val="restart"/>
            <w:hideMark/>
          </w:tcPr>
          <w:p w14:paraId="60346F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56AE8FB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Bill on establishment of the hospital in place and feasibility study done </w:t>
            </w:r>
          </w:p>
          <w:p w14:paraId="01CCC1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10</w:t>
            </w:r>
          </w:p>
        </w:tc>
        <w:tc>
          <w:tcPr>
            <w:tcW w:w="487" w:type="pct"/>
            <w:vMerge w:val="restart"/>
            <w:hideMark/>
          </w:tcPr>
          <w:p w14:paraId="2715864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Establish 10 referral hospitals </w:t>
            </w:r>
          </w:p>
        </w:tc>
        <w:tc>
          <w:tcPr>
            <w:tcW w:w="593" w:type="pct"/>
            <w:gridSpan w:val="2"/>
            <w:hideMark/>
          </w:tcPr>
          <w:p w14:paraId="7FCC30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i/>
                <w:iCs/>
                <w:sz w:val="18"/>
                <w:szCs w:val="20"/>
              </w:rPr>
              <w:t>Cabinet Memo on establishment of centers of excellence</w:t>
            </w:r>
          </w:p>
        </w:tc>
        <w:tc>
          <w:tcPr>
            <w:tcW w:w="132" w:type="pct"/>
            <w:gridSpan w:val="2"/>
            <w:hideMark/>
          </w:tcPr>
          <w:p w14:paraId="5763E06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DA5223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31D89E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F40C73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327C12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MOH/Curative and Rehab department </w:t>
            </w:r>
          </w:p>
        </w:tc>
        <w:tc>
          <w:tcPr>
            <w:tcW w:w="258" w:type="pct"/>
            <w:hideMark/>
          </w:tcPr>
          <w:p w14:paraId="6729E1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B843648"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6E8AA8F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881A7B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10BB4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91D513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4C184D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7F11496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553AABF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Cabinet memo on creation of National Referral Hospital Authority of Kenya</w:t>
            </w:r>
          </w:p>
        </w:tc>
        <w:tc>
          <w:tcPr>
            <w:tcW w:w="132" w:type="pct"/>
            <w:gridSpan w:val="2"/>
            <w:hideMark/>
          </w:tcPr>
          <w:p w14:paraId="46E42C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A9E2B2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0EADA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2CDB9D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033B84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B30D5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04E4D34"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1A235E19"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9DD94C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4A2BE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263399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3A6444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C9553F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7C4241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 </w:t>
            </w:r>
            <w:r w:rsidRPr="00CC343C">
              <w:rPr>
                <w:rFonts w:ascii="Arial Narrow" w:eastAsia="Times New Roman" w:hAnsi="Arial Narrow" w:cstheme="minorHAnsi"/>
                <w:i/>
                <w:iCs/>
                <w:sz w:val="18"/>
                <w:szCs w:val="20"/>
              </w:rPr>
              <w:t>Write bill on creation of National Referral Hospital Authority of Kenya</w:t>
            </w:r>
          </w:p>
        </w:tc>
        <w:tc>
          <w:tcPr>
            <w:tcW w:w="132" w:type="pct"/>
            <w:gridSpan w:val="2"/>
            <w:hideMark/>
          </w:tcPr>
          <w:p w14:paraId="2AA896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0A20BF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3B27C7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15DCAB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637382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F732B3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251BD49"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56F4846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7D884C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0E4B30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0B56A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1AD5419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242697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48D3EC3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  </w:t>
            </w:r>
            <w:r w:rsidRPr="00CC343C">
              <w:rPr>
                <w:rFonts w:ascii="Arial Narrow" w:eastAsia="Times New Roman" w:hAnsi="Arial Narrow" w:cstheme="minorHAnsi"/>
                <w:i/>
                <w:iCs/>
                <w:sz w:val="18"/>
                <w:szCs w:val="20"/>
              </w:rPr>
              <w:t>Conduct feasibility study on establishment of centers of excellence in 10 sites</w:t>
            </w:r>
          </w:p>
        </w:tc>
        <w:tc>
          <w:tcPr>
            <w:tcW w:w="132" w:type="pct"/>
            <w:gridSpan w:val="2"/>
            <w:hideMark/>
          </w:tcPr>
          <w:p w14:paraId="051AD85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1EAA6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1FA94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52EBC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CF7EF4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EA2B04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83CC475" w14:textId="77777777" w:rsidTr="00C559FB">
        <w:trPr>
          <w:trHeight w:val="368"/>
        </w:trPr>
        <w:tc>
          <w:tcPr>
            <w:cnfStyle w:val="001000000000" w:firstRow="0" w:lastRow="0" w:firstColumn="1" w:lastColumn="0" w:oddVBand="0" w:evenVBand="0" w:oddHBand="0" w:evenHBand="0" w:firstRowFirstColumn="0" w:firstRowLastColumn="0" w:lastRowFirstColumn="0" w:lastRowLastColumn="0"/>
            <w:tcW w:w="449" w:type="pct"/>
            <w:vMerge/>
            <w:hideMark/>
          </w:tcPr>
          <w:p w14:paraId="64D7480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31F3ECD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4 new comprehensive </w:t>
            </w:r>
            <w:r w:rsidRPr="00CC343C">
              <w:rPr>
                <w:rFonts w:ascii="Arial Narrow" w:eastAsia="Times New Roman" w:hAnsi="Arial Narrow" w:cstheme="minorHAnsi"/>
                <w:b/>
                <w:bCs/>
                <w:color w:val="000000"/>
                <w:sz w:val="18"/>
                <w:szCs w:val="20"/>
              </w:rPr>
              <w:lastRenderedPageBreak/>
              <w:t>cancer centers established</w:t>
            </w:r>
          </w:p>
        </w:tc>
        <w:tc>
          <w:tcPr>
            <w:tcW w:w="573" w:type="pct"/>
            <w:vMerge w:val="restart"/>
            <w:hideMark/>
          </w:tcPr>
          <w:p w14:paraId="75D1F7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 xml:space="preserve">the number of new </w:t>
            </w:r>
            <w:r w:rsidRPr="00CC343C">
              <w:rPr>
                <w:rFonts w:ascii="Arial Narrow" w:eastAsia="Times New Roman" w:hAnsi="Arial Narrow" w:cstheme="minorHAnsi"/>
                <w:b/>
                <w:bCs/>
                <w:color w:val="000000"/>
                <w:sz w:val="18"/>
                <w:szCs w:val="20"/>
              </w:rPr>
              <w:lastRenderedPageBreak/>
              <w:t xml:space="preserve">comprehensive cancer centers </w:t>
            </w:r>
          </w:p>
        </w:tc>
        <w:tc>
          <w:tcPr>
            <w:tcW w:w="332" w:type="pct"/>
            <w:vMerge w:val="restart"/>
            <w:hideMark/>
          </w:tcPr>
          <w:p w14:paraId="1309473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lastRenderedPageBreak/>
              <w:t>0</w:t>
            </w:r>
          </w:p>
        </w:tc>
        <w:tc>
          <w:tcPr>
            <w:tcW w:w="401" w:type="pct"/>
            <w:vMerge w:val="restart"/>
            <w:hideMark/>
          </w:tcPr>
          <w:p w14:paraId="65FD3D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w:t>
            </w:r>
          </w:p>
        </w:tc>
        <w:tc>
          <w:tcPr>
            <w:tcW w:w="487" w:type="pct"/>
            <w:vMerge w:val="restart"/>
            <w:hideMark/>
          </w:tcPr>
          <w:p w14:paraId="3F2E414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Establish 4 new comprehensive cancer centers </w:t>
            </w:r>
          </w:p>
        </w:tc>
        <w:tc>
          <w:tcPr>
            <w:tcW w:w="593" w:type="pct"/>
            <w:gridSpan w:val="2"/>
            <w:hideMark/>
          </w:tcPr>
          <w:p w14:paraId="6C8A32F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Conduct Stakeholders </w:t>
            </w:r>
            <w:r w:rsidRPr="00CC343C">
              <w:rPr>
                <w:rFonts w:ascii="Arial Narrow" w:eastAsia="Times New Roman" w:hAnsi="Arial Narrow" w:cstheme="minorHAnsi"/>
                <w:color w:val="000000"/>
                <w:sz w:val="18"/>
                <w:szCs w:val="20"/>
              </w:rPr>
              <w:lastRenderedPageBreak/>
              <w:t>engagement (visits to the 4 sites and hold county stakeholders meetings)</w:t>
            </w:r>
          </w:p>
        </w:tc>
        <w:tc>
          <w:tcPr>
            <w:tcW w:w="132" w:type="pct"/>
            <w:gridSpan w:val="2"/>
            <w:hideMark/>
          </w:tcPr>
          <w:p w14:paraId="0CD19A6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x</w:t>
            </w:r>
          </w:p>
        </w:tc>
        <w:tc>
          <w:tcPr>
            <w:tcW w:w="165" w:type="pct"/>
            <w:gridSpan w:val="2"/>
            <w:hideMark/>
          </w:tcPr>
          <w:p w14:paraId="601D1A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7809DC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C32FA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AAE7A4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MOH/Cancer program.</w:t>
            </w:r>
          </w:p>
        </w:tc>
        <w:tc>
          <w:tcPr>
            <w:tcW w:w="258" w:type="pct"/>
            <w:hideMark/>
          </w:tcPr>
          <w:p w14:paraId="229564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0D88A4D" w14:textId="77777777" w:rsidTr="00C559FB">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449" w:type="pct"/>
            <w:vMerge/>
            <w:hideMark/>
          </w:tcPr>
          <w:p w14:paraId="2E49AD6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B8ED7C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11F9F6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D6A69C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668923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4BD43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4BD9666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Preparation of project documents including drawings </w:t>
            </w:r>
          </w:p>
        </w:tc>
        <w:tc>
          <w:tcPr>
            <w:tcW w:w="132" w:type="pct"/>
            <w:gridSpan w:val="2"/>
            <w:hideMark/>
          </w:tcPr>
          <w:p w14:paraId="6E3AB6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D890B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D8B002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89172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EE9D5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MOH/Cancer program.</w:t>
            </w:r>
          </w:p>
        </w:tc>
        <w:tc>
          <w:tcPr>
            <w:tcW w:w="258" w:type="pct"/>
            <w:hideMark/>
          </w:tcPr>
          <w:p w14:paraId="7BB744D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BB5AD37" w14:textId="77777777" w:rsidTr="00C559FB">
        <w:trPr>
          <w:trHeight w:val="161"/>
        </w:trPr>
        <w:tc>
          <w:tcPr>
            <w:cnfStyle w:val="001000000000" w:firstRow="0" w:lastRow="0" w:firstColumn="1" w:lastColumn="0" w:oddVBand="0" w:evenVBand="0" w:oddHBand="0" w:evenHBand="0" w:firstRowFirstColumn="0" w:firstRowLastColumn="0" w:lastRowFirstColumn="0" w:lastRowLastColumn="0"/>
            <w:tcW w:w="449" w:type="pct"/>
            <w:vMerge/>
            <w:hideMark/>
          </w:tcPr>
          <w:p w14:paraId="4E3E8D9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50CB40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08131D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760EDC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C8DBB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46DC4D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6225299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Operationalize two chemotherapy centers by; </w:t>
            </w:r>
          </w:p>
        </w:tc>
        <w:tc>
          <w:tcPr>
            <w:tcW w:w="132" w:type="pct"/>
            <w:gridSpan w:val="2"/>
            <w:hideMark/>
          </w:tcPr>
          <w:p w14:paraId="46BA977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7F51C73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F543C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DA8C5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2EB8A37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C64A25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2381128"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43C2F25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28D6F76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9DCF19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C2C43C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19303B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A68598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40402FD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o    </w:t>
            </w:r>
            <w:r w:rsidRPr="00CC343C">
              <w:rPr>
                <w:rFonts w:ascii="Arial Narrow" w:eastAsia="Times New Roman" w:hAnsi="Arial Narrow" w:cstheme="minorHAnsi"/>
                <w:i/>
                <w:iCs/>
                <w:color w:val="000000"/>
                <w:sz w:val="18"/>
                <w:szCs w:val="20"/>
              </w:rPr>
              <w:t xml:space="preserve">Procure chemotherapy equipment </w:t>
            </w:r>
          </w:p>
        </w:tc>
        <w:tc>
          <w:tcPr>
            <w:tcW w:w="132" w:type="pct"/>
            <w:gridSpan w:val="2"/>
            <w:vMerge w:val="restart"/>
            <w:hideMark/>
          </w:tcPr>
          <w:p w14:paraId="79783F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vMerge w:val="restart"/>
            <w:hideMark/>
          </w:tcPr>
          <w:p w14:paraId="15195C7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8FC94C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5CE53AF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vMerge w:val="restart"/>
            <w:hideMark/>
          </w:tcPr>
          <w:p w14:paraId="6113DB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vMerge w:val="restart"/>
            <w:hideMark/>
          </w:tcPr>
          <w:p w14:paraId="51E967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D51922B"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3BF6E454"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09A2383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F5394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47BDD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EE6E4F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AEA9E7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5CE00B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o    </w:t>
            </w:r>
            <w:r w:rsidRPr="00CC343C">
              <w:rPr>
                <w:rFonts w:ascii="Arial Narrow" w:eastAsia="Times New Roman" w:hAnsi="Arial Narrow" w:cstheme="minorHAnsi"/>
                <w:i/>
                <w:iCs/>
                <w:color w:val="000000"/>
                <w:sz w:val="18"/>
                <w:szCs w:val="20"/>
              </w:rPr>
              <w:t>Refurbish the identified space</w:t>
            </w:r>
          </w:p>
        </w:tc>
        <w:tc>
          <w:tcPr>
            <w:tcW w:w="132" w:type="pct"/>
            <w:gridSpan w:val="2"/>
            <w:vMerge/>
            <w:hideMark/>
          </w:tcPr>
          <w:p w14:paraId="6AFD486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vMerge/>
            <w:hideMark/>
          </w:tcPr>
          <w:p w14:paraId="11CEDFC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hideMark/>
          </w:tcPr>
          <w:p w14:paraId="486A7DE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86BCB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vMerge/>
            <w:hideMark/>
          </w:tcPr>
          <w:p w14:paraId="1A7A020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vMerge/>
            <w:hideMark/>
          </w:tcPr>
          <w:p w14:paraId="55ABDD3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60C0E828"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7D614EA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1912CD4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15B208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FFC745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307695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E614E7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360C06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o    </w:t>
            </w:r>
            <w:r w:rsidRPr="00CC343C">
              <w:rPr>
                <w:rFonts w:ascii="Arial Narrow" w:eastAsia="Times New Roman" w:hAnsi="Arial Narrow" w:cstheme="minorHAnsi"/>
                <w:i/>
                <w:iCs/>
                <w:color w:val="000000"/>
                <w:sz w:val="18"/>
                <w:szCs w:val="20"/>
              </w:rPr>
              <w:t xml:space="preserve">Conduct trainings for the health workers </w:t>
            </w:r>
          </w:p>
        </w:tc>
        <w:tc>
          <w:tcPr>
            <w:tcW w:w="132" w:type="pct"/>
            <w:gridSpan w:val="2"/>
            <w:hideMark/>
          </w:tcPr>
          <w:p w14:paraId="0657E3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4B5AB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877750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9D1E2B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23F3577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96FCAB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9C279C2" w14:textId="77777777" w:rsidTr="00C559FB">
        <w:trPr>
          <w:trHeight w:val="480"/>
        </w:trPr>
        <w:tc>
          <w:tcPr>
            <w:cnfStyle w:val="001000000000" w:firstRow="0" w:lastRow="0" w:firstColumn="1" w:lastColumn="0" w:oddVBand="0" w:evenVBand="0" w:oddHBand="0" w:evenHBand="0" w:firstRowFirstColumn="0" w:firstRowLastColumn="0" w:lastRowFirstColumn="0" w:lastRowLastColumn="0"/>
            <w:tcW w:w="449" w:type="pct"/>
            <w:vMerge/>
          </w:tcPr>
          <w:p w14:paraId="6397354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tcPr>
          <w:p w14:paraId="3AE3AA1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Chemotherapy centers established as spokes of the comprehensive cancer centers</w:t>
            </w:r>
          </w:p>
        </w:tc>
        <w:tc>
          <w:tcPr>
            <w:tcW w:w="573" w:type="pct"/>
            <w:vMerge w:val="restart"/>
          </w:tcPr>
          <w:p w14:paraId="4B0181F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Number of chemotherapy centers established </w:t>
            </w:r>
          </w:p>
        </w:tc>
        <w:tc>
          <w:tcPr>
            <w:tcW w:w="332" w:type="pct"/>
            <w:vMerge w:val="restart"/>
          </w:tcPr>
          <w:p w14:paraId="13E37E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tcPr>
          <w:p w14:paraId="1966AD3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8</w:t>
            </w:r>
          </w:p>
        </w:tc>
        <w:tc>
          <w:tcPr>
            <w:tcW w:w="487" w:type="pct"/>
            <w:vMerge w:val="restart"/>
          </w:tcPr>
          <w:p w14:paraId="130F9BD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Establishment of chemotherapy centers in Kisumu, Embu, Meru, Garissa, Machakos, Kakamega, Kitale, Malindi</w:t>
            </w:r>
          </w:p>
        </w:tc>
        <w:tc>
          <w:tcPr>
            <w:tcW w:w="593" w:type="pct"/>
            <w:gridSpan w:val="2"/>
          </w:tcPr>
          <w:p w14:paraId="58DACC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Identification and restructuring (refurbishment) of chemo sites </w:t>
            </w:r>
          </w:p>
        </w:tc>
        <w:tc>
          <w:tcPr>
            <w:tcW w:w="132" w:type="pct"/>
            <w:gridSpan w:val="2"/>
          </w:tcPr>
          <w:p w14:paraId="5CE89BB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62ABB9C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710263B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03B7BF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3B3AFD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611FBD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61AA274E" w14:textId="77777777" w:rsidTr="00C559FB">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449" w:type="pct"/>
            <w:vMerge/>
          </w:tcPr>
          <w:p w14:paraId="54C5D819"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450022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312561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022A61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2EE15E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tcPr>
          <w:p w14:paraId="16F0E38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32549D2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Installation of mixing hoods and chemo chairs</w:t>
            </w:r>
          </w:p>
        </w:tc>
        <w:tc>
          <w:tcPr>
            <w:tcW w:w="132" w:type="pct"/>
            <w:gridSpan w:val="2"/>
          </w:tcPr>
          <w:p w14:paraId="731E0AC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629163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7EA961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tcPr>
          <w:p w14:paraId="42FDFA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742" w:type="pct"/>
            <w:gridSpan w:val="2"/>
          </w:tcPr>
          <w:p w14:paraId="247E2B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174C356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0133A416" w14:textId="77777777" w:rsidTr="00C559FB">
        <w:trPr>
          <w:trHeight w:val="480"/>
        </w:trPr>
        <w:tc>
          <w:tcPr>
            <w:cnfStyle w:val="001000000000" w:firstRow="0" w:lastRow="0" w:firstColumn="1" w:lastColumn="0" w:oddVBand="0" w:evenVBand="0" w:oddHBand="0" w:evenHBand="0" w:firstRowFirstColumn="0" w:firstRowLastColumn="0" w:lastRowFirstColumn="0" w:lastRowLastColumn="0"/>
            <w:tcW w:w="449" w:type="pct"/>
            <w:vMerge/>
          </w:tcPr>
          <w:p w14:paraId="57B2C89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00C5CF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3FB727E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08211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48F9437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tcPr>
          <w:p w14:paraId="1D9E38B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59F2DA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Linkages with comprehensive cancer centers for capacity building and streamlining of referral </w:t>
            </w:r>
          </w:p>
          <w:p w14:paraId="54C0391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Production of treatment algorithms and training on use </w:t>
            </w:r>
          </w:p>
        </w:tc>
        <w:tc>
          <w:tcPr>
            <w:tcW w:w="132" w:type="pct"/>
            <w:gridSpan w:val="2"/>
          </w:tcPr>
          <w:p w14:paraId="6D5B33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5EC136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3561788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7758884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1A7144C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0668E55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28628C62" w14:textId="77777777" w:rsidTr="00C559FB">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449" w:type="pct"/>
            <w:vMerge/>
          </w:tcPr>
          <w:p w14:paraId="352A932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tcPr>
          <w:p w14:paraId="3D5CB4C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2890520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43A7D8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19228C5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tcPr>
          <w:p w14:paraId="5D6EDB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tcPr>
          <w:p w14:paraId="00E939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Administration of chemo operational </w:t>
            </w:r>
          </w:p>
        </w:tc>
        <w:tc>
          <w:tcPr>
            <w:tcW w:w="132" w:type="pct"/>
            <w:gridSpan w:val="2"/>
          </w:tcPr>
          <w:p w14:paraId="0E5324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26A784D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65" w:type="pct"/>
            <w:gridSpan w:val="2"/>
          </w:tcPr>
          <w:p w14:paraId="03A0FFA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159" w:type="pct"/>
          </w:tcPr>
          <w:p w14:paraId="527C279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0008528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5A52751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49BE7DDD" w14:textId="77777777" w:rsidTr="00C559FB">
        <w:trPr>
          <w:trHeight w:val="480"/>
        </w:trPr>
        <w:tc>
          <w:tcPr>
            <w:cnfStyle w:val="001000000000" w:firstRow="0" w:lastRow="0" w:firstColumn="1" w:lastColumn="0" w:oddVBand="0" w:evenVBand="0" w:oddHBand="0" w:evenHBand="0" w:firstRowFirstColumn="0" w:firstRowLastColumn="0" w:lastRowFirstColumn="0" w:lastRowLastColumn="0"/>
            <w:tcW w:w="449" w:type="pct"/>
            <w:vMerge/>
            <w:hideMark/>
          </w:tcPr>
          <w:p w14:paraId="67B0665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7552F02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One center of excellence for kidney Health established</w:t>
            </w:r>
          </w:p>
        </w:tc>
        <w:tc>
          <w:tcPr>
            <w:tcW w:w="573" w:type="pct"/>
            <w:vMerge w:val="restart"/>
            <w:hideMark/>
          </w:tcPr>
          <w:p w14:paraId="09D4964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of completion of Kidney Institute</w:t>
            </w:r>
          </w:p>
        </w:tc>
        <w:tc>
          <w:tcPr>
            <w:tcW w:w="332" w:type="pct"/>
            <w:vMerge w:val="restart"/>
            <w:hideMark/>
          </w:tcPr>
          <w:p w14:paraId="3B96415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0E548F4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5D0867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Establish one center of excellence for kidney Health </w:t>
            </w:r>
          </w:p>
        </w:tc>
        <w:tc>
          <w:tcPr>
            <w:tcW w:w="593" w:type="pct"/>
            <w:gridSpan w:val="2"/>
            <w:hideMark/>
          </w:tcPr>
          <w:p w14:paraId="2673125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the scheme design and Bill of Quantities for the Institute</w:t>
            </w:r>
          </w:p>
        </w:tc>
        <w:tc>
          <w:tcPr>
            <w:tcW w:w="132" w:type="pct"/>
            <w:gridSpan w:val="2"/>
            <w:hideMark/>
          </w:tcPr>
          <w:p w14:paraId="2793512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99BF0F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E784A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7D7022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E7B854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MOH/Curative and Rehab.</w:t>
            </w:r>
          </w:p>
        </w:tc>
        <w:tc>
          <w:tcPr>
            <w:tcW w:w="258" w:type="pct"/>
            <w:hideMark/>
          </w:tcPr>
          <w:p w14:paraId="33B534F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CC55E00" w14:textId="77777777" w:rsidTr="00C559F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9" w:type="pct"/>
            <w:vMerge/>
            <w:hideMark/>
          </w:tcPr>
          <w:p w14:paraId="2BEF6AB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1ADDC9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99161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9433B2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342290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C2DD3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751D982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Advertise for Expression of </w:t>
            </w:r>
            <w:r w:rsidRPr="00CC343C">
              <w:rPr>
                <w:rFonts w:ascii="Arial Narrow" w:eastAsia="Times New Roman" w:hAnsi="Arial Narrow" w:cstheme="minorHAnsi"/>
                <w:color w:val="000000"/>
                <w:sz w:val="18"/>
                <w:szCs w:val="20"/>
              </w:rPr>
              <w:lastRenderedPageBreak/>
              <w:t xml:space="preserve">Interest (EOI) for construction  </w:t>
            </w:r>
          </w:p>
        </w:tc>
        <w:tc>
          <w:tcPr>
            <w:tcW w:w="132" w:type="pct"/>
            <w:gridSpan w:val="2"/>
            <w:hideMark/>
          </w:tcPr>
          <w:p w14:paraId="0B627B3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x</w:t>
            </w:r>
          </w:p>
        </w:tc>
        <w:tc>
          <w:tcPr>
            <w:tcW w:w="165" w:type="pct"/>
            <w:gridSpan w:val="2"/>
            <w:hideMark/>
          </w:tcPr>
          <w:p w14:paraId="5C1CBFA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5F1FE2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FB001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E3FE59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45786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06E8ADB" w14:textId="77777777" w:rsidTr="00C559FB">
        <w:trPr>
          <w:trHeight w:val="206"/>
        </w:trPr>
        <w:tc>
          <w:tcPr>
            <w:cnfStyle w:val="001000000000" w:firstRow="0" w:lastRow="0" w:firstColumn="1" w:lastColumn="0" w:oddVBand="0" w:evenVBand="0" w:oddHBand="0" w:evenHBand="0" w:firstRowFirstColumn="0" w:firstRowLastColumn="0" w:lastRowFirstColumn="0" w:lastRowLastColumn="0"/>
            <w:tcW w:w="449" w:type="pct"/>
            <w:vMerge/>
            <w:hideMark/>
          </w:tcPr>
          <w:p w14:paraId="7AB3F44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64B000B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F1774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1DDF3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AD61F6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37F73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1B7D1C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Evaluation of the tenders and award the contract </w:t>
            </w:r>
          </w:p>
        </w:tc>
        <w:tc>
          <w:tcPr>
            <w:tcW w:w="132" w:type="pct"/>
            <w:gridSpan w:val="2"/>
            <w:hideMark/>
          </w:tcPr>
          <w:p w14:paraId="29B97CE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BF8D5C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42DE77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014C41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7B2E79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56A774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1D3CDBF" w14:textId="77777777" w:rsidTr="00C559FB">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449" w:type="pct"/>
            <w:vMerge/>
            <w:hideMark/>
          </w:tcPr>
          <w:p w14:paraId="7BD19F8A"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33E262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EF7FAE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A6032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77E2B2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7E4A11B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7A9598A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Construction of the institute (site preparation, construction of superstructure, and finishes, fittings and fixtures, electrical works)</w:t>
            </w:r>
          </w:p>
        </w:tc>
        <w:tc>
          <w:tcPr>
            <w:tcW w:w="132" w:type="pct"/>
            <w:gridSpan w:val="2"/>
            <w:hideMark/>
          </w:tcPr>
          <w:p w14:paraId="580F1BE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6AE85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03AA6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50A4E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575F76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451D13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B556D6F"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4588FD04"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335F5A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C111E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7D263E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D508B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5F86F3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06CFE62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Procurement of biomedical engineers </w:t>
            </w:r>
          </w:p>
        </w:tc>
        <w:tc>
          <w:tcPr>
            <w:tcW w:w="132" w:type="pct"/>
            <w:gridSpan w:val="2"/>
            <w:hideMark/>
          </w:tcPr>
          <w:p w14:paraId="70BD371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5F74DC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165" w:type="pct"/>
            <w:gridSpan w:val="2"/>
            <w:hideMark/>
          </w:tcPr>
          <w:p w14:paraId="1B700F8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510A36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A58AB4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6B0E53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71EF8DF"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9" w:type="pct"/>
            <w:vMerge/>
            <w:hideMark/>
          </w:tcPr>
          <w:p w14:paraId="3753ECA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29A9A3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C0166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CB2F7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8D6596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231E0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E798F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Preparation of International equipment specifications and advertisement for tender </w:t>
            </w:r>
          </w:p>
        </w:tc>
        <w:tc>
          <w:tcPr>
            <w:tcW w:w="132" w:type="pct"/>
            <w:gridSpan w:val="2"/>
            <w:hideMark/>
          </w:tcPr>
          <w:p w14:paraId="0889C0A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7B0BA9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1F2BF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8B87E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8E8F4B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C006B3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963808F" w14:textId="77777777" w:rsidTr="00C559FB">
        <w:trPr>
          <w:trHeight w:val="179"/>
        </w:trPr>
        <w:tc>
          <w:tcPr>
            <w:cnfStyle w:val="001000000000" w:firstRow="0" w:lastRow="0" w:firstColumn="1" w:lastColumn="0" w:oddVBand="0" w:evenVBand="0" w:oddHBand="0" w:evenHBand="0" w:firstRowFirstColumn="0" w:firstRowLastColumn="0" w:lastRowFirstColumn="0" w:lastRowLastColumn="0"/>
            <w:tcW w:w="449" w:type="pct"/>
            <w:vMerge w:val="restart"/>
            <w:hideMark/>
          </w:tcPr>
          <w:p w14:paraId="5A3E6A90"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Improve Quality of care </w:t>
            </w:r>
          </w:p>
        </w:tc>
        <w:tc>
          <w:tcPr>
            <w:tcW w:w="545" w:type="pct"/>
            <w:gridSpan w:val="2"/>
            <w:vMerge w:val="restart"/>
            <w:hideMark/>
          </w:tcPr>
          <w:p w14:paraId="278AF1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Capacity building of counties using KQMH done</w:t>
            </w:r>
          </w:p>
        </w:tc>
        <w:tc>
          <w:tcPr>
            <w:tcW w:w="573" w:type="pct"/>
            <w:vMerge w:val="restart"/>
            <w:hideMark/>
          </w:tcPr>
          <w:p w14:paraId="185418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counties trained using KQMH</w:t>
            </w:r>
          </w:p>
        </w:tc>
        <w:tc>
          <w:tcPr>
            <w:tcW w:w="332" w:type="pct"/>
            <w:vMerge w:val="restart"/>
            <w:hideMark/>
          </w:tcPr>
          <w:p w14:paraId="6D2AB0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42</w:t>
            </w:r>
          </w:p>
        </w:tc>
        <w:tc>
          <w:tcPr>
            <w:tcW w:w="401" w:type="pct"/>
            <w:vMerge w:val="restart"/>
            <w:hideMark/>
          </w:tcPr>
          <w:p w14:paraId="19D3C7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47</w:t>
            </w:r>
          </w:p>
        </w:tc>
        <w:tc>
          <w:tcPr>
            <w:tcW w:w="487" w:type="pct"/>
            <w:vMerge w:val="restart"/>
            <w:hideMark/>
          </w:tcPr>
          <w:p w14:paraId="6C8DD6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Capacity building of counties using KQMH </w:t>
            </w:r>
          </w:p>
        </w:tc>
        <w:tc>
          <w:tcPr>
            <w:tcW w:w="593" w:type="pct"/>
            <w:gridSpan w:val="2"/>
            <w:hideMark/>
          </w:tcPr>
          <w:p w14:paraId="187295C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Finalize and launch the updated KQMH</w:t>
            </w:r>
          </w:p>
        </w:tc>
        <w:tc>
          <w:tcPr>
            <w:tcW w:w="132" w:type="pct"/>
            <w:gridSpan w:val="2"/>
            <w:hideMark/>
          </w:tcPr>
          <w:p w14:paraId="7EE9AE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5CD5E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2B0462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F7EEE6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138BADE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HSQR/MOH</w:t>
            </w:r>
          </w:p>
        </w:tc>
        <w:tc>
          <w:tcPr>
            <w:tcW w:w="258" w:type="pct"/>
            <w:hideMark/>
          </w:tcPr>
          <w:p w14:paraId="709BF06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77FB0E2"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6947A44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7C75DF5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1067C4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0DB728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DC4CB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1C2CB4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8FC3D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Training of counties on KQMH</w:t>
            </w:r>
          </w:p>
        </w:tc>
        <w:tc>
          <w:tcPr>
            <w:tcW w:w="132" w:type="pct"/>
            <w:gridSpan w:val="2"/>
            <w:hideMark/>
          </w:tcPr>
          <w:p w14:paraId="6FCD5D0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476017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E2360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E378E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546611E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6AC94C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B6FACE1" w14:textId="77777777" w:rsidTr="00C559FB">
        <w:trPr>
          <w:trHeight w:val="305"/>
        </w:trPr>
        <w:tc>
          <w:tcPr>
            <w:cnfStyle w:val="001000000000" w:firstRow="0" w:lastRow="0" w:firstColumn="1" w:lastColumn="0" w:oddVBand="0" w:evenVBand="0" w:oddHBand="0" w:evenHBand="0" w:firstRowFirstColumn="0" w:firstRowLastColumn="0" w:lastRowFirstColumn="0" w:lastRowLastColumn="0"/>
            <w:tcW w:w="449" w:type="pct"/>
            <w:vMerge/>
            <w:hideMark/>
          </w:tcPr>
          <w:p w14:paraId="08B1A26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21AFE3C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3C2BA2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06D9C4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812202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A68140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15D5B3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Conduct mentorship programs with the counties </w:t>
            </w:r>
          </w:p>
        </w:tc>
        <w:tc>
          <w:tcPr>
            <w:tcW w:w="132" w:type="pct"/>
            <w:gridSpan w:val="2"/>
            <w:hideMark/>
          </w:tcPr>
          <w:p w14:paraId="424E56D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2674DF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026522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92B35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49A5EA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D29E62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CA41A9B"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1648027E"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63944B9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B2442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90EC17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6216DE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B8288D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39C984D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carry out integrated supportive supervision </w:t>
            </w:r>
          </w:p>
        </w:tc>
        <w:tc>
          <w:tcPr>
            <w:tcW w:w="132" w:type="pct"/>
            <w:gridSpan w:val="2"/>
            <w:hideMark/>
          </w:tcPr>
          <w:p w14:paraId="02F9FDE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B8F546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4A69F9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744FAA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4C4FFB1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36033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85AB12E" w14:textId="77777777" w:rsidTr="00C559FB">
        <w:trPr>
          <w:trHeight w:val="300"/>
        </w:trPr>
        <w:tc>
          <w:tcPr>
            <w:cnfStyle w:val="001000000000" w:firstRow="0" w:lastRow="0" w:firstColumn="1" w:lastColumn="0" w:oddVBand="0" w:evenVBand="0" w:oddHBand="0" w:evenHBand="0" w:firstRowFirstColumn="0" w:firstRowLastColumn="0" w:lastRowFirstColumn="0" w:lastRowLastColumn="0"/>
            <w:tcW w:w="449" w:type="pct"/>
            <w:vMerge/>
            <w:hideMark/>
          </w:tcPr>
          <w:p w14:paraId="0E9D57C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453CE1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Institutionalization of focused joint inspection </w:t>
            </w:r>
          </w:p>
        </w:tc>
        <w:tc>
          <w:tcPr>
            <w:tcW w:w="573" w:type="pct"/>
            <w:vMerge w:val="restart"/>
            <w:hideMark/>
          </w:tcPr>
          <w:p w14:paraId="4BA4E46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Quarterly Joint inspection</w:t>
            </w:r>
          </w:p>
        </w:tc>
        <w:tc>
          <w:tcPr>
            <w:tcW w:w="332" w:type="pct"/>
            <w:vMerge w:val="restart"/>
            <w:hideMark/>
          </w:tcPr>
          <w:p w14:paraId="0FDA9C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w:t>
            </w:r>
          </w:p>
        </w:tc>
        <w:tc>
          <w:tcPr>
            <w:tcW w:w="401" w:type="pct"/>
            <w:vMerge w:val="restart"/>
            <w:hideMark/>
          </w:tcPr>
          <w:p w14:paraId="50BF5C5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4</w:t>
            </w:r>
          </w:p>
        </w:tc>
        <w:tc>
          <w:tcPr>
            <w:tcW w:w="487" w:type="pct"/>
            <w:vMerge w:val="restart"/>
            <w:hideMark/>
          </w:tcPr>
          <w:p w14:paraId="5845471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Institutionalize focused joint inspection  </w:t>
            </w:r>
          </w:p>
        </w:tc>
        <w:tc>
          <w:tcPr>
            <w:tcW w:w="593" w:type="pct"/>
            <w:gridSpan w:val="2"/>
            <w:hideMark/>
          </w:tcPr>
          <w:p w14:paraId="74C5625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Updating training manual </w:t>
            </w:r>
          </w:p>
        </w:tc>
        <w:tc>
          <w:tcPr>
            <w:tcW w:w="132" w:type="pct"/>
            <w:gridSpan w:val="2"/>
            <w:hideMark/>
          </w:tcPr>
          <w:p w14:paraId="535AC91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CE28D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A5CDAD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74395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6CB99B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HSQR/MOH</w:t>
            </w:r>
          </w:p>
        </w:tc>
        <w:tc>
          <w:tcPr>
            <w:tcW w:w="258" w:type="pct"/>
            <w:hideMark/>
          </w:tcPr>
          <w:p w14:paraId="5BD57E4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E8B55D2"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3A4BF27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0EA0FD3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11F263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309A9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14B5A3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742A4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72BC454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 web-based monitoring system </w:t>
            </w:r>
          </w:p>
        </w:tc>
        <w:tc>
          <w:tcPr>
            <w:tcW w:w="132" w:type="pct"/>
            <w:gridSpan w:val="2"/>
            <w:hideMark/>
          </w:tcPr>
          <w:p w14:paraId="3BBA59B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71149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D4CFD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D97CF8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4004C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A8C2C4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F1EA6A6" w14:textId="77777777" w:rsidTr="00C559FB">
        <w:trPr>
          <w:trHeight w:val="233"/>
        </w:trPr>
        <w:tc>
          <w:tcPr>
            <w:cnfStyle w:val="001000000000" w:firstRow="0" w:lastRow="0" w:firstColumn="1" w:lastColumn="0" w:oddVBand="0" w:evenVBand="0" w:oddHBand="0" w:evenHBand="0" w:firstRowFirstColumn="0" w:firstRowLastColumn="0" w:lastRowFirstColumn="0" w:lastRowLastColumn="0"/>
            <w:tcW w:w="449" w:type="pct"/>
            <w:vMerge/>
            <w:hideMark/>
          </w:tcPr>
          <w:p w14:paraId="12680B58"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3C87EF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5F56AD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7310A7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60F99AB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2B0BF3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31A544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Train county coordinators and Health facility inspectors </w:t>
            </w:r>
          </w:p>
        </w:tc>
        <w:tc>
          <w:tcPr>
            <w:tcW w:w="132" w:type="pct"/>
            <w:gridSpan w:val="2"/>
            <w:hideMark/>
          </w:tcPr>
          <w:p w14:paraId="2C3FDFF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97F1D8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C9CC35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74FEF8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74812E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AE786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94EFA7D"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49" w:type="pct"/>
            <w:vMerge/>
            <w:hideMark/>
          </w:tcPr>
          <w:p w14:paraId="15EC0E3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1BEA1A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F0CC41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7CAAC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2551FCD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55EB68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D8E1A4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Joint inspections by counties </w:t>
            </w:r>
          </w:p>
        </w:tc>
        <w:tc>
          <w:tcPr>
            <w:tcW w:w="132" w:type="pct"/>
            <w:gridSpan w:val="2"/>
            <w:hideMark/>
          </w:tcPr>
          <w:p w14:paraId="3F924A6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A3DA8A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A7D3C2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179AAA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0395175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9AC7D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3D11158" w14:textId="77777777" w:rsidTr="00C559FB">
        <w:trPr>
          <w:trHeight w:val="80"/>
        </w:trPr>
        <w:tc>
          <w:tcPr>
            <w:cnfStyle w:val="001000000000" w:firstRow="0" w:lastRow="0" w:firstColumn="1" w:lastColumn="0" w:oddVBand="0" w:evenVBand="0" w:oddHBand="0" w:evenHBand="0" w:firstRowFirstColumn="0" w:firstRowLastColumn="0" w:lastRowFirstColumn="0" w:lastRowLastColumn="0"/>
            <w:tcW w:w="449" w:type="pct"/>
            <w:vMerge/>
            <w:hideMark/>
          </w:tcPr>
          <w:p w14:paraId="25EC644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val="restart"/>
            <w:hideMark/>
          </w:tcPr>
          <w:p w14:paraId="78CED9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Grading of health facilities piloted</w:t>
            </w:r>
          </w:p>
        </w:tc>
        <w:tc>
          <w:tcPr>
            <w:tcW w:w="573" w:type="pct"/>
            <w:vMerge w:val="restart"/>
            <w:hideMark/>
          </w:tcPr>
          <w:p w14:paraId="326B528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Number of health facilities graded/rated </w:t>
            </w:r>
          </w:p>
        </w:tc>
        <w:tc>
          <w:tcPr>
            <w:tcW w:w="332" w:type="pct"/>
            <w:vMerge w:val="restart"/>
            <w:hideMark/>
          </w:tcPr>
          <w:p w14:paraId="5A48B7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32C0930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5</w:t>
            </w:r>
          </w:p>
        </w:tc>
        <w:tc>
          <w:tcPr>
            <w:tcW w:w="487" w:type="pct"/>
            <w:vMerge w:val="restart"/>
            <w:hideMark/>
          </w:tcPr>
          <w:p w14:paraId="20D680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Rating/grading   of Health facilities </w:t>
            </w:r>
          </w:p>
        </w:tc>
        <w:tc>
          <w:tcPr>
            <w:tcW w:w="593" w:type="pct"/>
            <w:gridSpan w:val="2"/>
            <w:hideMark/>
          </w:tcPr>
          <w:p w14:paraId="601B67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an award system </w:t>
            </w:r>
          </w:p>
        </w:tc>
        <w:tc>
          <w:tcPr>
            <w:tcW w:w="132" w:type="pct"/>
            <w:gridSpan w:val="2"/>
            <w:hideMark/>
          </w:tcPr>
          <w:p w14:paraId="165F38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DF80E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0578C1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9A528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2019B0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149CF0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29CDB58" w14:textId="77777777" w:rsidTr="00C559F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449" w:type="pct"/>
            <w:vMerge/>
            <w:hideMark/>
          </w:tcPr>
          <w:p w14:paraId="66934C9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3BEEEF3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85CC69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7A3B30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BC627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BD5C46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22DCFF6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Conduct external inspections of the health facilities in selected counties </w:t>
            </w:r>
          </w:p>
        </w:tc>
        <w:tc>
          <w:tcPr>
            <w:tcW w:w="132" w:type="pct"/>
            <w:gridSpan w:val="2"/>
            <w:hideMark/>
          </w:tcPr>
          <w:p w14:paraId="133F1E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76F1BC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C896E1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F516F9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2333B8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27FF9B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1C9D2D3"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49" w:type="pct"/>
            <w:vMerge/>
            <w:hideMark/>
          </w:tcPr>
          <w:p w14:paraId="46979968"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45" w:type="pct"/>
            <w:gridSpan w:val="2"/>
            <w:vMerge/>
            <w:hideMark/>
          </w:tcPr>
          <w:p w14:paraId="40E50DD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E50A9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784714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EFA13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AD087E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93" w:type="pct"/>
            <w:gridSpan w:val="2"/>
            <w:hideMark/>
          </w:tcPr>
          <w:p w14:paraId="6CFA25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Award Best performing facilities</w:t>
            </w:r>
          </w:p>
        </w:tc>
        <w:tc>
          <w:tcPr>
            <w:tcW w:w="132" w:type="pct"/>
            <w:gridSpan w:val="2"/>
            <w:hideMark/>
          </w:tcPr>
          <w:p w14:paraId="5384FE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02EB4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AE23D8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4603CC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1B08E0C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EA52D5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0B8B56F2" w14:textId="77777777" w:rsidTr="00C559FB">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16A9CF88"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UHC Critical driver 3: Health Financing </w:t>
            </w:r>
          </w:p>
        </w:tc>
      </w:tr>
      <w:tr w:rsidR="00FB3334" w:rsidRPr="00BF344E" w14:paraId="5B28FB57"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7B9340C7"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Strategic Objective 3: To increase the total health expenditure on health as a % of GDP from 2.5% to X</w:t>
            </w:r>
          </w:p>
        </w:tc>
      </w:tr>
      <w:tr w:rsidR="00FB3334" w:rsidRPr="00BF344E" w14:paraId="687F055F" w14:textId="77777777" w:rsidTr="00C559FB">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4E3F2BC5"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Key Outcome 3: Increased financial resources for health </w:t>
            </w:r>
          </w:p>
        </w:tc>
      </w:tr>
      <w:tr w:rsidR="00C015CA" w:rsidRPr="00BF344E" w14:paraId="2E70F964" w14:textId="77777777" w:rsidTr="00C559FB">
        <w:trPr>
          <w:trHeight w:val="480"/>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6BFE016C"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Increased financing to health    </w:t>
            </w:r>
          </w:p>
        </w:tc>
        <w:tc>
          <w:tcPr>
            <w:tcW w:w="509" w:type="pct"/>
            <w:vMerge w:val="restart"/>
            <w:hideMark/>
          </w:tcPr>
          <w:p w14:paraId="0A898C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budgetary allocation to health increased </w:t>
            </w:r>
          </w:p>
        </w:tc>
        <w:tc>
          <w:tcPr>
            <w:tcW w:w="573" w:type="pct"/>
            <w:vMerge w:val="restart"/>
            <w:hideMark/>
          </w:tcPr>
          <w:p w14:paraId="59DA96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Proportion of government health expenditure as a function of Total Government expenditure</w:t>
            </w:r>
          </w:p>
        </w:tc>
        <w:tc>
          <w:tcPr>
            <w:tcW w:w="332" w:type="pct"/>
            <w:vMerge w:val="restart"/>
            <w:hideMark/>
          </w:tcPr>
          <w:p w14:paraId="31CC16E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7%</w:t>
            </w:r>
          </w:p>
        </w:tc>
        <w:tc>
          <w:tcPr>
            <w:tcW w:w="401" w:type="pct"/>
            <w:vMerge w:val="restart"/>
            <w:hideMark/>
          </w:tcPr>
          <w:p w14:paraId="7D98299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8%</w:t>
            </w:r>
          </w:p>
        </w:tc>
        <w:tc>
          <w:tcPr>
            <w:tcW w:w="487" w:type="pct"/>
            <w:vMerge w:val="restart"/>
            <w:hideMark/>
          </w:tcPr>
          <w:p w14:paraId="51802E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Increased budgetary allocation to health </w:t>
            </w:r>
          </w:p>
        </w:tc>
        <w:tc>
          <w:tcPr>
            <w:tcW w:w="548" w:type="pct"/>
            <w:hideMark/>
          </w:tcPr>
          <w:p w14:paraId="3D8EF5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Advocacy/lobby for increased budgetary allocation </w:t>
            </w:r>
          </w:p>
        </w:tc>
        <w:tc>
          <w:tcPr>
            <w:tcW w:w="177" w:type="pct"/>
            <w:gridSpan w:val="3"/>
            <w:hideMark/>
          </w:tcPr>
          <w:p w14:paraId="3077FF0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67F95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79DB1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79E9A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0AA8DB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 </w:t>
            </w:r>
          </w:p>
        </w:tc>
        <w:tc>
          <w:tcPr>
            <w:tcW w:w="258" w:type="pct"/>
            <w:hideMark/>
          </w:tcPr>
          <w:p w14:paraId="0B03DE3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8CE8AAE"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F1C2C2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36D677D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CC011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F7B977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36FAF0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7E9AEC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8718F8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Gradual increment in the budgetary allocation to health</w:t>
            </w:r>
          </w:p>
        </w:tc>
        <w:tc>
          <w:tcPr>
            <w:tcW w:w="177" w:type="pct"/>
            <w:gridSpan w:val="3"/>
            <w:hideMark/>
          </w:tcPr>
          <w:p w14:paraId="579AF6D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EFC920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A7B4DB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762503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31ABE7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National Treasury </w:t>
            </w:r>
          </w:p>
        </w:tc>
        <w:tc>
          <w:tcPr>
            <w:tcW w:w="258" w:type="pct"/>
            <w:hideMark/>
          </w:tcPr>
          <w:p w14:paraId="2ADB440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A83F7D4" w14:textId="77777777" w:rsidTr="00C559FB">
        <w:trPr>
          <w:trHeight w:val="511"/>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6AAF48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4773A52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increased private sector investment </w:t>
            </w:r>
          </w:p>
        </w:tc>
        <w:tc>
          <w:tcPr>
            <w:tcW w:w="573" w:type="pct"/>
            <w:hideMark/>
          </w:tcPr>
          <w:p w14:paraId="3A9489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Proportion of private sector investment in health as a function of Total health expenditure</w:t>
            </w:r>
          </w:p>
        </w:tc>
        <w:tc>
          <w:tcPr>
            <w:tcW w:w="332" w:type="pct"/>
            <w:hideMark/>
          </w:tcPr>
          <w:p w14:paraId="6F76C71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FF00"/>
                <w:sz w:val="18"/>
                <w:szCs w:val="20"/>
              </w:rPr>
            </w:pPr>
            <w:r w:rsidRPr="00CC343C">
              <w:rPr>
                <w:rFonts w:ascii="Arial Narrow" w:eastAsia="Times New Roman" w:hAnsi="Arial Narrow" w:cstheme="minorHAnsi"/>
                <w:color w:val="FFFF00"/>
                <w:sz w:val="18"/>
                <w:szCs w:val="20"/>
              </w:rPr>
              <w:t> </w:t>
            </w:r>
          </w:p>
        </w:tc>
        <w:tc>
          <w:tcPr>
            <w:tcW w:w="401" w:type="pct"/>
            <w:hideMark/>
          </w:tcPr>
          <w:p w14:paraId="3AC002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FFFF00"/>
                <w:sz w:val="18"/>
                <w:szCs w:val="20"/>
              </w:rPr>
            </w:pPr>
            <w:r w:rsidRPr="00CC343C">
              <w:rPr>
                <w:rFonts w:ascii="Arial Narrow" w:eastAsia="Times New Roman" w:hAnsi="Arial Narrow" w:cstheme="minorHAnsi"/>
                <w:color w:val="FFFF00"/>
                <w:sz w:val="18"/>
                <w:szCs w:val="20"/>
              </w:rPr>
              <w:t> </w:t>
            </w:r>
          </w:p>
        </w:tc>
        <w:tc>
          <w:tcPr>
            <w:tcW w:w="487" w:type="pct"/>
            <w:hideMark/>
          </w:tcPr>
          <w:p w14:paraId="7333EB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Attract private sector Investment</w:t>
            </w:r>
          </w:p>
        </w:tc>
        <w:tc>
          <w:tcPr>
            <w:tcW w:w="548" w:type="pct"/>
            <w:hideMark/>
          </w:tcPr>
          <w:p w14:paraId="29D439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Promote PPP in health /enter into PPP arrangements with relevant stakeholders in implementation of the priority areas</w:t>
            </w:r>
          </w:p>
        </w:tc>
        <w:tc>
          <w:tcPr>
            <w:tcW w:w="177" w:type="pct"/>
            <w:gridSpan w:val="3"/>
            <w:hideMark/>
          </w:tcPr>
          <w:p w14:paraId="4DB6B79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5ADBF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5937D1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632FC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0D1FD4F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938FE6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C212547" w14:textId="77777777" w:rsidTr="00C559F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3C74E0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4008CC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Alternative financing models in health developed and implemented</w:t>
            </w:r>
          </w:p>
        </w:tc>
        <w:tc>
          <w:tcPr>
            <w:tcW w:w="573" w:type="pct"/>
            <w:vMerge w:val="restart"/>
            <w:hideMark/>
          </w:tcPr>
          <w:p w14:paraId="2CA06E1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Number of alternative financing models in the health sector </w:t>
            </w:r>
          </w:p>
        </w:tc>
        <w:tc>
          <w:tcPr>
            <w:tcW w:w="332" w:type="pct"/>
            <w:vMerge w:val="restart"/>
            <w:hideMark/>
          </w:tcPr>
          <w:p w14:paraId="21AC94D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74D6DB3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71A3AD8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Implement alternative financing models </w:t>
            </w:r>
          </w:p>
        </w:tc>
        <w:tc>
          <w:tcPr>
            <w:tcW w:w="548" w:type="pct"/>
            <w:hideMark/>
          </w:tcPr>
          <w:p w14:paraId="2F4526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Dedicate a proportion of excise duty and</w:t>
            </w:r>
            <w:r w:rsidRPr="00CC343C">
              <w:rPr>
                <w:rFonts w:ascii="Arial Narrow" w:eastAsia="Times New Roman" w:hAnsi="Arial Narrow" w:cstheme="minorHAnsi"/>
                <w:b/>
                <w:bCs/>
                <w:color w:val="000000"/>
                <w:sz w:val="18"/>
                <w:szCs w:val="20"/>
              </w:rPr>
              <w:t xml:space="preserve"> Sin</w:t>
            </w:r>
            <w:r w:rsidRPr="00CC343C">
              <w:rPr>
                <w:rFonts w:ascii="Arial Narrow" w:eastAsia="Times New Roman" w:hAnsi="Arial Narrow" w:cstheme="minorHAnsi"/>
                <w:color w:val="000000"/>
                <w:sz w:val="18"/>
                <w:szCs w:val="20"/>
              </w:rPr>
              <w:t xml:space="preserve"> tax to health </w:t>
            </w:r>
          </w:p>
        </w:tc>
        <w:tc>
          <w:tcPr>
            <w:tcW w:w="177" w:type="pct"/>
            <w:gridSpan w:val="3"/>
            <w:hideMark/>
          </w:tcPr>
          <w:p w14:paraId="0AD8679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B0B1AF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41673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4C5567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37F88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National Treasury </w:t>
            </w:r>
          </w:p>
        </w:tc>
        <w:tc>
          <w:tcPr>
            <w:tcW w:w="258" w:type="pct"/>
            <w:hideMark/>
          </w:tcPr>
          <w:p w14:paraId="4E9A9A6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4E2B5C7"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E9FC47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1240375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497A3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86D129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B6FAA3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5E1B4A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EDC5F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Explore opportunities for introduction of Robin hood taxes</w:t>
            </w:r>
          </w:p>
        </w:tc>
        <w:tc>
          <w:tcPr>
            <w:tcW w:w="177" w:type="pct"/>
            <w:gridSpan w:val="3"/>
            <w:hideMark/>
          </w:tcPr>
          <w:p w14:paraId="073972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1FD28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7F95A2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240332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29C1A12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National Treasury </w:t>
            </w:r>
          </w:p>
        </w:tc>
        <w:tc>
          <w:tcPr>
            <w:tcW w:w="258" w:type="pct"/>
            <w:hideMark/>
          </w:tcPr>
          <w:p w14:paraId="044FCFC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1ABA435" w14:textId="77777777" w:rsidTr="00C559FB">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864346A"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073B84E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Implementation of existing Financing programs continued</w:t>
            </w:r>
          </w:p>
        </w:tc>
        <w:tc>
          <w:tcPr>
            <w:tcW w:w="573" w:type="pct"/>
            <w:hideMark/>
          </w:tcPr>
          <w:p w14:paraId="1167375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Per capita OPD utilization in primary health facilities</w:t>
            </w:r>
          </w:p>
        </w:tc>
        <w:tc>
          <w:tcPr>
            <w:tcW w:w="332" w:type="pct"/>
            <w:hideMark/>
          </w:tcPr>
          <w:p w14:paraId="3FC2C3C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w:t>
            </w:r>
          </w:p>
        </w:tc>
        <w:tc>
          <w:tcPr>
            <w:tcW w:w="401" w:type="pct"/>
            <w:hideMark/>
          </w:tcPr>
          <w:p w14:paraId="2DDD3B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xx</w:t>
            </w:r>
          </w:p>
        </w:tc>
        <w:tc>
          <w:tcPr>
            <w:tcW w:w="487" w:type="pct"/>
            <w:hideMark/>
          </w:tcPr>
          <w:p w14:paraId="1B321D4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Reimbursement for foregone user fee</w:t>
            </w:r>
          </w:p>
        </w:tc>
        <w:tc>
          <w:tcPr>
            <w:tcW w:w="548" w:type="pct"/>
            <w:hideMark/>
          </w:tcPr>
          <w:p w14:paraId="6C9B1B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Reimbursement of Primary care facilities for the foregone user fee </w:t>
            </w:r>
          </w:p>
        </w:tc>
        <w:tc>
          <w:tcPr>
            <w:tcW w:w="177" w:type="pct"/>
            <w:gridSpan w:val="3"/>
            <w:hideMark/>
          </w:tcPr>
          <w:p w14:paraId="1580486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56691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AF90A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F0B8C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39079A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73BA005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56CC9EF" w14:textId="77777777" w:rsidTr="00C559FB">
        <w:trPr>
          <w:trHeight w:val="48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0C74B4F"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28A10F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Increased efficiency in </w:t>
            </w:r>
            <w:r w:rsidRPr="00CC343C">
              <w:rPr>
                <w:rFonts w:ascii="Arial Narrow" w:eastAsia="Times New Roman" w:hAnsi="Arial Narrow" w:cstheme="minorHAnsi"/>
                <w:b/>
                <w:bCs/>
                <w:color w:val="000000"/>
                <w:sz w:val="18"/>
                <w:szCs w:val="20"/>
              </w:rPr>
              <w:lastRenderedPageBreak/>
              <w:t>health financing</w:t>
            </w:r>
          </w:p>
        </w:tc>
        <w:tc>
          <w:tcPr>
            <w:tcW w:w="573" w:type="pct"/>
            <w:hideMark/>
          </w:tcPr>
          <w:p w14:paraId="45DDBB9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 xml:space="preserve">National Level staff trained on </w:t>
            </w:r>
            <w:r w:rsidRPr="00CC343C">
              <w:rPr>
                <w:rFonts w:ascii="Arial Narrow" w:eastAsia="Times New Roman" w:hAnsi="Arial Narrow" w:cstheme="minorHAnsi"/>
                <w:b/>
                <w:bCs/>
                <w:color w:val="000000"/>
                <w:sz w:val="18"/>
                <w:szCs w:val="20"/>
              </w:rPr>
              <w:lastRenderedPageBreak/>
              <w:t xml:space="preserve">performance-based budgeting and resource tracking </w:t>
            </w:r>
          </w:p>
        </w:tc>
        <w:tc>
          <w:tcPr>
            <w:tcW w:w="332" w:type="pct"/>
            <w:hideMark/>
          </w:tcPr>
          <w:p w14:paraId="667221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lastRenderedPageBreak/>
              <w:t> x</w:t>
            </w:r>
          </w:p>
        </w:tc>
        <w:tc>
          <w:tcPr>
            <w:tcW w:w="401" w:type="pct"/>
            <w:hideMark/>
          </w:tcPr>
          <w:p w14:paraId="437D7FE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xx</w:t>
            </w:r>
          </w:p>
        </w:tc>
        <w:tc>
          <w:tcPr>
            <w:tcW w:w="487" w:type="pct"/>
            <w:vMerge w:val="restart"/>
            <w:hideMark/>
          </w:tcPr>
          <w:p w14:paraId="409F9EE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the capacity for </w:t>
            </w:r>
            <w:r w:rsidRPr="00CC343C">
              <w:rPr>
                <w:rFonts w:ascii="Arial Narrow" w:eastAsia="Times New Roman" w:hAnsi="Arial Narrow" w:cstheme="minorHAnsi"/>
                <w:color w:val="000000"/>
                <w:sz w:val="18"/>
                <w:szCs w:val="20"/>
              </w:rPr>
              <w:lastRenderedPageBreak/>
              <w:t>performance-based budgeting and resource tracking in the health sector</w:t>
            </w:r>
          </w:p>
        </w:tc>
        <w:tc>
          <w:tcPr>
            <w:tcW w:w="548" w:type="pct"/>
            <w:hideMark/>
          </w:tcPr>
          <w:p w14:paraId="46A0A8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lastRenderedPageBreak/>
              <w:t xml:space="preserve">Train national health staff on </w:t>
            </w:r>
            <w:r w:rsidRPr="00CC343C">
              <w:rPr>
                <w:rFonts w:ascii="Arial Narrow" w:eastAsia="Times New Roman" w:hAnsi="Arial Narrow" w:cstheme="minorHAnsi"/>
                <w:color w:val="000000"/>
                <w:sz w:val="18"/>
                <w:szCs w:val="20"/>
              </w:rPr>
              <w:lastRenderedPageBreak/>
              <w:t>performance-based budgeting and resource tracking</w:t>
            </w:r>
          </w:p>
        </w:tc>
        <w:tc>
          <w:tcPr>
            <w:tcW w:w="177" w:type="pct"/>
            <w:gridSpan w:val="3"/>
            <w:hideMark/>
          </w:tcPr>
          <w:p w14:paraId="1C790EA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 </w:t>
            </w:r>
          </w:p>
        </w:tc>
        <w:tc>
          <w:tcPr>
            <w:tcW w:w="165" w:type="pct"/>
            <w:gridSpan w:val="2"/>
            <w:hideMark/>
          </w:tcPr>
          <w:p w14:paraId="6B34D7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54B25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0EF94A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0C9AFE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311172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3247106" w14:textId="77777777" w:rsidTr="00C559FB">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98B8B8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39755CC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66749C0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number of counties trained on performance-based budgeting and resource tracking </w:t>
            </w:r>
          </w:p>
        </w:tc>
        <w:tc>
          <w:tcPr>
            <w:tcW w:w="332" w:type="pct"/>
            <w:hideMark/>
          </w:tcPr>
          <w:p w14:paraId="2293783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12</w:t>
            </w:r>
          </w:p>
        </w:tc>
        <w:tc>
          <w:tcPr>
            <w:tcW w:w="401" w:type="pct"/>
            <w:hideMark/>
          </w:tcPr>
          <w:p w14:paraId="0E769E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20</w:t>
            </w:r>
          </w:p>
        </w:tc>
        <w:tc>
          <w:tcPr>
            <w:tcW w:w="487" w:type="pct"/>
            <w:vMerge/>
            <w:hideMark/>
          </w:tcPr>
          <w:p w14:paraId="77B0747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4771856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Train counties on performance-based budgeting and resource tracking</w:t>
            </w:r>
          </w:p>
        </w:tc>
        <w:tc>
          <w:tcPr>
            <w:tcW w:w="177" w:type="pct"/>
            <w:gridSpan w:val="3"/>
            <w:hideMark/>
          </w:tcPr>
          <w:p w14:paraId="691777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44FE3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7DD77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63B70C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016371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F00F78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F7D54A1" w14:textId="77777777" w:rsidTr="00C559FB">
        <w:trPr>
          <w:trHeight w:val="404"/>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810D1F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853C1F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7044839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Counties implementing Results Based Financing Project</w:t>
            </w:r>
          </w:p>
        </w:tc>
        <w:tc>
          <w:tcPr>
            <w:tcW w:w="332" w:type="pct"/>
            <w:hideMark/>
          </w:tcPr>
          <w:p w14:paraId="0F78D21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21</w:t>
            </w:r>
          </w:p>
        </w:tc>
        <w:tc>
          <w:tcPr>
            <w:tcW w:w="401" w:type="pct"/>
            <w:hideMark/>
          </w:tcPr>
          <w:p w14:paraId="292039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21</w:t>
            </w:r>
          </w:p>
        </w:tc>
        <w:tc>
          <w:tcPr>
            <w:tcW w:w="487" w:type="pct"/>
            <w:vMerge/>
            <w:hideMark/>
          </w:tcPr>
          <w:p w14:paraId="543CAE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6FDA7E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Implementation of RBF Projects</w:t>
            </w:r>
          </w:p>
        </w:tc>
        <w:tc>
          <w:tcPr>
            <w:tcW w:w="177" w:type="pct"/>
            <w:gridSpan w:val="3"/>
            <w:hideMark/>
          </w:tcPr>
          <w:p w14:paraId="3C201EB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7482B3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6AF1F7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6758134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38E8FB0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CF288F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132D540"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62489B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22C41A8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583AA03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Resource tracking dashboard developed </w:t>
            </w:r>
          </w:p>
        </w:tc>
        <w:tc>
          <w:tcPr>
            <w:tcW w:w="332" w:type="pct"/>
            <w:hideMark/>
          </w:tcPr>
          <w:p w14:paraId="5C20F20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hideMark/>
          </w:tcPr>
          <w:p w14:paraId="76F31D5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hideMark/>
          </w:tcPr>
          <w:p w14:paraId="67BA528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1FDB5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Development of resource tracking dashboard</w:t>
            </w:r>
          </w:p>
        </w:tc>
        <w:tc>
          <w:tcPr>
            <w:tcW w:w="177" w:type="pct"/>
            <w:gridSpan w:val="3"/>
            <w:hideMark/>
          </w:tcPr>
          <w:p w14:paraId="2D39229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3F188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40F4B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9E1B03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223259B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0A8A79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0C49C0EC" w14:textId="77777777" w:rsidTr="00C559FB">
        <w:trPr>
          <w:trHeight w:val="53"/>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762BE053"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UHC Critical Driver 4: Leadership and Governance</w:t>
            </w:r>
          </w:p>
        </w:tc>
      </w:tr>
      <w:tr w:rsidR="00FB3334" w:rsidRPr="00BF344E" w14:paraId="78DAFDB7" w14:textId="77777777" w:rsidTr="00C559FB">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047ADF73" w14:textId="77777777" w:rsidR="00FB3334" w:rsidRPr="00CC343C" w:rsidRDefault="00FB3334" w:rsidP="00C559FB">
            <w:pPr>
              <w:jc w:val="both"/>
              <w:rPr>
                <w:rFonts w:ascii="Arial Narrow" w:eastAsia="Times New Roman" w:hAnsi="Arial Narrow" w:cstheme="minorHAnsi"/>
                <w:b w:val="0"/>
                <w:bCs w:val="0"/>
                <w:color w:val="FF0000"/>
                <w:sz w:val="18"/>
                <w:szCs w:val="20"/>
              </w:rPr>
            </w:pPr>
            <w:r w:rsidRPr="00CC343C">
              <w:rPr>
                <w:rFonts w:ascii="Arial Narrow" w:eastAsia="Times New Roman" w:hAnsi="Arial Narrow" w:cstheme="minorHAnsi"/>
                <w:sz w:val="18"/>
                <w:szCs w:val="20"/>
              </w:rPr>
              <w:t xml:space="preserve">Strategic Objective 4:  </w:t>
            </w:r>
          </w:p>
        </w:tc>
      </w:tr>
      <w:tr w:rsidR="00FB3334" w:rsidRPr="00BF344E" w14:paraId="4A2B0841" w14:textId="77777777" w:rsidTr="00C559FB">
        <w:trPr>
          <w:trHeight w:val="107"/>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04444581"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Key Outcome 4:  Enhanced Health Sector Governance and Leadership</w:t>
            </w:r>
          </w:p>
        </w:tc>
      </w:tr>
      <w:tr w:rsidR="00C015CA" w:rsidRPr="00BF344E" w14:paraId="47277590" w14:textId="77777777" w:rsidTr="00C559F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6FE88DC3"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 xml:space="preserve">Policy and strategic reforms </w:t>
            </w:r>
          </w:p>
        </w:tc>
        <w:tc>
          <w:tcPr>
            <w:tcW w:w="509" w:type="pct"/>
            <w:vMerge w:val="restart"/>
            <w:hideMark/>
          </w:tcPr>
          <w:p w14:paraId="47935E1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The Second Kenya Health sector strategic plan developed </w:t>
            </w:r>
          </w:p>
        </w:tc>
        <w:tc>
          <w:tcPr>
            <w:tcW w:w="573" w:type="pct"/>
            <w:vMerge w:val="restart"/>
            <w:hideMark/>
          </w:tcPr>
          <w:p w14:paraId="7B8E442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documents</w:t>
            </w:r>
          </w:p>
        </w:tc>
        <w:tc>
          <w:tcPr>
            <w:tcW w:w="332" w:type="pct"/>
            <w:vMerge w:val="restart"/>
            <w:hideMark/>
          </w:tcPr>
          <w:p w14:paraId="1BD90F7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01" w:type="pct"/>
            <w:vMerge w:val="restart"/>
            <w:hideMark/>
          </w:tcPr>
          <w:p w14:paraId="713321C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51A35E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Developing of the Second Kenya Health sector strategic plan </w:t>
            </w:r>
          </w:p>
        </w:tc>
        <w:tc>
          <w:tcPr>
            <w:tcW w:w="548" w:type="pct"/>
            <w:hideMark/>
          </w:tcPr>
          <w:p w14:paraId="0375EF7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Development and endorsement of the concept note </w:t>
            </w:r>
          </w:p>
        </w:tc>
        <w:tc>
          <w:tcPr>
            <w:tcW w:w="177" w:type="pct"/>
            <w:gridSpan w:val="3"/>
            <w:hideMark/>
          </w:tcPr>
          <w:p w14:paraId="5E6FB52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E84FFE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F5AAC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6486FB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2966D33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68C0CA8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0D7D657"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4FD5F632"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E52B0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550FF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F5BD26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0A453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B19915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4EE8A1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draft plan</w:t>
            </w:r>
          </w:p>
        </w:tc>
        <w:tc>
          <w:tcPr>
            <w:tcW w:w="177" w:type="pct"/>
            <w:gridSpan w:val="3"/>
            <w:hideMark/>
          </w:tcPr>
          <w:p w14:paraId="4D8B53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50D54D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B7BC1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5B365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E50EC0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17C83C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975B8C4" w14:textId="77777777" w:rsidTr="00C559FB">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13467CCF"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122ECED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8C170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018BD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039AE7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FE6796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7CD7EF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Stakeholders engagement (internal review, county reviews, intergovernmental forum, external review)</w:t>
            </w:r>
          </w:p>
        </w:tc>
        <w:tc>
          <w:tcPr>
            <w:tcW w:w="177" w:type="pct"/>
            <w:gridSpan w:val="3"/>
            <w:hideMark/>
          </w:tcPr>
          <w:p w14:paraId="218C123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5A364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85A307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7031D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DA1CF3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3986C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DBBB977"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43DF7B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855106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2623E7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E03444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E5F4AF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8CB79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10CEE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Finalization and launch for implementation </w:t>
            </w:r>
          </w:p>
        </w:tc>
        <w:tc>
          <w:tcPr>
            <w:tcW w:w="177" w:type="pct"/>
            <w:gridSpan w:val="3"/>
            <w:hideMark/>
          </w:tcPr>
          <w:p w14:paraId="1817A8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EA05C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910365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E02354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5C28DB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3C312F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81EC1B5"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5C6F05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1BFFC30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Kenya Health Financing strategy finalized</w:t>
            </w:r>
          </w:p>
        </w:tc>
        <w:tc>
          <w:tcPr>
            <w:tcW w:w="573" w:type="pct"/>
            <w:vMerge w:val="restart"/>
            <w:hideMark/>
          </w:tcPr>
          <w:p w14:paraId="3DE8BF1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strategies</w:t>
            </w:r>
          </w:p>
        </w:tc>
        <w:tc>
          <w:tcPr>
            <w:tcW w:w="332" w:type="pct"/>
            <w:vMerge w:val="restart"/>
            <w:hideMark/>
          </w:tcPr>
          <w:p w14:paraId="24F7213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37C1B7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1DB92E5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Finalization of the Kenya Health Financing Strategy</w:t>
            </w:r>
          </w:p>
        </w:tc>
        <w:tc>
          <w:tcPr>
            <w:tcW w:w="548" w:type="pct"/>
            <w:hideMark/>
          </w:tcPr>
          <w:p w14:paraId="6433075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Hold MOH internal review meetings for inputs and comments to the draft</w:t>
            </w:r>
          </w:p>
        </w:tc>
        <w:tc>
          <w:tcPr>
            <w:tcW w:w="177" w:type="pct"/>
            <w:gridSpan w:val="3"/>
            <w:hideMark/>
          </w:tcPr>
          <w:p w14:paraId="14AD384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4549A9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CBB5F6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4B48F13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85B17F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MOH/Dept of policy planning </w:t>
            </w:r>
          </w:p>
        </w:tc>
        <w:tc>
          <w:tcPr>
            <w:tcW w:w="258" w:type="pct"/>
            <w:hideMark/>
          </w:tcPr>
          <w:p w14:paraId="69B3F72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52FEEAC" w14:textId="77777777" w:rsidTr="00C559FB">
        <w:trPr>
          <w:trHeight w:val="278"/>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EFA0B5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29926A4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10476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3476E2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659B77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ADF4BC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36A25E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Review meeting with the UHC-Steering </w:t>
            </w:r>
            <w:r w:rsidRPr="00CC343C">
              <w:rPr>
                <w:rFonts w:ascii="Arial Narrow" w:eastAsia="Times New Roman" w:hAnsi="Arial Narrow" w:cstheme="minorHAnsi"/>
                <w:color w:val="000000"/>
                <w:sz w:val="18"/>
                <w:szCs w:val="20"/>
              </w:rPr>
              <w:lastRenderedPageBreak/>
              <w:t xml:space="preserve">committee to validate </w:t>
            </w:r>
          </w:p>
        </w:tc>
        <w:tc>
          <w:tcPr>
            <w:tcW w:w="177" w:type="pct"/>
            <w:gridSpan w:val="3"/>
            <w:hideMark/>
          </w:tcPr>
          <w:p w14:paraId="6A3D9D7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x</w:t>
            </w:r>
          </w:p>
        </w:tc>
        <w:tc>
          <w:tcPr>
            <w:tcW w:w="165" w:type="pct"/>
            <w:gridSpan w:val="2"/>
            <w:hideMark/>
          </w:tcPr>
          <w:p w14:paraId="58CF74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9AA37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21F00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A61911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C084AF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E9A1754" w14:textId="77777777" w:rsidTr="00C559FB">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AE3FE4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79E895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807942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5CAF2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5B7E0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A19AEE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656B4C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Review meeting with the health financing ICC to validate the draft </w:t>
            </w:r>
          </w:p>
        </w:tc>
        <w:tc>
          <w:tcPr>
            <w:tcW w:w="177" w:type="pct"/>
            <w:gridSpan w:val="3"/>
            <w:hideMark/>
          </w:tcPr>
          <w:p w14:paraId="7761CA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DB1B19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24F6FE8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28FEA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62D697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2733F06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E08103E" w14:textId="77777777" w:rsidTr="00C559FB">
        <w:trPr>
          <w:trHeight w:val="242"/>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487DB3AD"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1962DC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0B5B0E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54F4C4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E2F186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FC7814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3B76F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Hold validation meeting with the Health Sector Intergovernmental forum  </w:t>
            </w:r>
          </w:p>
        </w:tc>
        <w:tc>
          <w:tcPr>
            <w:tcW w:w="177" w:type="pct"/>
            <w:gridSpan w:val="3"/>
            <w:hideMark/>
          </w:tcPr>
          <w:p w14:paraId="1F3EC67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464FB7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B41F9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2D0732E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838BF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425ED2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E0281A7" w14:textId="77777777" w:rsidTr="00C559F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663E5E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1779E6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5053D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52832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521DDB7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E79EA0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0614016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Health sector stakeholders validation meeting </w:t>
            </w:r>
          </w:p>
        </w:tc>
        <w:tc>
          <w:tcPr>
            <w:tcW w:w="177" w:type="pct"/>
            <w:gridSpan w:val="3"/>
            <w:hideMark/>
          </w:tcPr>
          <w:p w14:paraId="4886DE1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90283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7073F93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2C2D71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66795A8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893ED4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413B200" w14:textId="77777777" w:rsidTr="00C559FB">
        <w:trPr>
          <w:trHeight w:val="188"/>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134BABD"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EEC9AA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35F703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060F31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25AFF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78047C1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F19534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and submit to cabinet a cabinet memo on Health financing strategy </w:t>
            </w:r>
          </w:p>
        </w:tc>
        <w:tc>
          <w:tcPr>
            <w:tcW w:w="177" w:type="pct"/>
            <w:gridSpan w:val="3"/>
            <w:hideMark/>
          </w:tcPr>
          <w:p w14:paraId="699BA75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370E1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C8D53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04CE156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11859B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E37F73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57FDD9A" w14:textId="77777777" w:rsidTr="00C559FB">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12A08C9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343EF1A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DC930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A656E8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04DE07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6A95A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A13D4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Draft legal instruments (sessional paper, bills)</w:t>
            </w:r>
          </w:p>
        </w:tc>
        <w:tc>
          <w:tcPr>
            <w:tcW w:w="177" w:type="pct"/>
            <w:gridSpan w:val="3"/>
            <w:hideMark/>
          </w:tcPr>
          <w:p w14:paraId="15C0BDA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E37DB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FED7E3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50F07D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1CAC04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E2E690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84CF044" w14:textId="77777777" w:rsidTr="00C559FB">
        <w:trPr>
          <w:trHeight w:val="251"/>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5652F4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05D41BA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353498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DD0014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6FCCC6E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DF7267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2D8AA2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Dissemination of the financing strategy for implementation </w:t>
            </w:r>
          </w:p>
        </w:tc>
        <w:tc>
          <w:tcPr>
            <w:tcW w:w="177" w:type="pct"/>
            <w:gridSpan w:val="3"/>
            <w:hideMark/>
          </w:tcPr>
          <w:p w14:paraId="3A86269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7830D0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9988D4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3C70C9A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DF555A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57E49C4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76091C7" w14:textId="77777777" w:rsidTr="00C559FB">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AAA46AE"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316663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Partnership and coordination framework finalized </w:t>
            </w:r>
          </w:p>
        </w:tc>
        <w:tc>
          <w:tcPr>
            <w:tcW w:w="573" w:type="pct"/>
            <w:vMerge w:val="restart"/>
            <w:hideMark/>
          </w:tcPr>
          <w:p w14:paraId="3FFC052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Partnership frameworks</w:t>
            </w:r>
          </w:p>
        </w:tc>
        <w:tc>
          <w:tcPr>
            <w:tcW w:w="332" w:type="pct"/>
            <w:vMerge w:val="restart"/>
            <w:hideMark/>
          </w:tcPr>
          <w:p w14:paraId="425F230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56D0A12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1CC369E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Finalization of the Partnership and coordination framework </w:t>
            </w:r>
          </w:p>
        </w:tc>
        <w:tc>
          <w:tcPr>
            <w:tcW w:w="548" w:type="pct"/>
            <w:hideMark/>
          </w:tcPr>
          <w:p w14:paraId="0FC28BC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Hold MoH internal review meeting for inputs to the existing drat </w:t>
            </w:r>
          </w:p>
        </w:tc>
        <w:tc>
          <w:tcPr>
            <w:tcW w:w="177" w:type="pct"/>
            <w:gridSpan w:val="3"/>
            <w:hideMark/>
          </w:tcPr>
          <w:p w14:paraId="35780D8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9AAF6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EACBD5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3E95E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AD438D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MOH/Policy planning dept </w:t>
            </w:r>
          </w:p>
        </w:tc>
        <w:tc>
          <w:tcPr>
            <w:tcW w:w="258" w:type="pct"/>
            <w:hideMark/>
          </w:tcPr>
          <w:p w14:paraId="3A9594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42D6BA7"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EC5465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2127BF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CE9D01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0E0C63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A2201B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5A9282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576D8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Health sector stakeholders review meeting </w:t>
            </w:r>
          </w:p>
        </w:tc>
        <w:tc>
          <w:tcPr>
            <w:tcW w:w="177" w:type="pct"/>
            <w:gridSpan w:val="3"/>
            <w:hideMark/>
          </w:tcPr>
          <w:p w14:paraId="0B617E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6433CF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4C872AE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7885787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36C69C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6123598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6477B59"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D87AB9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8CE12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74A0DD0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A4C33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8552DA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6C6333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CA8B2D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Launch and dissemination of the framework for implementation </w:t>
            </w:r>
          </w:p>
        </w:tc>
        <w:tc>
          <w:tcPr>
            <w:tcW w:w="177" w:type="pct"/>
            <w:gridSpan w:val="3"/>
            <w:hideMark/>
          </w:tcPr>
          <w:p w14:paraId="1EE253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BAB1EF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ECF90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BEEC1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18308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AF363C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7CC052E" w14:textId="77777777" w:rsidTr="00C559FB">
        <w:trPr>
          <w:trHeight w:val="67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F53C5B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7BD418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Health Law Implemented </w:t>
            </w:r>
          </w:p>
        </w:tc>
        <w:tc>
          <w:tcPr>
            <w:tcW w:w="573" w:type="pct"/>
            <w:hideMark/>
          </w:tcPr>
          <w:p w14:paraId="12C19F9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requisite legislation reviewed/developed</w:t>
            </w:r>
          </w:p>
        </w:tc>
        <w:tc>
          <w:tcPr>
            <w:tcW w:w="332" w:type="pct"/>
            <w:hideMark/>
          </w:tcPr>
          <w:p w14:paraId="2914729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xx</w:t>
            </w:r>
          </w:p>
        </w:tc>
        <w:tc>
          <w:tcPr>
            <w:tcW w:w="401" w:type="pct"/>
            <w:hideMark/>
          </w:tcPr>
          <w:p w14:paraId="107D0C0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xx</w:t>
            </w:r>
          </w:p>
        </w:tc>
        <w:tc>
          <w:tcPr>
            <w:tcW w:w="487" w:type="pct"/>
            <w:vMerge w:val="restart"/>
            <w:hideMark/>
          </w:tcPr>
          <w:p w14:paraId="28436E7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Implementation of the Health Law</w:t>
            </w:r>
          </w:p>
        </w:tc>
        <w:tc>
          <w:tcPr>
            <w:tcW w:w="548" w:type="pct"/>
            <w:hideMark/>
          </w:tcPr>
          <w:p w14:paraId="3DF0AF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Development /review of the requisite legislations based on the health law</w:t>
            </w:r>
          </w:p>
        </w:tc>
        <w:tc>
          <w:tcPr>
            <w:tcW w:w="177" w:type="pct"/>
            <w:gridSpan w:val="3"/>
            <w:hideMark/>
          </w:tcPr>
          <w:p w14:paraId="557F3D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D684EB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5A19BA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53DE0EB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8E77E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3F20C3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4577620" w14:textId="77777777" w:rsidTr="00C559F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18EF9612"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3A5CFA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1C0858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MOH Organizational structure </w:t>
            </w:r>
          </w:p>
        </w:tc>
        <w:tc>
          <w:tcPr>
            <w:tcW w:w="332" w:type="pct"/>
            <w:hideMark/>
          </w:tcPr>
          <w:p w14:paraId="072773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01" w:type="pct"/>
            <w:hideMark/>
          </w:tcPr>
          <w:p w14:paraId="0F736CE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hideMark/>
          </w:tcPr>
          <w:p w14:paraId="5A26236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0428EA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Review the organization structure of MOH in line with the health law</w:t>
            </w:r>
          </w:p>
        </w:tc>
        <w:tc>
          <w:tcPr>
            <w:tcW w:w="177" w:type="pct"/>
            <w:gridSpan w:val="3"/>
            <w:hideMark/>
          </w:tcPr>
          <w:p w14:paraId="30B73B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06A1C8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1D4A1E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5553423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761FA7D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77666E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2079566E" w14:textId="77777777" w:rsidTr="00C559FB">
        <w:trPr>
          <w:trHeight w:val="67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A5B964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66A0BD7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Health sector coordination strengthened</w:t>
            </w:r>
          </w:p>
        </w:tc>
        <w:tc>
          <w:tcPr>
            <w:tcW w:w="573" w:type="pct"/>
            <w:hideMark/>
          </w:tcPr>
          <w:p w14:paraId="3F9072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quarterly health sector Inter governmental forums held</w:t>
            </w:r>
          </w:p>
        </w:tc>
        <w:tc>
          <w:tcPr>
            <w:tcW w:w="332" w:type="pct"/>
            <w:hideMark/>
          </w:tcPr>
          <w:p w14:paraId="239367D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4</w:t>
            </w:r>
          </w:p>
        </w:tc>
        <w:tc>
          <w:tcPr>
            <w:tcW w:w="401" w:type="pct"/>
            <w:hideMark/>
          </w:tcPr>
          <w:p w14:paraId="6902AD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4</w:t>
            </w:r>
          </w:p>
        </w:tc>
        <w:tc>
          <w:tcPr>
            <w:tcW w:w="487" w:type="pct"/>
            <w:vMerge w:val="restart"/>
            <w:hideMark/>
          </w:tcPr>
          <w:p w14:paraId="26C5A7B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Coordination of the health sector stakeholders</w:t>
            </w:r>
          </w:p>
        </w:tc>
        <w:tc>
          <w:tcPr>
            <w:tcW w:w="548" w:type="pct"/>
            <w:hideMark/>
          </w:tcPr>
          <w:p w14:paraId="07BEF5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Hold quarterly health sector Inter governmental forums </w:t>
            </w:r>
          </w:p>
        </w:tc>
        <w:tc>
          <w:tcPr>
            <w:tcW w:w="177" w:type="pct"/>
            <w:gridSpan w:val="3"/>
            <w:hideMark/>
          </w:tcPr>
          <w:p w14:paraId="43E23AD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8F9298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69BAA9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8F670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613AB32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MOH/Counties </w:t>
            </w:r>
          </w:p>
        </w:tc>
        <w:tc>
          <w:tcPr>
            <w:tcW w:w="258" w:type="pct"/>
            <w:hideMark/>
          </w:tcPr>
          <w:p w14:paraId="23F8F26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C6979D0" w14:textId="77777777" w:rsidTr="00C559FB">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9F5861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0B25E8D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48613FD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Inter-Agency Coordination Committees (ICCs)</w:t>
            </w:r>
          </w:p>
        </w:tc>
        <w:tc>
          <w:tcPr>
            <w:tcW w:w="332" w:type="pct"/>
            <w:hideMark/>
          </w:tcPr>
          <w:p w14:paraId="55DAF1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01" w:type="pct"/>
            <w:hideMark/>
          </w:tcPr>
          <w:p w14:paraId="4B6F7F8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xx</w:t>
            </w:r>
          </w:p>
        </w:tc>
        <w:tc>
          <w:tcPr>
            <w:tcW w:w="487" w:type="pct"/>
            <w:vMerge/>
            <w:hideMark/>
          </w:tcPr>
          <w:p w14:paraId="0F7C81E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690AB0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Hold relevant Inter-Agency Coordination Committees (ICCS) e.g. financing ICC, HR ICC </w:t>
            </w:r>
          </w:p>
        </w:tc>
        <w:tc>
          <w:tcPr>
            <w:tcW w:w="177" w:type="pct"/>
            <w:gridSpan w:val="3"/>
            <w:hideMark/>
          </w:tcPr>
          <w:p w14:paraId="66FCF34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110E6B5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1390CC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34ABE0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40DBB5E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w:t>
            </w:r>
          </w:p>
        </w:tc>
        <w:tc>
          <w:tcPr>
            <w:tcW w:w="258" w:type="pct"/>
            <w:hideMark/>
          </w:tcPr>
          <w:p w14:paraId="47DEE0F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B70007A"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572F3BD"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25FD3E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 Act aligned to UHC</w:t>
            </w:r>
          </w:p>
        </w:tc>
        <w:tc>
          <w:tcPr>
            <w:tcW w:w="573" w:type="pct"/>
            <w:hideMark/>
          </w:tcPr>
          <w:p w14:paraId="7F57627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Amended NHIF Act </w:t>
            </w:r>
          </w:p>
        </w:tc>
        <w:tc>
          <w:tcPr>
            <w:tcW w:w="332" w:type="pct"/>
            <w:hideMark/>
          </w:tcPr>
          <w:p w14:paraId="5669B59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w:t>
            </w:r>
          </w:p>
        </w:tc>
        <w:tc>
          <w:tcPr>
            <w:tcW w:w="401" w:type="pct"/>
            <w:hideMark/>
          </w:tcPr>
          <w:p w14:paraId="30674E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w:t>
            </w:r>
          </w:p>
        </w:tc>
        <w:tc>
          <w:tcPr>
            <w:tcW w:w="487" w:type="pct"/>
            <w:hideMark/>
          </w:tcPr>
          <w:p w14:paraId="062907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Align NHIF Act to UHC  </w:t>
            </w:r>
          </w:p>
        </w:tc>
        <w:tc>
          <w:tcPr>
            <w:tcW w:w="548" w:type="pct"/>
            <w:hideMark/>
          </w:tcPr>
          <w:p w14:paraId="6F13C87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Propose amendments </w:t>
            </w:r>
          </w:p>
        </w:tc>
        <w:tc>
          <w:tcPr>
            <w:tcW w:w="177" w:type="pct"/>
            <w:gridSpan w:val="3"/>
            <w:hideMark/>
          </w:tcPr>
          <w:p w14:paraId="64FDB2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3C51A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B98ED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64DE92B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9AE610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258" w:type="pct"/>
            <w:hideMark/>
          </w:tcPr>
          <w:p w14:paraId="41CC088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B7E7F2E"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22CF3591"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0246CF1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73" w:type="pct"/>
            <w:hideMark/>
          </w:tcPr>
          <w:p w14:paraId="7182C5B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332" w:type="pct"/>
            <w:hideMark/>
          </w:tcPr>
          <w:p w14:paraId="40E912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01" w:type="pct"/>
            <w:hideMark/>
          </w:tcPr>
          <w:p w14:paraId="4887ACB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7" w:type="pct"/>
            <w:hideMark/>
          </w:tcPr>
          <w:p w14:paraId="17FADA0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w:t>
            </w:r>
          </w:p>
        </w:tc>
        <w:tc>
          <w:tcPr>
            <w:tcW w:w="548" w:type="pct"/>
            <w:hideMark/>
          </w:tcPr>
          <w:p w14:paraId="0D8B12B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Stakeholders engagement</w:t>
            </w:r>
          </w:p>
        </w:tc>
        <w:tc>
          <w:tcPr>
            <w:tcW w:w="177" w:type="pct"/>
            <w:gridSpan w:val="3"/>
            <w:hideMark/>
          </w:tcPr>
          <w:p w14:paraId="2B58C31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7419C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7B0F761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59" w:type="pct"/>
            <w:hideMark/>
          </w:tcPr>
          <w:p w14:paraId="1B32B4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349A2E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AFBDDF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C2C27BF"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EE1F8A0"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6E0C082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573" w:type="pct"/>
            <w:hideMark/>
          </w:tcPr>
          <w:p w14:paraId="5EA103D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332" w:type="pct"/>
            <w:hideMark/>
          </w:tcPr>
          <w:p w14:paraId="621D93A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01" w:type="pct"/>
            <w:hideMark/>
          </w:tcPr>
          <w:p w14:paraId="23B5E5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7" w:type="pct"/>
            <w:hideMark/>
          </w:tcPr>
          <w:p w14:paraId="142F61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w:t>
            </w:r>
          </w:p>
        </w:tc>
        <w:tc>
          <w:tcPr>
            <w:tcW w:w="548" w:type="pct"/>
            <w:hideMark/>
          </w:tcPr>
          <w:p w14:paraId="78B039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Develop a sessional paper and present to cabinet  </w:t>
            </w:r>
          </w:p>
        </w:tc>
        <w:tc>
          <w:tcPr>
            <w:tcW w:w="177" w:type="pct"/>
            <w:gridSpan w:val="3"/>
            <w:hideMark/>
          </w:tcPr>
          <w:p w14:paraId="1B8A17B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BBCBFE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31A63B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166F83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4F1A44E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3DD33F3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1165DE6F" w14:textId="77777777" w:rsidTr="00C559FB">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4FDA84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422D4FD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IRA and RBA acts reviewed to increase uptake of private Health Insurance to cushion NHIF </w:t>
            </w:r>
          </w:p>
        </w:tc>
        <w:tc>
          <w:tcPr>
            <w:tcW w:w="573" w:type="pct"/>
            <w:hideMark/>
          </w:tcPr>
          <w:p w14:paraId="5F5C867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Reviewed IRA and RBA acts </w:t>
            </w:r>
          </w:p>
        </w:tc>
        <w:tc>
          <w:tcPr>
            <w:tcW w:w="332" w:type="pct"/>
            <w:hideMark/>
          </w:tcPr>
          <w:p w14:paraId="7B9EF57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w:t>
            </w:r>
          </w:p>
        </w:tc>
        <w:tc>
          <w:tcPr>
            <w:tcW w:w="401" w:type="pct"/>
            <w:hideMark/>
          </w:tcPr>
          <w:p w14:paraId="1C3AE0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2</w:t>
            </w:r>
          </w:p>
        </w:tc>
        <w:tc>
          <w:tcPr>
            <w:tcW w:w="487" w:type="pct"/>
            <w:hideMark/>
          </w:tcPr>
          <w:p w14:paraId="19B2DB4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Review IRA and RBA act to increase uptake of private Health Insurance to cushion NHIF </w:t>
            </w:r>
          </w:p>
        </w:tc>
        <w:tc>
          <w:tcPr>
            <w:tcW w:w="548" w:type="pct"/>
            <w:hideMark/>
          </w:tcPr>
          <w:p w14:paraId="7D93B46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Propose amendments and present them to treasury </w:t>
            </w:r>
          </w:p>
        </w:tc>
        <w:tc>
          <w:tcPr>
            <w:tcW w:w="177" w:type="pct"/>
            <w:gridSpan w:val="3"/>
            <w:hideMark/>
          </w:tcPr>
          <w:p w14:paraId="267C72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F53335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5E560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59" w:type="pct"/>
            <w:hideMark/>
          </w:tcPr>
          <w:p w14:paraId="4BB8DA0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D911AB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MOH/NHIF</w:t>
            </w:r>
          </w:p>
        </w:tc>
        <w:tc>
          <w:tcPr>
            <w:tcW w:w="258" w:type="pct"/>
            <w:hideMark/>
          </w:tcPr>
          <w:p w14:paraId="12BA554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468673A" w14:textId="77777777" w:rsidTr="00C559FB">
        <w:trPr>
          <w:trHeight w:val="548"/>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C12FBCE"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hideMark/>
          </w:tcPr>
          <w:p w14:paraId="4F52B92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CARA amended to ring fence health funds at county level (changes to PFM act)</w:t>
            </w:r>
          </w:p>
        </w:tc>
        <w:tc>
          <w:tcPr>
            <w:tcW w:w="573" w:type="pct"/>
            <w:hideMark/>
          </w:tcPr>
          <w:p w14:paraId="339599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Amended CARA</w:t>
            </w:r>
          </w:p>
        </w:tc>
        <w:tc>
          <w:tcPr>
            <w:tcW w:w="332" w:type="pct"/>
            <w:hideMark/>
          </w:tcPr>
          <w:p w14:paraId="0D3B4E9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w:t>
            </w:r>
          </w:p>
        </w:tc>
        <w:tc>
          <w:tcPr>
            <w:tcW w:w="401" w:type="pct"/>
            <w:hideMark/>
          </w:tcPr>
          <w:p w14:paraId="37435C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1</w:t>
            </w:r>
          </w:p>
        </w:tc>
        <w:tc>
          <w:tcPr>
            <w:tcW w:w="487" w:type="pct"/>
            <w:hideMark/>
          </w:tcPr>
          <w:p w14:paraId="2E2F9DC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Amend CARA to ring fence health funds at county level (changes to PFM act)</w:t>
            </w:r>
          </w:p>
        </w:tc>
        <w:tc>
          <w:tcPr>
            <w:tcW w:w="548" w:type="pct"/>
            <w:hideMark/>
          </w:tcPr>
          <w:p w14:paraId="73C52F4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Propose amendments and present them to treasury </w:t>
            </w:r>
          </w:p>
        </w:tc>
        <w:tc>
          <w:tcPr>
            <w:tcW w:w="177" w:type="pct"/>
            <w:gridSpan w:val="3"/>
            <w:hideMark/>
          </w:tcPr>
          <w:p w14:paraId="6EB3183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x</w:t>
            </w:r>
          </w:p>
        </w:tc>
        <w:tc>
          <w:tcPr>
            <w:tcW w:w="165" w:type="pct"/>
            <w:gridSpan w:val="2"/>
            <w:hideMark/>
          </w:tcPr>
          <w:p w14:paraId="67B5185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w:t>
            </w:r>
          </w:p>
        </w:tc>
        <w:tc>
          <w:tcPr>
            <w:tcW w:w="165" w:type="pct"/>
            <w:gridSpan w:val="2"/>
            <w:hideMark/>
          </w:tcPr>
          <w:p w14:paraId="2973FF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w:t>
            </w:r>
          </w:p>
        </w:tc>
        <w:tc>
          <w:tcPr>
            <w:tcW w:w="159" w:type="pct"/>
            <w:hideMark/>
          </w:tcPr>
          <w:p w14:paraId="622B08C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w:t>
            </w:r>
          </w:p>
        </w:tc>
        <w:tc>
          <w:tcPr>
            <w:tcW w:w="742" w:type="pct"/>
            <w:gridSpan w:val="2"/>
            <w:hideMark/>
          </w:tcPr>
          <w:p w14:paraId="27FD08D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sz w:val="18"/>
                <w:szCs w:val="20"/>
              </w:rPr>
            </w:pPr>
            <w:r w:rsidRPr="00CC343C">
              <w:rPr>
                <w:rFonts w:ascii="Arial Narrow" w:eastAsia="Times New Roman" w:hAnsi="Arial Narrow" w:cstheme="minorHAnsi"/>
                <w:b/>
                <w:bCs/>
                <w:sz w:val="18"/>
                <w:szCs w:val="20"/>
              </w:rPr>
              <w:t> </w:t>
            </w:r>
          </w:p>
        </w:tc>
        <w:tc>
          <w:tcPr>
            <w:tcW w:w="258" w:type="pct"/>
            <w:hideMark/>
          </w:tcPr>
          <w:p w14:paraId="314A248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0141A55B" w14:textId="77777777" w:rsidTr="00C559FB">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344CCC2D"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UHC Driver 5: Communication and Advocacy</w:t>
            </w:r>
          </w:p>
        </w:tc>
      </w:tr>
      <w:tr w:rsidR="00FB3334" w:rsidRPr="00BF344E" w14:paraId="69CC9035"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4E7140B7"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Strategic Objective 5: Increase population accessing UHC </w:t>
            </w:r>
            <w:r w:rsidRPr="00CC343C">
              <w:rPr>
                <w:rFonts w:ascii="Arial Narrow" w:eastAsia="Times New Roman" w:hAnsi="Arial Narrow" w:cstheme="minorHAnsi"/>
                <w:b w:val="0"/>
                <w:bCs w:val="0"/>
                <w:sz w:val="18"/>
                <w:szCs w:val="20"/>
              </w:rPr>
              <w:t>related information</w:t>
            </w:r>
          </w:p>
        </w:tc>
      </w:tr>
      <w:tr w:rsidR="00FB3334" w:rsidRPr="00BF344E" w14:paraId="15C8F30A" w14:textId="77777777" w:rsidTr="00C559FB">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67C543DA"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Key Outcome 5: Improved communication for UHC        </w:t>
            </w:r>
            <w:r w:rsidRPr="00CC343C">
              <w:rPr>
                <w:rFonts w:ascii="Arial Narrow" w:eastAsia="Times New Roman" w:hAnsi="Arial Narrow" w:cstheme="minorHAnsi"/>
                <w:color w:val="FF0000"/>
                <w:sz w:val="18"/>
                <w:szCs w:val="20"/>
              </w:rPr>
              <w:t xml:space="preserve"> </w:t>
            </w:r>
            <w:r w:rsidRPr="00CC343C">
              <w:rPr>
                <w:rFonts w:ascii="Arial Narrow" w:eastAsia="Times New Roman" w:hAnsi="Arial Narrow" w:cstheme="minorHAnsi"/>
                <w:sz w:val="18"/>
                <w:szCs w:val="20"/>
              </w:rPr>
              <w:t xml:space="preserve"> </w:t>
            </w:r>
          </w:p>
        </w:tc>
      </w:tr>
      <w:tr w:rsidR="00C015CA" w:rsidRPr="00BF344E" w14:paraId="57B9924E"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59208F3D" w14:textId="77777777" w:rsidR="00FB3334" w:rsidRPr="00CC343C" w:rsidRDefault="00FB3334" w:rsidP="00C559FB">
            <w:pPr>
              <w:jc w:val="both"/>
              <w:rPr>
                <w:rFonts w:ascii="Arial Narrow" w:eastAsia="Times New Roman" w:hAnsi="Arial Narrow" w:cstheme="minorHAnsi"/>
                <w:b w:val="0"/>
                <w:bCs w:val="0"/>
                <w:color w:val="000000"/>
                <w:sz w:val="18"/>
                <w:szCs w:val="20"/>
              </w:rPr>
            </w:pPr>
            <w:r w:rsidRPr="00CC343C">
              <w:rPr>
                <w:rFonts w:ascii="Arial Narrow" w:eastAsia="Times New Roman" w:hAnsi="Arial Narrow" w:cstheme="minorHAnsi"/>
                <w:color w:val="000000"/>
                <w:sz w:val="18"/>
                <w:szCs w:val="20"/>
              </w:rPr>
              <w:t>Improve Communicatio</w:t>
            </w:r>
            <w:r w:rsidRPr="00CC343C">
              <w:rPr>
                <w:rFonts w:ascii="Arial Narrow" w:eastAsia="Times New Roman" w:hAnsi="Arial Narrow" w:cstheme="minorHAnsi"/>
                <w:color w:val="000000"/>
                <w:sz w:val="18"/>
                <w:szCs w:val="20"/>
              </w:rPr>
              <w:lastRenderedPageBreak/>
              <w:t xml:space="preserve">n and advocacy for UHC </w:t>
            </w:r>
          </w:p>
        </w:tc>
        <w:tc>
          <w:tcPr>
            <w:tcW w:w="509" w:type="pct"/>
            <w:vMerge w:val="restart"/>
            <w:hideMark/>
          </w:tcPr>
          <w:p w14:paraId="5123F16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lastRenderedPageBreak/>
              <w:t xml:space="preserve"> Guidelines for UHC Developed </w:t>
            </w:r>
          </w:p>
        </w:tc>
        <w:tc>
          <w:tcPr>
            <w:tcW w:w="573" w:type="pct"/>
            <w:vMerge w:val="restart"/>
            <w:hideMark/>
          </w:tcPr>
          <w:p w14:paraId="6AEFBE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UHC Guidelines</w:t>
            </w:r>
          </w:p>
        </w:tc>
        <w:tc>
          <w:tcPr>
            <w:tcW w:w="332" w:type="pct"/>
            <w:vMerge w:val="restart"/>
            <w:hideMark/>
          </w:tcPr>
          <w:p w14:paraId="0A59D75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0</w:t>
            </w:r>
          </w:p>
        </w:tc>
        <w:tc>
          <w:tcPr>
            <w:tcW w:w="401" w:type="pct"/>
            <w:vMerge w:val="restart"/>
            <w:hideMark/>
          </w:tcPr>
          <w:p w14:paraId="33A6819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1</w:t>
            </w:r>
          </w:p>
        </w:tc>
        <w:tc>
          <w:tcPr>
            <w:tcW w:w="487" w:type="pct"/>
            <w:vMerge w:val="restart"/>
            <w:hideMark/>
          </w:tcPr>
          <w:p w14:paraId="15C7448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Development of guidelines on UHC</w:t>
            </w:r>
          </w:p>
        </w:tc>
        <w:tc>
          <w:tcPr>
            <w:tcW w:w="548" w:type="pct"/>
            <w:hideMark/>
          </w:tcPr>
          <w:p w14:paraId="189D608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Development of concept note</w:t>
            </w:r>
          </w:p>
        </w:tc>
        <w:tc>
          <w:tcPr>
            <w:tcW w:w="118" w:type="pct"/>
            <w:gridSpan w:val="2"/>
            <w:hideMark/>
          </w:tcPr>
          <w:p w14:paraId="688D520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1090530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165" w:type="pct"/>
            <w:gridSpan w:val="2"/>
            <w:hideMark/>
          </w:tcPr>
          <w:p w14:paraId="0BCDD26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240" w:type="pct"/>
            <w:gridSpan w:val="2"/>
            <w:hideMark/>
          </w:tcPr>
          <w:p w14:paraId="720E000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w:t>
            </w:r>
          </w:p>
        </w:tc>
        <w:tc>
          <w:tcPr>
            <w:tcW w:w="742" w:type="pct"/>
            <w:gridSpan w:val="2"/>
            <w:hideMark/>
          </w:tcPr>
          <w:p w14:paraId="1E24E0D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MOH/UHC steering committee </w:t>
            </w:r>
          </w:p>
        </w:tc>
        <w:tc>
          <w:tcPr>
            <w:tcW w:w="258" w:type="pct"/>
            <w:hideMark/>
          </w:tcPr>
          <w:p w14:paraId="07D37E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0BF79E2"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52EA15E"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8F13D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9C7E9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5676C2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BAD736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48302E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B692BD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Development of the draft guidelines</w:t>
            </w:r>
          </w:p>
        </w:tc>
        <w:tc>
          <w:tcPr>
            <w:tcW w:w="118" w:type="pct"/>
            <w:gridSpan w:val="2"/>
            <w:hideMark/>
          </w:tcPr>
          <w:p w14:paraId="0CC31A9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33DEE92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9A2FA5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4C69F96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1890AC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13DF3D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E21DC2B"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CB3AE98"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43DB3D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E2928E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7C13120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2A7E79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7E6C83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23FE3BD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Stakeholders consultations</w:t>
            </w:r>
          </w:p>
        </w:tc>
        <w:tc>
          <w:tcPr>
            <w:tcW w:w="118" w:type="pct"/>
            <w:gridSpan w:val="2"/>
            <w:hideMark/>
          </w:tcPr>
          <w:p w14:paraId="6B4B870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4B8891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51375A6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5394B5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B07C3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3D143C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FB782AC"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0408444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4C3005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94CF1D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7E6139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6089EC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634A64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4CDAAD2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Finalization of the draft</w:t>
            </w:r>
          </w:p>
        </w:tc>
        <w:tc>
          <w:tcPr>
            <w:tcW w:w="118" w:type="pct"/>
            <w:gridSpan w:val="2"/>
            <w:hideMark/>
          </w:tcPr>
          <w:p w14:paraId="7C32A5E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3E14B51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B730E9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4803804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95D4A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1B05FC9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F7DED14"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4E1CD035"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426C654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37667C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0790B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EC85E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7E3BF7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73580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Dissemination for implementation</w:t>
            </w:r>
          </w:p>
        </w:tc>
        <w:tc>
          <w:tcPr>
            <w:tcW w:w="118" w:type="pct"/>
            <w:gridSpan w:val="2"/>
            <w:hideMark/>
          </w:tcPr>
          <w:p w14:paraId="0AA14ED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695935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1E5A520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0A0A67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C31B53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2A0150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6BA345C3" w14:textId="77777777" w:rsidTr="00C559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CFCD687"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val="restart"/>
            <w:hideMark/>
          </w:tcPr>
          <w:p w14:paraId="3ABEF71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Stakeholder engagement on UHC done</w:t>
            </w:r>
          </w:p>
        </w:tc>
        <w:tc>
          <w:tcPr>
            <w:tcW w:w="573" w:type="pct"/>
            <w:vMerge w:val="restart"/>
            <w:hideMark/>
          </w:tcPr>
          <w:p w14:paraId="4B195B4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stakeholder engagements</w:t>
            </w:r>
          </w:p>
        </w:tc>
        <w:tc>
          <w:tcPr>
            <w:tcW w:w="332" w:type="pct"/>
            <w:vMerge w:val="restart"/>
            <w:hideMark/>
          </w:tcPr>
          <w:p w14:paraId="26D0C38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401" w:type="pct"/>
            <w:vMerge w:val="restart"/>
            <w:hideMark/>
          </w:tcPr>
          <w:p w14:paraId="31E93B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487" w:type="pct"/>
            <w:vMerge w:val="restart"/>
            <w:hideMark/>
          </w:tcPr>
          <w:p w14:paraId="5BADBE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Conducting the stakeholder engagements</w:t>
            </w:r>
          </w:p>
        </w:tc>
        <w:tc>
          <w:tcPr>
            <w:tcW w:w="548" w:type="pct"/>
            <w:hideMark/>
          </w:tcPr>
          <w:p w14:paraId="336F640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Stakeholders engagement including;  </w:t>
            </w:r>
          </w:p>
        </w:tc>
        <w:tc>
          <w:tcPr>
            <w:tcW w:w="118" w:type="pct"/>
            <w:gridSpan w:val="2"/>
            <w:hideMark/>
          </w:tcPr>
          <w:p w14:paraId="535DCAE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43" w:type="pct"/>
            <w:gridSpan w:val="2"/>
            <w:hideMark/>
          </w:tcPr>
          <w:p w14:paraId="503E79C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7D3A4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5D6A46A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1253D7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NHIF</w:t>
            </w:r>
          </w:p>
        </w:tc>
        <w:tc>
          <w:tcPr>
            <w:tcW w:w="258" w:type="pct"/>
            <w:hideMark/>
          </w:tcPr>
          <w:p w14:paraId="1CB520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470E968"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1B8361C"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4300BC2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E3EA78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14AE39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AE6209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697E37A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2A29A48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County governors</w:t>
            </w:r>
          </w:p>
        </w:tc>
        <w:tc>
          <w:tcPr>
            <w:tcW w:w="118" w:type="pct"/>
            <w:gridSpan w:val="2"/>
            <w:hideMark/>
          </w:tcPr>
          <w:p w14:paraId="1A98FAD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79DB443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BD4204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43E850F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4277CF1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951067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DF9E659"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AB6F1C6"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766459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987C9A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394F0C4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289754D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09D98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49000B5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National Assembly</w:t>
            </w:r>
          </w:p>
        </w:tc>
        <w:tc>
          <w:tcPr>
            <w:tcW w:w="118" w:type="pct"/>
            <w:gridSpan w:val="2"/>
            <w:hideMark/>
          </w:tcPr>
          <w:p w14:paraId="21BF191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3B333C9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37A8122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45CDE6F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072383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8700EE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357923E"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706EA60"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F5A636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9A544D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44F73D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71C5A6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5C5AE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BB54FF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r w:rsidRPr="00CC343C">
              <w:rPr>
                <w:rFonts w:ascii="Arial Narrow" w:eastAsia="Times New Roman" w:hAnsi="Arial Narrow" w:cstheme="minorHAnsi"/>
                <w:i/>
                <w:iCs/>
                <w:color w:val="000000"/>
                <w:sz w:val="18"/>
                <w:szCs w:val="20"/>
              </w:rPr>
              <w:t>Partners (funding and implementing partners)</w:t>
            </w:r>
          </w:p>
        </w:tc>
        <w:tc>
          <w:tcPr>
            <w:tcW w:w="118" w:type="pct"/>
            <w:gridSpan w:val="2"/>
            <w:hideMark/>
          </w:tcPr>
          <w:p w14:paraId="15C8E6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574787E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E35235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079AE2C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5BFAE27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2CE672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5885773A"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19216E9"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6C85BFE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6221251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C99BBF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20CC412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56EB5F6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1EB72EF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High level publicity/advocacy</w:t>
            </w:r>
          </w:p>
        </w:tc>
        <w:tc>
          <w:tcPr>
            <w:tcW w:w="118" w:type="pct"/>
            <w:gridSpan w:val="2"/>
            <w:hideMark/>
          </w:tcPr>
          <w:p w14:paraId="7492411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29D86E3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6F082F4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280AC30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3FE9F1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0CE2167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0DC792B0"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tcPr>
          <w:p w14:paraId="133BC04B"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tcPr>
          <w:p w14:paraId="764CB70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tcPr>
          <w:p w14:paraId="7815F00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tcPr>
          <w:p w14:paraId="7CA5A1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tcPr>
          <w:p w14:paraId="7942885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tcPr>
          <w:p w14:paraId="08748FA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tcPr>
          <w:p w14:paraId="7AB8AA4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Engage H.E the first lady/and county first ladies </w:t>
            </w:r>
          </w:p>
        </w:tc>
        <w:tc>
          <w:tcPr>
            <w:tcW w:w="118" w:type="pct"/>
            <w:gridSpan w:val="2"/>
          </w:tcPr>
          <w:p w14:paraId="1968414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tcPr>
          <w:p w14:paraId="4F9C129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tcPr>
          <w:p w14:paraId="3181D24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240" w:type="pct"/>
            <w:gridSpan w:val="2"/>
          </w:tcPr>
          <w:p w14:paraId="5C6C695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tcPr>
          <w:p w14:paraId="461346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258" w:type="pct"/>
          </w:tcPr>
          <w:p w14:paraId="6C798A9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r>
      <w:tr w:rsidR="00C015CA" w:rsidRPr="00BF344E" w14:paraId="0931FEE4"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C5321C2"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5C42F5A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0FD7E4C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86FCA6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23B5C3A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F1F30B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A9C908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Media campaigns</w:t>
            </w:r>
          </w:p>
        </w:tc>
        <w:tc>
          <w:tcPr>
            <w:tcW w:w="118" w:type="pct"/>
            <w:gridSpan w:val="2"/>
            <w:hideMark/>
          </w:tcPr>
          <w:p w14:paraId="23627AA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43" w:type="pct"/>
            <w:gridSpan w:val="2"/>
            <w:hideMark/>
          </w:tcPr>
          <w:p w14:paraId="1407C45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165" w:type="pct"/>
            <w:gridSpan w:val="2"/>
            <w:hideMark/>
          </w:tcPr>
          <w:p w14:paraId="0904F50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40" w:type="pct"/>
            <w:gridSpan w:val="2"/>
            <w:hideMark/>
          </w:tcPr>
          <w:p w14:paraId="1E3823A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742" w:type="pct"/>
            <w:gridSpan w:val="2"/>
            <w:hideMark/>
          </w:tcPr>
          <w:p w14:paraId="6ABD3E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903286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6CE79D6"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E0C33E3"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152F7B1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5992AD5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6B120B4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2E48512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75D35D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DE6F3D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iCs/>
                <w:color w:val="000000"/>
                <w:sz w:val="18"/>
                <w:szCs w:val="20"/>
              </w:rPr>
            </w:pPr>
            <w:r w:rsidRPr="00CC343C">
              <w:rPr>
                <w:rFonts w:ascii="Arial Narrow" w:eastAsia="Times New Roman" w:hAnsi="Arial Narrow" w:cstheme="minorHAnsi"/>
                <w:i/>
                <w:iCs/>
                <w:color w:val="000000"/>
                <w:sz w:val="18"/>
                <w:szCs w:val="20"/>
              </w:rPr>
              <w:t>Radio shows</w:t>
            </w:r>
          </w:p>
        </w:tc>
        <w:tc>
          <w:tcPr>
            <w:tcW w:w="118" w:type="pct"/>
            <w:gridSpan w:val="2"/>
            <w:hideMark/>
          </w:tcPr>
          <w:p w14:paraId="602623B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32346F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20AB590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240" w:type="pct"/>
            <w:gridSpan w:val="2"/>
            <w:hideMark/>
          </w:tcPr>
          <w:p w14:paraId="6882CD0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7CFFCE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CAC3DD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42BCB3DB"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A25013F"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28ADCD7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2EB11B1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B6808C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126B8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57E15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10C8D0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iCs/>
                <w:color w:val="000000"/>
                <w:sz w:val="18"/>
                <w:szCs w:val="20"/>
              </w:rPr>
            </w:pPr>
            <w:r w:rsidRPr="00CC343C">
              <w:rPr>
                <w:rFonts w:ascii="Arial Narrow" w:eastAsia="Times New Roman" w:hAnsi="Arial Narrow" w:cstheme="minorHAnsi"/>
                <w:i/>
                <w:iCs/>
                <w:color w:val="000000"/>
                <w:sz w:val="18"/>
                <w:szCs w:val="20"/>
              </w:rPr>
              <w:t>Print media</w:t>
            </w:r>
          </w:p>
        </w:tc>
        <w:tc>
          <w:tcPr>
            <w:tcW w:w="118" w:type="pct"/>
            <w:gridSpan w:val="2"/>
            <w:hideMark/>
          </w:tcPr>
          <w:p w14:paraId="698BD74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34CDC6E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55549A8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240" w:type="pct"/>
            <w:gridSpan w:val="2"/>
            <w:hideMark/>
          </w:tcPr>
          <w:p w14:paraId="29B83A1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1B99DF3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915572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7F69AC81" w14:textId="77777777" w:rsidTr="00C559FB">
        <w:trPr>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5C4C9FD0"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029BE4C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31A5581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2F30B54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7AA8717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2B15ACF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79982A6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i/>
                <w:iCs/>
                <w:color w:val="000000"/>
                <w:sz w:val="18"/>
                <w:szCs w:val="20"/>
              </w:rPr>
            </w:pPr>
            <w:r w:rsidRPr="00CC343C">
              <w:rPr>
                <w:rFonts w:ascii="Arial Narrow" w:eastAsia="Times New Roman" w:hAnsi="Arial Narrow" w:cstheme="minorHAnsi"/>
                <w:i/>
                <w:iCs/>
                <w:color w:val="000000"/>
                <w:sz w:val="18"/>
                <w:szCs w:val="20"/>
              </w:rPr>
              <w:t>Bulk SMS</w:t>
            </w:r>
          </w:p>
        </w:tc>
        <w:tc>
          <w:tcPr>
            <w:tcW w:w="118" w:type="pct"/>
            <w:gridSpan w:val="2"/>
            <w:hideMark/>
          </w:tcPr>
          <w:p w14:paraId="5D9FD2F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576D18E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0F60771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240" w:type="pct"/>
            <w:gridSpan w:val="2"/>
            <w:hideMark/>
          </w:tcPr>
          <w:p w14:paraId="02C455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4121A9B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4378769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C015CA" w:rsidRPr="00BF344E" w14:paraId="3BDF5F95" w14:textId="77777777" w:rsidTr="00C559F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140BDF88" w14:textId="77777777" w:rsidR="00FB3334" w:rsidRPr="00CC343C" w:rsidRDefault="00FB3334" w:rsidP="00C559FB">
            <w:pPr>
              <w:jc w:val="both"/>
              <w:rPr>
                <w:rFonts w:ascii="Arial Narrow" w:eastAsia="Times New Roman" w:hAnsi="Arial Narrow" w:cstheme="minorHAnsi"/>
                <w:b w:val="0"/>
                <w:bCs w:val="0"/>
                <w:color w:val="000000"/>
                <w:sz w:val="18"/>
                <w:szCs w:val="20"/>
              </w:rPr>
            </w:pPr>
          </w:p>
        </w:tc>
        <w:tc>
          <w:tcPr>
            <w:tcW w:w="509" w:type="pct"/>
            <w:vMerge/>
            <w:hideMark/>
          </w:tcPr>
          <w:p w14:paraId="268B11E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03A151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F49101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00FA32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197B6EB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2F5220B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i/>
                <w:iCs/>
                <w:color w:val="000000"/>
                <w:sz w:val="18"/>
                <w:szCs w:val="20"/>
              </w:rPr>
            </w:pPr>
            <w:r w:rsidRPr="00CC343C">
              <w:rPr>
                <w:rFonts w:ascii="Arial Narrow" w:eastAsia="Times New Roman" w:hAnsi="Arial Narrow" w:cstheme="minorHAnsi"/>
                <w:i/>
                <w:iCs/>
                <w:color w:val="000000"/>
                <w:sz w:val="18"/>
                <w:szCs w:val="20"/>
              </w:rPr>
              <w:t xml:space="preserve">Use social media platforms e.g. Twitter, Facebook, WhatsApp etc. </w:t>
            </w:r>
          </w:p>
        </w:tc>
        <w:tc>
          <w:tcPr>
            <w:tcW w:w="118" w:type="pct"/>
            <w:gridSpan w:val="2"/>
            <w:hideMark/>
          </w:tcPr>
          <w:p w14:paraId="7CBDFC7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43" w:type="pct"/>
            <w:gridSpan w:val="2"/>
            <w:hideMark/>
          </w:tcPr>
          <w:p w14:paraId="1F8B133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165" w:type="pct"/>
            <w:gridSpan w:val="2"/>
            <w:hideMark/>
          </w:tcPr>
          <w:p w14:paraId="356E27F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240" w:type="pct"/>
            <w:gridSpan w:val="2"/>
            <w:hideMark/>
          </w:tcPr>
          <w:p w14:paraId="5E00CF0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x</w:t>
            </w:r>
          </w:p>
        </w:tc>
        <w:tc>
          <w:tcPr>
            <w:tcW w:w="742" w:type="pct"/>
            <w:gridSpan w:val="2"/>
            <w:hideMark/>
          </w:tcPr>
          <w:p w14:paraId="6014242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258" w:type="pct"/>
            <w:hideMark/>
          </w:tcPr>
          <w:p w14:paraId="7FBAC9D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r>
      <w:tr w:rsidR="00FB3334" w:rsidRPr="00BF344E" w14:paraId="79184F33" w14:textId="77777777" w:rsidTr="00C559FB">
        <w:trPr>
          <w:trHeight w:val="152"/>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03629C71"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UHC Critical driver 6: </w:t>
            </w:r>
            <w:r w:rsidRPr="00CC343C">
              <w:rPr>
                <w:rFonts w:ascii="Arial Narrow" w:eastAsia="Times New Roman" w:hAnsi="Arial Narrow" w:cstheme="minorHAnsi"/>
                <w:b w:val="0"/>
                <w:bCs w:val="0"/>
                <w:sz w:val="18"/>
                <w:szCs w:val="20"/>
              </w:rPr>
              <w:t>Supervision, Monitoring</w:t>
            </w:r>
            <w:r w:rsidRPr="00CC343C">
              <w:rPr>
                <w:rFonts w:ascii="Arial Narrow" w:eastAsia="Times New Roman" w:hAnsi="Arial Narrow" w:cstheme="minorHAnsi"/>
                <w:sz w:val="18"/>
                <w:szCs w:val="20"/>
              </w:rPr>
              <w:t xml:space="preserve"> and Evaluation</w:t>
            </w:r>
          </w:p>
        </w:tc>
      </w:tr>
      <w:tr w:rsidR="00FB3334" w:rsidRPr="00BF344E" w14:paraId="761698F5" w14:textId="77777777" w:rsidTr="00C559FB">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34A3418D"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Strategic Objective 6: To carry out continuous monitoring and Evaluation on UHC </w:t>
            </w:r>
          </w:p>
        </w:tc>
      </w:tr>
      <w:tr w:rsidR="00FB3334" w:rsidRPr="00BF344E" w14:paraId="2B12B820" w14:textId="77777777" w:rsidTr="00C559FB">
        <w:trPr>
          <w:trHeight w:val="116"/>
        </w:trPr>
        <w:tc>
          <w:tcPr>
            <w:cnfStyle w:val="001000000000" w:firstRow="0" w:lastRow="0" w:firstColumn="1" w:lastColumn="0" w:oddVBand="0" w:evenVBand="0" w:oddHBand="0" w:evenHBand="0" w:firstRowFirstColumn="0" w:firstRowLastColumn="0" w:lastRowFirstColumn="0" w:lastRowLastColumn="0"/>
            <w:tcW w:w="5000" w:type="pct"/>
            <w:gridSpan w:val="19"/>
            <w:hideMark/>
          </w:tcPr>
          <w:p w14:paraId="5BF6EDEE" w14:textId="77777777" w:rsidR="00FB3334" w:rsidRPr="00CC343C" w:rsidRDefault="00FB3334" w:rsidP="00C559FB">
            <w:pPr>
              <w:jc w:val="both"/>
              <w:rPr>
                <w:rFonts w:ascii="Arial Narrow" w:eastAsia="Times New Roman" w:hAnsi="Arial Narrow" w:cstheme="minorHAnsi"/>
                <w:b w:val="0"/>
                <w:bCs w:val="0"/>
                <w:sz w:val="18"/>
                <w:szCs w:val="20"/>
              </w:rPr>
            </w:pPr>
            <w:r w:rsidRPr="00CC343C">
              <w:rPr>
                <w:rFonts w:ascii="Arial Narrow" w:eastAsia="Times New Roman" w:hAnsi="Arial Narrow" w:cstheme="minorHAnsi"/>
                <w:sz w:val="18"/>
                <w:szCs w:val="20"/>
              </w:rPr>
              <w:t xml:space="preserve">Key Outcome 6: Robust design and implementation of UHC </w:t>
            </w:r>
          </w:p>
        </w:tc>
      </w:tr>
      <w:tr w:rsidR="00C015CA" w:rsidRPr="00BF344E" w14:paraId="2514B806" w14:textId="77777777" w:rsidTr="00C559F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082E7659"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Leverage on ICT to Improve the data platforms </w:t>
            </w:r>
          </w:p>
        </w:tc>
        <w:tc>
          <w:tcPr>
            <w:tcW w:w="509" w:type="pct"/>
            <w:vMerge w:val="restart"/>
            <w:hideMark/>
          </w:tcPr>
          <w:p w14:paraId="797EFC2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integrated health data platform developed </w:t>
            </w:r>
          </w:p>
        </w:tc>
        <w:tc>
          <w:tcPr>
            <w:tcW w:w="573" w:type="pct"/>
            <w:hideMark/>
          </w:tcPr>
          <w:p w14:paraId="179D9EB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Health Data Platform</w:t>
            </w:r>
          </w:p>
        </w:tc>
        <w:tc>
          <w:tcPr>
            <w:tcW w:w="332" w:type="pct"/>
            <w:hideMark/>
          </w:tcPr>
          <w:p w14:paraId="14DDE3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0</w:t>
            </w:r>
          </w:p>
        </w:tc>
        <w:tc>
          <w:tcPr>
            <w:tcW w:w="401" w:type="pct"/>
            <w:hideMark/>
          </w:tcPr>
          <w:p w14:paraId="1F73B1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w:t>
            </w:r>
          </w:p>
        </w:tc>
        <w:tc>
          <w:tcPr>
            <w:tcW w:w="487" w:type="pct"/>
            <w:vMerge w:val="restart"/>
            <w:hideMark/>
          </w:tcPr>
          <w:p w14:paraId="3478AC1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an integrated health data platform</w:t>
            </w:r>
          </w:p>
        </w:tc>
        <w:tc>
          <w:tcPr>
            <w:tcW w:w="548" w:type="pct"/>
            <w:hideMark/>
          </w:tcPr>
          <w:p w14:paraId="146DAA3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sz w:val="18"/>
                <w:szCs w:val="20"/>
              </w:rPr>
            </w:pPr>
            <w:r w:rsidRPr="00CC343C">
              <w:rPr>
                <w:rFonts w:ascii="Arial Narrow" w:eastAsia="Times New Roman" w:hAnsi="Arial Narrow" w:cstheme="minorHAnsi"/>
                <w:sz w:val="18"/>
                <w:szCs w:val="20"/>
              </w:rPr>
              <w:t xml:space="preserve">Develop an Integrated data platform (Kenya Health Observatory platform) </w:t>
            </w:r>
          </w:p>
        </w:tc>
        <w:tc>
          <w:tcPr>
            <w:tcW w:w="177" w:type="pct"/>
            <w:gridSpan w:val="3"/>
            <w:vMerge w:val="restart"/>
            <w:hideMark/>
          </w:tcPr>
          <w:p w14:paraId="4E27057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vMerge w:val="restart"/>
            <w:hideMark/>
          </w:tcPr>
          <w:p w14:paraId="4A09CD7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vMerge w:val="restart"/>
            <w:hideMark/>
          </w:tcPr>
          <w:p w14:paraId="751C5E9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vMerge w:val="restart"/>
            <w:hideMark/>
          </w:tcPr>
          <w:p w14:paraId="5C66AE0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vMerge w:val="restart"/>
            <w:hideMark/>
          </w:tcPr>
          <w:p w14:paraId="6A306D6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MOH/Strategic Information Division </w:t>
            </w:r>
          </w:p>
        </w:tc>
        <w:tc>
          <w:tcPr>
            <w:tcW w:w="258" w:type="pct"/>
            <w:vMerge w:val="restart"/>
            <w:hideMark/>
          </w:tcPr>
          <w:p w14:paraId="5EE2279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420F82D1"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26E4898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287E027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0530C4E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332" w:type="pct"/>
            <w:hideMark/>
          </w:tcPr>
          <w:p w14:paraId="3AFEA49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01" w:type="pct"/>
            <w:hideMark/>
          </w:tcPr>
          <w:p w14:paraId="55FC0F9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w:t>
            </w:r>
          </w:p>
        </w:tc>
        <w:tc>
          <w:tcPr>
            <w:tcW w:w="487" w:type="pct"/>
            <w:vMerge/>
            <w:hideMark/>
          </w:tcPr>
          <w:p w14:paraId="41EDECB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5F9E12E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  </w:t>
            </w:r>
          </w:p>
        </w:tc>
        <w:tc>
          <w:tcPr>
            <w:tcW w:w="177" w:type="pct"/>
            <w:gridSpan w:val="3"/>
            <w:vMerge/>
            <w:hideMark/>
          </w:tcPr>
          <w:p w14:paraId="4E48D2A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vMerge/>
            <w:hideMark/>
          </w:tcPr>
          <w:p w14:paraId="5AC6589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65" w:type="pct"/>
            <w:gridSpan w:val="2"/>
            <w:vMerge/>
            <w:hideMark/>
          </w:tcPr>
          <w:p w14:paraId="06415F5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159" w:type="pct"/>
            <w:vMerge/>
            <w:hideMark/>
          </w:tcPr>
          <w:p w14:paraId="14F449B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742" w:type="pct"/>
            <w:gridSpan w:val="2"/>
            <w:vMerge/>
            <w:hideMark/>
          </w:tcPr>
          <w:p w14:paraId="7ABC4CD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258" w:type="pct"/>
            <w:vMerge/>
            <w:hideMark/>
          </w:tcPr>
          <w:p w14:paraId="24DCB4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r>
      <w:tr w:rsidR="00C015CA" w:rsidRPr="00BF344E" w14:paraId="23E6C9A3" w14:textId="77777777" w:rsidTr="00C559FB">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485" w:type="pct"/>
            <w:gridSpan w:val="2"/>
            <w:hideMark/>
          </w:tcPr>
          <w:p w14:paraId="681A6DEE" w14:textId="77777777" w:rsidR="00FB3334" w:rsidRPr="00CC343C" w:rsidRDefault="00FB3334" w:rsidP="00C559FB">
            <w:pPr>
              <w:jc w:val="both"/>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Enhanced performance monitoring and review for UHC</w:t>
            </w:r>
          </w:p>
        </w:tc>
        <w:tc>
          <w:tcPr>
            <w:tcW w:w="509" w:type="pct"/>
            <w:hideMark/>
          </w:tcPr>
          <w:p w14:paraId="58F833C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Performance monitoring and review done</w:t>
            </w:r>
          </w:p>
        </w:tc>
        <w:tc>
          <w:tcPr>
            <w:tcW w:w="573" w:type="pct"/>
            <w:hideMark/>
          </w:tcPr>
          <w:p w14:paraId="44E73DD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number of 100-day RRIs</w:t>
            </w:r>
          </w:p>
        </w:tc>
        <w:tc>
          <w:tcPr>
            <w:tcW w:w="332" w:type="pct"/>
            <w:hideMark/>
          </w:tcPr>
          <w:p w14:paraId="763C7E8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xx</w:t>
            </w:r>
          </w:p>
        </w:tc>
        <w:tc>
          <w:tcPr>
            <w:tcW w:w="401" w:type="pct"/>
            <w:hideMark/>
          </w:tcPr>
          <w:p w14:paraId="09CEF2F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xx</w:t>
            </w:r>
          </w:p>
        </w:tc>
        <w:tc>
          <w:tcPr>
            <w:tcW w:w="487" w:type="pct"/>
            <w:hideMark/>
          </w:tcPr>
          <w:p w14:paraId="634A984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Implement 100-day RRIs</w:t>
            </w:r>
          </w:p>
        </w:tc>
        <w:tc>
          <w:tcPr>
            <w:tcW w:w="548" w:type="pct"/>
            <w:hideMark/>
          </w:tcPr>
          <w:p w14:paraId="3FC0093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Develop RRI Templates</w:t>
            </w:r>
          </w:p>
        </w:tc>
        <w:tc>
          <w:tcPr>
            <w:tcW w:w="177" w:type="pct"/>
            <w:gridSpan w:val="3"/>
            <w:hideMark/>
          </w:tcPr>
          <w:p w14:paraId="452EA31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2933FC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4A70753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574CF9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3F1BB443"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24DF41A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48D005AB" w14:textId="77777777" w:rsidTr="00C559FB">
        <w:trPr>
          <w:trHeight w:val="30"/>
        </w:trPr>
        <w:tc>
          <w:tcPr>
            <w:cnfStyle w:val="001000000000" w:firstRow="0" w:lastRow="0" w:firstColumn="1" w:lastColumn="0" w:oddVBand="0" w:evenVBand="0" w:oddHBand="0" w:evenHBand="0" w:firstRowFirstColumn="0" w:firstRowLastColumn="0" w:lastRowFirstColumn="0" w:lastRowLastColumn="0"/>
            <w:tcW w:w="485" w:type="pct"/>
            <w:gridSpan w:val="2"/>
            <w:vMerge w:val="restart"/>
            <w:hideMark/>
          </w:tcPr>
          <w:p w14:paraId="67D23280" w14:textId="77777777" w:rsidR="00FB3334" w:rsidRPr="00CC343C" w:rsidRDefault="00FB3334" w:rsidP="00C559FB">
            <w:pPr>
              <w:rPr>
                <w:rFonts w:ascii="Arial Narrow" w:eastAsia="Times New Roman" w:hAnsi="Arial Narrow" w:cstheme="minorHAnsi"/>
                <w:color w:val="000000"/>
                <w:sz w:val="18"/>
                <w:szCs w:val="20"/>
              </w:rPr>
            </w:pPr>
          </w:p>
        </w:tc>
        <w:tc>
          <w:tcPr>
            <w:tcW w:w="509" w:type="pct"/>
            <w:vMerge w:val="restart"/>
            <w:hideMark/>
          </w:tcPr>
          <w:p w14:paraId="05E852D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val="restart"/>
            <w:hideMark/>
          </w:tcPr>
          <w:p w14:paraId="3CBF8D2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val="restart"/>
            <w:hideMark/>
          </w:tcPr>
          <w:p w14:paraId="1B96D2BC"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val="restart"/>
            <w:hideMark/>
          </w:tcPr>
          <w:p w14:paraId="041F274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val="restart"/>
            <w:hideMark/>
          </w:tcPr>
          <w:p w14:paraId="3A3386DF"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5C9E0F1"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Develop key priority RRI plans </w:t>
            </w:r>
          </w:p>
        </w:tc>
        <w:tc>
          <w:tcPr>
            <w:tcW w:w="177" w:type="pct"/>
            <w:gridSpan w:val="3"/>
            <w:hideMark/>
          </w:tcPr>
          <w:p w14:paraId="0CC765C8"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5898502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664869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0300377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3A5D6A3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2CBF7AA0"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2FAD791D" w14:textId="77777777" w:rsidTr="00C559FB">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F765E24"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2B066FE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3100EA0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0B1F165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42A7D9F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C62EAC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39D661D0"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Implementation of the RRIs</w:t>
            </w:r>
          </w:p>
        </w:tc>
        <w:tc>
          <w:tcPr>
            <w:tcW w:w="177" w:type="pct"/>
            <w:gridSpan w:val="3"/>
            <w:hideMark/>
          </w:tcPr>
          <w:p w14:paraId="707329E6"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0D1B456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6A41789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6CBB6D2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6D58460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6E82EC3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47DAEB8E" w14:textId="77777777" w:rsidTr="00C559FB">
        <w:trPr>
          <w:trHeight w:val="8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2D0C13BF"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435E41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1200F7E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4A32EB5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1E7BA96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091E6F6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FA4382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50th day review of the RRIs</w:t>
            </w:r>
          </w:p>
        </w:tc>
        <w:tc>
          <w:tcPr>
            <w:tcW w:w="177" w:type="pct"/>
            <w:gridSpan w:val="3"/>
            <w:hideMark/>
          </w:tcPr>
          <w:p w14:paraId="0A0B0E6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653558C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4A9B49F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4272799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3CAFEB1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43DB1C5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4407DDCA" w14:textId="77777777" w:rsidTr="00C559FB">
        <w:trPr>
          <w:cnfStyle w:val="000000100000" w:firstRow="0" w:lastRow="0" w:firstColumn="0" w:lastColumn="0" w:oddVBand="0" w:evenVBand="0" w:oddHBand="1" w:evenHBand="0" w:firstRowFirstColumn="0" w:firstRowLastColumn="0" w:lastRowFirstColumn="0" w:lastRowLastColumn="0"/>
          <w:trHeight w:val="116"/>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348B7809"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6588B5C1"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vMerge/>
            <w:hideMark/>
          </w:tcPr>
          <w:p w14:paraId="48B187B4"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332" w:type="pct"/>
            <w:vMerge/>
            <w:hideMark/>
          </w:tcPr>
          <w:p w14:paraId="5DAFCF0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01" w:type="pct"/>
            <w:vMerge/>
            <w:hideMark/>
          </w:tcPr>
          <w:p w14:paraId="3CA5C95C"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487" w:type="pct"/>
            <w:vMerge/>
            <w:hideMark/>
          </w:tcPr>
          <w:p w14:paraId="3F2AA06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p>
        </w:tc>
        <w:tc>
          <w:tcPr>
            <w:tcW w:w="548" w:type="pct"/>
            <w:hideMark/>
          </w:tcPr>
          <w:p w14:paraId="6158119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100-day RRIs review </w:t>
            </w:r>
          </w:p>
        </w:tc>
        <w:tc>
          <w:tcPr>
            <w:tcW w:w="177" w:type="pct"/>
            <w:gridSpan w:val="3"/>
            <w:hideMark/>
          </w:tcPr>
          <w:p w14:paraId="0AA7B1F7"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5E62F79E"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15C24CA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5A037DD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53001692"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456EBAF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48151081" w14:textId="77777777" w:rsidTr="00C559FB">
        <w:trPr>
          <w:trHeight w:val="45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7CD46778"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7B9265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3A5353B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Monthly performance review meetings held</w:t>
            </w:r>
          </w:p>
        </w:tc>
        <w:tc>
          <w:tcPr>
            <w:tcW w:w="332" w:type="pct"/>
            <w:hideMark/>
          </w:tcPr>
          <w:p w14:paraId="29BFAAC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12</w:t>
            </w:r>
          </w:p>
        </w:tc>
        <w:tc>
          <w:tcPr>
            <w:tcW w:w="401" w:type="pct"/>
            <w:hideMark/>
          </w:tcPr>
          <w:p w14:paraId="3906CA6A"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12</w:t>
            </w:r>
          </w:p>
        </w:tc>
        <w:tc>
          <w:tcPr>
            <w:tcW w:w="487" w:type="pct"/>
            <w:hideMark/>
          </w:tcPr>
          <w:p w14:paraId="54901A9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48" w:type="pct"/>
            <w:hideMark/>
          </w:tcPr>
          <w:p w14:paraId="3759547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Carry out monthly   meetings to review progress in implementation </w:t>
            </w:r>
          </w:p>
        </w:tc>
        <w:tc>
          <w:tcPr>
            <w:tcW w:w="177" w:type="pct"/>
            <w:gridSpan w:val="3"/>
            <w:hideMark/>
          </w:tcPr>
          <w:p w14:paraId="790A67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1F26B13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65" w:type="pct"/>
            <w:gridSpan w:val="2"/>
            <w:hideMark/>
          </w:tcPr>
          <w:p w14:paraId="2A68D3E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59" w:type="pct"/>
            <w:hideMark/>
          </w:tcPr>
          <w:p w14:paraId="1296581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742" w:type="pct"/>
            <w:gridSpan w:val="2"/>
            <w:hideMark/>
          </w:tcPr>
          <w:p w14:paraId="2CBDC73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MOH/ME </w:t>
            </w:r>
          </w:p>
        </w:tc>
        <w:tc>
          <w:tcPr>
            <w:tcW w:w="258" w:type="pct"/>
            <w:hideMark/>
          </w:tcPr>
          <w:p w14:paraId="07905B8E"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71493F85" w14:textId="77777777" w:rsidTr="00C559FB">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6B270E5C"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545ED60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5545DF6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 xml:space="preserve"> End year review </w:t>
            </w:r>
          </w:p>
        </w:tc>
        <w:tc>
          <w:tcPr>
            <w:tcW w:w="332" w:type="pct"/>
            <w:hideMark/>
          </w:tcPr>
          <w:p w14:paraId="74992F5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w:t>
            </w:r>
          </w:p>
        </w:tc>
        <w:tc>
          <w:tcPr>
            <w:tcW w:w="401" w:type="pct"/>
            <w:hideMark/>
          </w:tcPr>
          <w:p w14:paraId="33BAE9A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w:t>
            </w:r>
          </w:p>
        </w:tc>
        <w:tc>
          <w:tcPr>
            <w:tcW w:w="487" w:type="pct"/>
            <w:hideMark/>
          </w:tcPr>
          <w:p w14:paraId="24A2E15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48" w:type="pct"/>
            <w:hideMark/>
          </w:tcPr>
          <w:p w14:paraId="17ACBF59"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xml:space="preserve">Mid -year review of progress </w:t>
            </w:r>
          </w:p>
        </w:tc>
        <w:tc>
          <w:tcPr>
            <w:tcW w:w="177" w:type="pct"/>
            <w:gridSpan w:val="3"/>
            <w:hideMark/>
          </w:tcPr>
          <w:p w14:paraId="593577E5"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73457FBA"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4C420638"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159" w:type="pct"/>
            <w:hideMark/>
          </w:tcPr>
          <w:p w14:paraId="1BF571BB"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742" w:type="pct"/>
            <w:gridSpan w:val="2"/>
            <w:hideMark/>
          </w:tcPr>
          <w:p w14:paraId="3218CF2D"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7CD0CCAF" w14:textId="77777777" w:rsidR="00FB3334" w:rsidRPr="00CC343C" w:rsidRDefault="00FB3334" w:rsidP="00C559FB">
            <w:pPr>
              <w:jc w:val="both"/>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r w:rsidR="00C015CA" w:rsidRPr="00BF344E" w14:paraId="1A0DCB57" w14:textId="77777777" w:rsidTr="00C559FB">
        <w:trPr>
          <w:trHeight w:val="690"/>
        </w:trPr>
        <w:tc>
          <w:tcPr>
            <w:cnfStyle w:val="001000000000" w:firstRow="0" w:lastRow="0" w:firstColumn="1" w:lastColumn="0" w:oddVBand="0" w:evenVBand="0" w:oddHBand="0" w:evenHBand="0" w:firstRowFirstColumn="0" w:firstRowLastColumn="0" w:lastRowFirstColumn="0" w:lastRowLastColumn="0"/>
            <w:tcW w:w="485" w:type="pct"/>
            <w:gridSpan w:val="2"/>
            <w:vMerge/>
            <w:hideMark/>
          </w:tcPr>
          <w:p w14:paraId="2216CB60" w14:textId="77777777" w:rsidR="00FB3334" w:rsidRPr="00CC343C" w:rsidRDefault="00FB3334" w:rsidP="00C559FB">
            <w:pPr>
              <w:jc w:val="both"/>
              <w:rPr>
                <w:rFonts w:ascii="Arial Narrow" w:eastAsia="Times New Roman" w:hAnsi="Arial Narrow" w:cstheme="minorHAnsi"/>
                <w:color w:val="000000"/>
                <w:sz w:val="18"/>
                <w:szCs w:val="20"/>
              </w:rPr>
            </w:pPr>
          </w:p>
        </w:tc>
        <w:tc>
          <w:tcPr>
            <w:tcW w:w="509" w:type="pct"/>
            <w:vMerge/>
            <w:hideMark/>
          </w:tcPr>
          <w:p w14:paraId="5F84F7A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p>
        </w:tc>
        <w:tc>
          <w:tcPr>
            <w:tcW w:w="573" w:type="pct"/>
            <w:hideMark/>
          </w:tcPr>
          <w:p w14:paraId="0B1E3424"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Mid- year review</w:t>
            </w:r>
          </w:p>
        </w:tc>
        <w:tc>
          <w:tcPr>
            <w:tcW w:w="332" w:type="pct"/>
            <w:hideMark/>
          </w:tcPr>
          <w:p w14:paraId="20C2F477"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w:t>
            </w:r>
          </w:p>
        </w:tc>
        <w:tc>
          <w:tcPr>
            <w:tcW w:w="401" w:type="pct"/>
            <w:hideMark/>
          </w:tcPr>
          <w:p w14:paraId="7229333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b/>
                <w:bCs/>
                <w:color w:val="000000"/>
                <w:sz w:val="18"/>
                <w:szCs w:val="20"/>
              </w:rPr>
            </w:pPr>
            <w:r w:rsidRPr="00CC343C">
              <w:rPr>
                <w:rFonts w:ascii="Arial Narrow" w:eastAsia="Times New Roman" w:hAnsi="Arial Narrow" w:cstheme="minorHAnsi"/>
                <w:b/>
                <w:bCs/>
                <w:color w:val="000000"/>
                <w:sz w:val="18"/>
                <w:szCs w:val="20"/>
              </w:rPr>
              <w:t>1</w:t>
            </w:r>
          </w:p>
        </w:tc>
        <w:tc>
          <w:tcPr>
            <w:tcW w:w="487" w:type="pct"/>
            <w:hideMark/>
          </w:tcPr>
          <w:p w14:paraId="319F022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548" w:type="pct"/>
            <w:hideMark/>
          </w:tcPr>
          <w:p w14:paraId="3C23448D"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End year review of progress (Including Development of reports that are also aligned to the SDGs report for Kenya.)</w:t>
            </w:r>
          </w:p>
        </w:tc>
        <w:tc>
          <w:tcPr>
            <w:tcW w:w="177" w:type="pct"/>
            <w:gridSpan w:val="3"/>
            <w:hideMark/>
          </w:tcPr>
          <w:p w14:paraId="3009A4A6"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7CFE3C75"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65" w:type="pct"/>
            <w:gridSpan w:val="2"/>
            <w:hideMark/>
          </w:tcPr>
          <w:p w14:paraId="406251A2"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159" w:type="pct"/>
            <w:hideMark/>
          </w:tcPr>
          <w:p w14:paraId="16E29ABB"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x</w:t>
            </w:r>
          </w:p>
        </w:tc>
        <w:tc>
          <w:tcPr>
            <w:tcW w:w="742" w:type="pct"/>
            <w:gridSpan w:val="2"/>
            <w:hideMark/>
          </w:tcPr>
          <w:p w14:paraId="0E56BA79"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c>
          <w:tcPr>
            <w:tcW w:w="258" w:type="pct"/>
            <w:hideMark/>
          </w:tcPr>
          <w:p w14:paraId="303C72D3" w14:textId="77777777" w:rsidR="00FB3334" w:rsidRPr="00CC343C" w:rsidRDefault="00FB3334" w:rsidP="00C559FB">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heme="minorHAnsi"/>
                <w:color w:val="000000"/>
                <w:sz w:val="18"/>
                <w:szCs w:val="20"/>
              </w:rPr>
            </w:pPr>
            <w:r w:rsidRPr="00CC343C">
              <w:rPr>
                <w:rFonts w:ascii="Arial Narrow" w:eastAsia="Times New Roman" w:hAnsi="Arial Narrow" w:cstheme="minorHAnsi"/>
                <w:color w:val="000000"/>
                <w:sz w:val="18"/>
                <w:szCs w:val="20"/>
              </w:rPr>
              <w:t> </w:t>
            </w:r>
          </w:p>
        </w:tc>
      </w:tr>
    </w:tbl>
    <w:p w14:paraId="3D6F838F" w14:textId="77777777" w:rsidR="005A786A" w:rsidRDefault="006702A5" w:rsidP="00C015CA">
      <w:pPr>
        <w:pStyle w:val="Heading2"/>
        <w:rPr>
          <w:rFonts w:ascii="Californian FB" w:eastAsiaTheme="minorHAnsi" w:hAnsi="Californian FB" w:cstheme="minorBidi"/>
          <w:b w:val="0"/>
          <w:bCs w:val="0"/>
          <w:color w:val="auto"/>
          <w:sz w:val="22"/>
          <w:szCs w:val="22"/>
          <w:lang w:val="en-US"/>
        </w:rPr>
        <w:sectPr w:rsidR="005A786A" w:rsidSect="00C015CA">
          <w:headerReference w:type="even" r:id="rId37"/>
          <w:headerReference w:type="default" r:id="rId38"/>
          <w:headerReference w:type="first" r:id="rId39"/>
          <w:footerReference w:type="first" r:id="rId40"/>
          <w:pgSz w:w="15840" w:h="12240" w:orient="landscape"/>
          <w:pgMar w:top="1440" w:right="1440" w:bottom="1440" w:left="1440" w:header="720" w:footer="720" w:gutter="0"/>
          <w:pgNumType w:start="1"/>
          <w:cols w:space="720"/>
          <w:titlePg/>
          <w:docGrid w:linePitch="360"/>
        </w:sectPr>
      </w:pPr>
      <w:r w:rsidRPr="00BD7393">
        <w:rPr>
          <w:rFonts w:ascii="Californian FB" w:eastAsiaTheme="minorHAnsi" w:hAnsi="Californian FB" w:cstheme="minorBidi"/>
          <w:b w:val="0"/>
          <w:bCs w:val="0"/>
          <w:color w:val="auto"/>
          <w:sz w:val="22"/>
          <w:szCs w:val="22"/>
          <w:lang w:val="en-US"/>
        </w:rPr>
        <w:br w:type="page"/>
      </w:r>
    </w:p>
    <w:p w14:paraId="381EED77" w14:textId="77777777" w:rsidR="00B24B98" w:rsidRPr="00280784" w:rsidRDefault="00B24B98" w:rsidP="00B24B98">
      <w:pPr>
        <w:pStyle w:val="Heading1"/>
        <w:spacing w:before="0"/>
        <w:rPr>
          <w:rFonts w:ascii="Californian FB" w:hAnsi="Californian FB"/>
          <w:sz w:val="24"/>
          <w:szCs w:val="24"/>
          <w:lang w:val="en-US"/>
        </w:rPr>
      </w:pPr>
      <w:bookmarkStart w:id="36" w:name="_Toc520793118"/>
      <w:r w:rsidRPr="00280784">
        <w:rPr>
          <w:rFonts w:ascii="Californian FB" w:hAnsi="Californian FB"/>
          <w:sz w:val="24"/>
          <w:szCs w:val="24"/>
          <w:lang w:val="en-US"/>
        </w:rPr>
        <w:lastRenderedPageBreak/>
        <w:t>SECTION 4: MONITORING PLAN FOR UHC IN KENYA</w:t>
      </w:r>
      <w:bookmarkEnd w:id="36"/>
      <w:r w:rsidRPr="00280784">
        <w:rPr>
          <w:rFonts w:ascii="Californian FB" w:hAnsi="Californian FB"/>
          <w:sz w:val="24"/>
          <w:szCs w:val="24"/>
          <w:lang w:val="en-US"/>
        </w:rPr>
        <w:t xml:space="preserve"> </w:t>
      </w:r>
    </w:p>
    <w:p w14:paraId="1588CFDD" w14:textId="77777777" w:rsidR="00B24B98" w:rsidRDefault="00B24B98" w:rsidP="00B24B98">
      <w:pPr>
        <w:spacing w:after="0" w:line="240" w:lineRule="auto"/>
        <w:jc w:val="both"/>
        <w:rPr>
          <w:rFonts w:ascii="Californian FB" w:hAnsi="Californian FB"/>
          <w:sz w:val="24"/>
          <w:szCs w:val="24"/>
        </w:rPr>
      </w:pPr>
    </w:p>
    <w:p w14:paraId="3C9B1EC3" w14:textId="77777777" w:rsidR="00B24B98" w:rsidRPr="00280784" w:rsidRDefault="00B24B98" w:rsidP="00B24B98">
      <w:pPr>
        <w:spacing w:after="0" w:line="240" w:lineRule="auto"/>
        <w:jc w:val="both"/>
        <w:rPr>
          <w:rFonts w:ascii="Californian FB" w:hAnsi="Californian FB"/>
          <w:sz w:val="24"/>
          <w:szCs w:val="24"/>
        </w:rPr>
      </w:pPr>
    </w:p>
    <w:p w14:paraId="25F7F1A3" w14:textId="77777777" w:rsidR="00B24B98" w:rsidRPr="00280784" w:rsidRDefault="00B24B98" w:rsidP="00B24B98">
      <w:pPr>
        <w:spacing w:after="0" w:line="240" w:lineRule="auto"/>
        <w:jc w:val="both"/>
        <w:rPr>
          <w:rFonts w:ascii="Californian FB" w:hAnsi="Californian FB"/>
          <w:sz w:val="24"/>
          <w:szCs w:val="24"/>
        </w:rPr>
      </w:pPr>
      <w:r w:rsidRPr="00280784">
        <w:rPr>
          <w:rFonts w:ascii="Californian FB" w:hAnsi="Californian FB"/>
          <w:sz w:val="24"/>
          <w:szCs w:val="24"/>
        </w:rPr>
        <w:t>Monitoring Implementation of UHC in Kenya in a manner to guide action goes beyond just generating statistics for the UHC monitoring indicators. The approach proposed recognizes the need to generate data, analyze this and produce appropriate health intelligence needed to guide decision making in a real time basis in particular in the phase 1 pilot Counties. This need is reflected</w:t>
      </w:r>
      <w:r>
        <w:rPr>
          <w:rFonts w:ascii="Californian FB" w:hAnsi="Californian FB"/>
          <w:sz w:val="24"/>
          <w:szCs w:val="24"/>
        </w:rPr>
        <w:t xml:space="preserve"> across the framework of action</w:t>
      </w:r>
      <w:r w:rsidRPr="00280784">
        <w:rPr>
          <w:rFonts w:ascii="Californian FB" w:hAnsi="Californian FB"/>
          <w:sz w:val="24"/>
          <w:szCs w:val="24"/>
        </w:rPr>
        <w:t xml:space="preserve"> domains and their dimensions. </w:t>
      </w:r>
    </w:p>
    <w:p w14:paraId="33FDC90A" w14:textId="77777777" w:rsidR="00B24B98" w:rsidRDefault="00B24B98" w:rsidP="00B24B98">
      <w:pPr>
        <w:spacing w:after="0" w:line="240" w:lineRule="auto"/>
        <w:jc w:val="both"/>
        <w:rPr>
          <w:rFonts w:ascii="Californian FB" w:hAnsi="Californian FB"/>
          <w:sz w:val="24"/>
          <w:szCs w:val="24"/>
        </w:rPr>
      </w:pPr>
    </w:p>
    <w:p w14:paraId="2A1661C5" w14:textId="77777777" w:rsidR="00B24B98" w:rsidRDefault="00B24B98" w:rsidP="00B24B98">
      <w:pPr>
        <w:spacing w:after="0" w:line="240" w:lineRule="auto"/>
        <w:jc w:val="both"/>
        <w:rPr>
          <w:rFonts w:ascii="Californian FB" w:hAnsi="Californian FB"/>
          <w:sz w:val="24"/>
          <w:szCs w:val="24"/>
        </w:rPr>
      </w:pPr>
      <w:r w:rsidRPr="00817913">
        <w:rPr>
          <w:rFonts w:ascii="Californian FB" w:hAnsi="Californian FB"/>
          <w:noProof/>
          <w:sz w:val="24"/>
          <w:szCs w:val="24"/>
          <w:shd w:val="clear" w:color="auto" w:fill="F2F2F2" w:themeFill="background1" w:themeFillShade="F2"/>
        </w:rPr>
        <w:drawing>
          <wp:inline distT="0" distB="0" distL="0" distR="0" wp14:anchorId="4DF570A5" wp14:editId="5BEF4C8C">
            <wp:extent cx="5974080" cy="952500"/>
            <wp:effectExtent l="0" t="0" r="7620" b="0"/>
            <wp:docPr id="1165" name="Diagram 11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37B193F0" w14:textId="77777777" w:rsidR="00B24B98" w:rsidRPr="00280784" w:rsidRDefault="00B24B98" w:rsidP="00B24B98">
      <w:pPr>
        <w:pStyle w:val="Caption"/>
        <w:spacing w:after="0"/>
        <w:jc w:val="center"/>
        <w:rPr>
          <w:rFonts w:ascii="Californian FB" w:hAnsi="Californian FB"/>
          <w:sz w:val="24"/>
          <w:szCs w:val="24"/>
        </w:rPr>
      </w:pPr>
      <w:r w:rsidRPr="00280784">
        <w:rPr>
          <w:rFonts w:ascii="Californian FB" w:hAnsi="Californian FB"/>
          <w:sz w:val="24"/>
          <w:szCs w:val="24"/>
        </w:rPr>
        <w:t xml:space="preserve">Figure </w:t>
      </w:r>
      <w:r>
        <w:rPr>
          <w:rFonts w:ascii="Californian FB" w:hAnsi="Californian FB"/>
          <w:sz w:val="24"/>
          <w:szCs w:val="24"/>
        </w:rPr>
        <w:t>xx</w:t>
      </w:r>
      <w:r w:rsidRPr="00280784">
        <w:rPr>
          <w:rFonts w:ascii="Californian FB" w:hAnsi="Californian FB"/>
          <w:sz w:val="24"/>
          <w:szCs w:val="24"/>
        </w:rPr>
        <w:t>: Process for monitoring UHC in Kenya</w:t>
      </w:r>
    </w:p>
    <w:p w14:paraId="32854211" w14:textId="77777777" w:rsidR="00B24B98" w:rsidRDefault="00B24B98" w:rsidP="00B24B98">
      <w:pPr>
        <w:spacing w:after="0" w:line="240" w:lineRule="auto"/>
        <w:jc w:val="both"/>
        <w:rPr>
          <w:rFonts w:ascii="Californian FB" w:hAnsi="Californian FB"/>
          <w:sz w:val="24"/>
          <w:szCs w:val="24"/>
        </w:rPr>
      </w:pPr>
    </w:p>
    <w:p w14:paraId="03DF22B9" w14:textId="3C683CD0" w:rsidR="00B24B98" w:rsidRPr="0025792C" w:rsidRDefault="0025792C" w:rsidP="0025792C">
      <w:pPr>
        <w:pStyle w:val="Heading1"/>
        <w:rPr>
          <w:rStyle w:val="Heading1Char"/>
          <w:b/>
          <w:bCs/>
        </w:rPr>
      </w:pPr>
      <w:bookmarkStart w:id="37" w:name="_Toc520793119"/>
      <w:r w:rsidRPr="0025792C">
        <w:rPr>
          <w:rStyle w:val="Heading1Char"/>
          <w:b/>
          <w:bCs/>
        </w:rPr>
        <w:t>4.2.</w:t>
      </w:r>
      <w:r w:rsidR="00A70042" w:rsidRPr="0025792C">
        <w:rPr>
          <w:rStyle w:val="Heading1Char"/>
          <w:b/>
          <w:bCs/>
        </w:rPr>
        <w:t xml:space="preserve"> </w:t>
      </w:r>
      <w:r w:rsidR="00B24B98" w:rsidRPr="0025792C">
        <w:rPr>
          <w:rStyle w:val="Heading1Char"/>
          <w:b/>
          <w:bCs/>
        </w:rPr>
        <w:t>GOALS AND OBJECTIVES OF THE M &amp; E FRAMEWORK</w:t>
      </w:r>
      <w:bookmarkEnd w:id="37"/>
    </w:p>
    <w:p w14:paraId="77D869AE" w14:textId="77777777" w:rsidR="0044532E" w:rsidRPr="0044532E" w:rsidRDefault="0044532E" w:rsidP="0044532E"/>
    <w:p w14:paraId="2243C6E9" w14:textId="77777777" w:rsidR="00B24B98" w:rsidRDefault="00B24B98" w:rsidP="00B24B98">
      <w:pPr>
        <w:spacing w:after="0"/>
        <w:jc w:val="both"/>
        <w:rPr>
          <w:lang w:val="en-ZW" w:eastAsia="x-none"/>
        </w:rPr>
      </w:pPr>
      <w:r>
        <w:rPr>
          <w:rFonts w:ascii="Californian FB" w:hAnsi="Californian FB"/>
          <w:lang w:val="en-ZW" w:eastAsia="x-none"/>
        </w:rPr>
        <w:t xml:space="preserve">In line with one of the goals of  UHC road map and centred around </w:t>
      </w:r>
      <w:r>
        <w:rPr>
          <w:rFonts w:ascii="Californian FB" w:hAnsi="Californian FB"/>
        </w:rPr>
        <w:t xml:space="preserve">putting in place a consolidated and harmonized planning, monitoring and evaluation process that informs strategic decision making, the M &amp; E framework seeks to fulfil the following goal and strategic objectives:  </w:t>
      </w:r>
    </w:p>
    <w:p w14:paraId="1D3298DC" w14:textId="77777777" w:rsidR="00B24B98" w:rsidRPr="007E346A" w:rsidRDefault="00B24B98" w:rsidP="007E346A">
      <w:pPr>
        <w:rPr>
          <w:rFonts w:ascii="Californian FB" w:hAnsi="Californian FB"/>
          <w:b/>
          <w:lang w:val="en-ZW"/>
        </w:rPr>
      </w:pPr>
      <w:r w:rsidRPr="007E346A">
        <w:rPr>
          <w:b/>
          <w:lang w:val="en-ZW"/>
        </w:rPr>
        <w:t>Goal</w:t>
      </w:r>
    </w:p>
    <w:p w14:paraId="391EFCF3" w14:textId="77777777" w:rsidR="00B24B98" w:rsidRDefault="00B24B98" w:rsidP="00B24B98">
      <w:pPr>
        <w:spacing w:after="0"/>
        <w:rPr>
          <w:rFonts w:ascii="Californian FB" w:hAnsi="Californian FB"/>
          <w:lang w:eastAsia="x-none"/>
        </w:rPr>
      </w:pPr>
      <w:r>
        <w:rPr>
          <w:rFonts w:ascii="Californian FB" w:hAnsi="Californian FB"/>
          <w:lang w:eastAsia="x-none"/>
        </w:rPr>
        <w:t>Strengthened sector wide  UHC monitoring and evaluation for evidence informed decision making, planning, resource allocation, continued learning and mutual accountability.</w:t>
      </w:r>
    </w:p>
    <w:p w14:paraId="74DAC5A0" w14:textId="77777777" w:rsidR="00B24B98" w:rsidRDefault="00B24B98" w:rsidP="00B24B98">
      <w:pPr>
        <w:spacing w:after="0"/>
        <w:rPr>
          <w:lang w:eastAsia="x-none"/>
        </w:rPr>
      </w:pPr>
    </w:p>
    <w:p w14:paraId="07DC72AE" w14:textId="77777777" w:rsidR="00B24B98" w:rsidRPr="007E346A" w:rsidRDefault="00B24B98" w:rsidP="007E346A">
      <w:pPr>
        <w:rPr>
          <w:b/>
          <w:lang w:val="en-ZW"/>
        </w:rPr>
      </w:pPr>
      <w:r w:rsidRPr="007E346A">
        <w:rPr>
          <w:b/>
          <w:lang w:val="en-ZW"/>
        </w:rPr>
        <w:t>Objectives</w:t>
      </w:r>
    </w:p>
    <w:p w14:paraId="2F2831BD" w14:textId="77777777" w:rsidR="00B24B98" w:rsidRDefault="00B24B98" w:rsidP="00203568">
      <w:pPr>
        <w:numPr>
          <w:ilvl w:val="0"/>
          <w:numId w:val="40"/>
        </w:numPr>
        <w:spacing w:after="0" w:line="240" w:lineRule="auto"/>
        <w:rPr>
          <w:lang w:val="en-ZW" w:eastAsia="x-none"/>
        </w:rPr>
      </w:pPr>
      <w:r>
        <w:rPr>
          <w:rFonts w:ascii="Californian FB" w:hAnsi="Californian FB"/>
          <w:lang w:val="en-ZW" w:eastAsia="x-none"/>
        </w:rPr>
        <w:t>Provide an investment framework to align stakeholders’ resources and action to strengthen UHC  M&amp;E in the health sector</w:t>
      </w:r>
    </w:p>
    <w:p w14:paraId="3408DFCD" w14:textId="4CECAFF6"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 xml:space="preserve">Provide a framework for Monitoring and evaluation of  Phase I  and other 43 counties in implementation of UHC </w:t>
      </w:r>
      <w:r w:rsidR="00187D14">
        <w:rPr>
          <w:rFonts w:ascii="Californian FB" w:hAnsi="Californian FB"/>
          <w:lang w:val="en-ZW" w:eastAsia="x-none"/>
        </w:rPr>
        <w:t>by 2022</w:t>
      </w:r>
    </w:p>
    <w:p w14:paraId="537E8188" w14:textId="77777777" w:rsidR="00B24B98" w:rsidRDefault="00B24B98" w:rsidP="00203568">
      <w:pPr>
        <w:numPr>
          <w:ilvl w:val="0"/>
          <w:numId w:val="40"/>
        </w:numPr>
        <w:spacing w:after="0" w:line="240" w:lineRule="auto"/>
        <w:rPr>
          <w:rFonts w:ascii="Californian FB" w:hAnsi="Californian FB"/>
          <w:lang w:val="en-ZW" w:eastAsia="x-none"/>
        </w:rPr>
      </w:pPr>
      <w:r>
        <w:rPr>
          <w:noProof/>
        </w:rPr>
        <w:t>provide a framework for documenting lessons learnt in UHC implementation to promote learning and insitutional memory</w:t>
      </w:r>
    </w:p>
    <w:p w14:paraId="373C11E1" w14:textId="77777777"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Ensure continued progress through regularly and systematically tracking the progress of implementation of the UHC in the Country</w:t>
      </w:r>
    </w:p>
    <w:p w14:paraId="1686A58E" w14:textId="77777777"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Ensure alignment of stakeholders to the objectives of the  UHC  through provision of good quality strategic information.</w:t>
      </w:r>
    </w:p>
    <w:p w14:paraId="4689F0A2" w14:textId="77777777"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Strengthen partnerships in the health sector through enabling constructive evidence based policy dialogue.</w:t>
      </w:r>
    </w:p>
    <w:p w14:paraId="34E14B99" w14:textId="77777777"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Promote evidence based decision making through ensuring timely availability of good quality evidence that is effectively disseminated.</w:t>
      </w:r>
    </w:p>
    <w:p w14:paraId="421DF0C4" w14:textId="77777777" w:rsidR="00B24B98" w:rsidRDefault="00B24B98" w:rsidP="00203568">
      <w:pPr>
        <w:numPr>
          <w:ilvl w:val="0"/>
          <w:numId w:val="40"/>
        </w:numPr>
        <w:spacing w:after="0" w:line="240" w:lineRule="auto"/>
        <w:rPr>
          <w:rFonts w:ascii="Californian FB" w:hAnsi="Californian FB"/>
          <w:lang w:val="en-ZW" w:eastAsia="x-none"/>
        </w:rPr>
      </w:pPr>
      <w:r>
        <w:rPr>
          <w:rFonts w:ascii="Californian FB" w:hAnsi="Californian FB"/>
          <w:lang w:val="en-ZW" w:eastAsia="x-none"/>
        </w:rPr>
        <w:t xml:space="preserve">Strengthened operational research capacity to generate evidence to inform decision making </w:t>
      </w:r>
    </w:p>
    <w:p w14:paraId="11AA7449" w14:textId="77777777" w:rsidR="00B24B98" w:rsidRDefault="00B24B98" w:rsidP="00B24B98">
      <w:pPr>
        <w:pStyle w:val="Heading2"/>
        <w:numPr>
          <w:ilvl w:val="0"/>
          <w:numId w:val="0"/>
        </w:numPr>
        <w:spacing w:before="0"/>
        <w:ind w:left="576" w:hanging="576"/>
        <w:rPr>
          <w:rStyle w:val="Emphasis"/>
          <w:rFonts w:ascii="Californian FB" w:hAnsi="Californian FB"/>
          <w:sz w:val="22"/>
          <w:szCs w:val="22"/>
        </w:rPr>
      </w:pPr>
    </w:p>
    <w:p w14:paraId="533BC945" w14:textId="77777777" w:rsidR="00B24B98" w:rsidRPr="00187D14" w:rsidRDefault="00B24B98" w:rsidP="00B24B98">
      <w:pPr>
        <w:pStyle w:val="Heading2"/>
        <w:numPr>
          <w:ilvl w:val="0"/>
          <w:numId w:val="0"/>
        </w:numPr>
        <w:spacing w:before="0"/>
        <w:ind w:left="576" w:hanging="576"/>
        <w:rPr>
          <w:rFonts w:eastAsiaTheme="minorHAnsi" w:cstheme="minorBidi"/>
          <w:bCs w:val="0"/>
          <w:iCs/>
          <w:color w:val="auto"/>
          <w:lang w:val="en-ZW" w:eastAsia="x-none"/>
        </w:rPr>
      </w:pPr>
      <w:bookmarkStart w:id="38" w:name="_Toc520793120"/>
      <w:r w:rsidRPr="00187D14">
        <w:rPr>
          <w:rFonts w:eastAsiaTheme="minorHAnsi" w:cstheme="minorBidi"/>
          <w:bCs w:val="0"/>
          <w:iCs/>
          <w:color w:val="auto"/>
          <w:lang w:val="en-ZW" w:eastAsia="x-none"/>
        </w:rPr>
        <w:t>Outputs of the M &amp; E Framework</w:t>
      </w:r>
      <w:bookmarkEnd w:id="38"/>
    </w:p>
    <w:p w14:paraId="37A5311C" w14:textId="77777777" w:rsidR="00B24B98" w:rsidRDefault="00B24B98" w:rsidP="00B24B98">
      <w:pPr>
        <w:pStyle w:val="Heading2"/>
        <w:numPr>
          <w:ilvl w:val="0"/>
          <w:numId w:val="0"/>
        </w:numPr>
        <w:spacing w:before="0"/>
        <w:ind w:left="576" w:hanging="576"/>
        <w:rPr>
          <w:rStyle w:val="Emphasis"/>
          <w:i w:val="0"/>
          <w:sz w:val="22"/>
          <w:szCs w:val="22"/>
        </w:rPr>
      </w:pPr>
      <w:r>
        <w:rPr>
          <w:rStyle w:val="Emphasis"/>
          <w:rFonts w:ascii="Californian FB" w:hAnsi="Californian FB"/>
          <w:sz w:val="22"/>
          <w:szCs w:val="22"/>
        </w:rPr>
        <w:t xml:space="preserve"> </w:t>
      </w:r>
    </w:p>
    <w:p w14:paraId="5759DF3B" w14:textId="77777777" w:rsidR="00B24B98" w:rsidRDefault="00B24B98" w:rsidP="00203568">
      <w:pPr>
        <w:numPr>
          <w:ilvl w:val="0"/>
          <w:numId w:val="41"/>
        </w:numPr>
        <w:spacing w:after="0" w:line="240" w:lineRule="auto"/>
        <w:rPr>
          <w:lang w:eastAsia="x-none"/>
        </w:rPr>
      </w:pPr>
      <w:r>
        <w:rPr>
          <w:rFonts w:ascii="Californian FB" w:hAnsi="Californian FB"/>
          <w:lang w:val="en-ZW" w:eastAsia="x-none"/>
        </w:rPr>
        <w:t>Robust health information systems generating good quality data in a timely manner</w:t>
      </w:r>
    </w:p>
    <w:p w14:paraId="2DD5AF07"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Real time monitoring and evaluation reports for Phase I UHC implementation</w:t>
      </w:r>
    </w:p>
    <w:p w14:paraId="79A87C27"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Enriched evidence based health policy dialogue and decision making</w:t>
      </w:r>
    </w:p>
    <w:p w14:paraId="4FAFD17D"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Effective dissemination of health information to stakeholders stimulating action</w:t>
      </w:r>
    </w:p>
    <w:p w14:paraId="270482DA"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Strengthened analytical capacity at the different levels of the health system</w:t>
      </w:r>
    </w:p>
    <w:p w14:paraId="731CA1E2"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Improved efficiency in data collection and storage</w:t>
      </w:r>
    </w:p>
    <w:p w14:paraId="2C7B6040"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 xml:space="preserve">Continued learning for better performance, adaptive management in line with evidence </w:t>
      </w:r>
    </w:p>
    <w:p w14:paraId="1428488D" w14:textId="77777777" w:rsidR="00B24B98" w:rsidRDefault="00B24B98" w:rsidP="00203568">
      <w:pPr>
        <w:numPr>
          <w:ilvl w:val="0"/>
          <w:numId w:val="41"/>
        </w:numPr>
        <w:spacing w:after="0" w:line="240" w:lineRule="auto"/>
        <w:rPr>
          <w:rFonts w:ascii="Californian FB" w:hAnsi="Californian FB"/>
          <w:lang w:val="en-ZW" w:eastAsia="x-none"/>
        </w:rPr>
      </w:pPr>
      <w:r>
        <w:rPr>
          <w:rFonts w:ascii="Californian FB" w:hAnsi="Californian FB"/>
          <w:lang w:val="en-ZW" w:eastAsia="x-none"/>
        </w:rPr>
        <w:t>Forging joint solutions through peer learning</w:t>
      </w:r>
    </w:p>
    <w:p w14:paraId="6873FFC5" w14:textId="77777777" w:rsidR="00B24B98" w:rsidRDefault="00B24B98" w:rsidP="00B24B98">
      <w:pPr>
        <w:spacing w:after="0"/>
        <w:ind w:firstLine="720"/>
        <w:jc w:val="both"/>
        <w:rPr>
          <w:rFonts w:ascii="Californian FB" w:hAnsi="Californian FB" w:cs="Times New Roman"/>
        </w:rPr>
      </w:pPr>
    </w:p>
    <w:p w14:paraId="45280B66" w14:textId="77777777" w:rsidR="00B24B98" w:rsidRPr="00187D14" w:rsidRDefault="00B24B98" w:rsidP="00B24B98">
      <w:pPr>
        <w:pStyle w:val="Heading2"/>
        <w:numPr>
          <w:ilvl w:val="0"/>
          <w:numId w:val="0"/>
        </w:numPr>
        <w:spacing w:before="0"/>
        <w:ind w:left="576" w:hanging="576"/>
        <w:rPr>
          <w:rFonts w:eastAsiaTheme="minorHAnsi" w:cstheme="minorBidi"/>
          <w:bCs w:val="0"/>
          <w:color w:val="auto"/>
          <w:lang w:val="en-ZW" w:eastAsia="x-none"/>
        </w:rPr>
      </w:pPr>
      <w:bookmarkStart w:id="39" w:name="_Toc520793121"/>
      <w:r w:rsidRPr="00187D14">
        <w:rPr>
          <w:rFonts w:eastAsiaTheme="minorHAnsi" w:cstheme="minorBidi"/>
          <w:bCs w:val="0"/>
          <w:i/>
          <w:color w:val="auto"/>
          <w:lang w:val="en-ZW" w:eastAsia="x-none"/>
        </w:rPr>
        <w:t>Implications for M &amp; E</w:t>
      </w:r>
      <w:bookmarkEnd w:id="39"/>
    </w:p>
    <w:p w14:paraId="2C4A11EF" w14:textId="77777777" w:rsidR="00B24B98" w:rsidRDefault="00B24B98" w:rsidP="00B24B98">
      <w:pPr>
        <w:spacing w:after="0"/>
        <w:jc w:val="both"/>
        <w:rPr>
          <w:lang w:val="en-ZW" w:eastAsia="x-none"/>
        </w:rPr>
      </w:pPr>
      <w:r>
        <w:rPr>
          <w:rFonts w:ascii="Californian FB" w:hAnsi="Californian FB"/>
          <w:lang w:val="en-ZW" w:eastAsia="x-none"/>
        </w:rPr>
        <w:t xml:space="preserve">Monitoring progress  made in implementation of UHC actions will require use of data from multiple data sources, strong multi-sectoral collaboration more so in reference to the social determinants of health, collaboration with research institutions and the  KNBS who collect data of relevance to health; as well a strong institutional and political support for strengthening M &amp; E. Appropriate indicators need to be defined and participatory performance assessment mechanisms institutionalised. </w:t>
      </w:r>
    </w:p>
    <w:p w14:paraId="309EDB69" w14:textId="77777777" w:rsidR="00B24B98" w:rsidRDefault="00B24B98" w:rsidP="00B24B98">
      <w:pPr>
        <w:autoSpaceDE w:val="0"/>
        <w:autoSpaceDN w:val="0"/>
        <w:adjustRightInd w:val="0"/>
        <w:spacing w:after="0"/>
        <w:jc w:val="both"/>
        <w:rPr>
          <w:rFonts w:ascii="Californian FB" w:hAnsi="Californian FB"/>
          <w:lang w:val="en-ZW" w:eastAsia="x-none"/>
        </w:rPr>
      </w:pPr>
      <w:r>
        <w:rPr>
          <w:rFonts w:ascii="Californian FB" w:hAnsi="Californian FB"/>
          <w:lang w:val="en-ZW" w:eastAsia="x-none"/>
        </w:rPr>
        <w:t>The responsibility for strengthening health sector M&amp;E is a shared responsibility and within this arrangement, required investments and activities to be undertaken need to be agreed, and roles and responsibilities assigned.  Evidence generated must be used to guide further improvements in sector performance, quality improvements and health service delivery.  Institutionalised platforms that ensure a transparent and participatory process are crucial for realising actors buy in and, implementation of agreed actions.</w:t>
      </w:r>
    </w:p>
    <w:p w14:paraId="59541FF6" w14:textId="77777777" w:rsidR="00B24B98" w:rsidRDefault="00B24B98" w:rsidP="00B24B98">
      <w:pPr>
        <w:spacing w:after="0" w:line="240" w:lineRule="auto"/>
        <w:jc w:val="both"/>
        <w:rPr>
          <w:rFonts w:ascii="Californian FB" w:hAnsi="Californian FB"/>
        </w:rPr>
      </w:pPr>
      <w:r>
        <w:rPr>
          <w:rFonts w:ascii="Californian FB" w:hAnsi="Californian FB"/>
        </w:rPr>
        <w:br w:type="page"/>
      </w:r>
    </w:p>
    <w:p w14:paraId="5FF4A951" w14:textId="43FF5320" w:rsidR="0025792C" w:rsidRPr="0025792C" w:rsidRDefault="0025792C" w:rsidP="0025792C">
      <w:pPr>
        <w:pStyle w:val="Heading1"/>
        <w:jc w:val="both"/>
        <w:rPr>
          <w:rFonts w:ascii="Californian FB" w:eastAsiaTheme="minorHAnsi" w:hAnsi="Californian FB" w:cstheme="minorBidi"/>
          <w:bCs w:val="0"/>
          <w:color w:val="auto"/>
          <w:sz w:val="22"/>
          <w:szCs w:val="22"/>
          <w:lang w:val="en-US"/>
        </w:rPr>
      </w:pPr>
      <w:bookmarkStart w:id="40" w:name="_Toc520793122"/>
      <w:r w:rsidRPr="0025792C">
        <w:rPr>
          <w:rFonts w:ascii="Californian FB" w:eastAsiaTheme="minorHAnsi" w:hAnsi="Californian FB" w:cstheme="minorBidi"/>
          <w:bCs w:val="0"/>
          <w:color w:val="auto"/>
          <w:sz w:val="22"/>
          <w:szCs w:val="22"/>
          <w:lang w:val="en-US"/>
        </w:rPr>
        <w:lastRenderedPageBreak/>
        <w:t>4.2. Framework of actions domains and dimensions</w:t>
      </w:r>
      <w:bookmarkEnd w:id="40"/>
    </w:p>
    <w:p w14:paraId="3524D754" w14:textId="77777777" w:rsidR="0025792C" w:rsidRPr="0025792C" w:rsidRDefault="0025792C" w:rsidP="0025792C">
      <w:pPr>
        <w:rPr>
          <w:lang w:val="en-GB"/>
        </w:rPr>
      </w:pPr>
    </w:p>
    <w:p w14:paraId="0B5B11E3" w14:textId="77777777" w:rsidR="00B24B98" w:rsidRPr="00280784" w:rsidRDefault="00B24B98" w:rsidP="00B24B98">
      <w:pPr>
        <w:pStyle w:val="Caption"/>
        <w:spacing w:after="0"/>
        <w:rPr>
          <w:rFonts w:ascii="Californian FB" w:hAnsi="Californian FB"/>
          <w:sz w:val="24"/>
          <w:szCs w:val="24"/>
        </w:rPr>
      </w:pPr>
      <w:r w:rsidRPr="00280784">
        <w:rPr>
          <w:rFonts w:ascii="Californian FB" w:hAnsi="Californian FB"/>
          <w:sz w:val="24"/>
          <w:szCs w:val="24"/>
        </w:rPr>
        <w:t xml:space="preserve">Table </w:t>
      </w:r>
      <w:r w:rsidRPr="00280784">
        <w:rPr>
          <w:rFonts w:ascii="Californian FB" w:hAnsi="Californian FB"/>
          <w:sz w:val="24"/>
          <w:szCs w:val="24"/>
        </w:rPr>
        <w:fldChar w:fldCharType="begin"/>
      </w:r>
      <w:r w:rsidRPr="00280784">
        <w:rPr>
          <w:rFonts w:ascii="Californian FB" w:hAnsi="Californian FB"/>
          <w:sz w:val="24"/>
          <w:szCs w:val="24"/>
        </w:rPr>
        <w:instrText xml:space="preserve"> SEQ Table \* ARABIC </w:instrText>
      </w:r>
      <w:r w:rsidRPr="00280784">
        <w:rPr>
          <w:rFonts w:ascii="Californian FB" w:hAnsi="Californian FB"/>
          <w:sz w:val="24"/>
          <w:szCs w:val="24"/>
        </w:rPr>
        <w:fldChar w:fldCharType="separate"/>
      </w:r>
      <w:r w:rsidRPr="00280784">
        <w:rPr>
          <w:rFonts w:ascii="Californian FB" w:hAnsi="Californian FB"/>
          <w:noProof/>
          <w:sz w:val="24"/>
          <w:szCs w:val="24"/>
        </w:rPr>
        <w:t>1</w:t>
      </w:r>
      <w:r w:rsidRPr="00280784">
        <w:rPr>
          <w:rFonts w:ascii="Californian FB" w:hAnsi="Californian FB"/>
          <w:sz w:val="24"/>
          <w:szCs w:val="24"/>
        </w:rPr>
        <w:fldChar w:fldCharType="end"/>
      </w:r>
      <w:r w:rsidRPr="00280784">
        <w:rPr>
          <w:rFonts w:ascii="Californian FB" w:hAnsi="Californian FB"/>
          <w:sz w:val="24"/>
          <w:szCs w:val="24"/>
        </w:rPr>
        <w:t>: Framework of actions domains and dimensions</w:t>
      </w:r>
    </w:p>
    <w:tbl>
      <w:tblPr>
        <w:tblW w:w="0" w:type="auto"/>
        <w:tblInd w:w="-252" w:type="dxa"/>
        <w:tblLook w:val="04A0" w:firstRow="1" w:lastRow="0" w:firstColumn="1" w:lastColumn="0" w:noHBand="0" w:noVBand="1"/>
      </w:tblPr>
      <w:tblGrid>
        <w:gridCol w:w="2430"/>
        <w:gridCol w:w="7172"/>
      </w:tblGrid>
      <w:tr w:rsidR="00B24B98" w:rsidRPr="00CD4638" w14:paraId="6A4F86B5" w14:textId="77777777" w:rsidTr="00187D14">
        <w:tc>
          <w:tcPr>
            <w:tcW w:w="2430" w:type="dxa"/>
          </w:tcPr>
          <w:p w14:paraId="3FC9EC0F" w14:textId="77777777" w:rsidR="00B24B98" w:rsidRPr="00CD4638" w:rsidRDefault="00B24B98" w:rsidP="00815911">
            <w:pPr>
              <w:jc w:val="both"/>
              <w:rPr>
                <w:rFonts w:ascii="Californian FB" w:hAnsi="Californian FB"/>
                <w:b/>
                <w:sz w:val="24"/>
                <w:szCs w:val="24"/>
              </w:rPr>
            </w:pPr>
            <w:r w:rsidRPr="00CD4638">
              <w:rPr>
                <w:rFonts w:ascii="Californian FB" w:hAnsi="Californian FB"/>
                <w:b/>
                <w:sz w:val="24"/>
                <w:szCs w:val="24"/>
              </w:rPr>
              <w:t>Domain</w:t>
            </w:r>
          </w:p>
        </w:tc>
        <w:tc>
          <w:tcPr>
            <w:tcW w:w="7172" w:type="dxa"/>
          </w:tcPr>
          <w:p w14:paraId="4071D6F0" w14:textId="77777777" w:rsidR="00B24B98" w:rsidRPr="00CD4638" w:rsidRDefault="00B24B98" w:rsidP="00815911">
            <w:pPr>
              <w:jc w:val="both"/>
              <w:rPr>
                <w:rFonts w:ascii="Californian FB" w:hAnsi="Californian FB"/>
                <w:b/>
                <w:sz w:val="24"/>
                <w:szCs w:val="24"/>
              </w:rPr>
            </w:pPr>
            <w:r w:rsidRPr="00CD4638">
              <w:rPr>
                <w:rFonts w:ascii="Californian FB" w:hAnsi="Californian FB"/>
                <w:b/>
                <w:sz w:val="24"/>
                <w:szCs w:val="24"/>
              </w:rPr>
              <w:t xml:space="preserve">          Dimensions</w:t>
            </w:r>
          </w:p>
        </w:tc>
      </w:tr>
      <w:tr w:rsidR="00B24B98" w:rsidRPr="00280784" w14:paraId="44767204" w14:textId="77777777" w:rsidTr="00187D14">
        <w:tc>
          <w:tcPr>
            <w:tcW w:w="2430" w:type="dxa"/>
          </w:tcPr>
          <w:p w14:paraId="07EFBF93" w14:textId="77777777" w:rsidR="00B24B98" w:rsidRPr="00280784" w:rsidRDefault="00B24B98" w:rsidP="00815911">
            <w:pPr>
              <w:jc w:val="both"/>
              <w:rPr>
                <w:rFonts w:ascii="Californian FB" w:hAnsi="Californian FB"/>
                <w:sz w:val="24"/>
                <w:szCs w:val="24"/>
              </w:rPr>
            </w:pPr>
            <w:r w:rsidRPr="00280784">
              <w:rPr>
                <w:rFonts w:ascii="Californian FB" w:hAnsi="Californian FB"/>
                <w:sz w:val="24"/>
                <w:szCs w:val="24"/>
              </w:rPr>
              <w:t>Health impact: State of health and wellbeing</w:t>
            </w:r>
          </w:p>
        </w:tc>
        <w:tc>
          <w:tcPr>
            <w:tcW w:w="7172" w:type="dxa"/>
          </w:tcPr>
          <w:p w14:paraId="13951A82"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Impoverishing health expenditure</w:t>
            </w:r>
          </w:p>
          <w:p w14:paraId="5A26B83A" w14:textId="77777777" w:rsidR="00B24B98" w:rsidRPr="000B03C1" w:rsidRDefault="00B24B98" w:rsidP="00203568">
            <w:pPr>
              <w:numPr>
                <w:ilvl w:val="0"/>
                <w:numId w:val="36"/>
              </w:numPr>
              <w:spacing w:line="240" w:lineRule="auto"/>
              <w:jc w:val="both"/>
              <w:rPr>
                <w:rFonts w:ascii="Californian FB" w:hAnsi="Californian FB"/>
                <w:sz w:val="24"/>
                <w:szCs w:val="24"/>
              </w:rPr>
            </w:pPr>
            <w:r w:rsidRPr="000B03C1">
              <w:rPr>
                <w:rFonts w:ascii="Californian FB" w:hAnsi="Californian FB"/>
                <w:bCs/>
                <w:sz w:val="24"/>
                <w:szCs w:val="24"/>
              </w:rPr>
              <w:t>Reduced Morbidity and mortality</w:t>
            </w:r>
          </w:p>
          <w:p w14:paraId="1A768275"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Under-5 mortality rate </w:t>
            </w:r>
          </w:p>
          <w:p w14:paraId="4F777FDF"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Maternal mortality ratio </w:t>
            </w:r>
          </w:p>
          <w:p w14:paraId="36715EC9"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HIV incidence </w:t>
            </w:r>
          </w:p>
          <w:p w14:paraId="364E1784"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Tuberculosis cure rate </w:t>
            </w:r>
          </w:p>
          <w:p w14:paraId="6CE8FC44"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Malaria mortality rate </w:t>
            </w:r>
          </w:p>
          <w:p w14:paraId="4122AA53"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cancer, diabetes, or chronic respiratory disease between 30 and 70 </w:t>
            </w:r>
          </w:p>
          <w:p w14:paraId="69ED0219" w14:textId="77777777" w:rsidR="00B24B98" w:rsidRPr="00280784" w:rsidRDefault="00B24B98" w:rsidP="00203568">
            <w:pPr>
              <w:numPr>
                <w:ilvl w:val="0"/>
                <w:numId w:val="36"/>
              </w:numPr>
              <w:spacing w:line="240" w:lineRule="auto"/>
              <w:jc w:val="both"/>
              <w:rPr>
                <w:rFonts w:ascii="Californian FB" w:hAnsi="Californian FB"/>
                <w:sz w:val="24"/>
                <w:szCs w:val="24"/>
              </w:rPr>
            </w:pPr>
            <w:r w:rsidRPr="00280784">
              <w:rPr>
                <w:rFonts w:ascii="Californian FB" w:hAnsi="Californian FB"/>
                <w:sz w:val="24"/>
                <w:szCs w:val="24"/>
              </w:rPr>
              <w:t xml:space="preserve">Road traffic deaths </w:t>
            </w:r>
          </w:p>
        </w:tc>
      </w:tr>
      <w:tr w:rsidR="00B24B98" w:rsidRPr="00280784" w14:paraId="5E7F3E5B" w14:textId="77777777" w:rsidTr="00187D14">
        <w:tc>
          <w:tcPr>
            <w:tcW w:w="2430" w:type="dxa"/>
            <w:vMerge w:val="restart"/>
          </w:tcPr>
          <w:p w14:paraId="0F00E3BD" w14:textId="77777777" w:rsidR="00B24B98" w:rsidRPr="00280784" w:rsidRDefault="00B24B98" w:rsidP="00815911">
            <w:pPr>
              <w:rPr>
                <w:rFonts w:ascii="Californian FB" w:hAnsi="Californian FB"/>
                <w:sz w:val="24"/>
                <w:szCs w:val="24"/>
              </w:rPr>
            </w:pPr>
            <w:r w:rsidRPr="00280784">
              <w:rPr>
                <w:rFonts w:ascii="Californian FB" w:hAnsi="Californian FB"/>
                <w:sz w:val="24"/>
                <w:szCs w:val="24"/>
              </w:rPr>
              <w:t>Health outcomes: Population benefit from essential health and related services</w:t>
            </w:r>
          </w:p>
        </w:tc>
        <w:tc>
          <w:tcPr>
            <w:tcW w:w="7172" w:type="dxa"/>
          </w:tcPr>
          <w:p w14:paraId="302D8CCC"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Availability of essential services, across the life course</w:t>
            </w:r>
          </w:p>
        </w:tc>
      </w:tr>
      <w:tr w:rsidR="00B24B98" w:rsidRPr="00280784" w14:paraId="2A006165" w14:textId="77777777" w:rsidTr="00187D14">
        <w:tc>
          <w:tcPr>
            <w:tcW w:w="2430" w:type="dxa"/>
            <w:vMerge/>
          </w:tcPr>
          <w:p w14:paraId="52881781" w14:textId="77777777" w:rsidR="00B24B98" w:rsidRPr="00280784" w:rsidRDefault="00B24B98" w:rsidP="00815911">
            <w:pPr>
              <w:jc w:val="both"/>
              <w:rPr>
                <w:rFonts w:ascii="Californian FB" w:hAnsi="Californian FB"/>
                <w:sz w:val="24"/>
                <w:szCs w:val="24"/>
              </w:rPr>
            </w:pPr>
          </w:p>
        </w:tc>
        <w:tc>
          <w:tcPr>
            <w:tcW w:w="7172" w:type="dxa"/>
          </w:tcPr>
          <w:p w14:paraId="49FA7FA9"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Coverage of essential interventions, across the public health functions</w:t>
            </w:r>
          </w:p>
        </w:tc>
      </w:tr>
      <w:tr w:rsidR="00B24B98" w:rsidRPr="00280784" w14:paraId="4B956B35" w14:textId="77777777" w:rsidTr="00187D14">
        <w:tc>
          <w:tcPr>
            <w:tcW w:w="2430" w:type="dxa"/>
            <w:vMerge/>
          </w:tcPr>
          <w:p w14:paraId="6BA521DA" w14:textId="77777777" w:rsidR="00B24B98" w:rsidRPr="00280784" w:rsidRDefault="00B24B98" w:rsidP="00815911">
            <w:pPr>
              <w:jc w:val="both"/>
              <w:rPr>
                <w:rFonts w:ascii="Californian FB" w:hAnsi="Californian FB"/>
                <w:sz w:val="24"/>
                <w:szCs w:val="24"/>
              </w:rPr>
            </w:pPr>
          </w:p>
        </w:tc>
        <w:tc>
          <w:tcPr>
            <w:tcW w:w="7172" w:type="dxa"/>
          </w:tcPr>
          <w:p w14:paraId="391090F2"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Population level of financial risk protection</w:t>
            </w:r>
          </w:p>
        </w:tc>
      </w:tr>
      <w:tr w:rsidR="00B24B98" w:rsidRPr="00280784" w14:paraId="1FC7817A" w14:textId="77777777" w:rsidTr="00187D14">
        <w:tc>
          <w:tcPr>
            <w:tcW w:w="2430" w:type="dxa"/>
            <w:vMerge/>
          </w:tcPr>
          <w:p w14:paraId="3E3E9B2F" w14:textId="77777777" w:rsidR="00B24B98" w:rsidRPr="00280784" w:rsidRDefault="00B24B98" w:rsidP="00815911">
            <w:pPr>
              <w:jc w:val="both"/>
              <w:rPr>
                <w:rFonts w:ascii="Californian FB" w:hAnsi="Californian FB"/>
                <w:sz w:val="24"/>
                <w:szCs w:val="24"/>
              </w:rPr>
            </w:pPr>
          </w:p>
        </w:tc>
        <w:tc>
          <w:tcPr>
            <w:tcW w:w="7172" w:type="dxa"/>
          </w:tcPr>
          <w:p w14:paraId="02D42621"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Population levels of health security</w:t>
            </w:r>
          </w:p>
        </w:tc>
      </w:tr>
      <w:tr w:rsidR="00B24B98" w:rsidRPr="00280784" w14:paraId="728D8323" w14:textId="77777777" w:rsidTr="00187D14">
        <w:tc>
          <w:tcPr>
            <w:tcW w:w="2430" w:type="dxa"/>
            <w:vMerge/>
          </w:tcPr>
          <w:p w14:paraId="43BEF5B9" w14:textId="77777777" w:rsidR="00B24B98" w:rsidRPr="00280784" w:rsidRDefault="00B24B98" w:rsidP="00815911">
            <w:pPr>
              <w:jc w:val="both"/>
              <w:rPr>
                <w:rFonts w:ascii="Californian FB" w:hAnsi="Californian FB"/>
                <w:sz w:val="24"/>
                <w:szCs w:val="24"/>
              </w:rPr>
            </w:pPr>
          </w:p>
        </w:tc>
        <w:tc>
          <w:tcPr>
            <w:tcW w:w="7172" w:type="dxa"/>
          </w:tcPr>
          <w:p w14:paraId="0FE580DE"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Population levels of satisfaction with essential services</w:t>
            </w:r>
          </w:p>
        </w:tc>
      </w:tr>
      <w:tr w:rsidR="00B24B98" w:rsidRPr="00280784" w14:paraId="7FFE81E6" w14:textId="77777777" w:rsidTr="00187D14">
        <w:tc>
          <w:tcPr>
            <w:tcW w:w="2430" w:type="dxa"/>
            <w:vMerge/>
          </w:tcPr>
          <w:p w14:paraId="39ECC249" w14:textId="77777777" w:rsidR="00B24B98" w:rsidRPr="00280784" w:rsidRDefault="00B24B98" w:rsidP="00815911">
            <w:pPr>
              <w:jc w:val="both"/>
              <w:rPr>
                <w:rFonts w:ascii="Californian FB" w:hAnsi="Californian FB"/>
                <w:sz w:val="24"/>
                <w:szCs w:val="24"/>
              </w:rPr>
            </w:pPr>
          </w:p>
        </w:tc>
        <w:tc>
          <w:tcPr>
            <w:tcW w:w="7172" w:type="dxa"/>
          </w:tcPr>
          <w:p w14:paraId="4AE64C00" w14:textId="77777777" w:rsidR="00B24B98" w:rsidRPr="00CD4638" w:rsidRDefault="00B24B98" w:rsidP="00203568">
            <w:pPr>
              <w:pStyle w:val="ListParagraph"/>
              <w:numPr>
                <w:ilvl w:val="0"/>
                <w:numId w:val="37"/>
              </w:numPr>
              <w:spacing w:line="240" w:lineRule="auto"/>
              <w:jc w:val="both"/>
              <w:rPr>
                <w:rFonts w:ascii="Californian FB" w:hAnsi="Californian FB"/>
                <w:sz w:val="24"/>
                <w:szCs w:val="24"/>
              </w:rPr>
            </w:pPr>
            <w:r w:rsidRPr="00CD4638">
              <w:rPr>
                <w:rFonts w:ascii="Californian FB" w:hAnsi="Californian FB"/>
                <w:sz w:val="24"/>
                <w:szCs w:val="24"/>
              </w:rPr>
              <w:t>Coverage of essential social, economic, environmental and political determinants for health</w:t>
            </w:r>
          </w:p>
        </w:tc>
      </w:tr>
      <w:tr w:rsidR="00B24B98" w:rsidRPr="00280784" w14:paraId="696BD150" w14:textId="77777777" w:rsidTr="00187D14">
        <w:tc>
          <w:tcPr>
            <w:tcW w:w="2430" w:type="dxa"/>
            <w:vMerge w:val="restart"/>
          </w:tcPr>
          <w:p w14:paraId="61CA55F4" w14:textId="77777777" w:rsidR="00B24B98" w:rsidRPr="00280784" w:rsidRDefault="00B24B98" w:rsidP="00815911">
            <w:pPr>
              <w:rPr>
                <w:rFonts w:ascii="Californian FB" w:hAnsi="Californian FB"/>
                <w:sz w:val="24"/>
                <w:szCs w:val="24"/>
              </w:rPr>
            </w:pPr>
            <w:r w:rsidRPr="00280784">
              <w:rPr>
                <w:rFonts w:ascii="Californian FB" w:hAnsi="Californian FB"/>
                <w:sz w:val="24"/>
                <w:szCs w:val="24"/>
              </w:rPr>
              <w:t>Health outputs: Health system performance and functionality</w:t>
            </w:r>
          </w:p>
        </w:tc>
        <w:tc>
          <w:tcPr>
            <w:tcW w:w="7172" w:type="dxa"/>
          </w:tcPr>
          <w:p w14:paraId="2A506628" w14:textId="77777777" w:rsidR="00B24B98" w:rsidRPr="00280784" w:rsidRDefault="00B24B98" w:rsidP="00203568">
            <w:pPr>
              <w:pStyle w:val="ListParagraph"/>
              <w:numPr>
                <w:ilvl w:val="0"/>
                <w:numId w:val="37"/>
              </w:numPr>
              <w:spacing w:line="240" w:lineRule="auto"/>
              <w:jc w:val="both"/>
              <w:rPr>
                <w:rFonts w:ascii="Californian FB" w:hAnsi="Californian FB"/>
                <w:sz w:val="24"/>
                <w:szCs w:val="24"/>
              </w:rPr>
            </w:pPr>
            <w:r w:rsidRPr="00280784">
              <w:rPr>
                <w:rFonts w:ascii="Californian FB" w:hAnsi="Californian FB"/>
                <w:sz w:val="24"/>
                <w:szCs w:val="24"/>
              </w:rPr>
              <w:t>Access to essential services</w:t>
            </w:r>
          </w:p>
        </w:tc>
      </w:tr>
      <w:tr w:rsidR="00B24B98" w:rsidRPr="00280784" w14:paraId="66CBEA7A" w14:textId="77777777" w:rsidTr="00187D14">
        <w:tc>
          <w:tcPr>
            <w:tcW w:w="2430" w:type="dxa"/>
            <w:vMerge/>
          </w:tcPr>
          <w:p w14:paraId="6849E086" w14:textId="77777777" w:rsidR="00B24B98" w:rsidRPr="00280784" w:rsidRDefault="00B24B98" w:rsidP="00815911">
            <w:pPr>
              <w:jc w:val="both"/>
              <w:rPr>
                <w:rFonts w:ascii="Californian FB" w:hAnsi="Californian FB"/>
                <w:sz w:val="24"/>
                <w:szCs w:val="24"/>
              </w:rPr>
            </w:pPr>
          </w:p>
        </w:tc>
        <w:tc>
          <w:tcPr>
            <w:tcW w:w="7172" w:type="dxa"/>
          </w:tcPr>
          <w:p w14:paraId="7537552F"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Quality of care during provision of essential services</w:t>
            </w:r>
          </w:p>
        </w:tc>
      </w:tr>
      <w:tr w:rsidR="00B24B98" w:rsidRPr="00280784" w14:paraId="5A643603" w14:textId="77777777" w:rsidTr="00187D14">
        <w:tc>
          <w:tcPr>
            <w:tcW w:w="2430" w:type="dxa"/>
            <w:vMerge/>
          </w:tcPr>
          <w:p w14:paraId="37EF34A5" w14:textId="77777777" w:rsidR="00B24B98" w:rsidRPr="00280784" w:rsidRDefault="00B24B98" w:rsidP="00815911">
            <w:pPr>
              <w:jc w:val="both"/>
              <w:rPr>
                <w:rFonts w:ascii="Californian FB" w:hAnsi="Californian FB"/>
                <w:sz w:val="24"/>
                <w:szCs w:val="24"/>
              </w:rPr>
            </w:pPr>
          </w:p>
        </w:tc>
        <w:tc>
          <w:tcPr>
            <w:tcW w:w="7172" w:type="dxa"/>
          </w:tcPr>
          <w:p w14:paraId="6EC36E1D"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Effective demand for essential services</w:t>
            </w:r>
          </w:p>
        </w:tc>
      </w:tr>
      <w:tr w:rsidR="00B24B98" w:rsidRPr="00280784" w14:paraId="67547444" w14:textId="77777777" w:rsidTr="00187D14">
        <w:tc>
          <w:tcPr>
            <w:tcW w:w="2430" w:type="dxa"/>
            <w:vMerge/>
          </w:tcPr>
          <w:p w14:paraId="5178E515" w14:textId="77777777" w:rsidR="00B24B98" w:rsidRPr="00280784" w:rsidRDefault="00B24B98" w:rsidP="00815911">
            <w:pPr>
              <w:jc w:val="both"/>
              <w:rPr>
                <w:rFonts w:ascii="Californian FB" w:hAnsi="Californian FB"/>
                <w:b/>
                <w:bCs/>
                <w:sz w:val="24"/>
                <w:szCs w:val="24"/>
              </w:rPr>
            </w:pPr>
          </w:p>
        </w:tc>
        <w:tc>
          <w:tcPr>
            <w:tcW w:w="7172" w:type="dxa"/>
          </w:tcPr>
          <w:p w14:paraId="25F94839"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Resilience of the system for sustained provision of essential services</w:t>
            </w:r>
          </w:p>
        </w:tc>
      </w:tr>
      <w:tr w:rsidR="00B24B98" w:rsidRPr="00280784" w14:paraId="236FD8A4" w14:textId="77777777" w:rsidTr="00187D14">
        <w:tc>
          <w:tcPr>
            <w:tcW w:w="2430" w:type="dxa"/>
            <w:vMerge w:val="restart"/>
          </w:tcPr>
          <w:p w14:paraId="2DFD526F" w14:textId="77777777" w:rsidR="00B24B98" w:rsidRPr="00280784" w:rsidRDefault="00B24B98" w:rsidP="00815911">
            <w:pPr>
              <w:rPr>
                <w:rFonts w:ascii="Californian FB" w:hAnsi="Californian FB"/>
                <w:sz w:val="24"/>
                <w:szCs w:val="24"/>
              </w:rPr>
            </w:pPr>
            <w:r w:rsidRPr="00280784">
              <w:rPr>
                <w:rFonts w:ascii="Californian FB" w:hAnsi="Californian FB"/>
                <w:sz w:val="24"/>
                <w:szCs w:val="24"/>
              </w:rPr>
              <w:t xml:space="preserve">Health inputs / processes: </w:t>
            </w:r>
            <w:r w:rsidRPr="00280784">
              <w:rPr>
                <w:rFonts w:ascii="Californian FB" w:hAnsi="Californian FB"/>
                <w:sz w:val="24"/>
                <w:szCs w:val="24"/>
              </w:rPr>
              <w:lastRenderedPageBreak/>
              <w:t>Investments made across the system</w:t>
            </w:r>
          </w:p>
        </w:tc>
        <w:tc>
          <w:tcPr>
            <w:tcW w:w="7172" w:type="dxa"/>
          </w:tcPr>
          <w:p w14:paraId="6A503E38"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lastRenderedPageBreak/>
              <w:t>Health workforce</w:t>
            </w:r>
          </w:p>
        </w:tc>
      </w:tr>
      <w:tr w:rsidR="00B24B98" w:rsidRPr="00280784" w14:paraId="43BF4FE0" w14:textId="77777777" w:rsidTr="00187D14">
        <w:tc>
          <w:tcPr>
            <w:tcW w:w="2430" w:type="dxa"/>
            <w:vMerge/>
          </w:tcPr>
          <w:p w14:paraId="14D6CD71" w14:textId="77777777" w:rsidR="00B24B98" w:rsidRPr="00280784" w:rsidRDefault="00B24B98" w:rsidP="00815911">
            <w:pPr>
              <w:jc w:val="both"/>
              <w:rPr>
                <w:rFonts w:ascii="Californian FB" w:hAnsi="Californian FB"/>
                <w:sz w:val="24"/>
                <w:szCs w:val="24"/>
              </w:rPr>
            </w:pPr>
          </w:p>
        </w:tc>
        <w:tc>
          <w:tcPr>
            <w:tcW w:w="7172" w:type="dxa"/>
          </w:tcPr>
          <w:p w14:paraId="0F9434EE"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Health infrastructure</w:t>
            </w:r>
          </w:p>
        </w:tc>
      </w:tr>
      <w:tr w:rsidR="00B24B98" w:rsidRPr="00280784" w14:paraId="12AF4B01" w14:textId="77777777" w:rsidTr="00187D14">
        <w:tc>
          <w:tcPr>
            <w:tcW w:w="2430" w:type="dxa"/>
            <w:vMerge/>
          </w:tcPr>
          <w:p w14:paraId="1D680DCF" w14:textId="77777777" w:rsidR="00B24B98" w:rsidRPr="00280784" w:rsidRDefault="00B24B98" w:rsidP="00815911">
            <w:pPr>
              <w:jc w:val="both"/>
              <w:rPr>
                <w:rFonts w:ascii="Californian FB" w:hAnsi="Californian FB"/>
                <w:sz w:val="24"/>
                <w:szCs w:val="24"/>
              </w:rPr>
            </w:pPr>
          </w:p>
        </w:tc>
        <w:tc>
          <w:tcPr>
            <w:tcW w:w="7172" w:type="dxa"/>
          </w:tcPr>
          <w:p w14:paraId="3BE671FA"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Health products, including vaccines and technologies</w:t>
            </w:r>
          </w:p>
        </w:tc>
      </w:tr>
      <w:tr w:rsidR="00B24B98" w:rsidRPr="00280784" w14:paraId="1DD7156A" w14:textId="77777777" w:rsidTr="00187D14">
        <w:tc>
          <w:tcPr>
            <w:tcW w:w="2430" w:type="dxa"/>
            <w:vMerge/>
          </w:tcPr>
          <w:p w14:paraId="69DD2E44" w14:textId="77777777" w:rsidR="00B24B98" w:rsidRPr="00280784" w:rsidRDefault="00B24B98" w:rsidP="00815911">
            <w:pPr>
              <w:jc w:val="both"/>
              <w:rPr>
                <w:rFonts w:ascii="Californian FB" w:hAnsi="Californian FB"/>
                <w:sz w:val="24"/>
                <w:szCs w:val="24"/>
              </w:rPr>
            </w:pPr>
          </w:p>
        </w:tc>
        <w:tc>
          <w:tcPr>
            <w:tcW w:w="7172" w:type="dxa"/>
          </w:tcPr>
          <w:p w14:paraId="6544DCCA"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Health governance processes</w:t>
            </w:r>
          </w:p>
        </w:tc>
      </w:tr>
      <w:tr w:rsidR="00B24B98" w:rsidRPr="00280784" w14:paraId="18AA974B" w14:textId="77777777" w:rsidTr="00187D14">
        <w:tc>
          <w:tcPr>
            <w:tcW w:w="2430" w:type="dxa"/>
            <w:vMerge/>
          </w:tcPr>
          <w:p w14:paraId="5F5D49CA" w14:textId="77777777" w:rsidR="00B24B98" w:rsidRPr="00280784" w:rsidRDefault="00B24B98" w:rsidP="00815911">
            <w:pPr>
              <w:jc w:val="both"/>
              <w:rPr>
                <w:rFonts w:ascii="Californian FB" w:hAnsi="Californian FB"/>
                <w:sz w:val="24"/>
                <w:szCs w:val="24"/>
              </w:rPr>
            </w:pPr>
          </w:p>
        </w:tc>
        <w:tc>
          <w:tcPr>
            <w:tcW w:w="7172" w:type="dxa"/>
          </w:tcPr>
          <w:p w14:paraId="18E4B2C3"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Service delivery processes</w:t>
            </w:r>
          </w:p>
        </w:tc>
      </w:tr>
      <w:tr w:rsidR="00B24B98" w:rsidRPr="00280784" w14:paraId="729485D1" w14:textId="77777777" w:rsidTr="00187D14">
        <w:tc>
          <w:tcPr>
            <w:tcW w:w="2430" w:type="dxa"/>
            <w:vMerge/>
          </w:tcPr>
          <w:p w14:paraId="637AD16A" w14:textId="77777777" w:rsidR="00B24B98" w:rsidRPr="00280784" w:rsidRDefault="00B24B98" w:rsidP="00815911">
            <w:pPr>
              <w:jc w:val="both"/>
              <w:rPr>
                <w:rFonts w:ascii="Californian FB" w:hAnsi="Californian FB"/>
                <w:sz w:val="24"/>
                <w:szCs w:val="24"/>
              </w:rPr>
            </w:pPr>
          </w:p>
        </w:tc>
        <w:tc>
          <w:tcPr>
            <w:tcW w:w="7172" w:type="dxa"/>
          </w:tcPr>
          <w:p w14:paraId="79C0C00C"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Health information systems</w:t>
            </w:r>
          </w:p>
        </w:tc>
      </w:tr>
      <w:tr w:rsidR="00B24B98" w:rsidRPr="00280784" w14:paraId="010991EE" w14:textId="77777777" w:rsidTr="00187D14">
        <w:tc>
          <w:tcPr>
            <w:tcW w:w="2430" w:type="dxa"/>
            <w:vMerge/>
          </w:tcPr>
          <w:p w14:paraId="46DE8DB3" w14:textId="77777777" w:rsidR="00B24B98" w:rsidRPr="00280784" w:rsidRDefault="00B24B98" w:rsidP="00815911">
            <w:pPr>
              <w:jc w:val="both"/>
              <w:rPr>
                <w:rFonts w:ascii="Californian FB" w:hAnsi="Californian FB"/>
                <w:sz w:val="24"/>
                <w:szCs w:val="24"/>
              </w:rPr>
            </w:pPr>
          </w:p>
        </w:tc>
        <w:tc>
          <w:tcPr>
            <w:tcW w:w="7172" w:type="dxa"/>
          </w:tcPr>
          <w:p w14:paraId="62EEDFB8" w14:textId="77777777" w:rsidR="00B24B98" w:rsidRPr="00CD4638" w:rsidRDefault="00B24B98" w:rsidP="00203568">
            <w:pPr>
              <w:pStyle w:val="ListParagraph"/>
              <w:numPr>
                <w:ilvl w:val="0"/>
                <w:numId w:val="38"/>
              </w:numPr>
              <w:jc w:val="both"/>
              <w:rPr>
                <w:rFonts w:ascii="Californian FB" w:hAnsi="Californian FB"/>
                <w:sz w:val="24"/>
                <w:szCs w:val="24"/>
              </w:rPr>
            </w:pPr>
            <w:r w:rsidRPr="00CD4638">
              <w:rPr>
                <w:rFonts w:ascii="Californian FB" w:hAnsi="Californian FB"/>
                <w:sz w:val="24"/>
                <w:szCs w:val="24"/>
              </w:rPr>
              <w:t>Health financing systems</w:t>
            </w:r>
          </w:p>
        </w:tc>
      </w:tr>
    </w:tbl>
    <w:p w14:paraId="67300324" w14:textId="77777777" w:rsidR="00B24B98" w:rsidRPr="00280784" w:rsidRDefault="00B24B98" w:rsidP="00B24B98">
      <w:pPr>
        <w:spacing w:after="0" w:line="240" w:lineRule="auto"/>
        <w:jc w:val="both"/>
        <w:rPr>
          <w:rFonts w:ascii="Californian FB" w:hAnsi="Californian FB"/>
          <w:sz w:val="24"/>
          <w:szCs w:val="24"/>
        </w:rPr>
      </w:pPr>
    </w:p>
    <w:p w14:paraId="37F57850" w14:textId="77777777" w:rsidR="00B24B98" w:rsidRDefault="00B24B98" w:rsidP="00B24B98">
      <w:pPr>
        <w:spacing w:after="0" w:line="240" w:lineRule="auto"/>
        <w:jc w:val="both"/>
        <w:rPr>
          <w:rFonts w:ascii="Californian FB" w:hAnsi="Californian FB"/>
          <w:sz w:val="24"/>
          <w:szCs w:val="24"/>
        </w:rPr>
      </w:pPr>
      <w:r w:rsidRPr="00280784">
        <w:rPr>
          <w:rFonts w:ascii="Californian FB" w:hAnsi="Californian FB"/>
          <w:sz w:val="24"/>
          <w:szCs w:val="24"/>
        </w:rPr>
        <w:t>Statistics, information and knowledge shall be produced across all dimensions and domains. Through this, actions at county level shall be evidence based, and lead to the desired improvements across all the indicators for the UHC targets.</w:t>
      </w:r>
    </w:p>
    <w:p w14:paraId="5F155A25" w14:textId="77777777" w:rsidR="00B24B98" w:rsidRDefault="00B24B98" w:rsidP="00B24B98">
      <w:pPr>
        <w:spacing w:after="0" w:line="240" w:lineRule="auto"/>
        <w:jc w:val="both"/>
        <w:rPr>
          <w:rFonts w:ascii="Californian FB" w:hAnsi="Californian FB"/>
          <w:sz w:val="24"/>
          <w:szCs w:val="24"/>
        </w:rPr>
      </w:pPr>
    </w:p>
    <w:p w14:paraId="5130296A" w14:textId="77777777"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Monitoring in the 4 pilot counties</w:t>
      </w:r>
    </w:p>
    <w:p w14:paraId="3FB19788" w14:textId="77777777"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Comparisons will be done among the comparable pilot counties as well as pilot versus non pilot comparable counties.</w:t>
      </w:r>
    </w:p>
    <w:p w14:paraId="1B0F15F3" w14:textId="77777777"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The monitoring process will be more emphasized in the 4 pilot counties, building on the</w:t>
      </w:r>
      <w:r w:rsidRPr="008209E0">
        <w:rPr>
          <w:rFonts w:ascii="Californian FB" w:hAnsi="Californian FB"/>
          <w:sz w:val="24"/>
          <w:szCs w:val="24"/>
        </w:rPr>
        <w:t xml:space="preserve"> </w:t>
      </w:r>
      <w:r>
        <w:rPr>
          <w:rFonts w:ascii="Californian FB" w:hAnsi="Californian FB"/>
          <w:sz w:val="24"/>
          <w:szCs w:val="24"/>
        </w:rPr>
        <w:t>existing M&amp;E systems.</w:t>
      </w:r>
    </w:p>
    <w:p w14:paraId="2CC9C114" w14:textId="77777777"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The major components of the monitoring process will entail the following;</w:t>
      </w:r>
    </w:p>
    <w:p w14:paraId="5300DFC6" w14:textId="77777777" w:rsidR="00B24B98" w:rsidRDefault="00B24B98" w:rsidP="00B24B98">
      <w:pPr>
        <w:spacing w:after="0" w:line="240" w:lineRule="auto"/>
        <w:jc w:val="both"/>
        <w:rPr>
          <w:rFonts w:ascii="Californian FB" w:hAnsi="Californian FB"/>
          <w:sz w:val="24"/>
          <w:szCs w:val="24"/>
        </w:rPr>
      </w:pPr>
    </w:p>
    <w:p w14:paraId="6395A205" w14:textId="77777777" w:rsidR="00B24B98" w:rsidRPr="008105F3" w:rsidRDefault="00B24B98" w:rsidP="00203568">
      <w:pPr>
        <w:pStyle w:val="ListParagraph"/>
        <w:numPr>
          <w:ilvl w:val="0"/>
          <w:numId w:val="39"/>
        </w:numPr>
        <w:spacing w:after="0" w:line="240" w:lineRule="auto"/>
        <w:jc w:val="both"/>
        <w:rPr>
          <w:rFonts w:ascii="Californian FB" w:hAnsi="Californian FB"/>
          <w:sz w:val="24"/>
          <w:szCs w:val="24"/>
        </w:rPr>
      </w:pPr>
      <w:r w:rsidRPr="008105F3">
        <w:rPr>
          <w:rFonts w:ascii="Californian FB" w:hAnsi="Californian FB"/>
          <w:sz w:val="24"/>
          <w:szCs w:val="24"/>
        </w:rPr>
        <w:t>Generation &amp; collection of statistics/data</w:t>
      </w:r>
    </w:p>
    <w:p w14:paraId="7E7573A7" w14:textId="77777777" w:rsidR="00B24B98" w:rsidRPr="008105F3" w:rsidRDefault="00B24B98" w:rsidP="00203568">
      <w:pPr>
        <w:pStyle w:val="ListParagraph"/>
        <w:numPr>
          <w:ilvl w:val="0"/>
          <w:numId w:val="39"/>
        </w:numPr>
        <w:spacing w:after="0" w:line="240" w:lineRule="auto"/>
        <w:jc w:val="both"/>
        <w:rPr>
          <w:rFonts w:ascii="Californian FB" w:hAnsi="Californian FB"/>
          <w:sz w:val="24"/>
          <w:szCs w:val="24"/>
        </w:rPr>
      </w:pPr>
      <w:r w:rsidRPr="008105F3">
        <w:rPr>
          <w:rFonts w:ascii="Californian FB" w:hAnsi="Californian FB"/>
          <w:sz w:val="24"/>
          <w:szCs w:val="24"/>
        </w:rPr>
        <w:t>Information generation</w:t>
      </w:r>
    </w:p>
    <w:p w14:paraId="7AE2C5B3" w14:textId="77777777" w:rsidR="00B24B98" w:rsidRPr="008105F3" w:rsidRDefault="00B24B98" w:rsidP="00203568">
      <w:pPr>
        <w:pStyle w:val="ListParagraph"/>
        <w:numPr>
          <w:ilvl w:val="0"/>
          <w:numId w:val="39"/>
        </w:numPr>
        <w:spacing w:after="0" w:line="240" w:lineRule="auto"/>
        <w:jc w:val="both"/>
        <w:rPr>
          <w:rFonts w:ascii="Californian FB" w:hAnsi="Californian FB"/>
          <w:sz w:val="24"/>
          <w:szCs w:val="24"/>
        </w:rPr>
      </w:pPr>
      <w:r w:rsidRPr="008105F3">
        <w:rPr>
          <w:rFonts w:ascii="Californian FB" w:hAnsi="Californian FB"/>
          <w:sz w:val="24"/>
          <w:szCs w:val="24"/>
        </w:rPr>
        <w:t xml:space="preserve">Knowledge generation </w:t>
      </w:r>
    </w:p>
    <w:p w14:paraId="68C763C7" w14:textId="77777777" w:rsidR="00B24B98" w:rsidRDefault="00B24B98" w:rsidP="00203568">
      <w:pPr>
        <w:pStyle w:val="ListParagraph"/>
        <w:numPr>
          <w:ilvl w:val="0"/>
          <w:numId w:val="39"/>
        </w:numPr>
        <w:spacing w:after="0" w:line="240" w:lineRule="auto"/>
        <w:jc w:val="both"/>
        <w:rPr>
          <w:rFonts w:ascii="Californian FB" w:hAnsi="Californian FB"/>
          <w:sz w:val="24"/>
          <w:szCs w:val="24"/>
        </w:rPr>
      </w:pPr>
      <w:r w:rsidRPr="008105F3">
        <w:rPr>
          <w:rFonts w:ascii="Californian FB" w:hAnsi="Californian FB"/>
          <w:sz w:val="24"/>
          <w:szCs w:val="24"/>
        </w:rPr>
        <w:t>Knowledge Use</w:t>
      </w:r>
    </w:p>
    <w:p w14:paraId="444BBDF5" w14:textId="77777777" w:rsidR="00B24B98" w:rsidRDefault="00B24B98" w:rsidP="00203568">
      <w:pPr>
        <w:pStyle w:val="ListParagraph"/>
        <w:numPr>
          <w:ilvl w:val="0"/>
          <w:numId w:val="39"/>
        </w:numPr>
        <w:spacing w:after="0" w:line="240" w:lineRule="auto"/>
        <w:jc w:val="both"/>
        <w:rPr>
          <w:rFonts w:ascii="Californian FB" w:hAnsi="Californian FB"/>
          <w:sz w:val="24"/>
          <w:szCs w:val="24"/>
        </w:rPr>
      </w:pPr>
      <w:r>
        <w:rPr>
          <w:rFonts w:ascii="Californian FB" w:hAnsi="Californian FB"/>
          <w:sz w:val="24"/>
          <w:szCs w:val="24"/>
        </w:rPr>
        <w:t>Review and feedback</w:t>
      </w:r>
      <w:r w:rsidRPr="008105F3">
        <w:rPr>
          <w:rFonts w:ascii="Californian FB" w:hAnsi="Californian FB"/>
          <w:sz w:val="24"/>
          <w:szCs w:val="24"/>
        </w:rPr>
        <w:t xml:space="preserve"> </w:t>
      </w:r>
    </w:p>
    <w:p w14:paraId="28C332BA" w14:textId="77777777" w:rsidR="00B24B98" w:rsidRDefault="00B24B98" w:rsidP="00B24B98">
      <w:pPr>
        <w:spacing w:after="0" w:line="240" w:lineRule="auto"/>
        <w:jc w:val="both"/>
        <w:rPr>
          <w:rFonts w:ascii="Californian FB" w:hAnsi="Californian FB"/>
          <w:sz w:val="24"/>
          <w:szCs w:val="24"/>
        </w:rPr>
      </w:pPr>
    </w:p>
    <w:p w14:paraId="637DD16D" w14:textId="77777777" w:rsidR="00B24B98" w:rsidRDefault="00B24B98" w:rsidP="00B24B98">
      <w:pPr>
        <w:spacing w:after="0" w:line="240" w:lineRule="auto"/>
        <w:jc w:val="both"/>
        <w:rPr>
          <w:rFonts w:ascii="Californian FB" w:hAnsi="Californian FB"/>
          <w:sz w:val="24"/>
          <w:szCs w:val="24"/>
        </w:rPr>
      </w:pPr>
    </w:p>
    <w:p w14:paraId="6CD823DA" w14:textId="77777777" w:rsidR="00B24B98" w:rsidRDefault="00B24B98" w:rsidP="00B24B98">
      <w:pPr>
        <w:spacing w:after="0" w:line="240" w:lineRule="auto"/>
        <w:jc w:val="both"/>
        <w:rPr>
          <w:rFonts w:ascii="Californian FB" w:hAnsi="Californian FB"/>
        </w:rPr>
      </w:pPr>
    </w:p>
    <w:p w14:paraId="3AE4598F" w14:textId="77777777" w:rsidR="00B24B98" w:rsidRDefault="00B24B98" w:rsidP="00B24B98">
      <w:pPr>
        <w:spacing w:after="0" w:line="240" w:lineRule="auto"/>
        <w:jc w:val="both"/>
        <w:rPr>
          <w:rFonts w:ascii="Californian FB" w:hAnsi="Californian FB"/>
        </w:rPr>
      </w:pPr>
    </w:p>
    <w:p w14:paraId="654C840F" w14:textId="3884981C" w:rsidR="00B24B98" w:rsidRDefault="00B24B98" w:rsidP="00B24B98">
      <w:pPr>
        <w:spacing w:after="0" w:line="240" w:lineRule="auto"/>
        <w:jc w:val="both"/>
        <w:rPr>
          <w:rFonts w:ascii="Californian FB" w:hAnsi="Californian FB"/>
        </w:rPr>
      </w:pPr>
      <w:r>
        <w:rPr>
          <w:rFonts w:ascii="Californian FB" w:hAnsi="Californian FB"/>
          <w:noProof/>
        </w:rPr>
        <mc:AlternateContent>
          <mc:Choice Requires="wps">
            <w:drawing>
              <wp:anchor distT="0" distB="0" distL="114300" distR="114300" simplePos="0" relativeHeight="251655168" behindDoc="0" locked="0" layoutInCell="1" allowOverlap="1" wp14:anchorId="06587233" wp14:editId="0A21D21E">
                <wp:simplePos x="0" y="0"/>
                <wp:positionH relativeFrom="column">
                  <wp:posOffset>4086225</wp:posOffset>
                </wp:positionH>
                <wp:positionV relativeFrom="paragraph">
                  <wp:posOffset>187325</wp:posOffset>
                </wp:positionV>
                <wp:extent cx="1628775" cy="1085850"/>
                <wp:effectExtent l="0" t="0" r="28575" b="19050"/>
                <wp:wrapNone/>
                <wp:docPr id="1152" name="Text Box 1152"/>
                <wp:cNvGraphicFramePr/>
                <a:graphic xmlns:a="http://schemas.openxmlformats.org/drawingml/2006/main">
                  <a:graphicData uri="http://schemas.microsoft.com/office/word/2010/wordprocessingShape">
                    <wps:wsp>
                      <wps:cNvSpPr txBox="1"/>
                      <wps:spPr>
                        <a:xfrm>
                          <a:off x="0" y="0"/>
                          <a:ext cx="1628775" cy="1085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8AC0E2" w14:textId="77777777" w:rsidR="00D20DC2" w:rsidRDefault="00D20DC2" w:rsidP="00B24B98">
                            <w:pPr>
                              <w:pBdr>
                                <w:top w:val="single" w:sz="4" w:space="1" w:color="auto"/>
                                <w:left w:val="single" w:sz="4" w:space="4" w:color="auto"/>
                                <w:bottom w:val="single" w:sz="4" w:space="1" w:color="auto"/>
                                <w:right w:val="single" w:sz="4" w:space="4" w:color="auto"/>
                                <w:between w:val="single" w:sz="4" w:space="1" w:color="auto"/>
                                <w:bar w:val="single" w:sz="4" w:color="auto"/>
                              </w:pBdr>
                            </w:pPr>
                            <w:r>
                              <w:t xml:space="preserve">Evidence and </w:t>
                            </w:r>
                          </w:p>
                          <w:p w14:paraId="60167BD6" w14:textId="77777777" w:rsidR="00D20DC2" w:rsidRDefault="00D20DC2" w:rsidP="00B24B98">
                            <w:pPr>
                              <w:pBdr>
                                <w:top w:val="single" w:sz="4" w:space="1" w:color="auto"/>
                                <w:left w:val="single" w:sz="4" w:space="4" w:color="auto"/>
                                <w:bottom w:val="single" w:sz="4" w:space="1" w:color="auto"/>
                                <w:right w:val="single" w:sz="4" w:space="4" w:color="auto"/>
                                <w:between w:val="single" w:sz="4" w:space="1" w:color="auto"/>
                                <w:bar w:val="single" w:sz="4" w:color="auto"/>
                              </w:pBdr>
                            </w:pPr>
                            <w:r>
                              <w:t>Knowledge to 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06587233" id="Text Box 1152" o:spid="_x0000_s1066" type="#_x0000_t202" style="position:absolute;left:0;text-align:left;margin-left:321.75pt;margin-top:14.75pt;width:128.25pt;height:85.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" fillcolor="white [3201]" strokeweight=".5pt">
                <v:textbox>
                  <w:txbxContent>
                    <w:p w14:paraId="428AC0E2" w14:textId="77777777" w:rsidR="00D20DC2" w:rsidRDefault="00D20DC2" w:rsidP="00B24B98">
                      <w:pPr>
                        <w:pBdr>
                          <w:top w:val="single" w:sz="4" w:space="1" w:color="auto"/>
                          <w:left w:val="single" w:sz="4" w:space="4" w:color="auto"/>
                          <w:bottom w:val="single" w:sz="4" w:space="1" w:color="auto"/>
                          <w:right w:val="single" w:sz="4" w:space="4" w:color="auto"/>
                          <w:between w:val="single" w:sz="4" w:space="1" w:color="auto"/>
                          <w:bar w:val="single" w:sz="4" w:color="auto"/>
                        </w:pBdr>
                      </w:pPr>
                      <w:r>
                        <w:t xml:space="preserve">Evidence and </w:t>
                      </w:r>
                    </w:p>
                    <w:p w14:paraId="60167BD6" w14:textId="77777777" w:rsidR="00D20DC2" w:rsidRDefault="00D20DC2" w:rsidP="00B24B98">
                      <w:pPr>
                        <w:pBdr>
                          <w:top w:val="single" w:sz="4" w:space="1" w:color="auto"/>
                          <w:left w:val="single" w:sz="4" w:space="4" w:color="auto"/>
                          <w:bottom w:val="single" w:sz="4" w:space="1" w:color="auto"/>
                          <w:right w:val="single" w:sz="4" w:space="4" w:color="auto"/>
                          <w:between w:val="single" w:sz="4" w:space="1" w:color="auto"/>
                          <w:bar w:val="single" w:sz="4" w:color="auto"/>
                        </w:pBdr>
                      </w:pPr>
                      <w:r>
                        <w:t>Knowledge to action</w:t>
                      </w:r>
                    </w:p>
                  </w:txbxContent>
                </v:textbox>
              </v:shape>
            </w:pict>
          </mc:Fallback>
        </mc:AlternateContent>
      </w:r>
      <w:r>
        <w:rPr>
          <w:rFonts w:ascii="Californian FB" w:hAnsi="Californian FB"/>
          <w:noProof/>
        </w:rPr>
        <w:drawing>
          <wp:inline distT="0" distB="0" distL="0" distR="0" wp14:anchorId="4E86763B" wp14:editId="17728B28">
            <wp:extent cx="1133475" cy="12287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33475" cy="1228725"/>
                    </a:xfrm>
                    <a:prstGeom prst="rect">
                      <a:avLst/>
                    </a:prstGeom>
                    <a:noFill/>
                  </pic:spPr>
                </pic:pic>
              </a:graphicData>
            </a:graphic>
          </wp:inline>
        </w:drawing>
      </w:r>
      <w:r>
        <w:rPr>
          <w:rFonts w:ascii="Californian FB" w:hAnsi="Californian FB"/>
          <w:noProof/>
        </w:rPr>
        <w:drawing>
          <wp:inline distT="0" distB="0" distL="0" distR="0" wp14:anchorId="20512937" wp14:editId="64A6F8D9">
            <wp:extent cx="933450" cy="676910"/>
            <wp:effectExtent l="0" t="0" r="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33450" cy="676910"/>
                    </a:xfrm>
                    <a:prstGeom prst="rect">
                      <a:avLst/>
                    </a:prstGeom>
                    <a:noFill/>
                  </pic:spPr>
                </pic:pic>
              </a:graphicData>
            </a:graphic>
          </wp:inline>
        </w:drawing>
      </w:r>
      <w:r>
        <w:rPr>
          <w:rFonts w:ascii="Californian FB" w:hAnsi="Californian FB"/>
          <w:noProof/>
        </w:rPr>
        <w:drawing>
          <wp:inline distT="0" distB="0" distL="0" distR="0" wp14:anchorId="74A57CD0" wp14:editId="0BB22B8E">
            <wp:extent cx="1381125" cy="1179830"/>
            <wp:effectExtent l="0" t="0" r="9525"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381125" cy="1179830"/>
                    </a:xfrm>
                    <a:prstGeom prst="rect">
                      <a:avLst/>
                    </a:prstGeom>
                    <a:noFill/>
                  </pic:spPr>
                </pic:pic>
              </a:graphicData>
            </a:graphic>
          </wp:inline>
        </w:drawing>
      </w:r>
      <w:r>
        <w:rPr>
          <w:rFonts w:ascii="Californian FB" w:hAnsi="Californian FB"/>
          <w:noProof/>
        </w:rPr>
        <w:drawing>
          <wp:inline distT="0" distB="0" distL="0" distR="0" wp14:anchorId="4D3DA0F4" wp14:editId="50549D96">
            <wp:extent cx="579120" cy="676910"/>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9120" cy="676910"/>
                    </a:xfrm>
                    <a:prstGeom prst="rect">
                      <a:avLst/>
                    </a:prstGeom>
                    <a:noFill/>
                  </pic:spPr>
                </pic:pic>
              </a:graphicData>
            </a:graphic>
          </wp:inline>
        </w:drawing>
      </w:r>
      <w:r>
        <w:rPr>
          <w:rFonts w:ascii="Californian FB" w:hAnsi="Californian FB"/>
        </w:rPr>
        <w:t xml:space="preserve">                              </w:t>
      </w:r>
      <w:r>
        <w:rPr>
          <w:rStyle w:val="CommentReference"/>
        </w:rPr>
        <w:commentReference w:id="41"/>
      </w:r>
      <w:r>
        <w:rPr>
          <w:rFonts w:ascii="Californian FB" w:hAnsi="Californian FB"/>
        </w:rPr>
        <w:t xml:space="preserve">              </w:t>
      </w:r>
    </w:p>
    <w:p w14:paraId="43732DBB" w14:textId="77777777" w:rsidR="00B24B98" w:rsidRDefault="00B24B98" w:rsidP="00B24B98">
      <w:pPr>
        <w:spacing w:after="0" w:line="240" w:lineRule="auto"/>
        <w:jc w:val="both"/>
        <w:rPr>
          <w:rFonts w:ascii="Californian FB" w:hAnsi="Californian FB"/>
        </w:rPr>
      </w:pPr>
    </w:p>
    <w:p w14:paraId="34AE498F" w14:textId="51CC4B6E" w:rsidR="00B24B98" w:rsidRDefault="005A786A" w:rsidP="00B24B98">
      <w:pPr>
        <w:spacing w:after="0" w:line="240" w:lineRule="auto"/>
        <w:jc w:val="both"/>
        <w:rPr>
          <w:rFonts w:ascii="Californian FB" w:hAnsi="Californian FB"/>
        </w:rPr>
      </w:pPr>
      <w:r>
        <w:rPr>
          <w:rFonts w:ascii="Californian FB" w:hAnsi="Californian FB"/>
          <w:noProof/>
        </w:rPr>
        <w:drawing>
          <wp:inline distT="0" distB="0" distL="0" distR="0" wp14:anchorId="25768BF6" wp14:editId="4FE41D68">
            <wp:extent cx="1979295" cy="112268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79295" cy="1122680"/>
                    </a:xfrm>
                    <a:prstGeom prst="rect">
                      <a:avLst/>
                    </a:prstGeom>
                    <a:noFill/>
                  </pic:spPr>
                </pic:pic>
              </a:graphicData>
            </a:graphic>
          </wp:inline>
        </w:drawing>
      </w:r>
    </w:p>
    <w:p w14:paraId="1D48B8A3" w14:textId="77777777" w:rsidR="00B24B98" w:rsidRDefault="00B24B98" w:rsidP="00B24B98">
      <w:pPr>
        <w:spacing w:after="0" w:line="240" w:lineRule="auto"/>
        <w:jc w:val="both"/>
        <w:rPr>
          <w:rFonts w:ascii="Californian FB" w:hAnsi="Californian FB"/>
          <w:sz w:val="24"/>
          <w:szCs w:val="24"/>
        </w:rPr>
      </w:pPr>
    </w:p>
    <w:p w14:paraId="6FE734E2" w14:textId="77777777" w:rsidR="00B24B98" w:rsidRPr="00F03F96" w:rsidRDefault="00B24B98" w:rsidP="0025792C">
      <w:pPr>
        <w:spacing w:after="0" w:line="240" w:lineRule="auto"/>
        <w:jc w:val="both"/>
        <w:rPr>
          <w:rFonts w:ascii="Californian FB" w:hAnsi="Californian FB"/>
          <w:sz w:val="24"/>
          <w:szCs w:val="24"/>
        </w:rPr>
      </w:pPr>
    </w:p>
    <w:p w14:paraId="13E4C501" w14:textId="18187C95" w:rsidR="00B24B98" w:rsidRPr="0025792C" w:rsidRDefault="0025792C" w:rsidP="0025792C">
      <w:pPr>
        <w:pStyle w:val="Heading1"/>
        <w:jc w:val="both"/>
        <w:rPr>
          <w:rFonts w:ascii="Californian FB" w:eastAsiaTheme="minorHAnsi" w:hAnsi="Californian FB" w:cstheme="minorBidi"/>
          <w:bCs w:val="0"/>
          <w:color w:val="auto"/>
          <w:sz w:val="22"/>
          <w:szCs w:val="22"/>
          <w:lang w:val="en-US"/>
        </w:rPr>
      </w:pPr>
      <w:bookmarkStart w:id="42" w:name="_Toc520793123"/>
      <w:r>
        <w:rPr>
          <w:rFonts w:ascii="Californian FB" w:eastAsiaTheme="minorHAnsi" w:hAnsi="Californian FB" w:cstheme="minorBidi"/>
          <w:bCs w:val="0"/>
          <w:color w:val="auto"/>
          <w:sz w:val="22"/>
          <w:szCs w:val="22"/>
          <w:lang w:val="en-US"/>
        </w:rPr>
        <w:lastRenderedPageBreak/>
        <w:t xml:space="preserve">4.3. </w:t>
      </w:r>
      <w:r w:rsidR="00B24B98" w:rsidRPr="0025792C">
        <w:rPr>
          <w:rFonts w:ascii="Californian FB" w:eastAsiaTheme="minorHAnsi" w:hAnsi="Californian FB" w:cstheme="minorBidi"/>
          <w:bCs w:val="0"/>
          <w:color w:val="auto"/>
          <w:sz w:val="22"/>
          <w:szCs w:val="22"/>
          <w:lang w:val="en-US"/>
        </w:rPr>
        <w:t>Generation &amp; collection of data</w:t>
      </w:r>
      <w:bookmarkEnd w:id="42"/>
    </w:p>
    <w:p w14:paraId="4A66776D" w14:textId="77777777"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 xml:space="preserve">For </w:t>
      </w:r>
      <w:r w:rsidRPr="00280784">
        <w:rPr>
          <w:rFonts w:ascii="Californian FB" w:hAnsi="Californian FB"/>
          <w:sz w:val="24"/>
          <w:szCs w:val="24"/>
        </w:rPr>
        <w:t xml:space="preserve">effective monitoring of UHC actions being implemented in the </w:t>
      </w:r>
      <w:r>
        <w:rPr>
          <w:rFonts w:ascii="Californian FB" w:hAnsi="Californian FB"/>
          <w:sz w:val="24"/>
          <w:szCs w:val="24"/>
        </w:rPr>
        <w:t>c</w:t>
      </w:r>
      <w:r w:rsidRPr="00280784">
        <w:rPr>
          <w:rFonts w:ascii="Californian FB" w:hAnsi="Californian FB"/>
          <w:sz w:val="24"/>
          <w:szCs w:val="24"/>
        </w:rPr>
        <w:t>ountry</w:t>
      </w:r>
      <w:r>
        <w:rPr>
          <w:rFonts w:ascii="Californian FB" w:hAnsi="Californian FB"/>
          <w:sz w:val="24"/>
          <w:szCs w:val="24"/>
        </w:rPr>
        <w:t>,</w:t>
      </w:r>
      <w:r w:rsidRPr="00280784">
        <w:rPr>
          <w:rFonts w:ascii="Californian FB" w:hAnsi="Californian FB"/>
          <w:sz w:val="24"/>
          <w:szCs w:val="24"/>
        </w:rPr>
        <w:t xml:space="preserve"> the following set of steps will be followed in the generation of </w:t>
      </w:r>
      <w:r>
        <w:rPr>
          <w:rFonts w:ascii="Californian FB" w:hAnsi="Californian FB"/>
          <w:sz w:val="24"/>
          <w:szCs w:val="24"/>
        </w:rPr>
        <w:t>data</w:t>
      </w:r>
      <w:r w:rsidRPr="00280784">
        <w:rPr>
          <w:rFonts w:ascii="Californian FB" w:hAnsi="Californian FB"/>
          <w:sz w:val="24"/>
          <w:szCs w:val="24"/>
        </w:rPr>
        <w:t>.</w:t>
      </w:r>
    </w:p>
    <w:p w14:paraId="5800760D" w14:textId="77777777" w:rsidR="00B24B98" w:rsidRDefault="00B24B98" w:rsidP="00B24B98">
      <w:pPr>
        <w:spacing w:after="0" w:line="240" w:lineRule="auto"/>
        <w:jc w:val="both"/>
        <w:rPr>
          <w:rFonts w:ascii="Californian FB" w:hAnsi="Californian FB"/>
          <w:sz w:val="24"/>
          <w:szCs w:val="24"/>
        </w:rPr>
      </w:pPr>
    </w:p>
    <w:p w14:paraId="24BDA851" w14:textId="185DEF43" w:rsidR="00B24B98" w:rsidRDefault="00B24B98" w:rsidP="00B24B98">
      <w:pPr>
        <w:spacing w:after="0" w:line="240" w:lineRule="auto"/>
        <w:jc w:val="both"/>
        <w:rPr>
          <w:rFonts w:ascii="Californian FB" w:hAnsi="Californian FB"/>
          <w:sz w:val="24"/>
          <w:szCs w:val="24"/>
        </w:rPr>
      </w:pPr>
      <w:r>
        <w:rPr>
          <w:rFonts w:ascii="Californian FB" w:hAnsi="Californian FB"/>
          <w:sz w:val="24"/>
          <w:szCs w:val="24"/>
        </w:rPr>
        <w:t xml:space="preserve">The types of data that will be used to track UHC implementation include service delivery data from health facilities, claims data, NHIF operational data, community health data, </w:t>
      </w:r>
      <w:r w:rsidR="0025792C">
        <w:rPr>
          <w:rFonts w:ascii="Californian FB" w:hAnsi="Californian FB"/>
          <w:sz w:val="24"/>
          <w:szCs w:val="24"/>
        </w:rPr>
        <w:t>and administrative</w:t>
      </w:r>
      <w:r>
        <w:rPr>
          <w:rFonts w:ascii="Californian FB" w:hAnsi="Californian FB"/>
          <w:sz w:val="24"/>
          <w:szCs w:val="24"/>
        </w:rPr>
        <w:t xml:space="preserve"> data </w:t>
      </w:r>
      <w:r w:rsidRPr="00543695">
        <w:rPr>
          <w:rFonts w:ascii="Californian FB" w:hAnsi="Californian FB"/>
          <w:color w:val="FF0000"/>
          <w:sz w:val="24"/>
          <w:szCs w:val="24"/>
        </w:rPr>
        <w:t>among others</w:t>
      </w:r>
      <w:r>
        <w:rPr>
          <w:rFonts w:ascii="Californian FB" w:hAnsi="Californian FB"/>
          <w:sz w:val="24"/>
          <w:szCs w:val="24"/>
        </w:rPr>
        <w:t xml:space="preserve">. These data are collected through routine methods, surveys, sentinel surveillance and periodic assessments </w:t>
      </w:r>
      <w:r w:rsidRPr="00543695">
        <w:rPr>
          <w:rFonts w:ascii="Californian FB" w:hAnsi="Californian FB"/>
          <w:color w:val="FF0000"/>
          <w:sz w:val="24"/>
          <w:szCs w:val="24"/>
        </w:rPr>
        <w:t>among others</w:t>
      </w:r>
      <w:r>
        <w:rPr>
          <w:rFonts w:ascii="Californian FB" w:hAnsi="Californian FB"/>
          <w:sz w:val="24"/>
          <w:szCs w:val="24"/>
        </w:rPr>
        <w:t>.</w:t>
      </w:r>
    </w:p>
    <w:p w14:paraId="1AEEEBDE" w14:textId="77777777" w:rsidR="00B24B98" w:rsidRDefault="00B24B98" w:rsidP="00B24B98">
      <w:pPr>
        <w:spacing w:after="0" w:line="240" w:lineRule="auto"/>
        <w:jc w:val="both"/>
        <w:rPr>
          <w:rFonts w:ascii="Californian FB" w:hAnsi="Californian FB"/>
          <w:sz w:val="24"/>
          <w:szCs w:val="24"/>
        </w:rPr>
      </w:pPr>
    </w:p>
    <w:p w14:paraId="5ADB5F37" w14:textId="77777777" w:rsidR="00B24B98" w:rsidRDefault="00B24B98" w:rsidP="00B24B98">
      <w:pPr>
        <w:spacing w:after="0" w:line="240" w:lineRule="auto"/>
        <w:jc w:val="both"/>
        <w:rPr>
          <w:rFonts w:ascii="Californian FB" w:hAnsi="Californian FB"/>
          <w:color w:val="FF0000"/>
          <w:sz w:val="24"/>
          <w:szCs w:val="24"/>
        </w:rPr>
      </w:pPr>
      <w:r>
        <w:rPr>
          <w:rFonts w:ascii="Californian FB" w:hAnsi="Californian FB"/>
          <w:sz w:val="24"/>
          <w:szCs w:val="24"/>
        </w:rPr>
        <w:t>Routine data will be generated using the existing mechanisms. For service delivery data, these data are collected using mostly manual forms and uploaded to the DHIS2 monthly, while claims and NHIF operational data are collected real time.</w:t>
      </w:r>
    </w:p>
    <w:p w14:paraId="2CE0AA55" w14:textId="77777777" w:rsidR="00B24B98" w:rsidRPr="00F71219" w:rsidRDefault="00B24B98" w:rsidP="00B24B98">
      <w:pPr>
        <w:spacing w:after="0" w:line="240" w:lineRule="auto"/>
        <w:jc w:val="both"/>
        <w:rPr>
          <w:rFonts w:ascii="Californian FB" w:hAnsi="Californian FB"/>
          <w:sz w:val="24"/>
          <w:szCs w:val="24"/>
        </w:rPr>
      </w:pPr>
      <w:r w:rsidRPr="00F71219">
        <w:rPr>
          <w:rFonts w:ascii="Californian FB" w:hAnsi="Californian FB"/>
          <w:sz w:val="24"/>
          <w:szCs w:val="24"/>
        </w:rPr>
        <w:t xml:space="preserve">Surveys will be used to collect data that cannot be collected using routine systems, while assessments will be used for close monitoring and support. </w:t>
      </w:r>
    </w:p>
    <w:p w14:paraId="41F34131" w14:textId="77777777" w:rsidR="00B24B98" w:rsidRDefault="00B24B98" w:rsidP="00B24B98">
      <w:pPr>
        <w:spacing w:after="0" w:line="240" w:lineRule="auto"/>
        <w:jc w:val="both"/>
        <w:rPr>
          <w:rFonts w:ascii="Californian FB" w:hAnsi="Californian FB"/>
          <w:sz w:val="24"/>
          <w:szCs w:val="24"/>
        </w:rPr>
      </w:pPr>
      <w:r w:rsidRPr="00F71219">
        <w:rPr>
          <w:rFonts w:ascii="Californian FB" w:hAnsi="Californian FB"/>
          <w:sz w:val="24"/>
          <w:szCs w:val="24"/>
        </w:rPr>
        <w:t xml:space="preserve">Sentinel surveillance will be used to track indictors in populations of interest such ante natal mothers.  </w:t>
      </w:r>
    </w:p>
    <w:p w14:paraId="46EC8FBB" w14:textId="77777777" w:rsidR="0025792C" w:rsidRDefault="00B24B98" w:rsidP="0025792C">
      <w:pPr>
        <w:spacing w:after="0" w:line="240" w:lineRule="auto"/>
        <w:jc w:val="both"/>
        <w:rPr>
          <w:rFonts w:ascii="Californian FB" w:hAnsi="Californian FB"/>
          <w:sz w:val="24"/>
          <w:szCs w:val="24"/>
        </w:rPr>
      </w:pPr>
      <w:r>
        <w:rPr>
          <w:rFonts w:ascii="Californian FB" w:hAnsi="Californian FB"/>
          <w:sz w:val="24"/>
          <w:szCs w:val="24"/>
        </w:rPr>
        <w:t>New tools will be developed for new indicators while existing tools may also be revised to accommodate these indicators.</w:t>
      </w:r>
    </w:p>
    <w:p w14:paraId="714B5786" w14:textId="614379C7" w:rsidR="00B24B98" w:rsidRPr="0025792C" w:rsidRDefault="0025792C" w:rsidP="0025792C">
      <w:pPr>
        <w:pStyle w:val="Heading1"/>
        <w:jc w:val="both"/>
        <w:rPr>
          <w:rFonts w:ascii="Californian FB" w:eastAsiaTheme="minorHAnsi" w:hAnsi="Californian FB" w:cstheme="minorBidi"/>
          <w:bCs w:val="0"/>
          <w:color w:val="auto"/>
          <w:sz w:val="22"/>
          <w:szCs w:val="22"/>
          <w:lang w:val="en-US"/>
        </w:rPr>
      </w:pPr>
      <w:bookmarkStart w:id="43" w:name="_Toc520793124"/>
      <w:r>
        <w:rPr>
          <w:rFonts w:ascii="Californian FB" w:eastAsiaTheme="minorHAnsi" w:hAnsi="Californian FB" w:cstheme="minorBidi"/>
          <w:bCs w:val="0"/>
          <w:color w:val="auto"/>
          <w:sz w:val="22"/>
          <w:szCs w:val="22"/>
          <w:lang w:val="en-US"/>
        </w:rPr>
        <w:t xml:space="preserve">4.4. </w:t>
      </w:r>
      <w:r w:rsidR="00B24B98" w:rsidRPr="0025792C">
        <w:rPr>
          <w:rFonts w:ascii="Californian FB" w:eastAsiaTheme="minorHAnsi" w:hAnsi="Californian FB" w:cstheme="minorBidi"/>
          <w:bCs w:val="0"/>
          <w:color w:val="auto"/>
          <w:sz w:val="22"/>
          <w:szCs w:val="22"/>
          <w:lang w:val="en-US"/>
        </w:rPr>
        <w:t>Information generation</w:t>
      </w:r>
      <w:bookmarkEnd w:id="43"/>
    </w:p>
    <w:p w14:paraId="72699B0D" w14:textId="77777777" w:rsidR="00B24B98" w:rsidRDefault="00B24B98" w:rsidP="00B24B98">
      <w:pPr>
        <w:spacing w:after="0" w:line="240" w:lineRule="auto"/>
        <w:jc w:val="both"/>
        <w:rPr>
          <w:rFonts w:ascii="Californian FB" w:hAnsi="Californian FB"/>
          <w:sz w:val="24"/>
          <w:szCs w:val="24"/>
        </w:rPr>
      </w:pPr>
      <w:r w:rsidRPr="00280784">
        <w:rPr>
          <w:rFonts w:ascii="Californian FB" w:hAnsi="Californian FB"/>
          <w:sz w:val="24"/>
          <w:szCs w:val="24"/>
        </w:rPr>
        <w:t xml:space="preserve">This step ensures that there will be transformation of data into information which can be used for action at the </w:t>
      </w:r>
      <w:r>
        <w:rPr>
          <w:rFonts w:ascii="Californian FB" w:hAnsi="Californian FB"/>
          <w:sz w:val="24"/>
          <w:szCs w:val="24"/>
        </w:rPr>
        <w:t>health facility, sub-county, count</w:t>
      </w:r>
      <w:r w:rsidRPr="00280784">
        <w:rPr>
          <w:rFonts w:ascii="Californian FB" w:hAnsi="Californian FB"/>
          <w:sz w:val="24"/>
          <w:szCs w:val="24"/>
        </w:rPr>
        <w:t>y</w:t>
      </w:r>
      <w:r>
        <w:rPr>
          <w:rFonts w:ascii="Californian FB" w:hAnsi="Californian FB"/>
          <w:sz w:val="24"/>
          <w:szCs w:val="24"/>
        </w:rPr>
        <w:t xml:space="preserve"> and national</w:t>
      </w:r>
      <w:r w:rsidRPr="00280784">
        <w:rPr>
          <w:rFonts w:ascii="Californian FB" w:hAnsi="Californian FB"/>
          <w:sz w:val="24"/>
          <w:szCs w:val="24"/>
        </w:rPr>
        <w:t xml:space="preserve"> level. </w:t>
      </w:r>
      <w:r>
        <w:rPr>
          <w:rFonts w:ascii="Californian FB" w:hAnsi="Californian FB"/>
          <w:sz w:val="24"/>
          <w:szCs w:val="24"/>
        </w:rPr>
        <w:t>This transformation will be done internally by the health information systems through pre-determined analytical process or by technical staff analyzing the data following pre-determined criteria.</w:t>
      </w:r>
    </w:p>
    <w:p w14:paraId="586E26CD" w14:textId="77777777" w:rsidR="00B24B98" w:rsidRDefault="00B24B98" w:rsidP="00B24B98">
      <w:pPr>
        <w:spacing w:after="0" w:line="240" w:lineRule="auto"/>
        <w:jc w:val="both"/>
        <w:rPr>
          <w:rFonts w:ascii="Californian FB" w:hAnsi="Californian FB"/>
          <w:sz w:val="24"/>
          <w:szCs w:val="24"/>
        </w:rPr>
      </w:pPr>
    </w:p>
    <w:p w14:paraId="14D361AA" w14:textId="77777777" w:rsidR="00B24B98" w:rsidRDefault="00B24B98" w:rsidP="00B24B98">
      <w:pPr>
        <w:spacing w:after="0" w:line="240" w:lineRule="auto"/>
        <w:jc w:val="both"/>
        <w:rPr>
          <w:rFonts w:ascii="Californian FB" w:hAnsi="Californian FB"/>
          <w:sz w:val="24"/>
          <w:szCs w:val="24"/>
        </w:rPr>
      </w:pPr>
      <w:r w:rsidRPr="00C45D8D">
        <w:rPr>
          <w:rFonts w:ascii="Californian FB" w:hAnsi="Californian FB"/>
          <w:b/>
          <w:sz w:val="24"/>
          <w:szCs w:val="24"/>
        </w:rPr>
        <w:t>Analysis</w:t>
      </w:r>
      <w:r>
        <w:rPr>
          <w:rFonts w:ascii="Californian FB" w:hAnsi="Californian FB"/>
          <w:sz w:val="24"/>
          <w:szCs w:val="24"/>
        </w:rPr>
        <w:t xml:space="preserve"> will focus on generating </w:t>
      </w:r>
      <w:r w:rsidRPr="00280784">
        <w:rPr>
          <w:rFonts w:ascii="Californian FB" w:hAnsi="Californian FB"/>
          <w:sz w:val="24"/>
          <w:szCs w:val="24"/>
        </w:rPr>
        <w:t>indices for each dimension and domain for monitoring UHC. The indices consolidate information across the statistics relating to the dimension, into a single value. The index value is within a range of 0 to 1, with 1 being the best possible value.</w:t>
      </w:r>
      <w:r>
        <w:rPr>
          <w:rFonts w:ascii="Californian FB" w:hAnsi="Californian FB"/>
          <w:sz w:val="24"/>
          <w:szCs w:val="24"/>
        </w:rPr>
        <w:t xml:space="preserve"> </w:t>
      </w:r>
      <w:r w:rsidRPr="00280784">
        <w:rPr>
          <w:rFonts w:ascii="Californian FB" w:hAnsi="Californian FB"/>
          <w:sz w:val="24"/>
          <w:szCs w:val="24"/>
        </w:rPr>
        <w:t>Where there is no data, the data point is ignored in deriving the average (index score) and so it doesn’t contribute in weighting of the index.</w:t>
      </w:r>
    </w:p>
    <w:p w14:paraId="6A89ADB7" w14:textId="7E63D5CA" w:rsidR="00B24B98" w:rsidRPr="007E346A" w:rsidRDefault="007E346A" w:rsidP="007E346A">
      <w:pPr>
        <w:pStyle w:val="Heading1"/>
        <w:jc w:val="both"/>
        <w:rPr>
          <w:rFonts w:ascii="Californian FB" w:eastAsiaTheme="minorHAnsi" w:hAnsi="Californian FB" w:cstheme="minorBidi"/>
          <w:bCs w:val="0"/>
          <w:color w:val="auto"/>
          <w:sz w:val="22"/>
          <w:szCs w:val="22"/>
          <w:lang w:val="en-US"/>
        </w:rPr>
      </w:pPr>
      <w:bookmarkStart w:id="44" w:name="_Toc520793125"/>
      <w:r>
        <w:rPr>
          <w:rFonts w:ascii="Californian FB" w:eastAsiaTheme="minorHAnsi" w:hAnsi="Californian FB" w:cstheme="minorBidi"/>
          <w:bCs w:val="0"/>
          <w:color w:val="auto"/>
          <w:sz w:val="22"/>
          <w:szCs w:val="22"/>
          <w:lang w:val="en-US"/>
        </w:rPr>
        <w:t xml:space="preserve">4.5. </w:t>
      </w:r>
      <w:r w:rsidR="00B24B98" w:rsidRPr="007E346A">
        <w:rPr>
          <w:rFonts w:ascii="Californian FB" w:eastAsiaTheme="minorHAnsi" w:hAnsi="Californian FB" w:cstheme="minorBidi"/>
          <w:bCs w:val="0"/>
          <w:color w:val="auto"/>
          <w:sz w:val="22"/>
          <w:szCs w:val="22"/>
          <w:lang w:val="en-US"/>
        </w:rPr>
        <w:t>Criteria  for assessing UHC performance</w:t>
      </w:r>
      <w:bookmarkEnd w:id="44"/>
      <w:r w:rsidR="00B24B98" w:rsidRPr="007E346A">
        <w:rPr>
          <w:rFonts w:ascii="Californian FB" w:eastAsiaTheme="minorHAnsi" w:hAnsi="Californian FB" w:cstheme="minorBidi"/>
          <w:bCs w:val="0"/>
          <w:color w:val="auto"/>
          <w:sz w:val="22"/>
          <w:szCs w:val="22"/>
          <w:lang w:val="en-US"/>
        </w:rPr>
        <w:t xml:space="preserve"> </w:t>
      </w:r>
    </w:p>
    <w:p w14:paraId="3EDA40D0" w14:textId="77777777" w:rsidR="00B24B98" w:rsidRPr="00C45D8D" w:rsidRDefault="00B24B98" w:rsidP="00B24B98">
      <w:pPr>
        <w:spacing w:after="0" w:line="240" w:lineRule="auto"/>
        <w:jc w:val="both"/>
        <w:rPr>
          <w:rFonts w:ascii="Californian FB" w:hAnsi="Californian FB"/>
          <w:sz w:val="24"/>
          <w:szCs w:val="24"/>
        </w:rPr>
      </w:pPr>
      <w:r w:rsidRPr="00C45D8D">
        <w:rPr>
          <w:rFonts w:ascii="Californian FB" w:hAnsi="Californian FB"/>
          <w:b/>
          <w:sz w:val="24"/>
          <w:szCs w:val="24"/>
        </w:rPr>
        <w:t xml:space="preserve">Trends </w:t>
      </w:r>
      <w:r w:rsidRPr="00C45D8D">
        <w:rPr>
          <w:rFonts w:ascii="Californian FB" w:hAnsi="Californian FB"/>
          <w:sz w:val="24"/>
          <w:szCs w:val="24"/>
        </w:rPr>
        <w:t xml:space="preserve">over time will be compared by tracking of the index over time. The trend in the index will be plotted over at least 3 data points to discern trends in its value. </w:t>
      </w:r>
    </w:p>
    <w:p w14:paraId="55F544A7" w14:textId="77777777" w:rsidR="00B24B98" w:rsidRDefault="00B24B98" w:rsidP="00B24B98">
      <w:pPr>
        <w:pStyle w:val="ListParagraph"/>
        <w:spacing w:after="0" w:line="240" w:lineRule="auto"/>
        <w:jc w:val="both"/>
        <w:rPr>
          <w:rFonts w:ascii="Californian FB" w:hAnsi="Californian FB"/>
          <w:sz w:val="24"/>
          <w:szCs w:val="24"/>
        </w:rPr>
      </w:pPr>
    </w:p>
    <w:p w14:paraId="3D579362" w14:textId="77777777" w:rsidR="00B24B98" w:rsidRPr="00C45D8D" w:rsidRDefault="00B24B98" w:rsidP="00B24B98">
      <w:pPr>
        <w:spacing w:after="0" w:line="240" w:lineRule="auto"/>
        <w:jc w:val="both"/>
        <w:rPr>
          <w:rFonts w:ascii="Californian FB" w:hAnsi="Californian FB"/>
          <w:sz w:val="24"/>
          <w:szCs w:val="24"/>
        </w:rPr>
      </w:pPr>
      <w:r w:rsidRPr="00C45D8D">
        <w:rPr>
          <w:rFonts w:ascii="Californian FB" w:hAnsi="Californian FB"/>
          <w:b/>
          <w:sz w:val="24"/>
          <w:szCs w:val="24"/>
        </w:rPr>
        <w:t>Forecasting</w:t>
      </w:r>
      <w:r w:rsidRPr="00C45D8D">
        <w:rPr>
          <w:rFonts w:ascii="Californian FB" w:hAnsi="Californian FB"/>
          <w:sz w:val="24"/>
          <w:szCs w:val="24"/>
        </w:rPr>
        <w:t xml:space="preserve"> of performance will be explored by extrapolating the trend line to the year 2022, to assess whether the index will reach at least 0.8 / 1. </w:t>
      </w:r>
    </w:p>
    <w:p w14:paraId="63BDF2D6" w14:textId="77777777" w:rsidR="00B24B98" w:rsidRPr="00280784" w:rsidRDefault="00B24B98" w:rsidP="00203568">
      <w:pPr>
        <w:pStyle w:val="ListParagraph"/>
        <w:numPr>
          <w:ilvl w:val="0"/>
          <w:numId w:val="30"/>
        </w:numPr>
        <w:spacing w:after="0" w:line="240" w:lineRule="auto"/>
        <w:jc w:val="both"/>
        <w:rPr>
          <w:rFonts w:ascii="Californian FB" w:hAnsi="Californian FB"/>
          <w:sz w:val="24"/>
          <w:szCs w:val="24"/>
        </w:rPr>
      </w:pPr>
      <w:r w:rsidRPr="00280784">
        <w:rPr>
          <w:rFonts w:ascii="Californian FB" w:hAnsi="Californian FB"/>
          <w:sz w:val="24"/>
          <w:szCs w:val="24"/>
        </w:rPr>
        <w:t xml:space="preserve">If above 0.8 at 2022, then the improvement trajectory dimension is on track </w:t>
      </w:r>
    </w:p>
    <w:p w14:paraId="0919EC96" w14:textId="77777777" w:rsidR="00B24B98" w:rsidRPr="00280784" w:rsidRDefault="00B24B98" w:rsidP="00203568">
      <w:pPr>
        <w:pStyle w:val="ListParagraph"/>
        <w:numPr>
          <w:ilvl w:val="0"/>
          <w:numId w:val="30"/>
        </w:numPr>
        <w:spacing w:after="0" w:line="240" w:lineRule="auto"/>
        <w:jc w:val="both"/>
        <w:rPr>
          <w:rFonts w:ascii="Californian FB" w:hAnsi="Californian FB"/>
          <w:sz w:val="24"/>
          <w:szCs w:val="24"/>
        </w:rPr>
      </w:pPr>
      <w:r w:rsidRPr="00280784">
        <w:rPr>
          <w:rFonts w:ascii="Californian FB" w:hAnsi="Californian FB"/>
          <w:sz w:val="24"/>
          <w:szCs w:val="24"/>
        </w:rPr>
        <w:t xml:space="preserve">If between </w:t>
      </w:r>
      <w:r>
        <w:rPr>
          <w:rFonts w:ascii="Californian FB" w:hAnsi="Californian FB"/>
          <w:sz w:val="24"/>
          <w:szCs w:val="24"/>
        </w:rPr>
        <w:t>0</w:t>
      </w:r>
      <w:r w:rsidRPr="00280784">
        <w:rPr>
          <w:rFonts w:ascii="Californian FB" w:hAnsi="Californian FB"/>
          <w:sz w:val="24"/>
          <w:szCs w:val="24"/>
        </w:rPr>
        <w:t>.5 to 0.8 at 2022, then efforts need to be accelerated in the dimension</w:t>
      </w:r>
    </w:p>
    <w:p w14:paraId="4295FF19" w14:textId="77777777" w:rsidR="00B24B98" w:rsidRDefault="00B24B98" w:rsidP="00203568">
      <w:pPr>
        <w:pStyle w:val="ListParagraph"/>
        <w:numPr>
          <w:ilvl w:val="0"/>
          <w:numId w:val="30"/>
        </w:numPr>
        <w:spacing w:after="0" w:line="240" w:lineRule="auto"/>
        <w:jc w:val="both"/>
        <w:rPr>
          <w:rFonts w:ascii="Californian FB" w:hAnsi="Californian FB"/>
          <w:sz w:val="24"/>
          <w:szCs w:val="24"/>
        </w:rPr>
      </w:pPr>
      <w:r w:rsidRPr="00280784">
        <w:rPr>
          <w:rFonts w:ascii="Californian FB" w:hAnsi="Californian FB"/>
          <w:sz w:val="24"/>
          <w:szCs w:val="24"/>
        </w:rPr>
        <w:t>If under 0.5 by 2022, then critical actions are needed, including change in focus</w:t>
      </w:r>
    </w:p>
    <w:p w14:paraId="0F683C4D" w14:textId="77777777" w:rsidR="00B24B98" w:rsidRPr="00280784" w:rsidRDefault="00B24B98" w:rsidP="00B24B98">
      <w:pPr>
        <w:pStyle w:val="ListParagraph"/>
        <w:spacing w:after="0" w:line="240" w:lineRule="auto"/>
        <w:ind w:left="1080"/>
        <w:jc w:val="both"/>
        <w:rPr>
          <w:rFonts w:ascii="Californian FB" w:hAnsi="Californian FB"/>
          <w:sz w:val="24"/>
          <w:szCs w:val="24"/>
        </w:rPr>
      </w:pPr>
    </w:p>
    <w:p w14:paraId="2CDDFDC3" w14:textId="77777777" w:rsidR="00B24B98" w:rsidRPr="00ED1B34" w:rsidRDefault="00B24B98" w:rsidP="00B24B98">
      <w:pPr>
        <w:spacing w:after="0" w:line="240" w:lineRule="auto"/>
        <w:jc w:val="both"/>
        <w:rPr>
          <w:rFonts w:ascii="Californian FB" w:hAnsi="Californian FB"/>
          <w:sz w:val="24"/>
          <w:szCs w:val="24"/>
        </w:rPr>
      </w:pPr>
      <w:r w:rsidRPr="00ED1B34">
        <w:rPr>
          <w:rFonts w:ascii="Californian FB" w:hAnsi="Californian FB"/>
          <w:sz w:val="24"/>
          <w:szCs w:val="24"/>
        </w:rPr>
        <w:t>Compare distribution of the index current value. The distribution is looked at by</w:t>
      </w:r>
    </w:p>
    <w:p w14:paraId="5B5CE69F" w14:textId="77777777" w:rsidR="00B24B98" w:rsidRPr="00280784" w:rsidRDefault="00B24B98" w:rsidP="00203568">
      <w:pPr>
        <w:pStyle w:val="ListParagraph"/>
        <w:numPr>
          <w:ilvl w:val="0"/>
          <w:numId w:val="31"/>
        </w:numPr>
        <w:spacing w:after="0" w:line="240" w:lineRule="auto"/>
        <w:jc w:val="both"/>
        <w:rPr>
          <w:rFonts w:ascii="Californian FB" w:hAnsi="Californian FB"/>
          <w:sz w:val="24"/>
          <w:szCs w:val="24"/>
        </w:rPr>
      </w:pPr>
      <w:r w:rsidRPr="00280784">
        <w:rPr>
          <w:rFonts w:ascii="Californian FB" w:hAnsi="Californian FB"/>
          <w:sz w:val="24"/>
          <w:szCs w:val="24"/>
        </w:rPr>
        <w:t xml:space="preserve">Arranging the current County, Sub-county unit index values from lowest to highest </w:t>
      </w:r>
    </w:p>
    <w:p w14:paraId="1608583A" w14:textId="77777777" w:rsidR="00B24B98" w:rsidRPr="00280784" w:rsidRDefault="00B24B98" w:rsidP="00203568">
      <w:pPr>
        <w:pStyle w:val="ListParagraph"/>
        <w:numPr>
          <w:ilvl w:val="0"/>
          <w:numId w:val="31"/>
        </w:numPr>
        <w:spacing w:after="0" w:line="240" w:lineRule="auto"/>
        <w:jc w:val="both"/>
        <w:rPr>
          <w:rFonts w:ascii="Californian FB" w:hAnsi="Californian FB"/>
          <w:sz w:val="24"/>
          <w:szCs w:val="24"/>
        </w:rPr>
      </w:pPr>
      <w:r w:rsidRPr="00280784">
        <w:rPr>
          <w:rFonts w:ascii="Californian FB" w:hAnsi="Californian FB"/>
          <w:sz w:val="24"/>
          <w:szCs w:val="24"/>
        </w:rPr>
        <w:t>Averaging the index values for the County, Sub-county units making up each quintile</w:t>
      </w:r>
    </w:p>
    <w:p w14:paraId="592D6337" w14:textId="77777777" w:rsidR="00B24B98" w:rsidRPr="00280784" w:rsidRDefault="00B24B98" w:rsidP="00203568">
      <w:pPr>
        <w:pStyle w:val="ListParagraph"/>
        <w:numPr>
          <w:ilvl w:val="0"/>
          <w:numId w:val="31"/>
        </w:numPr>
        <w:spacing w:after="0" w:line="240" w:lineRule="auto"/>
        <w:jc w:val="both"/>
        <w:rPr>
          <w:rFonts w:ascii="Californian FB" w:hAnsi="Californian FB"/>
          <w:sz w:val="24"/>
          <w:szCs w:val="24"/>
        </w:rPr>
      </w:pPr>
      <w:r w:rsidRPr="00280784">
        <w:rPr>
          <w:rFonts w:ascii="Californian FB" w:hAnsi="Californian FB"/>
          <w:sz w:val="24"/>
          <w:szCs w:val="24"/>
        </w:rPr>
        <w:lastRenderedPageBreak/>
        <w:t>Deriving the percentage difference of average index values for highest and lowest quintiles</w:t>
      </w:r>
    </w:p>
    <w:p w14:paraId="3D440D06" w14:textId="77777777" w:rsidR="00B24B98" w:rsidRPr="00ED1B34" w:rsidRDefault="00B24B98" w:rsidP="00B24B98">
      <w:pPr>
        <w:spacing w:after="0" w:line="240" w:lineRule="auto"/>
        <w:jc w:val="both"/>
        <w:rPr>
          <w:rFonts w:ascii="Californian FB" w:hAnsi="Californian FB"/>
          <w:sz w:val="24"/>
          <w:szCs w:val="24"/>
        </w:rPr>
      </w:pPr>
      <w:r w:rsidRPr="00ED1B34">
        <w:rPr>
          <w:rFonts w:ascii="Californian FB" w:hAnsi="Californian FB"/>
          <w:sz w:val="24"/>
          <w:szCs w:val="24"/>
        </w:rPr>
        <w:t>Contextualizing the index value. The level and distribution of the index value will be compared against key contextual factors, such as GDP, poverty levels, employment status, levels of security.</w:t>
      </w:r>
    </w:p>
    <w:p w14:paraId="76B46310" w14:textId="77777777" w:rsidR="00B24B98" w:rsidRDefault="00B24B98" w:rsidP="00B24B98">
      <w:pPr>
        <w:spacing w:after="0" w:line="240" w:lineRule="auto"/>
        <w:jc w:val="both"/>
        <w:rPr>
          <w:rFonts w:ascii="Californian FB" w:hAnsi="Californian FB"/>
          <w:sz w:val="24"/>
          <w:szCs w:val="24"/>
        </w:rPr>
      </w:pPr>
    </w:p>
    <w:p w14:paraId="01494C63" w14:textId="77777777" w:rsidR="00B24B98" w:rsidRPr="00280784" w:rsidRDefault="00B24B98" w:rsidP="00B24B98">
      <w:pPr>
        <w:spacing w:after="0" w:line="240" w:lineRule="auto"/>
        <w:jc w:val="both"/>
        <w:rPr>
          <w:rFonts w:ascii="Californian FB" w:hAnsi="Californian FB"/>
          <w:sz w:val="24"/>
          <w:szCs w:val="24"/>
        </w:rPr>
      </w:pPr>
      <w:r w:rsidRPr="00280784">
        <w:rPr>
          <w:rFonts w:ascii="Californian FB" w:hAnsi="Californian FB"/>
          <w:sz w:val="24"/>
          <w:szCs w:val="24"/>
        </w:rPr>
        <w:t>The information arising from this analysis will be consolidated into a write up on each UHC dimension, and domain.</w:t>
      </w:r>
    </w:p>
    <w:p w14:paraId="740410E8" w14:textId="77777777" w:rsidR="00B24B98" w:rsidRDefault="00B24B98" w:rsidP="00B24B98">
      <w:pPr>
        <w:spacing w:after="0" w:line="240" w:lineRule="auto"/>
        <w:jc w:val="both"/>
        <w:rPr>
          <w:rFonts w:ascii="Californian FB" w:hAnsi="Californian FB"/>
          <w:sz w:val="24"/>
          <w:szCs w:val="24"/>
        </w:rPr>
      </w:pPr>
    </w:p>
    <w:p w14:paraId="5B099528" w14:textId="77777777" w:rsidR="00B24B98" w:rsidRDefault="00B24B98" w:rsidP="00B24B98">
      <w:pPr>
        <w:spacing w:after="0" w:line="240" w:lineRule="auto"/>
        <w:jc w:val="both"/>
        <w:rPr>
          <w:rFonts w:ascii="Californian FB" w:hAnsi="Californian FB"/>
          <w:sz w:val="24"/>
          <w:szCs w:val="24"/>
        </w:rPr>
      </w:pPr>
    </w:p>
    <w:p w14:paraId="19AC1519" w14:textId="77777777" w:rsidR="00B24B98" w:rsidRPr="00280784" w:rsidRDefault="00B24B98" w:rsidP="00B24B98">
      <w:pPr>
        <w:spacing w:after="0" w:line="240" w:lineRule="auto"/>
        <w:jc w:val="both"/>
        <w:rPr>
          <w:rFonts w:ascii="Californian FB" w:hAnsi="Californian FB"/>
          <w:sz w:val="24"/>
          <w:szCs w:val="24"/>
        </w:rPr>
      </w:pPr>
      <w:r w:rsidRPr="00280784">
        <w:rPr>
          <w:rFonts w:ascii="Californian FB" w:hAnsi="Californian FB"/>
          <w:noProof/>
          <w:sz w:val="24"/>
          <w:szCs w:val="24"/>
        </w:rPr>
        <w:drawing>
          <wp:inline distT="0" distB="0" distL="0" distR="0" wp14:anchorId="2468EBB6" wp14:editId="68276135">
            <wp:extent cx="4594860" cy="2194560"/>
            <wp:effectExtent l="0" t="0" r="0" b="0"/>
            <wp:docPr id="1166" name="Diagram 116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14:paraId="79B21354" w14:textId="77777777" w:rsidR="00B24B98" w:rsidRPr="00280784" w:rsidRDefault="00B24B98" w:rsidP="00B24B98">
      <w:pPr>
        <w:pStyle w:val="Caption"/>
        <w:spacing w:after="0"/>
        <w:jc w:val="center"/>
        <w:rPr>
          <w:rFonts w:ascii="Californian FB" w:hAnsi="Californian FB"/>
          <w:sz w:val="24"/>
          <w:szCs w:val="24"/>
        </w:rPr>
      </w:pPr>
      <w:r w:rsidRPr="00280784">
        <w:rPr>
          <w:rFonts w:ascii="Californian FB" w:hAnsi="Californian FB"/>
          <w:sz w:val="24"/>
          <w:szCs w:val="24"/>
        </w:rPr>
        <w:t xml:space="preserve">Figure xx: </w:t>
      </w:r>
      <w:r>
        <w:rPr>
          <w:rFonts w:ascii="Californian FB" w:hAnsi="Californian FB"/>
          <w:sz w:val="24"/>
          <w:szCs w:val="24"/>
        </w:rPr>
        <w:t>Criteria for assessing UHC performance</w:t>
      </w:r>
    </w:p>
    <w:p w14:paraId="3F9C8702" w14:textId="77777777" w:rsidR="00B24B98" w:rsidRDefault="00B24B98" w:rsidP="00B24B98">
      <w:pPr>
        <w:spacing w:after="0" w:line="240" w:lineRule="auto"/>
        <w:jc w:val="both"/>
        <w:rPr>
          <w:rFonts w:ascii="Californian FB" w:hAnsi="Californian FB"/>
          <w:sz w:val="24"/>
          <w:szCs w:val="24"/>
        </w:rPr>
      </w:pPr>
    </w:p>
    <w:p w14:paraId="72F43D8D" w14:textId="57E0CD52" w:rsidR="00B24B98" w:rsidRPr="007E346A" w:rsidRDefault="00B24B98" w:rsidP="007E346A">
      <w:pPr>
        <w:pStyle w:val="Heading1"/>
        <w:jc w:val="both"/>
        <w:rPr>
          <w:rFonts w:ascii="Californian FB" w:eastAsiaTheme="minorHAnsi" w:hAnsi="Californian FB" w:cstheme="minorBidi"/>
          <w:bCs w:val="0"/>
          <w:color w:val="auto"/>
          <w:sz w:val="22"/>
          <w:szCs w:val="22"/>
          <w:lang w:val="en-US"/>
        </w:rPr>
      </w:pPr>
      <w:r w:rsidRPr="007E346A">
        <w:rPr>
          <w:rFonts w:ascii="Californian FB" w:eastAsiaTheme="minorHAnsi" w:hAnsi="Californian FB" w:cstheme="minorBidi"/>
          <w:bCs w:val="0"/>
          <w:color w:val="auto"/>
          <w:sz w:val="22"/>
          <w:szCs w:val="22"/>
          <w:lang w:val="en-US"/>
        </w:rPr>
        <w:t xml:space="preserve"> </w:t>
      </w:r>
      <w:bookmarkStart w:id="45" w:name="_Toc520793126"/>
      <w:r w:rsidR="007E346A">
        <w:rPr>
          <w:rFonts w:ascii="Californian FB" w:eastAsiaTheme="minorHAnsi" w:hAnsi="Californian FB" w:cstheme="minorBidi"/>
          <w:bCs w:val="0"/>
          <w:color w:val="auto"/>
          <w:sz w:val="22"/>
          <w:szCs w:val="22"/>
          <w:lang w:val="en-US"/>
        </w:rPr>
        <w:t xml:space="preserve">4.6. </w:t>
      </w:r>
      <w:r w:rsidRPr="007E346A">
        <w:rPr>
          <w:rFonts w:ascii="Californian FB" w:eastAsiaTheme="minorHAnsi" w:hAnsi="Californian FB" w:cstheme="minorBidi"/>
          <w:bCs w:val="0"/>
          <w:color w:val="auto"/>
          <w:sz w:val="22"/>
          <w:szCs w:val="22"/>
          <w:lang w:val="en-US"/>
        </w:rPr>
        <w:t>Knowledge generation</w:t>
      </w:r>
      <w:bookmarkEnd w:id="45"/>
    </w:p>
    <w:p w14:paraId="1EEA44A8" w14:textId="77777777" w:rsidR="00B24B98" w:rsidRDefault="00B24B98" w:rsidP="00B24B98">
      <w:pPr>
        <w:spacing w:after="0"/>
        <w:rPr>
          <w:rFonts w:ascii="Californian FB" w:hAnsi="Californian FB"/>
          <w:sz w:val="24"/>
          <w:szCs w:val="24"/>
        </w:rPr>
      </w:pPr>
      <w:r w:rsidRPr="00280784">
        <w:rPr>
          <w:rFonts w:ascii="Californian FB" w:hAnsi="Californian FB"/>
          <w:sz w:val="24"/>
          <w:szCs w:val="24"/>
        </w:rPr>
        <w:t>This stage involves the transformation of the information generated in the previous stage into knowledge or health intelligence which woul</w:t>
      </w:r>
      <w:r>
        <w:rPr>
          <w:rFonts w:ascii="Californian FB" w:hAnsi="Californian FB"/>
          <w:sz w:val="24"/>
          <w:szCs w:val="24"/>
        </w:rPr>
        <w:t xml:space="preserve">d be required for action at all stages of the health system. </w:t>
      </w:r>
    </w:p>
    <w:p w14:paraId="1C58B33B" w14:textId="77777777" w:rsidR="00B24B98" w:rsidRDefault="00B24B98" w:rsidP="00B24B98">
      <w:pPr>
        <w:spacing w:after="0"/>
        <w:rPr>
          <w:rFonts w:ascii="Californian FB" w:hAnsi="Californian FB"/>
          <w:sz w:val="24"/>
          <w:szCs w:val="24"/>
        </w:rPr>
      </w:pPr>
      <w:r>
        <w:rPr>
          <w:rFonts w:ascii="Californian FB" w:hAnsi="Californian FB"/>
          <w:sz w:val="24"/>
          <w:szCs w:val="24"/>
        </w:rPr>
        <w:t xml:space="preserve">Knowledge can be generated internally by health information systems or by a dedicated technical team. </w:t>
      </w:r>
    </w:p>
    <w:p w14:paraId="11E09BE1" w14:textId="77777777" w:rsidR="00B24B98" w:rsidRPr="00280784" w:rsidRDefault="00B24B98" w:rsidP="00B24B98">
      <w:pPr>
        <w:spacing w:after="0"/>
        <w:rPr>
          <w:rFonts w:ascii="Californian FB" w:hAnsi="Californian FB"/>
          <w:sz w:val="24"/>
          <w:szCs w:val="24"/>
        </w:rPr>
      </w:pPr>
      <w:r>
        <w:rPr>
          <w:rFonts w:ascii="Californian FB" w:hAnsi="Californian FB"/>
          <w:sz w:val="24"/>
          <w:szCs w:val="24"/>
        </w:rPr>
        <w:t>In either case, the following</w:t>
      </w:r>
      <w:r w:rsidRPr="00280784">
        <w:rPr>
          <w:rFonts w:ascii="Californian FB" w:hAnsi="Californian FB"/>
          <w:sz w:val="24"/>
          <w:szCs w:val="24"/>
        </w:rPr>
        <w:t xml:space="preserve"> systematic steps will be implemented.</w:t>
      </w:r>
      <w:r>
        <w:rPr>
          <w:rFonts w:ascii="Californian FB" w:hAnsi="Californian FB"/>
          <w:sz w:val="24"/>
          <w:szCs w:val="24"/>
        </w:rPr>
        <w:t xml:space="preserve"> </w:t>
      </w:r>
    </w:p>
    <w:p w14:paraId="70C8B81D" w14:textId="77777777" w:rsidR="00B24B98" w:rsidRDefault="00B24B98" w:rsidP="00203568">
      <w:pPr>
        <w:pStyle w:val="ListParagraph"/>
        <w:numPr>
          <w:ilvl w:val="0"/>
          <w:numId w:val="6"/>
        </w:numPr>
        <w:spacing w:after="0" w:line="240" w:lineRule="auto"/>
        <w:jc w:val="both"/>
        <w:rPr>
          <w:rFonts w:ascii="Californian FB" w:hAnsi="Californian FB"/>
          <w:sz w:val="24"/>
          <w:szCs w:val="24"/>
        </w:rPr>
      </w:pPr>
      <w:r w:rsidRPr="00280784">
        <w:rPr>
          <w:rFonts w:ascii="Californian FB" w:hAnsi="Californian FB"/>
          <w:sz w:val="24"/>
          <w:szCs w:val="24"/>
        </w:rPr>
        <w:t xml:space="preserve">Identification of knowledge </w:t>
      </w:r>
      <w:r>
        <w:rPr>
          <w:rFonts w:ascii="Californian FB" w:hAnsi="Californian FB"/>
          <w:sz w:val="24"/>
          <w:szCs w:val="24"/>
        </w:rPr>
        <w:t>consumers. The end users will include high level policy makers, implementers and clients/ community. Each of these audience require targeted information products.</w:t>
      </w:r>
    </w:p>
    <w:p w14:paraId="5F4C2546" w14:textId="77777777" w:rsidR="00B24B98" w:rsidRPr="00280784" w:rsidRDefault="00B24B98" w:rsidP="00203568">
      <w:pPr>
        <w:pStyle w:val="ListParagraph"/>
        <w:numPr>
          <w:ilvl w:val="0"/>
          <w:numId w:val="6"/>
        </w:numPr>
        <w:spacing w:after="0" w:line="240" w:lineRule="auto"/>
        <w:jc w:val="both"/>
        <w:rPr>
          <w:rFonts w:ascii="Californian FB" w:hAnsi="Californian FB"/>
          <w:sz w:val="24"/>
          <w:szCs w:val="24"/>
        </w:rPr>
      </w:pPr>
      <w:r w:rsidRPr="00280784">
        <w:rPr>
          <w:rFonts w:ascii="Californian FB" w:hAnsi="Californian FB"/>
          <w:sz w:val="24"/>
          <w:szCs w:val="24"/>
        </w:rPr>
        <w:t xml:space="preserve">For each dimension of UHC, there will be </w:t>
      </w:r>
      <w:r>
        <w:rPr>
          <w:rFonts w:ascii="Californian FB" w:hAnsi="Californian FB"/>
          <w:sz w:val="24"/>
          <w:szCs w:val="24"/>
        </w:rPr>
        <w:t>not</w:t>
      </w:r>
      <w:r w:rsidRPr="00280784">
        <w:rPr>
          <w:rFonts w:ascii="Californian FB" w:hAnsi="Californian FB"/>
          <w:sz w:val="24"/>
          <w:szCs w:val="24"/>
        </w:rPr>
        <w:t xml:space="preserve"> more than 3 key issues for which </w:t>
      </w:r>
      <w:r>
        <w:rPr>
          <w:rFonts w:ascii="Californian FB" w:hAnsi="Californian FB"/>
          <w:sz w:val="24"/>
          <w:szCs w:val="24"/>
        </w:rPr>
        <w:t>summaries will be made to guide decision making. This will</w:t>
      </w:r>
      <w:r w:rsidRPr="00280784">
        <w:rPr>
          <w:rFonts w:ascii="Californian FB" w:hAnsi="Californian FB"/>
          <w:sz w:val="24"/>
          <w:szCs w:val="24"/>
        </w:rPr>
        <w:t xml:space="preserve"> range from </w:t>
      </w:r>
      <w:r>
        <w:rPr>
          <w:rFonts w:ascii="Californian FB" w:hAnsi="Californian FB"/>
          <w:sz w:val="24"/>
          <w:szCs w:val="24"/>
        </w:rPr>
        <w:t xml:space="preserve">indicators such as assessing </w:t>
      </w:r>
      <w:r w:rsidRPr="00280784">
        <w:rPr>
          <w:rFonts w:ascii="Californian FB" w:hAnsi="Californian FB"/>
          <w:sz w:val="24"/>
          <w:szCs w:val="24"/>
        </w:rPr>
        <w:t xml:space="preserve">service coverage interventions </w:t>
      </w:r>
      <w:r>
        <w:rPr>
          <w:rFonts w:ascii="Californian FB" w:hAnsi="Californian FB"/>
          <w:sz w:val="24"/>
          <w:szCs w:val="24"/>
        </w:rPr>
        <w:t xml:space="preserve">e.g. </w:t>
      </w:r>
      <w:r w:rsidRPr="00280784">
        <w:rPr>
          <w:rFonts w:ascii="Californian FB" w:hAnsi="Californian FB"/>
          <w:sz w:val="24"/>
          <w:szCs w:val="24"/>
        </w:rPr>
        <w:t>what is the improvement in health expec</w:t>
      </w:r>
      <w:r>
        <w:rPr>
          <w:rFonts w:ascii="Californian FB" w:hAnsi="Californian FB"/>
          <w:sz w:val="24"/>
          <w:szCs w:val="24"/>
        </w:rPr>
        <w:t>ted from introducing a vaccine</w:t>
      </w:r>
      <w:r w:rsidRPr="00280784">
        <w:rPr>
          <w:rFonts w:ascii="Californian FB" w:hAnsi="Californian FB"/>
          <w:sz w:val="24"/>
          <w:szCs w:val="24"/>
        </w:rPr>
        <w:t xml:space="preserve">, to service delivery system input dimension </w:t>
      </w:r>
      <w:r>
        <w:rPr>
          <w:rFonts w:ascii="Californian FB" w:hAnsi="Californian FB"/>
          <w:sz w:val="24"/>
          <w:szCs w:val="24"/>
        </w:rPr>
        <w:t xml:space="preserve">e.g. </w:t>
      </w:r>
      <w:r w:rsidRPr="00280784">
        <w:rPr>
          <w:rFonts w:ascii="Californian FB" w:hAnsi="Californian FB"/>
          <w:sz w:val="24"/>
          <w:szCs w:val="24"/>
        </w:rPr>
        <w:t>what is the most effective service delivery approach for taking se</w:t>
      </w:r>
      <w:r>
        <w:rPr>
          <w:rFonts w:ascii="Californian FB" w:hAnsi="Californian FB"/>
          <w:sz w:val="24"/>
          <w:szCs w:val="24"/>
        </w:rPr>
        <w:t>rvices to a nomadic population</w:t>
      </w:r>
      <w:r w:rsidRPr="00280784">
        <w:rPr>
          <w:rFonts w:ascii="Californian FB" w:hAnsi="Californian FB"/>
          <w:sz w:val="24"/>
          <w:szCs w:val="24"/>
        </w:rPr>
        <w:t xml:space="preserve">. </w:t>
      </w:r>
    </w:p>
    <w:p w14:paraId="073EC81F" w14:textId="77777777" w:rsidR="00B24B98" w:rsidRPr="00280784" w:rsidRDefault="00B24B98" w:rsidP="00203568">
      <w:pPr>
        <w:pStyle w:val="ListParagraph"/>
        <w:numPr>
          <w:ilvl w:val="0"/>
          <w:numId w:val="6"/>
        </w:numPr>
        <w:spacing w:after="0" w:line="240" w:lineRule="auto"/>
        <w:jc w:val="both"/>
        <w:rPr>
          <w:rFonts w:ascii="Californian FB" w:hAnsi="Californian FB"/>
          <w:sz w:val="24"/>
          <w:szCs w:val="24"/>
        </w:rPr>
      </w:pPr>
      <w:r w:rsidRPr="00280784">
        <w:rPr>
          <w:rFonts w:ascii="Californian FB" w:hAnsi="Californian FB"/>
          <w:sz w:val="24"/>
          <w:szCs w:val="24"/>
        </w:rPr>
        <w:t>For each issue, information will be sought, with input from the research institute. This involves a structured search for information to be completed within a 2-week period on the dimensions of:</w:t>
      </w:r>
    </w:p>
    <w:p w14:paraId="0E901100" w14:textId="77777777" w:rsidR="00B24B98" w:rsidRPr="00280784" w:rsidRDefault="00B24B98" w:rsidP="00203568">
      <w:pPr>
        <w:pStyle w:val="ListParagraph"/>
        <w:numPr>
          <w:ilvl w:val="0"/>
          <w:numId w:val="32"/>
        </w:numPr>
        <w:spacing w:after="0" w:line="240" w:lineRule="auto"/>
        <w:jc w:val="both"/>
        <w:rPr>
          <w:rFonts w:ascii="Californian FB" w:hAnsi="Californian FB"/>
          <w:sz w:val="24"/>
          <w:szCs w:val="24"/>
        </w:rPr>
      </w:pPr>
      <w:r w:rsidRPr="00280784">
        <w:rPr>
          <w:rFonts w:ascii="Californian FB" w:hAnsi="Californian FB"/>
          <w:sz w:val="24"/>
          <w:szCs w:val="24"/>
        </w:rPr>
        <w:t>Reviewing observatory information reports for the specific dimension, plus all investment dimensions</w:t>
      </w:r>
    </w:p>
    <w:p w14:paraId="47E8E845" w14:textId="77777777" w:rsidR="00B24B98" w:rsidRPr="00280784" w:rsidRDefault="00B24B98" w:rsidP="00203568">
      <w:pPr>
        <w:pStyle w:val="ListParagraph"/>
        <w:numPr>
          <w:ilvl w:val="0"/>
          <w:numId w:val="32"/>
        </w:numPr>
        <w:spacing w:after="0" w:line="240" w:lineRule="auto"/>
        <w:jc w:val="both"/>
        <w:rPr>
          <w:rFonts w:ascii="Californian FB" w:hAnsi="Californian FB"/>
          <w:sz w:val="24"/>
          <w:szCs w:val="24"/>
        </w:rPr>
      </w:pPr>
      <w:r w:rsidRPr="00280784">
        <w:rPr>
          <w:rFonts w:ascii="Californian FB" w:hAnsi="Californian FB"/>
          <w:sz w:val="24"/>
          <w:szCs w:val="24"/>
        </w:rPr>
        <w:lastRenderedPageBreak/>
        <w:t>Conducting a published literature search for existing published information on the issue – including Cochrane, and other meta review processes</w:t>
      </w:r>
    </w:p>
    <w:p w14:paraId="4D236C8B" w14:textId="77777777" w:rsidR="00B24B98" w:rsidRPr="00280784" w:rsidRDefault="00B24B98" w:rsidP="00203568">
      <w:pPr>
        <w:pStyle w:val="ListParagraph"/>
        <w:numPr>
          <w:ilvl w:val="0"/>
          <w:numId w:val="32"/>
        </w:numPr>
        <w:spacing w:after="0" w:line="240" w:lineRule="auto"/>
        <w:jc w:val="both"/>
        <w:rPr>
          <w:rFonts w:ascii="Californian FB" w:hAnsi="Californian FB"/>
          <w:sz w:val="24"/>
          <w:szCs w:val="24"/>
        </w:rPr>
      </w:pPr>
      <w:r w:rsidRPr="00280784">
        <w:rPr>
          <w:rFonts w:ascii="Californian FB" w:hAnsi="Californian FB"/>
          <w:sz w:val="24"/>
          <w:szCs w:val="24"/>
        </w:rPr>
        <w:t>Conducting a grey literature search for existing reports on the issue</w:t>
      </w:r>
    </w:p>
    <w:p w14:paraId="6307E34A" w14:textId="77777777" w:rsidR="00B24B98" w:rsidRPr="00280784" w:rsidRDefault="00B24B98" w:rsidP="00203568">
      <w:pPr>
        <w:pStyle w:val="ListParagraph"/>
        <w:numPr>
          <w:ilvl w:val="0"/>
          <w:numId w:val="32"/>
        </w:numPr>
        <w:spacing w:after="0" w:line="240" w:lineRule="auto"/>
        <w:jc w:val="both"/>
        <w:rPr>
          <w:rFonts w:ascii="Californian FB" w:hAnsi="Californian FB"/>
          <w:sz w:val="24"/>
          <w:szCs w:val="24"/>
        </w:rPr>
      </w:pPr>
      <w:r w:rsidRPr="00280784">
        <w:rPr>
          <w:rFonts w:ascii="Californian FB" w:hAnsi="Californian FB"/>
          <w:sz w:val="24"/>
          <w:szCs w:val="24"/>
        </w:rPr>
        <w:t>Exploring amongst knowledge management team for country information on the issue</w:t>
      </w:r>
    </w:p>
    <w:p w14:paraId="40A78312" w14:textId="77777777" w:rsidR="00B24B98" w:rsidRPr="00280784" w:rsidRDefault="00B24B98" w:rsidP="00203568">
      <w:pPr>
        <w:pStyle w:val="ListParagraph"/>
        <w:numPr>
          <w:ilvl w:val="0"/>
          <w:numId w:val="6"/>
        </w:numPr>
        <w:spacing w:after="0" w:line="240" w:lineRule="auto"/>
        <w:jc w:val="both"/>
        <w:rPr>
          <w:rFonts w:ascii="Californian FB" w:hAnsi="Californian FB"/>
          <w:sz w:val="24"/>
          <w:szCs w:val="24"/>
        </w:rPr>
      </w:pPr>
      <w:r w:rsidRPr="00280784">
        <w:rPr>
          <w:rFonts w:ascii="Californian FB" w:hAnsi="Californian FB"/>
          <w:sz w:val="24"/>
          <w:szCs w:val="24"/>
        </w:rPr>
        <w:t xml:space="preserve">Consolidate the emerging information into a 2-page policy brief, based on the format in </w:t>
      </w:r>
      <w:r w:rsidRPr="00280784">
        <w:rPr>
          <w:rFonts w:ascii="Californian FB" w:hAnsi="Californian FB"/>
          <w:sz w:val="24"/>
          <w:szCs w:val="24"/>
          <w:highlight w:val="yellow"/>
        </w:rPr>
        <w:t>appendix 2</w:t>
      </w:r>
      <w:r w:rsidRPr="00280784">
        <w:rPr>
          <w:rFonts w:ascii="Californian FB" w:hAnsi="Californian FB"/>
          <w:sz w:val="24"/>
          <w:szCs w:val="24"/>
        </w:rPr>
        <w:t>. The brief should be available within 3 weeks of agreement on the issue</w:t>
      </w:r>
    </w:p>
    <w:p w14:paraId="755C26AC" w14:textId="77777777" w:rsidR="00B24B98" w:rsidRPr="00280784" w:rsidRDefault="00B24B98" w:rsidP="00203568">
      <w:pPr>
        <w:pStyle w:val="ListParagraph"/>
        <w:numPr>
          <w:ilvl w:val="0"/>
          <w:numId w:val="6"/>
        </w:numPr>
        <w:spacing w:after="0" w:line="240" w:lineRule="auto"/>
        <w:jc w:val="both"/>
        <w:rPr>
          <w:rFonts w:ascii="Californian FB" w:hAnsi="Californian FB"/>
          <w:sz w:val="24"/>
          <w:szCs w:val="24"/>
        </w:rPr>
      </w:pPr>
      <w:r w:rsidRPr="00280784">
        <w:rPr>
          <w:rFonts w:ascii="Californian FB" w:hAnsi="Californian FB"/>
          <w:sz w:val="24"/>
          <w:szCs w:val="24"/>
        </w:rPr>
        <w:t>Conduct regular formal meetings of the knowledge management team. These are important to:</w:t>
      </w:r>
    </w:p>
    <w:p w14:paraId="6B448C38" w14:textId="77777777" w:rsidR="00B24B98" w:rsidRPr="00280784" w:rsidRDefault="00B24B98" w:rsidP="00203568">
      <w:pPr>
        <w:pStyle w:val="ListParagraph"/>
        <w:numPr>
          <w:ilvl w:val="0"/>
          <w:numId w:val="34"/>
        </w:numPr>
        <w:spacing w:after="0" w:line="240" w:lineRule="auto"/>
        <w:jc w:val="both"/>
        <w:rPr>
          <w:rFonts w:ascii="Californian FB" w:hAnsi="Californian FB"/>
          <w:sz w:val="24"/>
          <w:szCs w:val="24"/>
        </w:rPr>
      </w:pPr>
      <w:r w:rsidRPr="00280784">
        <w:rPr>
          <w:rFonts w:ascii="Californian FB" w:hAnsi="Californian FB"/>
          <w:sz w:val="24"/>
          <w:szCs w:val="24"/>
        </w:rPr>
        <w:t>Discuss emerging policy briefs and their implications on sector actions,</w:t>
      </w:r>
    </w:p>
    <w:p w14:paraId="3FC42439" w14:textId="77777777" w:rsidR="00B24B98" w:rsidRPr="00280784" w:rsidRDefault="00B24B98" w:rsidP="00203568">
      <w:pPr>
        <w:pStyle w:val="ListParagraph"/>
        <w:numPr>
          <w:ilvl w:val="0"/>
          <w:numId w:val="34"/>
        </w:numPr>
        <w:spacing w:after="0" w:line="240" w:lineRule="auto"/>
        <w:jc w:val="both"/>
        <w:rPr>
          <w:rFonts w:ascii="Californian FB" w:hAnsi="Californian FB"/>
          <w:sz w:val="24"/>
          <w:szCs w:val="24"/>
        </w:rPr>
      </w:pPr>
      <w:r w:rsidRPr="00280784">
        <w:rPr>
          <w:rFonts w:ascii="Californian FB" w:hAnsi="Californian FB"/>
          <w:sz w:val="24"/>
          <w:szCs w:val="24"/>
        </w:rPr>
        <w:t>Agree emerging research agenda, derived from pending questions arising during the intelligence generation process</w:t>
      </w:r>
    </w:p>
    <w:p w14:paraId="62AE7D7D" w14:textId="77777777" w:rsidR="00B24B98" w:rsidRDefault="00B24B98" w:rsidP="00B24B98">
      <w:pPr>
        <w:spacing w:after="0" w:line="240" w:lineRule="auto"/>
        <w:jc w:val="both"/>
        <w:rPr>
          <w:rFonts w:ascii="Californian FB" w:hAnsi="Californian FB"/>
          <w:sz w:val="24"/>
          <w:szCs w:val="24"/>
        </w:rPr>
      </w:pPr>
      <w:r w:rsidRPr="00280784">
        <w:rPr>
          <w:rFonts w:ascii="Californian FB" w:hAnsi="Californian FB"/>
          <w:noProof/>
          <w:sz w:val="24"/>
          <w:szCs w:val="24"/>
        </w:rPr>
        <w:drawing>
          <wp:inline distT="0" distB="0" distL="0" distR="0" wp14:anchorId="49C92205" wp14:editId="442AE5A5">
            <wp:extent cx="5974080" cy="1036320"/>
            <wp:effectExtent l="0" t="0" r="7620" b="0"/>
            <wp:docPr id="1167" name="Diagram 116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14:paraId="5B111BFF" w14:textId="77777777" w:rsidR="00B24B98" w:rsidRPr="00280784" w:rsidRDefault="00B24B98" w:rsidP="00B24B98">
      <w:pPr>
        <w:pStyle w:val="Caption"/>
        <w:spacing w:after="0"/>
        <w:jc w:val="center"/>
        <w:rPr>
          <w:rFonts w:ascii="Californian FB" w:hAnsi="Californian FB"/>
          <w:sz w:val="24"/>
          <w:szCs w:val="24"/>
        </w:rPr>
      </w:pPr>
      <w:r w:rsidRPr="00280784">
        <w:rPr>
          <w:rFonts w:ascii="Californian FB" w:hAnsi="Californian FB"/>
          <w:sz w:val="24"/>
          <w:szCs w:val="24"/>
        </w:rPr>
        <w:t>Figure</w:t>
      </w:r>
      <w:r>
        <w:rPr>
          <w:rFonts w:ascii="Californian FB" w:hAnsi="Californian FB"/>
          <w:sz w:val="24"/>
          <w:szCs w:val="24"/>
        </w:rPr>
        <w:t xml:space="preserve"> </w:t>
      </w:r>
      <w:r w:rsidRPr="00280784">
        <w:rPr>
          <w:rFonts w:ascii="Californian FB" w:hAnsi="Californian FB"/>
          <w:sz w:val="24"/>
          <w:szCs w:val="24"/>
        </w:rPr>
        <w:t>xx: Process of knowledge generation for monitoring of SDGs in health</w:t>
      </w:r>
    </w:p>
    <w:p w14:paraId="3A6BDB95" w14:textId="77777777" w:rsidR="00B24B98" w:rsidRDefault="00B24B98" w:rsidP="00B24B98">
      <w:pPr>
        <w:spacing w:after="0" w:line="240" w:lineRule="auto"/>
        <w:jc w:val="both"/>
        <w:rPr>
          <w:rFonts w:ascii="Californian FB" w:hAnsi="Californian FB"/>
          <w:sz w:val="24"/>
          <w:szCs w:val="24"/>
        </w:rPr>
      </w:pPr>
    </w:p>
    <w:p w14:paraId="56D3A3B7" w14:textId="77777777" w:rsidR="00B24B98" w:rsidRPr="00280784" w:rsidRDefault="00B24B98" w:rsidP="00B24B98">
      <w:pPr>
        <w:spacing w:after="0" w:line="240" w:lineRule="auto"/>
        <w:jc w:val="both"/>
        <w:rPr>
          <w:rFonts w:ascii="Californian FB" w:hAnsi="Californian FB"/>
          <w:sz w:val="24"/>
          <w:szCs w:val="24"/>
        </w:rPr>
      </w:pPr>
      <w:r w:rsidRPr="00280784">
        <w:rPr>
          <w:rFonts w:ascii="Californian FB" w:hAnsi="Californian FB"/>
          <w:sz w:val="24"/>
          <w:szCs w:val="24"/>
        </w:rPr>
        <w:t>Based on these principles, a more detailed process for elaboration of statistics and information for specific sector issues is now presented. These sector issues include:</w:t>
      </w:r>
    </w:p>
    <w:p w14:paraId="103C935A" w14:textId="77777777" w:rsidR="00B24B98" w:rsidRPr="00280784" w:rsidRDefault="00B24B98" w:rsidP="00203568">
      <w:pPr>
        <w:pStyle w:val="ListParagraph"/>
        <w:numPr>
          <w:ilvl w:val="0"/>
          <w:numId w:val="33"/>
        </w:numPr>
        <w:spacing w:after="0" w:line="240" w:lineRule="auto"/>
        <w:jc w:val="both"/>
        <w:rPr>
          <w:rFonts w:ascii="Californian FB" w:hAnsi="Californian FB"/>
          <w:sz w:val="24"/>
          <w:szCs w:val="24"/>
        </w:rPr>
      </w:pPr>
      <w:r w:rsidRPr="00280784">
        <w:rPr>
          <w:rFonts w:ascii="Californian FB" w:hAnsi="Californian FB"/>
          <w:sz w:val="24"/>
          <w:szCs w:val="24"/>
        </w:rPr>
        <w:t>Universal health coverage progress and priority identification</w:t>
      </w:r>
    </w:p>
    <w:p w14:paraId="7EED9E70" w14:textId="77777777" w:rsidR="00B24B98" w:rsidRPr="00280784" w:rsidRDefault="00B24B98" w:rsidP="00203568">
      <w:pPr>
        <w:pStyle w:val="ListParagraph"/>
        <w:numPr>
          <w:ilvl w:val="0"/>
          <w:numId w:val="33"/>
        </w:numPr>
        <w:spacing w:after="0" w:line="240" w:lineRule="auto"/>
        <w:jc w:val="both"/>
        <w:rPr>
          <w:rFonts w:ascii="Californian FB" w:hAnsi="Californian FB"/>
          <w:sz w:val="24"/>
          <w:szCs w:val="24"/>
        </w:rPr>
      </w:pPr>
      <w:r w:rsidRPr="00280784">
        <w:rPr>
          <w:rFonts w:ascii="Californian FB" w:hAnsi="Californian FB"/>
          <w:sz w:val="24"/>
          <w:szCs w:val="24"/>
        </w:rPr>
        <w:t>Overall health and related services progress and priority identification</w:t>
      </w:r>
    </w:p>
    <w:p w14:paraId="7CE4181C" w14:textId="77777777" w:rsidR="00B24B98" w:rsidRDefault="00B24B98" w:rsidP="00203568">
      <w:pPr>
        <w:pStyle w:val="ListParagraph"/>
        <w:numPr>
          <w:ilvl w:val="0"/>
          <w:numId w:val="33"/>
        </w:numPr>
        <w:spacing w:after="0" w:line="240" w:lineRule="auto"/>
        <w:jc w:val="both"/>
        <w:rPr>
          <w:rFonts w:ascii="Californian FB" w:hAnsi="Californian FB"/>
          <w:sz w:val="24"/>
          <w:szCs w:val="24"/>
        </w:rPr>
      </w:pPr>
      <w:r w:rsidRPr="00280784">
        <w:rPr>
          <w:rFonts w:ascii="Californian FB" w:hAnsi="Californian FB"/>
          <w:sz w:val="24"/>
          <w:szCs w:val="24"/>
        </w:rPr>
        <w:t>Health system performance progress and priority identification</w:t>
      </w:r>
    </w:p>
    <w:p w14:paraId="557DD9E4" w14:textId="77777777" w:rsidR="00B24B98" w:rsidRDefault="00B24B98" w:rsidP="00B24B98">
      <w:pPr>
        <w:pStyle w:val="ListParagraph"/>
        <w:spacing w:after="0" w:line="240" w:lineRule="auto"/>
        <w:ind w:left="1080"/>
        <w:jc w:val="both"/>
        <w:rPr>
          <w:rFonts w:ascii="Californian FB" w:hAnsi="Californian FB"/>
          <w:sz w:val="24"/>
          <w:szCs w:val="24"/>
        </w:rPr>
      </w:pPr>
    </w:p>
    <w:p w14:paraId="581CD313" w14:textId="77777777" w:rsidR="00B24B98" w:rsidRDefault="00B24B98" w:rsidP="00B24B98">
      <w:pPr>
        <w:pStyle w:val="Heading2"/>
        <w:numPr>
          <w:ilvl w:val="0"/>
          <w:numId w:val="0"/>
        </w:numPr>
        <w:spacing w:before="0"/>
        <w:ind w:left="720"/>
      </w:pPr>
      <w:bookmarkStart w:id="46" w:name="_Toc520793127"/>
      <w:r>
        <w:t>Knowledge Use</w:t>
      </w:r>
      <w:bookmarkEnd w:id="46"/>
    </w:p>
    <w:p w14:paraId="64DA522C" w14:textId="77777777" w:rsidR="00B24B98" w:rsidRPr="00AA7E99" w:rsidRDefault="00B24B98" w:rsidP="00B24B98">
      <w:pPr>
        <w:rPr>
          <w:lang w:val="en-GB"/>
        </w:rPr>
      </w:pPr>
    </w:p>
    <w:p w14:paraId="268F4CC2" w14:textId="77777777" w:rsidR="00B24B98" w:rsidRDefault="00B24B98" w:rsidP="00B24B98">
      <w:pPr>
        <w:pStyle w:val="Heading2"/>
        <w:numPr>
          <w:ilvl w:val="0"/>
          <w:numId w:val="0"/>
        </w:numPr>
        <w:spacing w:before="0"/>
        <w:ind w:left="720"/>
        <w:rPr>
          <w:rFonts w:ascii="Californian FB" w:hAnsi="Californian FB"/>
        </w:rPr>
      </w:pPr>
      <w:bookmarkStart w:id="47" w:name="_Toc520793128"/>
      <w:r w:rsidRPr="008555C7">
        <w:t>Review and feedback</w:t>
      </w:r>
      <w:bookmarkEnd w:id="47"/>
      <w:r w:rsidRPr="008105F3">
        <w:rPr>
          <w:rFonts w:ascii="Californian FB" w:hAnsi="Californian FB"/>
        </w:rPr>
        <w:t xml:space="preserve"> </w:t>
      </w:r>
    </w:p>
    <w:p w14:paraId="62808218" w14:textId="77777777" w:rsidR="00B24B98" w:rsidRPr="008555C7" w:rsidRDefault="00B24B98" w:rsidP="00B24B98">
      <w:pPr>
        <w:spacing w:after="0" w:line="240" w:lineRule="auto"/>
        <w:jc w:val="both"/>
        <w:rPr>
          <w:rFonts w:ascii="Californian FB" w:hAnsi="Californian FB"/>
          <w:sz w:val="24"/>
          <w:szCs w:val="24"/>
        </w:rPr>
      </w:pPr>
    </w:p>
    <w:p w14:paraId="770BC7D4" w14:textId="77777777" w:rsidR="00B24B98" w:rsidRPr="00280784" w:rsidRDefault="00B24B98" w:rsidP="00203568">
      <w:pPr>
        <w:pStyle w:val="ListParagraph"/>
        <w:numPr>
          <w:ilvl w:val="0"/>
          <w:numId w:val="5"/>
        </w:numPr>
        <w:spacing w:after="0" w:line="240" w:lineRule="auto"/>
        <w:jc w:val="both"/>
        <w:rPr>
          <w:rFonts w:ascii="Californian FB" w:hAnsi="Californian FB"/>
          <w:sz w:val="24"/>
          <w:szCs w:val="24"/>
        </w:rPr>
      </w:pPr>
      <w:r w:rsidRPr="00280784">
        <w:rPr>
          <w:rFonts w:ascii="Californian FB" w:hAnsi="Californian FB"/>
          <w:sz w:val="24"/>
          <w:szCs w:val="24"/>
        </w:rPr>
        <w:t xml:space="preserve">Annual and Quarterly verification process should be carried out, to review the data across all the indicators. This verification process will; </w:t>
      </w:r>
    </w:p>
    <w:p w14:paraId="19FE0C8D" w14:textId="77777777" w:rsidR="00B24B98" w:rsidRPr="00280784" w:rsidRDefault="00B24B98" w:rsidP="00203568">
      <w:pPr>
        <w:pStyle w:val="ListParagraph"/>
        <w:numPr>
          <w:ilvl w:val="0"/>
          <w:numId w:val="29"/>
        </w:numPr>
        <w:spacing w:after="0" w:line="240" w:lineRule="auto"/>
        <w:jc w:val="both"/>
        <w:rPr>
          <w:rFonts w:ascii="Californian FB" w:hAnsi="Californian FB"/>
          <w:sz w:val="24"/>
          <w:szCs w:val="24"/>
        </w:rPr>
      </w:pPr>
      <w:r w:rsidRPr="00280784">
        <w:rPr>
          <w:rFonts w:ascii="Californian FB" w:hAnsi="Californian FB"/>
          <w:sz w:val="24"/>
          <w:szCs w:val="24"/>
        </w:rPr>
        <w:t>Involve high level decision makers in the sector</w:t>
      </w:r>
    </w:p>
    <w:p w14:paraId="42342C5A" w14:textId="77777777" w:rsidR="00B24B98" w:rsidRPr="00280784" w:rsidRDefault="00B24B98" w:rsidP="00203568">
      <w:pPr>
        <w:pStyle w:val="ListParagraph"/>
        <w:numPr>
          <w:ilvl w:val="0"/>
          <w:numId w:val="29"/>
        </w:numPr>
        <w:spacing w:after="0" w:line="240" w:lineRule="auto"/>
        <w:jc w:val="both"/>
        <w:rPr>
          <w:rFonts w:ascii="Californian FB" w:hAnsi="Californian FB"/>
          <w:sz w:val="24"/>
          <w:szCs w:val="24"/>
        </w:rPr>
      </w:pPr>
      <w:r w:rsidRPr="00280784">
        <w:rPr>
          <w:rFonts w:ascii="Californian FB" w:hAnsi="Californian FB"/>
          <w:sz w:val="24"/>
          <w:szCs w:val="24"/>
        </w:rPr>
        <w:t>Review and agree values for all the indicators, and make decisions for controversial indicators</w:t>
      </w:r>
    </w:p>
    <w:p w14:paraId="66965C33" w14:textId="77777777" w:rsidR="00B24B98" w:rsidRPr="00280784" w:rsidRDefault="00B24B98" w:rsidP="00203568">
      <w:pPr>
        <w:pStyle w:val="ListParagraph"/>
        <w:numPr>
          <w:ilvl w:val="0"/>
          <w:numId w:val="29"/>
        </w:numPr>
        <w:spacing w:after="0" w:line="240" w:lineRule="auto"/>
        <w:jc w:val="both"/>
        <w:rPr>
          <w:rFonts w:ascii="Californian FB" w:hAnsi="Californian FB"/>
          <w:sz w:val="24"/>
          <w:szCs w:val="24"/>
        </w:rPr>
      </w:pPr>
      <w:r w:rsidRPr="00280784">
        <w:rPr>
          <w:rFonts w:ascii="Californian FB" w:hAnsi="Californian FB"/>
          <w:sz w:val="24"/>
          <w:szCs w:val="24"/>
        </w:rPr>
        <w:t>Assessment of attributes for the indicators that require scores (</w:t>
      </w:r>
      <w:r w:rsidRPr="00280784">
        <w:rPr>
          <w:rFonts w:ascii="Californian FB" w:hAnsi="Californian FB"/>
          <w:sz w:val="24"/>
          <w:szCs w:val="24"/>
          <w:highlight w:val="yellow"/>
        </w:rPr>
        <w:t>see Appendix 1</w:t>
      </w:r>
      <w:r w:rsidRPr="00280784">
        <w:rPr>
          <w:rFonts w:ascii="Californian FB" w:hAnsi="Californian FB"/>
          <w:sz w:val="24"/>
          <w:szCs w:val="24"/>
        </w:rPr>
        <w:t xml:space="preserve">). </w:t>
      </w:r>
    </w:p>
    <w:p w14:paraId="315BF2C2" w14:textId="77777777" w:rsidR="00B24B98" w:rsidRPr="00280784" w:rsidRDefault="00B24B98" w:rsidP="00B24B98">
      <w:pPr>
        <w:pStyle w:val="ListParagraph"/>
        <w:spacing w:after="0" w:line="240" w:lineRule="auto"/>
        <w:ind w:left="1080"/>
        <w:jc w:val="both"/>
        <w:rPr>
          <w:rFonts w:ascii="Californian FB" w:hAnsi="Californian FB"/>
          <w:sz w:val="24"/>
          <w:szCs w:val="24"/>
        </w:rPr>
      </w:pPr>
    </w:p>
    <w:p w14:paraId="2F7CDB56" w14:textId="77777777" w:rsidR="00B24B98" w:rsidRPr="008555C7" w:rsidRDefault="00B24B98" w:rsidP="00B24B98">
      <w:pPr>
        <w:spacing w:after="0" w:line="240" w:lineRule="auto"/>
        <w:jc w:val="both"/>
        <w:rPr>
          <w:rFonts w:ascii="Californian FB" w:hAnsi="Californian FB"/>
          <w:sz w:val="24"/>
          <w:szCs w:val="24"/>
        </w:rPr>
      </w:pPr>
    </w:p>
    <w:p w14:paraId="63F74A6E" w14:textId="77777777" w:rsidR="00B24B98" w:rsidRPr="00280784" w:rsidRDefault="00B24B98" w:rsidP="00B24B98">
      <w:pPr>
        <w:rPr>
          <w:sz w:val="24"/>
          <w:szCs w:val="24"/>
        </w:rPr>
      </w:pPr>
    </w:p>
    <w:p w14:paraId="20EF5626" w14:textId="77777777" w:rsidR="00B24B98" w:rsidRPr="00280784" w:rsidRDefault="00B24B98" w:rsidP="00B24B98">
      <w:pPr>
        <w:pStyle w:val="Heading2"/>
        <w:numPr>
          <w:ilvl w:val="0"/>
          <w:numId w:val="0"/>
        </w:numPr>
        <w:spacing w:before="0"/>
        <w:ind w:left="720"/>
        <w:rPr>
          <w:rFonts w:ascii="Californian FB" w:hAnsi="Californian FB"/>
          <w:sz w:val="24"/>
          <w:szCs w:val="24"/>
          <w:lang w:val="en-US"/>
        </w:rPr>
      </w:pPr>
      <w:bookmarkStart w:id="48" w:name="_Toc520793129"/>
      <w:r w:rsidRPr="00280784">
        <w:rPr>
          <w:rFonts w:ascii="Californian FB" w:hAnsi="Californian FB"/>
          <w:sz w:val="24"/>
          <w:szCs w:val="24"/>
          <w:lang w:val="en-US"/>
        </w:rPr>
        <w:t>Indicators for Monitoring universal Health Coverage</w:t>
      </w:r>
      <w:bookmarkEnd w:id="48"/>
      <w:r w:rsidRPr="00280784">
        <w:rPr>
          <w:rFonts w:ascii="Californian FB" w:hAnsi="Californian FB"/>
          <w:sz w:val="24"/>
          <w:szCs w:val="24"/>
          <w:lang w:val="en-US"/>
        </w:rPr>
        <w:t xml:space="preserve"> </w:t>
      </w:r>
    </w:p>
    <w:p w14:paraId="18C8B0C5" w14:textId="77777777" w:rsidR="00B24B98" w:rsidRPr="00280784" w:rsidRDefault="00B24B98" w:rsidP="00B24B98">
      <w:pPr>
        <w:autoSpaceDE w:val="0"/>
        <w:autoSpaceDN w:val="0"/>
        <w:adjustRightInd w:val="0"/>
        <w:spacing w:after="0" w:line="240" w:lineRule="auto"/>
        <w:jc w:val="both"/>
        <w:rPr>
          <w:rFonts w:ascii="Californian FB" w:hAnsi="Californian FB"/>
          <w:sz w:val="24"/>
          <w:szCs w:val="24"/>
        </w:rPr>
      </w:pPr>
      <w:r w:rsidRPr="00280784">
        <w:rPr>
          <w:rFonts w:ascii="Californian FB" w:hAnsi="Californian FB"/>
          <w:sz w:val="24"/>
          <w:szCs w:val="24"/>
        </w:rPr>
        <w:t xml:space="preserve">This Monitoring framework is accompanied by a reference list of core indicators.  The list includes proposed tracer indicators to measure the process, the level of coverage of health interventions and financial risk protection.  The focus of monitoring progress toward UHC as outlined in the Kenya Health policy 2014- 2030. Also included are proposed tracer indicators for health system inputs, processes, outputs, and health attributes that are required during phase I implementation.  </w:t>
      </w:r>
    </w:p>
    <w:p w14:paraId="66323B8C" w14:textId="77777777" w:rsidR="00B24B98" w:rsidRPr="00280784" w:rsidRDefault="00B24B98" w:rsidP="00B24B98">
      <w:pPr>
        <w:autoSpaceDE w:val="0"/>
        <w:autoSpaceDN w:val="0"/>
        <w:adjustRightInd w:val="0"/>
        <w:spacing w:after="0" w:line="240" w:lineRule="auto"/>
        <w:jc w:val="both"/>
        <w:rPr>
          <w:rFonts w:ascii="Californian FB" w:hAnsi="Californian FB"/>
          <w:sz w:val="24"/>
          <w:szCs w:val="24"/>
        </w:rPr>
      </w:pPr>
    </w:p>
    <w:p w14:paraId="30235CBA" w14:textId="77777777" w:rsidR="00B24B98" w:rsidRPr="00280784" w:rsidRDefault="00B24B98" w:rsidP="00B24B98">
      <w:pPr>
        <w:autoSpaceDE w:val="0"/>
        <w:autoSpaceDN w:val="0"/>
        <w:adjustRightInd w:val="0"/>
        <w:spacing w:after="0" w:line="240" w:lineRule="auto"/>
        <w:jc w:val="both"/>
        <w:rPr>
          <w:rFonts w:ascii="Californian FB" w:hAnsi="Californian FB"/>
          <w:sz w:val="24"/>
          <w:szCs w:val="24"/>
        </w:rPr>
      </w:pPr>
      <w:r w:rsidRPr="00280784">
        <w:rPr>
          <w:rFonts w:ascii="Californian FB" w:hAnsi="Californian FB"/>
          <w:sz w:val="24"/>
          <w:szCs w:val="24"/>
        </w:rPr>
        <w:t xml:space="preserve">Data for these important measurements have been linked on health service output/outcomes and financial risk protection coverage.  Additionally, population health will allow assessment of the overall performance of the health system and will guide health system strengthening efforts. On multi-sectoral approach for UHC, a number of Tracer indicators are also identified for health-related initiatives from other sectors (e.g., Agriculture, social services, education, water, and sanitation) and social determinants of health, as well as for lifestyle factors and practices, as these measurements significantly contribute to health service intervention utilization and coverage and the impact of population health. </w:t>
      </w:r>
    </w:p>
    <w:p w14:paraId="57A91081" w14:textId="77777777" w:rsidR="00B24B98" w:rsidRPr="00280784" w:rsidRDefault="00B24B98" w:rsidP="00B24B98">
      <w:pPr>
        <w:autoSpaceDE w:val="0"/>
        <w:autoSpaceDN w:val="0"/>
        <w:adjustRightInd w:val="0"/>
        <w:spacing w:after="0" w:line="240" w:lineRule="auto"/>
        <w:jc w:val="both"/>
        <w:rPr>
          <w:rFonts w:ascii="Californian FB" w:hAnsi="Californian FB"/>
          <w:sz w:val="24"/>
          <w:szCs w:val="24"/>
        </w:rPr>
      </w:pPr>
    </w:p>
    <w:p w14:paraId="0BEB02E7" w14:textId="77777777" w:rsidR="00B24B98" w:rsidRPr="00280784" w:rsidRDefault="00B24B98" w:rsidP="00B24B98">
      <w:pPr>
        <w:autoSpaceDE w:val="0"/>
        <w:autoSpaceDN w:val="0"/>
        <w:adjustRightInd w:val="0"/>
        <w:spacing w:after="0" w:line="240" w:lineRule="auto"/>
        <w:jc w:val="both"/>
        <w:rPr>
          <w:rFonts w:ascii="Californian FB" w:hAnsi="Californian FB"/>
          <w:sz w:val="24"/>
          <w:szCs w:val="24"/>
        </w:rPr>
      </w:pPr>
      <w:r w:rsidRPr="00280784">
        <w:rPr>
          <w:rFonts w:ascii="Californian FB" w:hAnsi="Californian FB"/>
          <w:sz w:val="24"/>
          <w:szCs w:val="24"/>
        </w:rPr>
        <w:t>The proposed reference list of indicators is aligned to the latest guidance on SDG targets and indicators, the WHO Global Reference List of 100 Core Health Indicators and to the Kenyan 3rd edition reference list of health sector indicators and standard operating procedures manual available in existing country M&amp;E systems.  The proposed indicators and their data requirements have been grouped into the following domain areas of the results chain.</w:t>
      </w:r>
    </w:p>
    <w:p w14:paraId="51DB09D2" w14:textId="57DDF112" w:rsidR="00B24B98" w:rsidRPr="00280784" w:rsidRDefault="00B24B98" w:rsidP="00203568">
      <w:pPr>
        <w:pStyle w:val="ListParagraph"/>
        <w:numPr>
          <w:ilvl w:val="0"/>
          <w:numId w:val="35"/>
        </w:numPr>
        <w:rPr>
          <w:rFonts w:ascii="Californian FB" w:hAnsi="Californian FB"/>
          <w:sz w:val="24"/>
          <w:szCs w:val="24"/>
          <w:lang w:val="en-US"/>
        </w:rPr>
      </w:pPr>
      <w:r w:rsidRPr="00280784">
        <w:rPr>
          <w:rFonts w:ascii="Californian FB" w:hAnsi="Californian FB"/>
          <w:sz w:val="24"/>
          <w:szCs w:val="24"/>
          <w:lang w:val="en-US"/>
        </w:rPr>
        <w:t xml:space="preserve">Inputs </w:t>
      </w:r>
      <w:r w:rsidR="00434D36">
        <w:rPr>
          <w:rFonts w:ascii="Californian FB" w:hAnsi="Californian FB"/>
          <w:sz w:val="24"/>
          <w:szCs w:val="24"/>
          <w:lang w:val="en-US"/>
        </w:rPr>
        <w:t>/process</w:t>
      </w:r>
    </w:p>
    <w:p w14:paraId="5B149614" w14:textId="77777777" w:rsidR="00B24B98" w:rsidRPr="00280784" w:rsidRDefault="00B24B98" w:rsidP="00203568">
      <w:pPr>
        <w:pStyle w:val="ListParagraph"/>
        <w:numPr>
          <w:ilvl w:val="0"/>
          <w:numId w:val="35"/>
        </w:numPr>
        <w:rPr>
          <w:rFonts w:ascii="Californian FB" w:hAnsi="Californian FB"/>
          <w:sz w:val="24"/>
          <w:szCs w:val="24"/>
          <w:lang w:val="en-US"/>
        </w:rPr>
      </w:pPr>
      <w:r w:rsidRPr="00280784">
        <w:rPr>
          <w:rFonts w:ascii="Californian FB" w:hAnsi="Californian FB"/>
          <w:sz w:val="24"/>
          <w:szCs w:val="24"/>
          <w:lang w:val="en-US"/>
        </w:rPr>
        <w:t xml:space="preserve">Outputs </w:t>
      </w:r>
    </w:p>
    <w:p w14:paraId="3FCE6079" w14:textId="77777777" w:rsidR="00B24B98" w:rsidRPr="00280784" w:rsidRDefault="00B24B98" w:rsidP="00203568">
      <w:pPr>
        <w:pStyle w:val="ListParagraph"/>
        <w:numPr>
          <w:ilvl w:val="0"/>
          <w:numId w:val="35"/>
        </w:numPr>
        <w:rPr>
          <w:rFonts w:ascii="Californian FB" w:hAnsi="Californian FB"/>
          <w:sz w:val="24"/>
          <w:szCs w:val="24"/>
          <w:lang w:val="en-US"/>
        </w:rPr>
      </w:pPr>
      <w:r w:rsidRPr="00280784">
        <w:rPr>
          <w:rFonts w:ascii="Californian FB" w:hAnsi="Californian FB"/>
          <w:sz w:val="24"/>
          <w:szCs w:val="24"/>
          <w:lang w:val="en-US"/>
        </w:rPr>
        <w:t xml:space="preserve">Outcomes </w:t>
      </w:r>
    </w:p>
    <w:p w14:paraId="6B57C850" w14:textId="77777777" w:rsidR="00B24B98" w:rsidRPr="00280784" w:rsidRDefault="00B24B98" w:rsidP="00203568">
      <w:pPr>
        <w:pStyle w:val="ListParagraph"/>
        <w:numPr>
          <w:ilvl w:val="0"/>
          <w:numId w:val="35"/>
        </w:numPr>
        <w:rPr>
          <w:rFonts w:ascii="Californian FB" w:hAnsi="Californian FB"/>
          <w:sz w:val="24"/>
          <w:szCs w:val="24"/>
          <w:lang w:val="en-US"/>
        </w:rPr>
      </w:pPr>
      <w:r w:rsidRPr="00280784">
        <w:rPr>
          <w:rFonts w:ascii="Californian FB" w:hAnsi="Californian FB"/>
          <w:sz w:val="24"/>
          <w:szCs w:val="24"/>
          <w:lang w:val="en-US"/>
        </w:rPr>
        <w:t xml:space="preserve">Impact </w:t>
      </w:r>
    </w:p>
    <w:p w14:paraId="7D48EBBB" w14:textId="77777777" w:rsidR="005A786A" w:rsidRDefault="005A786A" w:rsidP="00B24B98">
      <w:pPr>
        <w:rPr>
          <w:rFonts w:ascii="Californian FB" w:hAnsi="Californian FB"/>
          <w:sz w:val="24"/>
          <w:szCs w:val="24"/>
        </w:rPr>
      </w:pPr>
    </w:p>
    <w:p w14:paraId="21AC9468" w14:textId="77777777" w:rsidR="00B24B98" w:rsidRDefault="00B24B98" w:rsidP="00B24B98">
      <w:pPr>
        <w:rPr>
          <w:rFonts w:ascii="Californian FB" w:hAnsi="Californian FB"/>
          <w:sz w:val="24"/>
          <w:szCs w:val="24"/>
        </w:rPr>
      </w:pPr>
      <w:r w:rsidRPr="00280784">
        <w:rPr>
          <w:rFonts w:ascii="Californian FB" w:hAnsi="Californian FB"/>
          <w:noProof/>
          <w:sz w:val="24"/>
          <w:szCs w:val="24"/>
        </w:rPr>
        <mc:AlternateContent>
          <mc:Choice Requires="wpg">
            <w:drawing>
              <wp:anchor distT="0" distB="0" distL="114300" distR="114300" simplePos="0" relativeHeight="251652096" behindDoc="0" locked="0" layoutInCell="1" allowOverlap="1" wp14:anchorId="3CB8BDE3" wp14:editId="16598A3B">
                <wp:simplePos x="0" y="0"/>
                <wp:positionH relativeFrom="column">
                  <wp:posOffset>-405442</wp:posOffset>
                </wp:positionH>
                <wp:positionV relativeFrom="paragraph">
                  <wp:posOffset>433921</wp:posOffset>
                </wp:positionV>
                <wp:extent cx="6996022" cy="1889125"/>
                <wp:effectExtent l="0" t="0" r="33655" b="0"/>
                <wp:wrapNone/>
                <wp:docPr id="1154" name="Group 17"/>
                <wp:cNvGraphicFramePr/>
                <a:graphic xmlns:a="http://schemas.openxmlformats.org/drawingml/2006/main">
                  <a:graphicData uri="http://schemas.microsoft.com/office/word/2010/wordprocessingGroup">
                    <wpg:wgp>
                      <wpg:cNvGrpSpPr/>
                      <wpg:grpSpPr bwMode="auto">
                        <a:xfrm>
                          <a:off x="0" y="0"/>
                          <a:ext cx="6996022" cy="1889125"/>
                          <a:chOff x="0" y="0"/>
                          <a:chExt cx="8807034" cy="1889451"/>
                        </a:xfrm>
                      </wpg:grpSpPr>
                      <wpg:grpSp>
                        <wpg:cNvPr id="1155" name="Group 1155"/>
                        <wpg:cNvGrpSpPr>
                          <a:grpSpLocks/>
                        </wpg:cNvGrpSpPr>
                        <wpg:grpSpPr bwMode="auto">
                          <a:xfrm>
                            <a:off x="14287" y="0"/>
                            <a:ext cx="8792747" cy="838070"/>
                            <a:chOff x="14287" y="0"/>
                            <a:chExt cx="8792747" cy="838070"/>
                          </a:xfrm>
                        </wpg:grpSpPr>
                        <wps:wsp>
                          <wps:cNvPr id="1156" name="TextBox 6"/>
                          <wps:cNvSpPr txBox="1"/>
                          <wps:spPr>
                            <a:xfrm>
                              <a:off x="1981200" y="76188"/>
                              <a:ext cx="2362200" cy="609505"/>
                            </a:xfrm>
                            <a:prstGeom prst="cloud">
                              <a:avLst/>
                            </a:prstGeom>
                            <a:noFill/>
                            <a:ln>
                              <a:solidFill>
                                <a:schemeClr val="tx1"/>
                              </a:solidFill>
                            </a:ln>
                          </wps:spPr>
                          <wps:txbx>
                            <w:txbxContent>
                              <w:p w14:paraId="5999A37F"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color w:val="000000" w:themeColor="text1"/>
                                    <w:kern w:val="24"/>
                                    <w:sz w:val="28"/>
                                    <w:szCs w:val="28"/>
                                  </w:rPr>
                                  <w:t>OUTPUTS</w:t>
                                </w:r>
                              </w:p>
                            </w:txbxContent>
                          </wps:txbx>
                          <wps:bodyPr wrap="square">
                            <a:noAutofit/>
                          </wps:bodyPr>
                        </wps:wsp>
                        <wps:wsp>
                          <wps:cNvPr id="1157" name="TextBox 7"/>
                          <wps:cNvSpPr txBox="1"/>
                          <wps:spPr>
                            <a:xfrm>
                              <a:off x="4419600" y="0"/>
                              <a:ext cx="2590800" cy="609505"/>
                            </a:xfrm>
                            <a:prstGeom prst="cloud">
                              <a:avLst/>
                            </a:prstGeom>
                            <a:noFill/>
                            <a:ln>
                              <a:solidFill>
                                <a:schemeClr val="tx1"/>
                              </a:solidFill>
                            </a:ln>
                          </wps:spPr>
                          <wps:txbx>
                            <w:txbxContent>
                              <w:p w14:paraId="177525DB"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color w:val="000000" w:themeColor="text1"/>
                                    <w:kern w:val="24"/>
                                    <w:sz w:val="28"/>
                                    <w:szCs w:val="28"/>
                                  </w:rPr>
                                  <w:t>OUTCOMES</w:t>
                                </w:r>
                              </w:p>
                            </w:txbxContent>
                          </wps:txbx>
                          <wps:bodyPr wrap="square">
                            <a:noAutofit/>
                          </wps:bodyPr>
                        </wps:wsp>
                        <wps:wsp>
                          <wps:cNvPr id="1158" name="TextBox 8"/>
                          <wps:cNvSpPr txBox="1"/>
                          <wps:spPr>
                            <a:xfrm>
                              <a:off x="6857401" y="228565"/>
                              <a:ext cx="1949633" cy="609505"/>
                            </a:xfrm>
                            <a:prstGeom prst="cloud">
                              <a:avLst/>
                            </a:prstGeom>
                            <a:noFill/>
                            <a:ln>
                              <a:solidFill>
                                <a:schemeClr val="tx1"/>
                              </a:solidFill>
                            </a:ln>
                          </wps:spPr>
                          <wps:txbx>
                            <w:txbxContent>
                              <w:p w14:paraId="3DD19241"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iCs/>
                                    <w:color w:val="000000" w:themeColor="text1"/>
                                    <w:kern w:val="24"/>
                                    <w:sz w:val="28"/>
                                    <w:szCs w:val="28"/>
                                  </w:rPr>
                                  <w:t>IMPACTT</w:t>
                                </w:r>
                              </w:p>
                            </w:txbxContent>
                          </wps:txbx>
                          <wps:bodyPr wrap="square">
                            <a:noAutofit/>
                          </wps:bodyPr>
                        </wps:wsp>
                        <wps:wsp>
                          <wps:cNvPr id="1159" name="TextBox 9"/>
                          <wps:cNvSpPr txBox="1"/>
                          <wps:spPr>
                            <a:xfrm>
                              <a:off x="14287" y="76188"/>
                              <a:ext cx="1981200" cy="609505"/>
                            </a:xfrm>
                            <a:prstGeom prst="cloud">
                              <a:avLst/>
                            </a:prstGeom>
                            <a:noFill/>
                            <a:ln>
                              <a:solidFill>
                                <a:schemeClr val="tx1"/>
                              </a:solidFill>
                            </a:ln>
                          </wps:spPr>
                          <wps:txbx>
                            <w:txbxContent>
                              <w:p w14:paraId="7B7A832C"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iCs/>
                                    <w:color w:val="000000" w:themeColor="text1"/>
                                    <w:kern w:val="24"/>
                                    <w:sz w:val="28"/>
                                    <w:szCs w:val="28"/>
                                  </w:rPr>
                                  <w:t>INPUTS</w:t>
                                </w:r>
                              </w:p>
                            </w:txbxContent>
                          </wps:txbx>
                          <wps:bodyPr wrap="square">
                            <a:noAutofit/>
                          </wps:bodyPr>
                        </wps:wsp>
                      </wpg:grpSp>
                      <wps:wsp>
                        <wps:cNvPr id="1160" name="Left Brace 1160"/>
                        <wps:cNvSpPr/>
                        <wps:spPr>
                          <a:xfrm rot="16200000">
                            <a:off x="1771706" y="-1238389"/>
                            <a:ext cx="723787" cy="4267200"/>
                          </a:xfrm>
                          <a:prstGeom prst="leftBrace">
                            <a:avLst/>
                          </a:prstGeom>
                        </wps:spPr>
                        <wps:style>
                          <a:lnRef idx="1">
                            <a:schemeClr val="accent1"/>
                          </a:lnRef>
                          <a:fillRef idx="0">
                            <a:schemeClr val="accent1"/>
                          </a:fillRef>
                          <a:effectRef idx="0">
                            <a:schemeClr val="accent1"/>
                          </a:effectRef>
                          <a:fontRef idx="minor">
                            <a:schemeClr val="tx1"/>
                          </a:fontRef>
                        </wps:style>
                        <wps:bodyPr anchor="ctr"/>
                      </wps:wsp>
                      <wps:wsp>
                        <wps:cNvPr id="1161" name="TextBox 14"/>
                        <wps:cNvSpPr txBox="1">
                          <a:spLocks noChangeArrowheads="1"/>
                        </wps:cNvSpPr>
                        <wps:spPr bwMode="auto">
                          <a:xfrm>
                            <a:off x="152400" y="1447560"/>
                            <a:ext cx="4419600" cy="4418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E8625" w14:textId="77777777" w:rsidR="00D20DC2" w:rsidRPr="007278AC" w:rsidRDefault="00D20DC2" w:rsidP="00B24B98">
                              <w:pPr>
                                <w:pStyle w:val="NormalWeb"/>
                                <w:spacing w:before="0" w:beforeAutospacing="0" w:after="0" w:afterAutospacing="0"/>
                                <w:jc w:val="center"/>
                                <w:textAlignment w:val="baseline"/>
                                <w:rPr>
                                  <w:sz w:val="28"/>
                                  <w:szCs w:val="28"/>
                                </w:rPr>
                              </w:pPr>
                              <w:r w:rsidRPr="007278AC">
                                <w:rPr>
                                  <w:rFonts w:ascii="Arial" w:hAnsi="Arial" w:cs="Arial"/>
                                  <w:color w:val="000000" w:themeColor="text1"/>
                                  <w:kern w:val="24"/>
                                  <w:sz w:val="28"/>
                                  <w:szCs w:val="28"/>
                                </w:rPr>
                                <w:t>Planned work</w:t>
                              </w:r>
                            </w:p>
                          </w:txbxContent>
                        </wps:txbx>
                        <wps:bodyPr wrap="square">
                          <a:noAutofit/>
                        </wps:bodyPr>
                      </wps:wsp>
                      <wps:wsp>
                        <wps:cNvPr id="1162" name="Left Brace 1162"/>
                        <wps:cNvSpPr/>
                        <wps:spPr>
                          <a:xfrm rot="16200000">
                            <a:off x="6191306" y="-1162201"/>
                            <a:ext cx="723787" cy="4267200"/>
                          </a:xfrm>
                          <a:prstGeom prst="leftBrace">
                            <a:avLst/>
                          </a:prstGeom>
                        </wps:spPr>
                        <wps:style>
                          <a:lnRef idx="1">
                            <a:schemeClr val="accent1"/>
                          </a:lnRef>
                          <a:fillRef idx="0">
                            <a:schemeClr val="accent1"/>
                          </a:fillRef>
                          <a:effectRef idx="0">
                            <a:schemeClr val="accent1"/>
                          </a:effectRef>
                          <a:fontRef idx="minor">
                            <a:schemeClr val="tx1"/>
                          </a:fontRef>
                        </wps:style>
                        <wps:bodyPr anchor="ctr"/>
                      </wps:wsp>
                      <wps:wsp>
                        <wps:cNvPr id="1163" name="TextBox 16"/>
                        <wps:cNvSpPr txBox="1">
                          <a:spLocks noChangeArrowheads="1"/>
                        </wps:cNvSpPr>
                        <wps:spPr bwMode="auto">
                          <a:xfrm>
                            <a:off x="4038600" y="1371150"/>
                            <a:ext cx="4419600" cy="4418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BEA92" w14:textId="77777777" w:rsidR="00D20DC2" w:rsidRPr="007278AC" w:rsidRDefault="00D20DC2" w:rsidP="00B24B98">
                              <w:pPr>
                                <w:pStyle w:val="NormalWeb"/>
                                <w:spacing w:before="0" w:beforeAutospacing="0" w:after="0" w:afterAutospacing="0"/>
                                <w:jc w:val="center"/>
                                <w:textAlignment w:val="baseline"/>
                                <w:rPr>
                                  <w:sz w:val="28"/>
                                  <w:szCs w:val="28"/>
                                </w:rPr>
                              </w:pPr>
                              <w:r w:rsidRPr="007278AC">
                                <w:rPr>
                                  <w:rFonts w:ascii="Arial" w:hAnsi="Arial" w:cs="Arial"/>
                                  <w:color w:val="000000" w:themeColor="text1"/>
                                  <w:kern w:val="24"/>
                                  <w:sz w:val="28"/>
                                  <w:szCs w:val="28"/>
                                </w:rPr>
                                <w:t>Intended results</w:t>
                              </w:r>
                            </w:p>
                          </w:txbxContent>
                        </wps:txbx>
                        <wps:bodyPr wrap="square">
                          <a:noAutofit/>
                        </wps:bodyPr>
                      </wps:wsp>
                    </wpg:wg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3CB8BDE3" id="Group 17" o:spid="_x0000_s1067" style="position:absolute;margin-left:-31.9pt;margin-top:34.15pt;width:550.85pt;height:148.75pt;z-index:251678208;mso-width-relative:margin" coordsize="88070,18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">
                <v:group id="Group 1155" o:spid="_x0000_s1068" style="position:absolute;left:142;width:87928;height:8380" coordorigin="142" coordsize="87927,8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">
                  <v:shape id="TextBox 6" o:spid="_x0000_s1069" style="position:absolute;left:19812;top:761;width:23622;height:6095;visibility:visible;mso-wrap-style:square;v-text-anchor:top"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black [3213]">
                    <v:stroke joinstyle="miter"/>
                    <v:formulas/>
                    <v:path arrowok="t" o:connecttype="custom" o:connectlocs="256616,369329;118110,358084;378827,492387;318241,497762;901026,551517;864500,526968;1576276,490299;1561677,517233;1866193,323856;2043959,424537;2285538,216628;2206360,254384;2095578,76555;2099733,94389;1590001,55758;1630574,33015;1210682,66594;1230313,46983;765528,73253;836613,92272;225667,222766;213254,202745" o:connectangles="0,0,0,0,0,0,0,0,0,0,0,0,0,0,0,0,0,0,0,0,0,0" textboxrect="0,0,43200,43200"/>
                    <v:textbox>
                      <w:txbxContent>
                        <w:p w14:paraId="5999A37F"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color w:val="000000" w:themeColor="text1"/>
                              <w:kern w:val="24"/>
                              <w:sz w:val="28"/>
                              <w:szCs w:val="28"/>
                            </w:rPr>
                            <w:t>OUTPUTS</w:t>
                          </w:r>
                        </w:p>
                      </w:txbxContent>
                    </v:textbox>
                  </v:shape>
                  <v:shape id="TextBox 7" o:spid="_x0000_s1070" style="position:absolute;left:44196;width:25908;height:6095;visibility:visible;mso-wrap-style:square;v-text-anchor:top"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black [3213]">
                    <v:stroke joinstyle="miter"/>
                    <v:formulas/>
                    <v:path arrowok="t" o:connecttype="custom" o:connectlocs="281450,369329;129540,358084;415488,492387;349038,497762;988222,551517;948161,526968;1728819,490299;1712807,517233;2046792,323856;2241762,424537;2506719,216628;2419879,254384;2298375,76555;2302933,94389;1743872,55758;1788372,33015;1327845,66594;1349375,46983;839611,73253;917575,92272;247505,222766;233892,202745" o:connectangles="0,0,0,0,0,0,0,0,0,0,0,0,0,0,0,0,0,0,0,0,0,0" textboxrect="0,0,43200,43200"/>
                    <v:textbox>
                      <w:txbxContent>
                        <w:p w14:paraId="177525DB"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color w:val="000000" w:themeColor="text1"/>
                              <w:kern w:val="24"/>
                              <w:sz w:val="28"/>
                              <w:szCs w:val="28"/>
                            </w:rPr>
                            <w:t>OUTCOMES</w:t>
                          </w:r>
                        </w:p>
                      </w:txbxContent>
                    </v:textbox>
                  </v:shape>
                  <v:shape id="TextBox 8" o:spid="_x0000_s1071" style="position:absolute;left:68574;top:2285;width:19496;height:6095;visibility:visible;mso-wrap-style:square;v-text-anchor:top"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black [3213]">
                    <v:stroke joinstyle="miter"/>
                    <v:formulas/>
                    <v:path arrowok="t" o:connecttype="custom" o:connectlocs="211797,369329;97482,358084;312663,492387;262659,497762;743659,551517;713512,526968;1300974,490299;1288924,517233;1540255,323856;1686974,424537;1886360,216628;1821011,254384;1729577,76555;1733007,94389;1312302,55758;1345788,33015;999232,66594;1015434,46983;631826,73253;690495,92272;186253,222766;176009,202745" o:connectangles="0,0,0,0,0,0,0,0,0,0,0,0,0,0,0,0,0,0,0,0,0,0" textboxrect="0,0,43200,43200"/>
                    <v:textbox>
                      <w:txbxContent>
                        <w:p w14:paraId="3DD19241"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iCs/>
                              <w:color w:val="000000" w:themeColor="text1"/>
                              <w:kern w:val="24"/>
                              <w:sz w:val="28"/>
                              <w:szCs w:val="28"/>
                            </w:rPr>
                            <w:t>IMPACTT</w:t>
                          </w:r>
                        </w:p>
                      </w:txbxContent>
                    </v:textbox>
                  </v:shape>
                  <v:shape id="TextBox 9" o:spid="_x0000_s1072" style="position:absolute;left:142;top:761;width:19812;height:6095;visibility:visible;mso-wrap-style:square;v-text-anchor:top"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black [3213]">
                    <v:stroke joinstyle="miter"/>
                    <v:formulas/>
                    <v:path arrowok="t" o:connecttype="custom" o:connectlocs="215226,369329;99060,358084;317726,492387;266912,497762;755699,551517;725064,526968;1322038,490299;1309793,517233;1565194,323856;1714288,424537;1916903,216628;1850496,254384;1757581,76555;1761067,94389;1333549,55758;1367578,33015;1015411,66594;1031875,46983;642056,73253;701675,92272;189269,222766;178858,202745" o:connectangles="0,0,0,0,0,0,0,0,0,0,0,0,0,0,0,0,0,0,0,0,0,0" textboxrect="0,0,43200,43200"/>
                    <v:textbox>
                      <w:txbxContent>
                        <w:p w14:paraId="7B7A832C" w14:textId="77777777" w:rsidR="00D20DC2" w:rsidRPr="007278AC" w:rsidRDefault="00D20DC2" w:rsidP="00B24B98">
                          <w:pPr>
                            <w:pStyle w:val="NormalWeb"/>
                            <w:kinsoku w:val="0"/>
                            <w:overflowPunct w:val="0"/>
                            <w:spacing w:before="0" w:beforeAutospacing="0" w:after="0" w:afterAutospacing="0"/>
                            <w:jc w:val="center"/>
                            <w:rPr>
                              <w:sz w:val="28"/>
                              <w:szCs w:val="28"/>
                            </w:rPr>
                          </w:pPr>
                          <w:r w:rsidRPr="007278AC">
                            <w:rPr>
                              <w:rFonts w:asciiTheme="minorHAnsi" w:hAnsi="Calibri" w:cstheme="minorBidi"/>
                              <w:b/>
                              <w:bCs/>
                              <w:iCs/>
                              <w:color w:val="000000" w:themeColor="text1"/>
                              <w:kern w:val="24"/>
                              <w:sz w:val="28"/>
                              <w:szCs w:val="28"/>
                            </w:rPr>
                            <w:t>INPUTS</w:t>
                          </w:r>
                        </w:p>
                      </w:txbxContent>
                    </v:textbox>
                  </v:shape>
                </v:group>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160" o:spid="_x0000_s1073" type="#_x0000_t87" style="position:absolute;left:17717;top:-12384;width:7238;height:4267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" adj="305" strokecolor="#4579b8 [3044]"/>
                <v:shape id="TextBox 14" o:spid="_x0000_s1074" type="#_x0000_t202" style="position:absolute;left:1524;top:14475;width:44196;height:4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" filled="f" stroked="f">
                  <v:textbox>
                    <w:txbxContent>
                      <w:p w14:paraId="7E0E8625" w14:textId="77777777" w:rsidR="00D20DC2" w:rsidRPr="007278AC" w:rsidRDefault="00D20DC2" w:rsidP="00B24B98">
                        <w:pPr>
                          <w:pStyle w:val="NormalWeb"/>
                          <w:spacing w:before="0" w:beforeAutospacing="0" w:after="0" w:afterAutospacing="0"/>
                          <w:jc w:val="center"/>
                          <w:textAlignment w:val="baseline"/>
                          <w:rPr>
                            <w:sz w:val="28"/>
                            <w:szCs w:val="28"/>
                          </w:rPr>
                        </w:pPr>
                        <w:r w:rsidRPr="007278AC">
                          <w:rPr>
                            <w:rFonts w:ascii="Arial" w:hAnsi="Arial" w:cs="Arial"/>
                            <w:color w:val="000000" w:themeColor="text1"/>
                            <w:kern w:val="24"/>
                            <w:sz w:val="28"/>
                            <w:szCs w:val="28"/>
                          </w:rPr>
                          <w:t>Planned work</w:t>
                        </w:r>
                      </w:p>
                    </w:txbxContent>
                  </v:textbox>
                </v:shape>
                <v:shape id="Left Brace 1162" o:spid="_x0000_s1075" type="#_x0000_t87" style="position:absolute;left:61913;top:-11622;width:7237;height:4267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" adj="305" strokecolor="#4579b8 [3044]"/>
                <v:shape id="TextBox 16" o:spid="_x0000_s1076" type="#_x0000_t202" style="position:absolute;left:40386;top:13711;width:44196;height:4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" filled="f" stroked="f">
                  <v:textbox>
                    <w:txbxContent>
                      <w:p w14:paraId="5CFBEA92" w14:textId="77777777" w:rsidR="00D20DC2" w:rsidRPr="007278AC" w:rsidRDefault="00D20DC2" w:rsidP="00B24B98">
                        <w:pPr>
                          <w:pStyle w:val="NormalWeb"/>
                          <w:spacing w:before="0" w:beforeAutospacing="0" w:after="0" w:afterAutospacing="0"/>
                          <w:jc w:val="center"/>
                          <w:textAlignment w:val="baseline"/>
                          <w:rPr>
                            <w:sz w:val="28"/>
                            <w:szCs w:val="28"/>
                          </w:rPr>
                        </w:pPr>
                        <w:r w:rsidRPr="007278AC">
                          <w:rPr>
                            <w:rFonts w:ascii="Arial" w:hAnsi="Arial" w:cs="Arial"/>
                            <w:color w:val="000000" w:themeColor="text1"/>
                            <w:kern w:val="24"/>
                            <w:sz w:val="28"/>
                            <w:szCs w:val="28"/>
                          </w:rPr>
                          <w:t>Intended results</w:t>
                        </w:r>
                      </w:p>
                    </w:txbxContent>
                  </v:textbox>
                </v:shape>
              </v:group>
            </w:pict>
          </mc:Fallback>
        </mc:AlternateContent>
      </w:r>
    </w:p>
    <w:p w14:paraId="74C63078" w14:textId="77777777" w:rsidR="00B24B98" w:rsidRPr="00280784" w:rsidRDefault="00B24B98" w:rsidP="00B24B98">
      <w:pPr>
        <w:rPr>
          <w:rFonts w:ascii="Californian FB" w:hAnsi="Californian FB"/>
          <w:sz w:val="24"/>
          <w:szCs w:val="24"/>
        </w:rPr>
      </w:pPr>
    </w:p>
    <w:p w14:paraId="723E71DD" w14:textId="77777777" w:rsidR="00B24B98" w:rsidRPr="00280784" w:rsidRDefault="00B24B98" w:rsidP="00B24B98">
      <w:pPr>
        <w:rPr>
          <w:rFonts w:ascii="Californian FB" w:hAnsi="Californian FB"/>
          <w:sz w:val="24"/>
          <w:szCs w:val="24"/>
        </w:rPr>
      </w:pPr>
    </w:p>
    <w:p w14:paraId="60A3184E" w14:textId="77777777" w:rsidR="00B24B98" w:rsidRPr="00280784" w:rsidRDefault="00B24B98" w:rsidP="00B24B98">
      <w:pPr>
        <w:rPr>
          <w:rFonts w:ascii="Californian FB" w:hAnsi="Californian FB"/>
          <w:sz w:val="24"/>
          <w:szCs w:val="24"/>
        </w:rPr>
      </w:pPr>
    </w:p>
    <w:p w14:paraId="6BE84D43" w14:textId="77777777" w:rsidR="00B24B98" w:rsidRPr="00280784" w:rsidRDefault="00B24B98" w:rsidP="00B24B98">
      <w:pPr>
        <w:rPr>
          <w:rFonts w:ascii="Californian FB" w:hAnsi="Californian FB"/>
          <w:sz w:val="24"/>
          <w:szCs w:val="24"/>
        </w:rPr>
      </w:pPr>
    </w:p>
    <w:p w14:paraId="49E8F6E1" w14:textId="77777777" w:rsidR="00B24B98" w:rsidRPr="00280784" w:rsidRDefault="00B24B98" w:rsidP="00B24B98">
      <w:pPr>
        <w:rPr>
          <w:rFonts w:ascii="Californian FB" w:hAnsi="Californian FB"/>
          <w:sz w:val="24"/>
          <w:szCs w:val="24"/>
        </w:rPr>
      </w:pPr>
    </w:p>
    <w:p w14:paraId="0953F307" w14:textId="77777777" w:rsidR="00B24B98" w:rsidRPr="00280784" w:rsidRDefault="00B24B98" w:rsidP="00B24B98">
      <w:pPr>
        <w:rPr>
          <w:rFonts w:ascii="Californian FB" w:hAnsi="Californian FB"/>
          <w:sz w:val="24"/>
          <w:szCs w:val="24"/>
        </w:rPr>
      </w:pPr>
    </w:p>
    <w:p w14:paraId="749F0C7C" w14:textId="77777777" w:rsidR="00B24B98" w:rsidRPr="00280784" w:rsidRDefault="00B24B98" w:rsidP="00B24B98">
      <w:pPr>
        <w:pStyle w:val="Caption"/>
        <w:spacing w:after="0"/>
        <w:jc w:val="center"/>
        <w:rPr>
          <w:rFonts w:ascii="Californian FB" w:hAnsi="Californian FB"/>
          <w:sz w:val="24"/>
          <w:szCs w:val="24"/>
        </w:rPr>
      </w:pPr>
      <w:r>
        <w:rPr>
          <w:rFonts w:ascii="Californian FB" w:hAnsi="Californian FB"/>
          <w:sz w:val="24"/>
          <w:szCs w:val="24"/>
        </w:rPr>
        <w:t xml:space="preserve">Figure…: </w:t>
      </w:r>
      <w:r w:rsidRPr="00280784">
        <w:rPr>
          <w:rFonts w:ascii="Californian FB" w:hAnsi="Californian FB"/>
          <w:sz w:val="24"/>
          <w:szCs w:val="24"/>
        </w:rPr>
        <w:t>A logic model</w:t>
      </w:r>
    </w:p>
    <w:p w14:paraId="14AEF30D" w14:textId="77777777" w:rsidR="00B24B98" w:rsidRPr="00280784" w:rsidRDefault="00B24B98" w:rsidP="00B24B98">
      <w:pPr>
        <w:tabs>
          <w:tab w:val="num" w:pos="720"/>
        </w:tabs>
        <w:rPr>
          <w:rFonts w:ascii="Californian FB" w:hAnsi="Californian FB"/>
          <w:sz w:val="24"/>
          <w:szCs w:val="24"/>
        </w:rPr>
      </w:pPr>
      <w:r w:rsidRPr="00280784">
        <w:rPr>
          <w:rFonts w:ascii="Californian FB" w:hAnsi="Californian FB"/>
          <w:sz w:val="24"/>
          <w:szCs w:val="24"/>
        </w:rPr>
        <w:t>The critical elements to be monitored are alongside: Resources (inputs); Service statistics; Service coverage/Outcomes; Client/Patient outcomes (behavior change, morbidity); Investment output targets; Access to services; and impact assessment.</w:t>
      </w:r>
    </w:p>
    <w:p w14:paraId="16AEF2E5" w14:textId="77777777" w:rsidR="00B24B98" w:rsidRDefault="00B24B98" w:rsidP="00B24B98">
      <w:pPr>
        <w:tabs>
          <w:tab w:val="num" w:pos="720"/>
        </w:tabs>
        <w:rPr>
          <w:rFonts w:ascii="Californian FB" w:hAnsi="Californian FB"/>
          <w:sz w:val="24"/>
          <w:szCs w:val="24"/>
        </w:rPr>
      </w:pPr>
      <w:r w:rsidRPr="00280784">
        <w:rPr>
          <w:rFonts w:ascii="Californian FB" w:hAnsi="Californian FB"/>
          <w:noProof/>
          <w:sz w:val="24"/>
          <w:szCs w:val="24"/>
        </w:rPr>
        <w:lastRenderedPageBreak/>
        <w:drawing>
          <wp:inline distT="0" distB="0" distL="0" distR="0" wp14:anchorId="0418A7F8" wp14:editId="40F080DA">
            <wp:extent cx="6219645" cy="3804249"/>
            <wp:effectExtent l="0" t="57150" r="0" b="82550"/>
            <wp:docPr id="1168" name="Diagram 1168">
              <a:extLst xmlns:a="http://schemas.openxmlformats.org/drawingml/2006/main"/>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14:paraId="50A9055F" w14:textId="77777777" w:rsidR="00B24B98" w:rsidRPr="00280784" w:rsidRDefault="00B24B98" w:rsidP="00B24B98">
      <w:pPr>
        <w:pStyle w:val="Caption"/>
        <w:spacing w:after="0"/>
        <w:jc w:val="center"/>
        <w:rPr>
          <w:rFonts w:ascii="Californian FB" w:hAnsi="Californian FB"/>
          <w:sz w:val="24"/>
          <w:szCs w:val="24"/>
        </w:rPr>
      </w:pPr>
      <w:r>
        <w:rPr>
          <w:rFonts w:ascii="Californian FB" w:hAnsi="Californian FB"/>
          <w:sz w:val="24"/>
          <w:szCs w:val="24"/>
        </w:rPr>
        <w:t xml:space="preserve">Figure….: </w:t>
      </w:r>
      <w:r w:rsidRPr="00280784">
        <w:rPr>
          <w:rFonts w:ascii="Californian FB" w:hAnsi="Californian FB"/>
          <w:sz w:val="24"/>
          <w:szCs w:val="24"/>
        </w:rPr>
        <w:t>The expected areas of population health outcomes</w:t>
      </w:r>
    </w:p>
    <w:p w14:paraId="7F3FE09B" w14:textId="77777777" w:rsidR="00B24B98" w:rsidRDefault="00B24B98" w:rsidP="00B24B98">
      <w:pPr>
        <w:tabs>
          <w:tab w:val="num" w:pos="720"/>
        </w:tabs>
        <w:rPr>
          <w:rFonts w:ascii="Californian FB" w:hAnsi="Californian FB"/>
          <w:sz w:val="24"/>
          <w:szCs w:val="24"/>
        </w:rPr>
      </w:pPr>
    </w:p>
    <w:p w14:paraId="50988501" w14:textId="77777777" w:rsidR="00B24B98" w:rsidRPr="00280784" w:rsidRDefault="00B24B98" w:rsidP="00B24B98">
      <w:pPr>
        <w:tabs>
          <w:tab w:val="num" w:pos="720"/>
        </w:tabs>
        <w:rPr>
          <w:rFonts w:ascii="Californian FB" w:hAnsi="Californian FB"/>
          <w:sz w:val="24"/>
          <w:szCs w:val="24"/>
        </w:rPr>
      </w:pPr>
      <w:r>
        <w:rPr>
          <w:rFonts w:ascii="Californian FB" w:hAnsi="Californian FB"/>
          <w:sz w:val="24"/>
          <w:szCs w:val="24"/>
        </w:rPr>
        <w:t>Result Framework</w:t>
      </w:r>
    </w:p>
    <w:p w14:paraId="06336A62" w14:textId="77777777" w:rsidR="00B24B98" w:rsidRDefault="00B24B98" w:rsidP="00B24B98">
      <w:pPr>
        <w:rPr>
          <w:rFonts w:ascii="Californian FB" w:hAnsi="Californian FB"/>
          <w:sz w:val="24"/>
          <w:szCs w:val="24"/>
        </w:rPr>
      </w:pPr>
      <w:r w:rsidRPr="00C05E11">
        <w:rPr>
          <w:rFonts w:ascii="Times New Roman" w:eastAsia="MS Mincho" w:hAnsi="Times New Roman" w:cs="Times New Roman"/>
          <w:noProof/>
          <w:sz w:val="24"/>
          <w:szCs w:val="24"/>
        </w:rPr>
        <w:lastRenderedPageBreak/>
        <w:drawing>
          <wp:anchor distT="0" distB="0" distL="114300" distR="114300" simplePos="0" relativeHeight="251653120" behindDoc="1" locked="0" layoutInCell="1" allowOverlap="1" wp14:anchorId="658C0808" wp14:editId="481CF6C5">
            <wp:simplePos x="0" y="0"/>
            <wp:positionH relativeFrom="column">
              <wp:posOffset>-635</wp:posOffset>
            </wp:positionH>
            <wp:positionV relativeFrom="paragraph">
              <wp:posOffset>259715</wp:posOffset>
            </wp:positionV>
            <wp:extent cx="4786630" cy="3545840"/>
            <wp:effectExtent l="0" t="0" r="0" b="0"/>
            <wp:wrapTight wrapText="bothSides">
              <wp:wrapPolygon edited="0">
                <wp:start x="0" y="0"/>
                <wp:lineTo x="0" y="21468"/>
                <wp:lineTo x="21491" y="21468"/>
                <wp:lineTo x="21491" y="0"/>
                <wp:lineTo x="0" y="0"/>
              </wp:wrapPolygon>
            </wp:wrapTight>
            <wp:docPr id="11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86630" cy="3545840"/>
                    </a:xfrm>
                    <a:prstGeom prst="rect">
                      <a:avLst/>
                    </a:prstGeom>
                    <a:noFill/>
                  </pic:spPr>
                </pic:pic>
              </a:graphicData>
            </a:graphic>
            <wp14:sizeRelH relativeFrom="page">
              <wp14:pctWidth>0</wp14:pctWidth>
            </wp14:sizeRelH>
            <wp14:sizeRelV relativeFrom="page">
              <wp14:pctHeight>0</wp14:pctHeight>
            </wp14:sizeRelV>
          </wp:anchor>
        </w:drawing>
      </w:r>
    </w:p>
    <w:p w14:paraId="7D84DE1B" w14:textId="77777777" w:rsidR="00B24B98" w:rsidRDefault="00B24B98" w:rsidP="00B24B98">
      <w:pPr>
        <w:rPr>
          <w:rFonts w:ascii="Californian FB" w:hAnsi="Californian FB"/>
          <w:sz w:val="24"/>
          <w:szCs w:val="24"/>
        </w:rPr>
      </w:pPr>
    </w:p>
    <w:p w14:paraId="6D49ADF6" w14:textId="77777777" w:rsidR="00B24B98" w:rsidRDefault="00B24B98" w:rsidP="00B24B98">
      <w:pPr>
        <w:rPr>
          <w:rFonts w:ascii="Californian FB" w:hAnsi="Californian FB"/>
          <w:sz w:val="24"/>
          <w:szCs w:val="24"/>
        </w:rPr>
      </w:pPr>
    </w:p>
    <w:p w14:paraId="3EA3B5D2" w14:textId="77777777" w:rsidR="00B24B98" w:rsidRPr="00C05E11" w:rsidRDefault="00B24B98" w:rsidP="00B24B98">
      <w:pPr>
        <w:spacing w:after="0" w:line="240" w:lineRule="auto"/>
        <w:jc w:val="both"/>
        <w:rPr>
          <w:rFonts w:ascii="Arial Narrow" w:eastAsia="MS Mincho" w:hAnsi="Arial Narrow" w:cs="Tahoma"/>
          <w:b/>
          <w:sz w:val="20"/>
          <w:szCs w:val="20"/>
          <w:lang w:eastAsia="ja-JP"/>
        </w:rPr>
      </w:pPr>
      <w:r w:rsidRPr="00C05E11">
        <w:rPr>
          <w:rFonts w:ascii="Arial Narrow" w:eastAsia="MS Mincho" w:hAnsi="Arial Narrow" w:cs="Tahoma"/>
          <w:b/>
          <w:sz w:val="20"/>
          <w:szCs w:val="20"/>
          <w:lang w:eastAsia="ja-JP"/>
        </w:rPr>
        <w:t>Results Framework (if applicable)</w:t>
      </w:r>
    </w:p>
    <w:p w14:paraId="29831215" w14:textId="77777777" w:rsidR="00B24B98" w:rsidRPr="00C05E11" w:rsidRDefault="00B24B98" w:rsidP="00B24B98">
      <w:pPr>
        <w:spacing w:after="0" w:line="240" w:lineRule="auto"/>
        <w:jc w:val="both"/>
        <w:rPr>
          <w:rFonts w:ascii="Arial Narrow" w:eastAsia="MS Mincho" w:hAnsi="Arial Narrow" w:cs="Tahoma"/>
          <w:sz w:val="20"/>
          <w:szCs w:val="20"/>
          <w:lang w:eastAsia="ja-JP"/>
        </w:rPr>
      </w:pPr>
    </w:p>
    <w:p w14:paraId="24596C79"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b/>
          <w:bCs/>
          <w:sz w:val="16"/>
          <w:szCs w:val="24"/>
          <w:lang w:eastAsia="ja-JP"/>
        </w:rPr>
        <w:t>Health Impact</w:t>
      </w:r>
    </w:p>
    <w:p w14:paraId="15A32451" w14:textId="77777777" w:rsidR="00B24B98" w:rsidRPr="00C05E11" w:rsidRDefault="00B24B98" w:rsidP="00B24B98">
      <w:pPr>
        <w:spacing w:after="0" w:line="240" w:lineRule="auto"/>
        <w:rPr>
          <w:rFonts w:ascii="Arial Narrow" w:eastAsia="MS Mincho" w:hAnsi="Arial Narrow" w:cs="Arial"/>
          <w:sz w:val="16"/>
          <w:szCs w:val="24"/>
          <w:lang w:eastAsia="ja-JP"/>
        </w:rPr>
      </w:pPr>
    </w:p>
    <w:p w14:paraId="2EB50068"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Level and distribution</w:t>
      </w:r>
    </w:p>
    <w:p w14:paraId="70DD6C78"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9973DDD"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3A2D344E"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33C7943"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b/>
          <w:bCs/>
          <w:sz w:val="16"/>
          <w:szCs w:val="24"/>
          <w:lang w:eastAsia="ja-JP"/>
        </w:rPr>
        <w:t>Health Outcomes</w:t>
      </w:r>
    </w:p>
    <w:p w14:paraId="7204F2E0" w14:textId="77777777" w:rsidR="00B24B98" w:rsidRPr="00C05E11" w:rsidRDefault="00B24B98" w:rsidP="00B24B98">
      <w:pPr>
        <w:spacing w:after="0" w:line="240" w:lineRule="auto"/>
        <w:rPr>
          <w:rFonts w:ascii="Arial Narrow" w:eastAsia="MS Mincho" w:hAnsi="Arial Narrow" w:cs="Arial"/>
          <w:sz w:val="16"/>
          <w:szCs w:val="24"/>
          <w:lang w:eastAsia="ja-JP"/>
        </w:rPr>
      </w:pPr>
    </w:p>
    <w:p w14:paraId="42E67F06" w14:textId="77777777" w:rsidR="00B24B98" w:rsidRPr="00C05E11" w:rsidRDefault="00B24B98" w:rsidP="00B24B98">
      <w:pPr>
        <w:spacing w:after="0" w:line="240" w:lineRule="auto"/>
        <w:rPr>
          <w:rFonts w:ascii="Arial Narrow" w:eastAsia="MS Mincho" w:hAnsi="Arial Narrow" w:cs="Arial"/>
          <w:sz w:val="16"/>
          <w:szCs w:val="24"/>
          <w:lang w:eastAsia="ja-JP"/>
        </w:rPr>
      </w:pPr>
    </w:p>
    <w:p w14:paraId="1FA3E891"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Status and distribution of indicator targets across 6 outcome areas</w:t>
      </w:r>
    </w:p>
    <w:p w14:paraId="6E1DBEEA"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063218B6"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4AEAC1C7"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2B18C9F5"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1088D99"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02D1F5D" w14:textId="77777777" w:rsidR="00B24B98" w:rsidRPr="00C05E11" w:rsidRDefault="00B24B98" w:rsidP="00B24B98">
      <w:pPr>
        <w:spacing w:after="0" w:line="240" w:lineRule="auto"/>
        <w:rPr>
          <w:rFonts w:ascii="Arial Narrow" w:eastAsia="MS Mincho" w:hAnsi="Arial Narrow" w:cs="Arial"/>
          <w:b/>
          <w:bCs/>
          <w:sz w:val="16"/>
          <w:szCs w:val="24"/>
          <w:lang w:eastAsia="ja-JP"/>
        </w:rPr>
      </w:pPr>
      <w:r w:rsidRPr="00C05E11">
        <w:rPr>
          <w:rFonts w:ascii="Times New Roman" w:eastAsia="MS Mincho" w:hAnsi="Times New Roman" w:cs="Times New Roman"/>
          <w:noProof/>
          <w:sz w:val="24"/>
          <w:szCs w:val="24"/>
        </w:rPr>
        <mc:AlternateContent>
          <mc:Choice Requires="wps">
            <w:drawing>
              <wp:anchor distT="0" distB="0" distL="114300" distR="114300" simplePos="0" relativeHeight="251654144" behindDoc="0" locked="0" layoutInCell="1" allowOverlap="1" wp14:anchorId="1A33B192" wp14:editId="4C2FE4E3">
                <wp:simplePos x="0" y="0"/>
                <wp:positionH relativeFrom="column">
                  <wp:posOffset>-3221990</wp:posOffset>
                </wp:positionH>
                <wp:positionV relativeFrom="paragraph">
                  <wp:posOffset>668655</wp:posOffset>
                </wp:positionV>
                <wp:extent cx="4368800" cy="152400"/>
                <wp:effectExtent l="0" t="0" r="0" b="1905"/>
                <wp:wrapTight wrapText="bothSides">
                  <wp:wrapPolygon edited="0">
                    <wp:start x="0" y="0"/>
                    <wp:lineTo x="0" y="18783"/>
                    <wp:lineTo x="21474" y="18783"/>
                    <wp:lineTo x="21474" y="0"/>
                    <wp:lineTo x="0" y="0"/>
                  </wp:wrapPolygon>
                </wp:wrapTight>
                <wp:docPr id="116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732436" w14:textId="77777777" w:rsidR="00D20DC2" w:rsidRDefault="00D20DC2" w:rsidP="00B24B98">
                            <w:pPr>
                              <w:pStyle w:val="Caption"/>
                              <w:spacing w:after="0"/>
                              <w:rPr>
                                <w:rFonts w:ascii="Arial Narrow" w:hAnsi="Arial Narrow" w:cs="Arial"/>
                                <w:b/>
                                <w:i w:val="0"/>
                                <w:noProof/>
                                <w:sz w:val="20"/>
                                <w:szCs w:val="24"/>
                              </w:rPr>
                            </w:pPr>
                            <w:r>
                              <w:rPr>
                                <w:rFonts w:ascii="Arial Narrow" w:hAnsi="Arial Narrow"/>
                                <w:b/>
                                <w:i w:val="0"/>
                              </w:rPr>
                              <w:t xml:space="preserve">Figure </w:t>
                            </w:r>
                            <w:r>
                              <w:rPr>
                                <w:rFonts w:ascii="Arial Narrow" w:hAnsi="Arial Narrow"/>
                                <w:b/>
                                <w:i w:val="0"/>
                              </w:rPr>
                              <w:fldChar w:fldCharType="begin"/>
                            </w:r>
                            <w:r>
                              <w:rPr>
                                <w:rFonts w:ascii="Arial Narrow" w:hAnsi="Arial Narrow"/>
                                <w:b/>
                                <w:i w:val="0"/>
                              </w:rPr>
                              <w:instrText xml:space="preserve"> SEQ Figure \* ARABIC </w:instrText>
                            </w:r>
                            <w:r>
                              <w:rPr>
                                <w:rFonts w:ascii="Arial Narrow" w:hAnsi="Arial Narrow"/>
                                <w:b/>
                                <w:i w:val="0"/>
                              </w:rPr>
                              <w:fldChar w:fldCharType="separate"/>
                            </w:r>
                            <w:r>
                              <w:rPr>
                                <w:rFonts w:ascii="Arial Narrow" w:hAnsi="Arial Narrow"/>
                                <w:b/>
                                <w:i w:val="0"/>
                                <w:noProof/>
                              </w:rPr>
                              <w:t>3</w:t>
                            </w:r>
                            <w:r>
                              <w:rPr>
                                <w:rFonts w:ascii="Arial Narrow" w:hAnsi="Arial Narrow"/>
                                <w:b/>
                                <w:i w:val="0"/>
                              </w:rPr>
                              <w:fldChar w:fldCharType="end"/>
                            </w:r>
                            <w:r>
                              <w:rPr>
                                <w:rFonts w:ascii="Arial Narrow" w:hAnsi="Arial Narrow"/>
                                <w:b/>
                                <w:i w:val="0"/>
                              </w:rPr>
                              <w:t>: Results framework: Monitoring progress towards UHC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1A33B192" id="Text Box 31" o:spid="_x0000_s1077" type="#_x0000_t202" style="position:absolute;margin-left:-253.7pt;margin-top:52.65pt;width:344pt;height:1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" stroked="f">
                <v:textbox style="mso-fit-shape-to-text:t" inset="0,0,0,0">
                  <w:txbxContent>
                    <w:p w14:paraId="33732436" w14:textId="77777777" w:rsidR="00D20DC2" w:rsidRDefault="00D20DC2" w:rsidP="00B24B98">
                      <w:pPr>
                        <w:pStyle w:val="Caption"/>
                        <w:spacing w:after="0"/>
                        <w:rPr>
                          <w:rFonts w:ascii="Arial Narrow" w:hAnsi="Arial Narrow" w:cs="Arial"/>
                          <w:b/>
                          <w:i w:val="0"/>
                          <w:noProof/>
                          <w:sz w:val="20"/>
                          <w:szCs w:val="24"/>
                        </w:rPr>
                      </w:pPr>
                      <w:r>
                        <w:rPr>
                          <w:rFonts w:ascii="Arial Narrow" w:hAnsi="Arial Narrow"/>
                          <w:b/>
                          <w:i w:val="0"/>
                        </w:rPr>
                        <w:t xml:space="preserve">Figure </w:t>
                      </w:r>
                      <w:r>
                        <w:rPr>
                          <w:rFonts w:ascii="Arial Narrow" w:hAnsi="Arial Narrow"/>
                          <w:b/>
                          <w:i w:val="0"/>
                        </w:rPr>
                        <w:fldChar w:fldCharType="begin"/>
                      </w:r>
                      <w:r>
                        <w:rPr>
                          <w:rFonts w:ascii="Arial Narrow" w:hAnsi="Arial Narrow"/>
                          <w:b/>
                          <w:i w:val="0"/>
                        </w:rPr>
                        <w:instrText xml:space="preserve"> SEQ Figure \* ARABIC </w:instrText>
                      </w:r>
                      <w:r>
                        <w:rPr>
                          <w:rFonts w:ascii="Arial Narrow" w:hAnsi="Arial Narrow"/>
                          <w:b/>
                          <w:i w:val="0"/>
                        </w:rPr>
                        <w:fldChar w:fldCharType="separate"/>
                      </w:r>
                      <w:r>
                        <w:rPr>
                          <w:rFonts w:ascii="Arial Narrow" w:hAnsi="Arial Narrow"/>
                          <w:b/>
                          <w:i w:val="0"/>
                          <w:noProof/>
                        </w:rPr>
                        <w:t>3</w:t>
                      </w:r>
                      <w:r>
                        <w:rPr>
                          <w:rFonts w:ascii="Arial Narrow" w:hAnsi="Arial Narrow"/>
                          <w:b/>
                          <w:i w:val="0"/>
                        </w:rPr>
                        <w:fldChar w:fldCharType="end"/>
                      </w:r>
                      <w:r>
                        <w:rPr>
                          <w:rFonts w:ascii="Arial Narrow" w:hAnsi="Arial Narrow"/>
                          <w:b/>
                          <w:i w:val="0"/>
                        </w:rPr>
                        <w:t>: Results framework: Monitoring progress towards UHC</w:t>
                      </w:r>
                    </w:p>
                  </w:txbxContent>
                </v:textbox>
                <w10:wrap type="tight"/>
              </v:shape>
            </w:pict>
          </mc:Fallback>
        </mc:AlternateContent>
      </w:r>
    </w:p>
    <w:p w14:paraId="0E192B7F"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6A67296"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6A86E152"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537EF828"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b/>
          <w:bCs/>
          <w:sz w:val="16"/>
          <w:szCs w:val="24"/>
          <w:lang w:eastAsia="ja-JP"/>
        </w:rPr>
        <w:t>System Performance</w:t>
      </w:r>
    </w:p>
    <w:p w14:paraId="4902E98D"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Status and distribution of indicator targets across 4 performance areas</w:t>
      </w:r>
    </w:p>
    <w:p w14:paraId="0FC6A9F5"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5372C66A"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7532A300"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32A436AE"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60D27877"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05646379"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b/>
          <w:bCs/>
          <w:sz w:val="16"/>
          <w:szCs w:val="24"/>
          <w:lang w:eastAsia="ja-JP"/>
        </w:rPr>
        <w:t>Health Investments</w:t>
      </w:r>
    </w:p>
    <w:p w14:paraId="7748BE31"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Status of indicators across 7 investment areas</w:t>
      </w:r>
    </w:p>
    <w:p w14:paraId="3CB56892"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Progress of actions across 7 investment areas</w:t>
      </w:r>
    </w:p>
    <w:p w14:paraId="16796BCE" w14:textId="77777777" w:rsidR="00B24B98" w:rsidRPr="00C05E11" w:rsidRDefault="00B24B98" w:rsidP="00B24B98">
      <w:pPr>
        <w:spacing w:after="0" w:line="240" w:lineRule="auto"/>
        <w:rPr>
          <w:rFonts w:ascii="Arial Narrow" w:eastAsia="MS Mincho" w:hAnsi="Arial Narrow" w:cs="Arial"/>
          <w:b/>
          <w:bCs/>
          <w:sz w:val="16"/>
          <w:szCs w:val="24"/>
          <w:lang w:eastAsia="ja-JP"/>
        </w:rPr>
      </w:pPr>
    </w:p>
    <w:p w14:paraId="4B296B3E"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b/>
          <w:bCs/>
          <w:sz w:val="16"/>
          <w:szCs w:val="24"/>
          <w:lang w:eastAsia="ja-JP"/>
        </w:rPr>
        <w:t>Health Sector Performance</w:t>
      </w:r>
    </w:p>
    <w:p w14:paraId="0F040637"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Efficiency across logical chain</w:t>
      </w:r>
    </w:p>
    <w:p w14:paraId="286F138B" w14:textId="77777777" w:rsidR="00B24B98" w:rsidRPr="00C05E11" w:rsidRDefault="00B24B98" w:rsidP="00B24B98">
      <w:pPr>
        <w:spacing w:after="0" w:line="240" w:lineRule="auto"/>
        <w:rPr>
          <w:rFonts w:ascii="Arial Narrow" w:eastAsia="MS Mincho" w:hAnsi="Arial Narrow" w:cs="Arial"/>
          <w:sz w:val="16"/>
          <w:szCs w:val="24"/>
          <w:lang w:eastAsia="ja-JP"/>
        </w:rPr>
      </w:pPr>
      <w:r w:rsidRPr="00C05E11">
        <w:rPr>
          <w:rFonts w:ascii="Arial Narrow" w:eastAsia="MS Mincho" w:hAnsi="Arial Narrow" w:cs="Arial"/>
          <w:sz w:val="16"/>
          <w:szCs w:val="24"/>
          <w:lang w:eastAsia="ja-JP"/>
        </w:rPr>
        <w:t>Equity across logical chain</w:t>
      </w:r>
    </w:p>
    <w:p w14:paraId="484D91BD" w14:textId="77777777" w:rsidR="00B24B98" w:rsidRPr="00C05E11" w:rsidRDefault="00B24B98" w:rsidP="00B24B98">
      <w:pPr>
        <w:spacing w:after="0" w:line="240" w:lineRule="auto"/>
        <w:rPr>
          <w:rFonts w:ascii="Arial Narrow" w:eastAsia="MS Mincho" w:hAnsi="Arial Narrow" w:cs="Arial"/>
          <w:sz w:val="16"/>
          <w:szCs w:val="24"/>
          <w:lang w:eastAsia="ja-JP"/>
        </w:rPr>
      </w:pPr>
    </w:p>
    <w:p w14:paraId="62DCDC1F" w14:textId="77777777" w:rsidR="00B24B98" w:rsidRPr="00C05E11" w:rsidRDefault="00B24B98" w:rsidP="00B24B98">
      <w:pPr>
        <w:spacing w:after="0" w:line="240" w:lineRule="auto"/>
        <w:rPr>
          <w:rFonts w:ascii="Arial Narrow" w:eastAsia="MS Mincho" w:hAnsi="Arial Narrow" w:cs="Arial"/>
          <w:sz w:val="16"/>
          <w:szCs w:val="24"/>
          <w:lang w:eastAsia="ja-JP"/>
        </w:rPr>
      </w:pPr>
    </w:p>
    <w:p w14:paraId="549C978C" w14:textId="77777777" w:rsidR="00FA0203" w:rsidRDefault="00FA0203" w:rsidP="00FA0203">
      <w:pPr>
        <w:rPr>
          <w:rFonts w:ascii="Californian FB" w:hAnsi="Californian FB"/>
          <w:sz w:val="24"/>
          <w:szCs w:val="24"/>
        </w:rPr>
      </w:pPr>
    </w:p>
    <w:p w14:paraId="166EBE89" w14:textId="77777777" w:rsidR="00FA0203" w:rsidRPr="00280784" w:rsidRDefault="00FA0203" w:rsidP="00FA0203">
      <w:pPr>
        <w:rPr>
          <w:rFonts w:ascii="Californian FB" w:hAnsi="Californian FB"/>
          <w:sz w:val="24"/>
          <w:szCs w:val="24"/>
        </w:rPr>
      </w:pPr>
      <w:r w:rsidRPr="00280784">
        <w:rPr>
          <w:rFonts w:ascii="Californian FB" w:hAnsi="Californian FB"/>
          <w:sz w:val="24"/>
          <w:szCs w:val="24"/>
        </w:rPr>
        <w:t xml:space="preserve">Core Universal Health Coverage tracer Indicators </w:t>
      </w:r>
      <w:bookmarkStart w:id="49" w:name="_GoBack"/>
      <w:bookmarkEnd w:id="49"/>
      <w:r w:rsidRPr="00280784">
        <w:rPr>
          <w:rFonts w:ascii="Californian FB" w:hAnsi="Californian FB"/>
          <w:sz w:val="24"/>
          <w:szCs w:val="24"/>
        </w:rPr>
        <w:t>for the Kenya Based on the Health-Related Sustainable Development Goals</w:t>
      </w:r>
    </w:p>
    <w:p w14:paraId="31905E18" w14:textId="77777777" w:rsidR="00FA0203" w:rsidRPr="003029C8" w:rsidRDefault="00FA0203" w:rsidP="00FA0203">
      <w:pPr>
        <w:rPr>
          <w:rFonts w:ascii="Californian FB" w:hAnsi="Californian FB"/>
          <w:b/>
          <w:sz w:val="16"/>
          <w:szCs w:val="16"/>
        </w:rPr>
      </w:pPr>
      <w:r w:rsidRPr="003029C8">
        <w:rPr>
          <w:rFonts w:ascii="Californian FB" w:hAnsi="Californian FB"/>
          <w:b/>
          <w:sz w:val="16"/>
          <w:szCs w:val="16"/>
        </w:rPr>
        <w:t>INPUTS AND PROCESSES</w:t>
      </w:r>
      <w:r w:rsidRPr="003029C8">
        <w:rPr>
          <w:rFonts w:ascii="Californian FB" w:hAnsi="Californian FB"/>
          <w:b/>
          <w:sz w:val="16"/>
          <w:szCs w:val="16"/>
        </w:rPr>
        <w:tab/>
      </w:r>
      <w:r w:rsidRPr="003029C8">
        <w:rPr>
          <w:rFonts w:ascii="Californian FB" w:hAnsi="Californian FB"/>
          <w:b/>
          <w:sz w:val="16"/>
          <w:szCs w:val="16"/>
        </w:rPr>
        <w:tab/>
        <w:t>OUTPUTS</w:t>
      </w:r>
      <w:r w:rsidRPr="003029C8">
        <w:rPr>
          <w:rFonts w:ascii="Californian FB" w:hAnsi="Californian FB"/>
          <w:b/>
          <w:sz w:val="16"/>
          <w:szCs w:val="16"/>
        </w:rPr>
        <w:tab/>
      </w:r>
      <w:r w:rsidRPr="003029C8">
        <w:rPr>
          <w:rFonts w:ascii="Californian FB" w:hAnsi="Californian FB"/>
          <w:b/>
          <w:sz w:val="16"/>
          <w:szCs w:val="16"/>
        </w:rPr>
        <w:tab/>
      </w:r>
      <w:r w:rsidRPr="003029C8">
        <w:rPr>
          <w:rFonts w:ascii="Californian FB" w:hAnsi="Californian FB"/>
          <w:b/>
          <w:sz w:val="16"/>
          <w:szCs w:val="16"/>
        </w:rPr>
        <w:tab/>
        <w:t>OUTCOMES</w:t>
      </w:r>
      <w:r w:rsidRPr="003029C8">
        <w:rPr>
          <w:rFonts w:ascii="Californian FB" w:hAnsi="Californian FB"/>
          <w:b/>
          <w:sz w:val="16"/>
          <w:szCs w:val="16"/>
        </w:rPr>
        <w:tab/>
        <w:t xml:space="preserve">                 </w:t>
      </w:r>
      <w:r w:rsidRPr="003029C8">
        <w:rPr>
          <w:rFonts w:ascii="Californian FB" w:hAnsi="Californian FB"/>
          <w:b/>
          <w:sz w:val="16"/>
          <w:szCs w:val="16"/>
        </w:rPr>
        <w:tab/>
      </w:r>
      <w:r w:rsidRPr="003029C8">
        <w:rPr>
          <w:rFonts w:ascii="Californian FB" w:hAnsi="Californian FB"/>
          <w:b/>
          <w:sz w:val="16"/>
          <w:szCs w:val="16"/>
        </w:rPr>
        <w:tab/>
        <w:t>IMPACTS</w:t>
      </w:r>
    </w:p>
    <w:p w14:paraId="0A768DC6" w14:textId="77777777" w:rsidR="00FA0203" w:rsidRPr="00280784" w:rsidRDefault="00FA0203" w:rsidP="00FA0203">
      <w:pPr>
        <w:rPr>
          <w:rFonts w:ascii="Californian FB" w:hAnsi="Californian FB"/>
          <w:sz w:val="24"/>
          <w:szCs w:val="24"/>
        </w:rPr>
      </w:pPr>
      <w:r w:rsidRPr="00280784">
        <w:rPr>
          <w:rFonts w:ascii="Californian FB" w:hAnsi="Californian FB"/>
          <w:noProof/>
          <w:sz w:val="24"/>
          <w:szCs w:val="24"/>
        </w:rPr>
        <w:lastRenderedPageBreak/>
        <w:drawing>
          <wp:inline distT="0" distB="0" distL="0" distR="0" wp14:anchorId="49F0B399" wp14:editId="3226C5BB">
            <wp:extent cx="6715125" cy="7029450"/>
            <wp:effectExtent l="38100" t="38100" r="47625" b="19050"/>
            <wp:docPr id="1170" name="Diagram 117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p w14:paraId="01298A40"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r w:rsidRPr="003029C8">
        <w:rPr>
          <w:rFonts w:ascii="Californian FB" w:hAnsi="Californian FB"/>
          <w:sz w:val="16"/>
          <w:szCs w:val="16"/>
        </w:rPr>
        <w:t xml:space="preserve">DTP = diphtheria, tetanus, and pertussis (whooping cough); IHR = International Health Regulations; SDG = Sustainable </w:t>
      </w:r>
    </w:p>
    <w:p w14:paraId="31A957E6"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p>
    <w:p w14:paraId="489DD132"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r w:rsidRPr="003029C8">
        <w:rPr>
          <w:rFonts w:ascii="Californian FB" w:hAnsi="Californian FB"/>
          <w:sz w:val="16"/>
          <w:szCs w:val="16"/>
        </w:rPr>
        <w:t>Development Goal.</w:t>
      </w:r>
    </w:p>
    <w:p w14:paraId="696F4ACF"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p>
    <w:p w14:paraId="6D95CF0C"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r w:rsidRPr="003029C8">
        <w:rPr>
          <w:rFonts w:ascii="Californian FB" w:hAnsi="Californian FB"/>
          <w:sz w:val="16"/>
          <w:szCs w:val="16"/>
        </w:rPr>
        <w:t>Note: Total of 34 indicators, updated June 2016  Included  in (a)  the  Global Reference List of 100 Core Health Indicators (25).  (b) Indicators where stratified equity analysis is recommended (partial list).</w:t>
      </w:r>
    </w:p>
    <w:p w14:paraId="2734F61F" w14:textId="77777777" w:rsidR="00FA0203" w:rsidRPr="003029C8" w:rsidRDefault="00FA0203" w:rsidP="00FA0203">
      <w:pPr>
        <w:autoSpaceDE w:val="0"/>
        <w:autoSpaceDN w:val="0"/>
        <w:adjustRightInd w:val="0"/>
        <w:spacing w:after="0" w:line="240" w:lineRule="auto"/>
        <w:rPr>
          <w:rFonts w:ascii="Californian FB" w:hAnsi="Californian FB"/>
          <w:sz w:val="16"/>
          <w:szCs w:val="16"/>
        </w:rPr>
      </w:pPr>
    </w:p>
    <w:p w14:paraId="35D2D95B" w14:textId="77777777" w:rsidR="00FA0203" w:rsidRPr="003029C8" w:rsidRDefault="00FA0203" w:rsidP="00FA0203">
      <w:pPr>
        <w:rPr>
          <w:rFonts w:ascii="Californian FB" w:hAnsi="Californian FB"/>
          <w:sz w:val="16"/>
          <w:szCs w:val="16"/>
        </w:rPr>
      </w:pPr>
      <w:r w:rsidRPr="003029C8">
        <w:rPr>
          <w:rFonts w:ascii="Californian FB" w:hAnsi="Californian FB"/>
          <w:sz w:val="16"/>
          <w:szCs w:val="16"/>
        </w:rPr>
        <w:t>Sources: World Health Organization Regional Office for the Western Pacific and Asian Development Bank</w:t>
      </w:r>
    </w:p>
    <w:p w14:paraId="74E94695" w14:textId="77777777" w:rsidR="00FA0203" w:rsidRPr="00280784" w:rsidRDefault="00FA0203" w:rsidP="00FA0203">
      <w:pPr>
        <w:spacing w:after="0" w:line="240" w:lineRule="auto"/>
        <w:jc w:val="both"/>
        <w:rPr>
          <w:rFonts w:ascii="Californian FB" w:hAnsi="Californian FB"/>
          <w:sz w:val="24"/>
          <w:szCs w:val="24"/>
        </w:rPr>
      </w:pPr>
      <w:r>
        <w:rPr>
          <w:rFonts w:ascii="Californian FB" w:hAnsi="Californian FB"/>
          <w:sz w:val="24"/>
          <w:szCs w:val="24"/>
        </w:rPr>
        <w:lastRenderedPageBreak/>
        <w:t xml:space="preserve">Indicator that are not monitored routinely will be collected </w:t>
      </w:r>
      <w:commentRangeStart w:id="50"/>
      <w:r>
        <w:rPr>
          <w:rFonts w:ascii="Californian FB" w:hAnsi="Californian FB"/>
          <w:sz w:val="24"/>
          <w:szCs w:val="24"/>
        </w:rPr>
        <w:t>via</w:t>
      </w:r>
      <w:commentRangeEnd w:id="50"/>
      <w:r>
        <w:rPr>
          <w:rStyle w:val="CommentReference"/>
        </w:rPr>
        <w:commentReference w:id="50"/>
      </w:r>
      <w:r>
        <w:rPr>
          <w:rFonts w:ascii="Californian FB" w:hAnsi="Californian FB"/>
          <w:sz w:val="24"/>
          <w:szCs w:val="24"/>
        </w:rPr>
        <w:t xml:space="preserve"> </w:t>
      </w:r>
    </w:p>
    <w:p w14:paraId="3445A9C1" w14:textId="77777777" w:rsidR="00FA0203" w:rsidRPr="00280784" w:rsidRDefault="00FA0203" w:rsidP="00203568">
      <w:pPr>
        <w:pStyle w:val="ListParagraph"/>
        <w:numPr>
          <w:ilvl w:val="0"/>
          <w:numId w:val="5"/>
        </w:numPr>
        <w:spacing w:after="0" w:line="240" w:lineRule="auto"/>
        <w:jc w:val="both"/>
        <w:rPr>
          <w:rFonts w:ascii="Californian FB" w:hAnsi="Californian FB"/>
          <w:sz w:val="24"/>
          <w:szCs w:val="24"/>
        </w:rPr>
      </w:pPr>
      <w:commentRangeStart w:id="51"/>
      <w:r w:rsidRPr="00280784">
        <w:rPr>
          <w:rFonts w:ascii="Californian FB" w:hAnsi="Californian FB"/>
          <w:sz w:val="24"/>
          <w:szCs w:val="24"/>
        </w:rPr>
        <w:t>For each dimension, a minimum of 4 indicators will be selected for information and intelligence purposes. There is no maximum – the more the indicators, the more sensitive will the monitoring process be. The indicators should be selected, where applicable, from</w:t>
      </w:r>
    </w:p>
    <w:p w14:paraId="6F8E330B" w14:textId="77777777" w:rsidR="00FA0203" w:rsidRPr="00280784" w:rsidRDefault="00FA0203" w:rsidP="00203568">
      <w:pPr>
        <w:pStyle w:val="ListParagraph"/>
        <w:numPr>
          <w:ilvl w:val="0"/>
          <w:numId w:val="42"/>
        </w:numPr>
        <w:spacing w:after="0" w:line="240" w:lineRule="auto"/>
        <w:jc w:val="both"/>
        <w:rPr>
          <w:rFonts w:ascii="Californian FB" w:hAnsi="Californian FB"/>
          <w:sz w:val="24"/>
          <w:szCs w:val="24"/>
        </w:rPr>
      </w:pPr>
      <w:r w:rsidRPr="00280784">
        <w:rPr>
          <w:rFonts w:ascii="Californian FB" w:hAnsi="Californian FB"/>
          <w:sz w:val="24"/>
          <w:szCs w:val="24"/>
        </w:rPr>
        <w:t>SDG monitoring indicators for the domain level</w:t>
      </w:r>
    </w:p>
    <w:p w14:paraId="3D491659" w14:textId="77777777" w:rsidR="00FA0203" w:rsidRPr="00280784" w:rsidRDefault="00FA0203" w:rsidP="00203568">
      <w:pPr>
        <w:pStyle w:val="ListParagraph"/>
        <w:numPr>
          <w:ilvl w:val="0"/>
          <w:numId w:val="42"/>
        </w:numPr>
        <w:spacing w:after="0" w:line="240" w:lineRule="auto"/>
        <w:jc w:val="both"/>
        <w:rPr>
          <w:rFonts w:ascii="Californian FB" w:hAnsi="Californian FB"/>
          <w:sz w:val="24"/>
          <w:szCs w:val="24"/>
        </w:rPr>
      </w:pPr>
      <w:r w:rsidRPr="00280784">
        <w:rPr>
          <w:rFonts w:ascii="Californian FB" w:hAnsi="Californian FB"/>
          <w:sz w:val="24"/>
          <w:szCs w:val="24"/>
        </w:rPr>
        <w:t>100 core indicators for monitoring health</w:t>
      </w:r>
    </w:p>
    <w:p w14:paraId="37EB16A5" w14:textId="77777777" w:rsidR="00FA0203" w:rsidRPr="00280784" w:rsidRDefault="00FA0203" w:rsidP="00203568">
      <w:pPr>
        <w:pStyle w:val="ListParagraph"/>
        <w:numPr>
          <w:ilvl w:val="0"/>
          <w:numId w:val="42"/>
        </w:numPr>
        <w:spacing w:after="0" w:line="240" w:lineRule="auto"/>
        <w:jc w:val="both"/>
        <w:rPr>
          <w:rFonts w:ascii="Californian FB" w:hAnsi="Californian FB"/>
          <w:sz w:val="24"/>
          <w:szCs w:val="24"/>
        </w:rPr>
      </w:pPr>
      <w:r w:rsidRPr="00280784">
        <w:rPr>
          <w:rFonts w:ascii="Californian FB" w:hAnsi="Californian FB"/>
          <w:sz w:val="24"/>
          <w:szCs w:val="24"/>
        </w:rPr>
        <w:t>Kenya Indicator reference sheet</w:t>
      </w:r>
    </w:p>
    <w:p w14:paraId="50D08844" w14:textId="77777777" w:rsidR="00FA0203" w:rsidRPr="00280784" w:rsidRDefault="00FA0203" w:rsidP="00203568">
      <w:pPr>
        <w:pStyle w:val="ListParagraph"/>
        <w:numPr>
          <w:ilvl w:val="0"/>
          <w:numId w:val="42"/>
        </w:numPr>
        <w:spacing w:after="0" w:line="240" w:lineRule="auto"/>
        <w:jc w:val="both"/>
        <w:rPr>
          <w:rFonts w:ascii="Californian FB" w:hAnsi="Californian FB"/>
          <w:sz w:val="24"/>
          <w:szCs w:val="24"/>
        </w:rPr>
      </w:pPr>
      <w:r w:rsidRPr="00280784">
        <w:rPr>
          <w:rFonts w:ascii="Californian FB" w:hAnsi="Californian FB"/>
          <w:sz w:val="24"/>
          <w:szCs w:val="24"/>
        </w:rPr>
        <w:t xml:space="preserve">Phase 1 Pilot Counties project document </w:t>
      </w:r>
    </w:p>
    <w:p w14:paraId="6B0867C0" w14:textId="77777777" w:rsidR="00FA0203" w:rsidRPr="00280784" w:rsidRDefault="00FA0203" w:rsidP="00203568">
      <w:pPr>
        <w:pStyle w:val="ListParagraph"/>
        <w:numPr>
          <w:ilvl w:val="0"/>
          <w:numId w:val="42"/>
        </w:numPr>
        <w:spacing w:after="0" w:line="240" w:lineRule="auto"/>
        <w:jc w:val="both"/>
        <w:rPr>
          <w:rFonts w:ascii="Californian FB" w:hAnsi="Californian FB"/>
          <w:sz w:val="24"/>
          <w:szCs w:val="24"/>
        </w:rPr>
      </w:pPr>
      <w:r w:rsidRPr="00280784">
        <w:rPr>
          <w:rFonts w:ascii="Californian FB" w:hAnsi="Californian FB"/>
          <w:sz w:val="24"/>
          <w:szCs w:val="24"/>
        </w:rPr>
        <w:t>UHC roadmap in proposed</w:t>
      </w:r>
      <w:commentRangeEnd w:id="51"/>
      <w:r>
        <w:rPr>
          <w:rStyle w:val="CommentReference"/>
          <w:lang w:val="en-US"/>
        </w:rPr>
        <w:commentReference w:id="51"/>
      </w:r>
    </w:p>
    <w:p w14:paraId="3C8122CB" w14:textId="77777777" w:rsidR="00FA0203" w:rsidRPr="00280784" w:rsidRDefault="00FA0203" w:rsidP="00203568">
      <w:pPr>
        <w:pStyle w:val="ListParagraph"/>
        <w:numPr>
          <w:ilvl w:val="0"/>
          <w:numId w:val="5"/>
        </w:numPr>
        <w:spacing w:after="0" w:line="240" w:lineRule="auto"/>
        <w:jc w:val="both"/>
        <w:rPr>
          <w:rFonts w:ascii="Californian FB" w:hAnsi="Californian FB"/>
          <w:sz w:val="24"/>
          <w:szCs w:val="24"/>
        </w:rPr>
      </w:pPr>
      <w:commentRangeStart w:id="52"/>
      <w:r w:rsidRPr="00280784">
        <w:rPr>
          <w:rFonts w:ascii="Californian FB" w:hAnsi="Californian FB"/>
          <w:sz w:val="24"/>
          <w:szCs w:val="24"/>
        </w:rPr>
        <w:t>For each indicator, the most pragmatic source of the data will be identified. The data can come from multiple sources. Sources of data can be prioritized based on their ability to provide</w:t>
      </w:r>
    </w:p>
    <w:p w14:paraId="41208AC1" w14:textId="77777777" w:rsidR="00FA0203" w:rsidRPr="00280784" w:rsidRDefault="00FA0203" w:rsidP="00203568">
      <w:pPr>
        <w:pStyle w:val="ListParagraph"/>
        <w:numPr>
          <w:ilvl w:val="0"/>
          <w:numId w:val="43"/>
        </w:numPr>
        <w:spacing w:after="0" w:line="240" w:lineRule="auto"/>
        <w:jc w:val="both"/>
        <w:rPr>
          <w:rFonts w:ascii="Californian FB" w:hAnsi="Californian FB"/>
          <w:sz w:val="24"/>
          <w:szCs w:val="24"/>
        </w:rPr>
      </w:pPr>
      <w:r w:rsidRPr="00280784">
        <w:rPr>
          <w:rFonts w:ascii="Californian FB" w:hAnsi="Californian FB"/>
          <w:sz w:val="24"/>
          <w:szCs w:val="24"/>
        </w:rPr>
        <w:t>Disaggregated data where feasible – by sex, and sub national unit (County, sub county, Ward, Health Facility)</w:t>
      </w:r>
    </w:p>
    <w:p w14:paraId="1877F31F" w14:textId="77777777" w:rsidR="00FA0203" w:rsidRPr="00280784" w:rsidRDefault="00FA0203" w:rsidP="00203568">
      <w:pPr>
        <w:pStyle w:val="ListParagraph"/>
        <w:numPr>
          <w:ilvl w:val="0"/>
          <w:numId w:val="43"/>
        </w:numPr>
        <w:spacing w:after="0" w:line="240" w:lineRule="auto"/>
        <w:jc w:val="both"/>
        <w:rPr>
          <w:rFonts w:ascii="Californian FB" w:hAnsi="Californian FB"/>
          <w:sz w:val="24"/>
          <w:szCs w:val="24"/>
        </w:rPr>
      </w:pPr>
      <w:r w:rsidRPr="00280784">
        <w:rPr>
          <w:rFonts w:ascii="Californian FB" w:hAnsi="Californian FB"/>
          <w:sz w:val="24"/>
          <w:szCs w:val="24"/>
        </w:rPr>
        <w:t>Data over several years in the recent past</w:t>
      </w:r>
    </w:p>
    <w:p w14:paraId="4CB69A0B" w14:textId="77777777" w:rsidR="00FA0203" w:rsidRPr="00280784" w:rsidRDefault="00FA0203" w:rsidP="00203568">
      <w:pPr>
        <w:pStyle w:val="ListParagraph"/>
        <w:numPr>
          <w:ilvl w:val="0"/>
          <w:numId w:val="5"/>
        </w:numPr>
        <w:spacing w:after="0" w:line="240" w:lineRule="auto"/>
        <w:jc w:val="both"/>
        <w:rPr>
          <w:rFonts w:ascii="Californian FB" w:hAnsi="Californian FB"/>
          <w:sz w:val="24"/>
          <w:szCs w:val="24"/>
        </w:rPr>
      </w:pPr>
      <w:r w:rsidRPr="00280784">
        <w:rPr>
          <w:rFonts w:ascii="Californian FB" w:hAnsi="Californian FB"/>
          <w:sz w:val="24"/>
          <w:szCs w:val="24"/>
        </w:rPr>
        <w:t>Collate the available data for the selected indicators. Data required includes:</w:t>
      </w:r>
    </w:p>
    <w:p w14:paraId="1440712A" w14:textId="77777777" w:rsidR="00FA0203" w:rsidRPr="00280784" w:rsidRDefault="00FA0203" w:rsidP="00203568">
      <w:pPr>
        <w:pStyle w:val="ListParagraph"/>
        <w:numPr>
          <w:ilvl w:val="0"/>
          <w:numId w:val="44"/>
        </w:numPr>
        <w:spacing w:after="0" w:line="240" w:lineRule="auto"/>
        <w:jc w:val="both"/>
        <w:rPr>
          <w:rFonts w:ascii="Californian FB" w:hAnsi="Californian FB"/>
          <w:sz w:val="24"/>
          <w:szCs w:val="24"/>
        </w:rPr>
      </w:pPr>
      <w:r w:rsidRPr="00280784">
        <w:rPr>
          <w:rFonts w:ascii="Californian FB" w:hAnsi="Californian FB"/>
          <w:sz w:val="24"/>
          <w:szCs w:val="24"/>
        </w:rPr>
        <w:t xml:space="preserve">Most recent value </w:t>
      </w:r>
    </w:p>
    <w:p w14:paraId="07421195" w14:textId="77777777" w:rsidR="00FA0203" w:rsidRPr="00280784" w:rsidRDefault="00FA0203" w:rsidP="00203568">
      <w:pPr>
        <w:pStyle w:val="ListParagraph"/>
        <w:numPr>
          <w:ilvl w:val="0"/>
          <w:numId w:val="44"/>
        </w:numPr>
        <w:spacing w:after="0" w:line="240" w:lineRule="auto"/>
        <w:jc w:val="both"/>
        <w:rPr>
          <w:rFonts w:ascii="Californian FB" w:hAnsi="Californian FB"/>
          <w:sz w:val="24"/>
          <w:szCs w:val="24"/>
        </w:rPr>
      </w:pPr>
      <w:r w:rsidRPr="00280784">
        <w:rPr>
          <w:rFonts w:ascii="Californian FB" w:hAnsi="Californian FB"/>
          <w:sz w:val="24"/>
          <w:szCs w:val="24"/>
        </w:rPr>
        <w:t xml:space="preserve">Value for the past 2 years (where feasible) </w:t>
      </w:r>
    </w:p>
    <w:p w14:paraId="0CA932E2" w14:textId="77777777" w:rsidR="00FA0203" w:rsidRPr="00280784" w:rsidRDefault="00FA0203" w:rsidP="00203568">
      <w:pPr>
        <w:pStyle w:val="ListParagraph"/>
        <w:numPr>
          <w:ilvl w:val="0"/>
          <w:numId w:val="44"/>
        </w:numPr>
        <w:spacing w:after="0" w:line="240" w:lineRule="auto"/>
        <w:jc w:val="both"/>
        <w:rPr>
          <w:rFonts w:ascii="Californian FB" w:hAnsi="Californian FB"/>
          <w:sz w:val="24"/>
          <w:szCs w:val="24"/>
        </w:rPr>
      </w:pPr>
      <w:r w:rsidRPr="00280784">
        <w:rPr>
          <w:rFonts w:ascii="Californian FB" w:hAnsi="Californian FB"/>
          <w:sz w:val="24"/>
          <w:szCs w:val="24"/>
        </w:rPr>
        <w:t>Values for the County, sub county, Ward, Health Facility</w:t>
      </w:r>
      <w:commentRangeEnd w:id="52"/>
      <w:r>
        <w:rPr>
          <w:rStyle w:val="CommentReference"/>
          <w:lang w:val="en-US"/>
        </w:rPr>
        <w:commentReference w:id="52"/>
      </w:r>
    </w:p>
    <w:p w14:paraId="5211D2F4" w14:textId="77777777" w:rsidR="00FA0203" w:rsidRDefault="00FA0203" w:rsidP="00FA0203">
      <w:pPr>
        <w:rPr>
          <w:rFonts w:ascii="Californian FB" w:hAnsi="Californian FB"/>
          <w:sz w:val="24"/>
          <w:szCs w:val="24"/>
        </w:rPr>
      </w:pPr>
    </w:p>
    <w:p w14:paraId="10D6C617" w14:textId="77777777" w:rsidR="00FA0203" w:rsidRPr="003029C8" w:rsidRDefault="00FA0203" w:rsidP="00FA0203">
      <w:pPr>
        <w:rPr>
          <w:rFonts w:ascii="Californian FB" w:hAnsi="Californian FB"/>
          <w:b/>
          <w:sz w:val="24"/>
          <w:szCs w:val="24"/>
        </w:rPr>
      </w:pPr>
      <w:r w:rsidRPr="003029C8">
        <w:rPr>
          <w:rFonts w:ascii="Californian FB" w:hAnsi="Californian FB"/>
          <w:b/>
          <w:sz w:val="24"/>
          <w:szCs w:val="24"/>
        </w:rPr>
        <w:t xml:space="preserve">Indicator </w:t>
      </w:r>
      <w:commentRangeStart w:id="53"/>
      <w:r w:rsidRPr="003029C8">
        <w:rPr>
          <w:rFonts w:ascii="Californian FB" w:hAnsi="Californian FB"/>
          <w:b/>
          <w:sz w:val="24"/>
          <w:szCs w:val="24"/>
        </w:rPr>
        <w:t>matrices</w:t>
      </w:r>
      <w:commentRangeEnd w:id="53"/>
      <w:r w:rsidRPr="003029C8">
        <w:rPr>
          <w:rFonts w:ascii="Californian FB" w:hAnsi="Californian FB"/>
          <w:b/>
          <w:sz w:val="24"/>
          <w:szCs w:val="24"/>
        </w:rPr>
        <w:commentReference w:id="53"/>
      </w:r>
    </w:p>
    <w:p w14:paraId="1A7A25F7" w14:textId="77777777" w:rsidR="00FA0203" w:rsidRPr="003029C8" w:rsidRDefault="00FA0203" w:rsidP="00FA0203">
      <w:pPr>
        <w:rPr>
          <w:rFonts w:ascii="Californian FB" w:hAnsi="Californian FB"/>
          <w:color w:val="FF0000"/>
          <w:sz w:val="24"/>
          <w:szCs w:val="24"/>
        </w:rPr>
      </w:pPr>
    </w:p>
    <w:tbl>
      <w:tblPr>
        <w:tblW w:w="5355" w:type="pct"/>
        <w:tblInd w:w="-612" w:type="dxa"/>
        <w:tblLayout w:type="fixed"/>
        <w:tblLook w:val="04A0" w:firstRow="1" w:lastRow="0" w:firstColumn="1" w:lastColumn="0" w:noHBand="0" w:noVBand="1"/>
      </w:tblPr>
      <w:tblGrid>
        <w:gridCol w:w="1651"/>
        <w:gridCol w:w="2217"/>
        <w:gridCol w:w="1053"/>
        <w:gridCol w:w="895"/>
        <w:gridCol w:w="1568"/>
        <w:gridCol w:w="1226"/>
        <w:gridCol w:w="1404"/>
      </w:tblGrid>
      <w:tr w:rsidR="00FA0203" w:rsidRPr="003556E8" w14:paraId="4D6B3075" w14:textId="77777777" w:rsidTr="00341050">
        <w:trPr>
          <w:trHeight w:val="300"/>
        </w:trPr>
        <w:tc>
          <w:tcPr>
            <w:tcW w:w="82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0F44C1"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Goal/Objective</w:t>
            </w:r>
          </w:p>
        </w:tc>
        <w:tc>
          <w:tcPr>
            <w:tcW w:w="1106" w:type="pct"/>
            <w:tcBorders>
              <w:top w:val="single" w:sz="4" w:space="0" w:color="auto"/>
              <w:left w:val="nil"/>
              <w:bottom w:val="single" w:sz="4" w:space="0" w:color="auto"/>
              <w:right w:val="single" w:sz="4" w:space="0" w:color="auto"/>
            </w:tcBorders>
            <w:shd w:val="clear" w:color="auto" w:fill="auto"/>
            <w:noWrap/>
            <w:vAlign w:val="bottom"/>
            <w:hideMark/>
          </w:tcPr>
          <w:p w14:paraId="73CD79A6"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Indicator</w:t>
            </w:r>
          </w:p>
        </w:tc>
        <w:tc>
          <w:tcPr>
            <w:tcW w:w="526" w:type="pct"/>
            <w:tcBorders>
              <w:top w:val="single" w:sz="4" w:space="0" w:color="auto"/>
              <w:left w:val="nil"/>
              <w:bottom w:val="single" w:sz="4" w:space="0" w:color="auto"/>
              <w:right w:val="single" w:sz="4" w:space="0" w:color="auto"/>
            </w:tcBorders>
            <w:shd w:val="clear" w:color="auto" w:fill="auto"/>
            <w:noWrap/>
            <w:vAlign w:val="bottom"/>
            <w:hideMark/>
          </w:tcPr>
          <w:p w14:paraId="2CC0D7D5"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Baseline</w:t>
            </w:r>
          </w:p>
        </w:tc>
        <w:tc>
          <w:tcPr>
            <w:tcW w:w="447" w:type="pct"/>
            <w:tcBorders>
              <w:top w:val="single" w:sz="4" w:space="0" w:color="auto"/>
              <w:left w:val="nil"/>
              <w:bottom w:val="single" w:sz="4" w:space="0" w:color="auto"/>
              <w:right w:val="single" w:sz="4" w:space="0" w:color="auto"/>
            </w:tcBorders>
            <w:shd w:val="clear" w:color="auto" w:fill="auto"/>
            <w:noWrap/>
            <w:vAlign w:val="bottom"/>
            <w:hideMark/>
          </w:tcPr>
          <w:p w14:paraId="7D24C9E3"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Target</w:t>
            </w:r>
          </w:p>
        </w:tc>
        <w:tc>
          <w:tcPr>
            <w:tcW w:w="783" w:type="pct"/>
            <w:tcBorders>
              <w:top w:val="single" w:sz="4" w:space="0" w:color="auto"/>
              <w:left w:val="nil"/>
              <w:bottom w:val="single" w:sz="4" w:space="0" w:color="auto"/>
              <w:right w:val="single" w:sz="4" w:space="0" w:color="auto"/>
            </w:tcBorders>
            <w:shd w:val="clear" w:color="auto" w:fill="auto"/>
            <w:noWrap/>
            <w:vAlign w:val="bottom"/>
            <w:hideMark/>
          </w:tcPr>
          <w:p w14:paraId="0761FC8F"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Data source</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14:paraId="5522AD6D"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Frequency</w:t>
            </w:r>
          </w:p>
        </w:tc>
        <w:tc>
          <w:tcPr>
            <w:tcW w:w="703" w:type="pct"/>
            <w:tcBorders>
              <w:top w:val="single" w:sz="4" w:space="0" w:color="auto"/>
              <w:left w:val="nil"/>
              <w:bottom w:val="single" w:sz="4" w:space="0" w:color="auto"/>
              <w:right w:val="single" w:sz="4" w:space="0" w:color="auto"/>
            </w:tcBorders>
            <w:shd w:val="clear" w:color="auto" w:fill="auto"/>
            <w:noWrap/>
            <w:vAlign w:val="bottom"/>
            <w:hideMark/>
          </w:tcPr>
          <w:p w14:paraId="2E640045" w14:textId="77777777" w:rsidR="00FA0203" w:rsidRPr="003556E8" w:rsidRDefault="00FA0203" w:rsidP="00815911">
            <w:pPr>
              <w:spacing w:after="0" w:line="240" w:lineRule="auto"/>
              <w:rPr>
                <w:rFonts w:ascii="Calibri" w:eastAsia="Times New Roman" w:hAnsi="Calibri" w:cs="Calibri"/>
                <w:b/>
                <w:bCs/>
                <w:color w:val="000000"/>
              </w:rPr>
            </w:pPr>
            <w:r w:rsidRPr="003556E8">
              <w:rPr>
                <w:rFonts w:ascii="Calibri" w:eastAsia="Times New Roman" w:hAnsi="Calibri" w:cs="Calibri"/>
                <w:b/>
                <w:bCs/>
                <w:color w:val="000000"/>
              </w:rPr>
              <w:t>Responsible</w:t>
            </w:r>
          </w:p>
        </w:tc>
      </w:tr>
      <w:tr w:rsidR="00FA0203" w:rsidRPr="003556E8" w14:paraId="1632E38C"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42EC6BB"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Impact</w:t>
            </w:r>
          </w:p>
        </w:tc>
        <w:tc>
          <w:tcPr>
            <w:tcW w:w="1106" w:type="pct"/>
            <w:tcBorders>
              <w:top w:val="nil"/>
              <w:left w:val="nil"/>
              <w:bottom w:val="single" w:sz="4" w:space="0" w:color="auto"/>
              <w:right w:val="single" w:sz="4" w:space="0" w:color="auto"/>
            </w:tcBorders>
            <w:shd w:val="clear" w:color="auto" w:fill="auto"/>
            <w:vAlign w:val="center"/>
            <w:hideMark/>
          </w:tcPr>
          <w:p w14:paraId="318ABFB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Under Five Mortality Rate</w:t>
            </w:r>
          </w:p>
        </w:tc>
        <w:tc>
          <w:tcPr>
            <w:tcW w:w="526" w:type="pct"/>
            <w:tcBorders>
              <w:top w:val="nil"/>
              <w:left w:val="nil"/>
              <w:bottom w:val="single" w:sz="4" w:space="0" w:color="auto"/>
              <w:right w:val="single" w:sz="4" w:space="0" w:color="auto"/>
            </w:tcBorders>
            <w:shd w:val="clear" w:color="auto" w:fill="auto"/>
            <w:noWrap/>
            <w:vAlign w:val="bottom"/>
            <w:hideMark/>
          </w:tcPr>
          <w:p w14:paraId="32E88EEA"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52</w:t>
            </w:r>
          </w:p>
        </w:tc>
        <w:tc>
          <w:tcPr>
            <w:tcW w:w="447" w:type="pct"/>
            <w:tcBorders>
              <w:top w:val="nil"/>
              <w:left w:val="nil"/>
              <w:bottom w:val="single" w:sz="4" w:space="0" w:color="auto"/>
              <w:right w:val="single" w:sz="4" w:space="0" w:color="auto"/>
            </w:tcBorders>
            <w:shd w:val="clear" w:color="auto" w:fill="auto"/>
            <w:noWrap/>
            <w:vAlign w:val="bottom"/>
            <w:hideMark/>
          </w:tcPr>
          <w:p w14:paraId="1EBF87E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4CD0A5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KDHS</w:t>
            </w:r>
          </w:p>
        </w:tc>
        <w:tc>
          <w:tcPr>
            <w:tcW w:w="612" w:type="pct"/>
            <w:tcBorders>
              <w:top w:val="nil"/>
              <w:left w:val="nil"/>
              <w:bottom w:val="single" w:sz="4" w:space="0" w:color="auto"/>
              <w:right w:val="single" w:sz="4" w:space="0" w:color="auto"/>
            </w:tcBorders>
            <w:shd w:val="clear" w:color="auto" w:fill="auto"/>
            <w:noWrap/>
            <w:vAlign w:val="bottom"/>
            <w:hideMark/>
          </w:tcPr>
          <w:p w14:paraId="3912CDF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2174BAE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4DBFCA8A"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9502B1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3927BF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Infant Mortality Rate </w:t>
            </w:r>
          </w:p>
        </w:tc>
        <w:tc>
          <w:tcPr>
            <w:tcW w:w="526" w:type="pct"/>
            <w:tcBorders>
              <w:top w:val="nil"/>
              <w:left w:val="nil"/>
              <w:bottom w:val="single" w:sz="4" w:space="0" w:color="auto"/>
              <w:right w:val="single" w:sz="4" w:space="0" w:color="auto"/>
            </w:tcBorders>
            <w:shd w:val="clear" w:color="auto" w:fill="auto"/>
            <w:noWrap/>
            <w:vAlign w:val="bottom"/>
            <w:hideMark/>
          </w:tcPr>
          <w:p w14:paraId="35AA34FB"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39</w:t>
            </w:r>
          </w:p>
        </w:tc>
        <w:tc>
          <w:tcPr>
            <w:tcW w:w="447" w:type="pct"/>
            <w:tcBorders>
              <w:top w:val="nil"/>
              <w:left w:val="nil"/>
              <w:bottom w:val="single" w:sz="4" w:space="0" w:color="auto"/>
              <w:right w:val="single" w:sz="4" w:space="0" w:color="auto"/>
            </w:tcBorders>
            <w:shd w:val="clear" w:color="auto" w:fill="auto"/>
            <w:noWrap/>
            <w:vAlign w:val="bottom"/>
            <w:hideMark/>
          </w:tcPr>
          <w:p w14:paraId="5DBF45E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DE92B5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KDHS</w:t>
            </w:r>
          </w:p>
        </w:tc>
        <w:tc>
          <w:tcPr>
            <w:tcW w:w="612" w:type="pct"/>
            <w:tcBorders>
              <w:top w:val="nil"/>
              <w:left w:val="nil"/>
              <w:bottom w:val="single" w:sz="4" w:space="0" w:color="auto"/>
              <w:right w:val="single" w:sz="4" w:space="0" w:color="auto"/>
            </w:tcBorders>
            <w:shd w:val="clear" w:color="auto" w:fill="auto"/>
            <w:noWrap/>
            <w:vAlign w:val="bottom"/>
            <w:hideMark/>
          </w:tcPr>
          <w:p w14:paraId="452FCD6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55E8598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467302C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1C9EDF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ABA204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Maternal Mortality Rate </w:t>
            </w:r>
          </w:p>
        </w:tc>
        <w:tc>
          <w:tcPr>
            <w:tcW w:w="526" w:type="pct"/>
            <w:tcBorders>
              <w:top w:val="nil"/>
              <w:left w:val="nil"/>
              <w:bottom w:val="single" w:sz="4" w:space="0" w:color="auto"/>
              <w:right w:val="single" w:sz="4" w:space="0" w:color="auto"/>
            </w:tcBorders>
            <w:shd w:val="clear" w:color="auto" w:fill="auto"/>
            <w:noWrap/>
            <w:vAlign w:val="bottom"/>
            <w:hideMark/>
          </w:tcPr>
          <w:p w14:paraId="61750295"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362</w:t>
            </w:r>
          </w:p>
        </w:tc>
        <w:tc>
          <w:tcPr>
            <w:tcW w:w="447" w:type="pct"/>
            <w:tcBorders>
              <w:top w:val="nil"/>
              <w:left w:val="nil"/>
              <w:bottom w:val="single" w:sz="4" w:space="0" w:color="auto"/>
              <w:right w:val="single" w:sz="4" w:space="0" w:color="auto"/>
            </w:tcBorders>
            <w:shd w:val="clear" w:color="auto" w:fill="auto"/>
            <w:noWrap/>
            <w:vAlign w:val="bottom"/>
            <w:hideMark/>
          </w:tcPr>
          <w:p w14:paraId="60F0F03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63C188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KDHS</w:t>
            </w:r>
          </w:p>
        </w:tc>
        <w:tc>
          <w:tcPr>
            <w:tcW w:w="612" w:type="pct"/>
            <w:tcBorders>
              <w:top w:val="nil"/>
              <w:left w:val="nil"/>
              <w:bottom w:val="single" w:sz="4" w:space="0" w:color="auto"/>
              <w:right w:val="single" w:sz="4" w:space="0" w:color="auto"/>
            </w:tcBorders>
            <w:shd w:val="clear" w:color="auto" w:fill="auto"/>
            <w:noWrap/>
            <w:vAlign w:val="bottom"/>
            <w:hideMark/>
          </w:tcPr>
          <w:p w14:paraId="1A86469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2C4DF9C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20EB7B8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53D954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6695C07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Malaria mortality rate</w:t>
            </w:r>
          </w:p>
        </w:tc>
        <w:tc>
          <w:tcPr>
            <w:tcW w:w="526" w:type="pct"/>
            <w:tcBorders>
              <w:top w:val="nil"/>
              <w:left w:val="nil"/>
              <w:bottom w:val="single" w:sz="4" w:space="0" w:color="auto"/>
              <w:right w:val="single" w:sz="4" w:space="0" w:color="auto"/>
            </w:tcBorders>
            <w:shd w:val="clear" w:color="auto" w:fill="auto"/>
            <w:noWrap/>
            <w:vAlign w:val="bottom"/>
            <w:hideMark/>
          </w:tcPr>
          <w:p w14:paraId="1A050A4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E68A52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F94B51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6F3163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6A8B31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DD9361A"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4EDF143"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74D524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Prevalence of undernourished population (stunting)</w:t>
            </w:r>
          </w:p>
        </w:tc>
        <w:tc>
          <w:tcPr>
            <w:tcW w:w="526" w:type="pct"/>
            <w:tcBorders>
              <w:top w:val="nil"/>
              <w:left w:val="nil"/>
              <w:bottom w:val="single" w:sz="4" w:space="0" w:color="auto"/>
              <w:right w:val="single" w:sz="4" w:space="0" w:color="auto"/>
            </w:tcBorders>
            <w:shd w:val="clear" w:color="auto" w:fill="auto"/>
            <w:noWrap/>
            <w:vAlign w:val="bottom"/>
            <w:hideMark/>
          </w:tcPr>
          <w:p w14:paraId="2C5B78AB"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26</w:t>
            </w:r>
          </w:p>
        </w:tc>
        <w:tc>
          <w:tcPr>
            <w:tcW w:w="447" w:type="pct"/>
            <w:tcBorders>
              <w:top w:val="nil"/>
              <w:left w:val="nil"/>
              <w:bottom w:val="single" w:sz="4" w:space="0" w:color="auto"/>
              <w:right w:val="single" w:sz="4" w:space="0" w:color="auto"/>
            </w:tcBorders>
            <w:shd w:val="clear" w:color="auto" w:fill="auto"/>
            <w:noWrap/>
            <w:vAlign w:val="bottom"/>
            <w:hideMark/>
          </w:tcPr>
          <w:p w14:paraId="4C30F50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D354DF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KDHS</w:t>
            </w:r>
          </w:p>
        </w:tc>
        <w:tc>
          <w:tcPr>
            <w:tcW w:w="612" w:type="pct"/>
            <w:tcBorders>
              <w:top w:val="nil"/>
              <w:left w:val="nil"/>
              <w:bottom w:val="single" w:sz="4" w:space="0" w:color="auto"/>
              <w:right w:val="single" w:sz="4" w:space="0" w:color="auto"/>
            </w:tcBorders>
            <w:shd w:val="clear" w:color="auto" w:fill="auto"/>
            <w:noWrap/>
            <w:vAlign w:val="bottom"/>
            <w:hideMark/>
          </w:tcPr>
          <w:p w14:paraId="50FC9B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05DBD72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5A3EC8C3" w14:textId="77777777" w:rsidTr="00341050">
        <w:trPr>
          <w:trHeight w:val="675"/>
        </w:trPr>
        <w:tc>
          <w:tcPr>
            <w:tcW w:w="824" w:type="pct"/>
            <w:vMerge/>
            <w:tcBorders>
              <w:top w:val="nil"/>
              <w:left w:val="single" w:sz="4" w:space="0" w:color="auto"/>
              <w:bottom w:val="single" w:sz="4" w:space="0" w:color="auto"/>
              <w:right w:val="single" w:sz="4" w:space="0" w:color="auto"/>
            </w:tcBorders>
            <w:vAlign w:val="center"/>
            <w:hideMark/>
          </w:tcPr>
          <w:p w14:paraId="70FD5BD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2B9EDA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Deaths from NCD'c(Cardiovascular,Cancer,Diabetes ,Chronic respiratory Diseases</w:t>
            </w:r>
          </w:p>
        </w:tc>
        <w:tc>
          <w:tcPr>
            <w:tcW w:w="526" w:type="pct"/>
            <w:tcBorders>
              <w:top w:val="nil"/>
              <w:left w:val="nil"/>
              <w:bottom w:val="single" w:sz="4" w:space="0" w:color="auto"/>
              <w:right w:val="single" w:sz="4" w:space="0" w:color="auto"/>
            </w:tcBorders>
            <w:shd w:val="clear" w:color="auto" w:fill="auto"/>
            <w:noWrap/>
            <w:vAlign w:val="bottom"/>
            <w:hideMark/>
          </w:tcPr>
          <w:p w14:paraId="71DED457"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55%</w:t>
            </w:r>
          </w:p>
        </w:tc>
        <w:tc>
          <w:tcPr>
            <w:tcW w:w="447" w:type="pct"/>
            <w:tcBorders>
              <w:top w:val="nil"/>
              <w:left w:val="nil"/>
              <w:bottom w:val="single" w:sz="4" w:space="0" w:color="auto"/>
              <w:right w:val="single" w:sz="4" w:space="0" w:color="auto"/>
            </w:tcBorders>
            <w:shd w:val="clear" w:color="auto" w:fill="auto"/>
            <w:noWrap/>
            <w:vAlign w:val="bottom"/>
            <w:hideMark/>
          </w:tcPr>
          <w:p w14:paraId="0C8502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5AC442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STEPS</w:t>
            </w:r>
          </w:p>
        </w:tc>
        <w:tc>
          <w:tcPr>
            <w:tcW w:w="612" w:type="pct"/>
            <w:tcBorders>
              <w:top w:val="nil"/>
              <w:left w:val="nil"/>
              <w:bottom w:val="single" w:sz="4" w:space="0" w:color="auto"/>
              <w:right w:val="single" w:sz="4" w:space="0" w:color="auto"/>
            </w:tcBorders>
            <w:shd w:val="clear" w:color="auto" w:fill="auto"/>
            <w:noWrap/>
            <w:vAlign w:val="bottom"/>
            <w:hideMark/>
          </w:tcPr>
          <w:p w14:paraId="1CC0469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176008D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MOH/KNBS/WHO</w:t>
            </w:r>
          </w:p>
        </w:tc>
      </w:tr>
      <w:tr w:rsidR="00FA0203" w:rsidRPr="003556E8" w14:paraId="2E8F70F5"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5A8B95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24DAB936" w14:textId="77777777" w:rsidR="00FA0203" w:rsidRPr="003556E8" w:rsidRDefault="00FA0203" w:rsidP="00815911">
            <w:pPr>
              <w:spacing w:after="0" w:line="240" w:lineRule="auto"/>
              <w:rPr>
                <w:rFonts w:ascii="Calibri" w:eastAsia="Times New Roman" w:hAnsi="Calibri" w:cs="Calibri"/>
                <w:sz w:val="16"/>
                <w:szCs w:val="16"/>
              </w:rPr>
            </w:pPr>
            <w:r w:rsidRPr="003556E8">
              <w:rPr>
                <w:rFonts w:ascii="Calibri" w:eastAsia="Times New Roman" w:hAnsi="Calibri" w:cs="Calibri"/>
                <w:sz w:val="16"/>
                <w:szCs w:val="16"/>
              </w:rPr>
              <w:t xml:space="preserve"> Diabetes disease death Rate</w:t>
            </w:r>
          </w:p>
        </w:tc>
        <w:tc>
          <w:tcPr>
            <w:tcW w:w="526" w:type="pct"/>
            <w:tcBorders>
              <w:top w:val="nil"/>
              <w:left w:val="nil"/>
              <w:bottom w:val="single" w:sz="4" w:space="0" w:color="auto"/>
              <w:right w:val="single" w:sz="4" w:space="0" w:color="auto"/>
            </w:tcBorders>
            <w:shd w:val="clear" w:color="auto" w:fill="auto"/>
            <w:noWrap/>
            <w:vAlign w:val="bottom"/>
            <w:hideMark/>
          </w:tcPr>
          <w:p w14:paraId="7600237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E5D2D5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7A1941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CBBDBD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DEE005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FA710F5"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FED23C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57822251"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Cancer disease death Rate</w:t>
            </w:r>
          </w:p>
        </w:tc>
        <w:tc>
          <w:tcPr>
            <w:tcW w:w="526" w:type="pct"/>
            <w:tcBorders>
              <w:top w:val="nil"/>
              <w:left w:val="nil"/>
              <w:bottom w:val="single" w:sz="4" w:space="0" w:color="auto"/>
              <w:right w:val="single" w:sz="4" w:space="0" w:color="auto"/>
            </w:tcBorders>
            <w:shd w:val="clear" w:color="auto" w:fill="auto"/>
            <w:noWrap/>
            <w:vAlign w:val="bottom"/>
            <w:hideMark/>
          </w:tcPr>
          <w:p w14:paraId="366B70E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2D6B12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156BBE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772354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372A16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9F2187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74282B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D9D55B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Death rate due to road traffic injuries (per 100,000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57ED05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AE77B7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D7889D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44C5EA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0D9432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9B54BF1"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77A088C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noWrap/>
            <w:vAlign w:val="bottom"/>
            <w:hideMark/>
          </w:tcPr>
          <w:p w14:paraId="64AB4EE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1AFF827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73DA53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2F8047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FD0797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BD0861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DCC149C" w14:textId="77777777" w:rsidTr="00341050">
        <w:trPr>
          <w:trHeight w:val="315"/>
        </w:trPr>
        <w:tc>
          <w:tcPr>
            <w:tcW w:w="1931" w:type="pct"/>
            <w:gridSpan w:val="2"/>
            <w:tcBorders>
              <w:top w:val="single" w:sz="4" w:space="0" w:color="auto"/>
              <w:left w:val="single" w:sz="4" w:space="0" w:color="auto"/>
              <w:bottom w:val="single" w:sz="4" w:space="0" w:color="auto"/>
              <w:right w:val="single" w:sz="4" w:space="0" w:color="auto"/>
            </w:tcBorders>
            <w:shd w:val="clear" w:color="auto" w:fill="auto"/>
            <w:hideMark/>
          </w:tcPr>
          <w:p w14:paraId="7B2F34BD" w14:textId="77777777" w:rsidR="00FA0203" w:rsidRPr="003556E8" w:rsidRDefault="00FA0203" w:rsidP="00815911">
            <w:pPr>
              <w:spacing w:after="0" w:line="240" w:lineRule="auto"/>
              <w:jc w:val="center"/>
              <w:rPr>
                <w:rFonts w:ascii="Calibri" w:eastAsia="Times New Roman" w:hAnsi="Calibri" w:cs="Calibri"/>
                <w:b/>
                <w:bCs/>
                <w:color w:val="000000"/>
                <w:sz w:val="24"/>
                <w:szCs w:val="24"/>
              </w:rPr>
            </w:pPr>
            <w:r w:rsidRPr="003556E8">
              <w:rPr>
                <w:rFonts w:ascii="Calibri" w:eastAsia="Times New Roman" w:hAnsi="Calibri" w:cs="Calibri"/>
                <w:b/>
                <w:bCs/>
                <w:color w:val="000000"/>
                <w:sz w:val="24"/>
                <w:szCs w:val="24"/>
              </w:rPr>
              <w:t>Improve Reproductive, Maternal Newborn and Child</w:t>
            </w:r>
          </w:p>
        </w:tc>
        <w:tc>
          <w:tcPr>
            <w:tcW w:w="526" w:type="pct"/>
            <w:tcBorders>
              <w:top w:val="nil"/>
              <w:left w:val="nil"/>
              <w:bottom w:val="single" w:sz="4" w:space="0" w:color="auto"/>
              <w:right w:val="single" w:sz="4" w:space="0" w:color="auto"/>
            </w:tcBorders>
            <w:shd w:val="clear" w:color="auto" w:fill="auto"/>
            <w:noWrap/>
            <w:vAlign w:val="bottom"/>
            <w:hideMark/>
          </w:tcPr>
          <w:p w14:paraId="5D072ED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79CFBC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C74871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D6F703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730FFA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7C0A466" w14:textId="77777777" w:rsidTr="00341050">
        <w:trPr>
          <w:trHeight w:val="675"/>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93FA34D"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296899C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women of reproductive age (15−49 years)  who have their need for family planning satisfied with modern methods.</w:t>
            </w:r>
          </w:p>
        </w:tc>
        <w:tc>
          <w:tcPr>
            <w:tcW w:w="526" w:type="pct"/>
            <w:tcBorders>
              <w:top w:val="nil"/>
              <w:left w:val="nil"/>
              <w:bottom w:val="single" w:sz="4" w:space="0" w:color="auto"/>
              <w:right w:val="single" w:sz="4" w:space="0" w:color="auto"/>
            </w:tcBorders>
            <w:shd w:val="clear" w:color="auto" w:fill="auto"/>
            <w:noWrap/>
            <w:vAlign w:val="bottom"/>
            <w:hideMark/>
          </w:tcPr>
          <w:p w14:paraId="2CDFB1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C97DFB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96E5ED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A389B5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8AC5EE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AB14C42" w14:textId="77777777" w:rsidTr="00341050">
        <w:trPr>
          <w:trHeight w:val="675"/>
        </w:trPr>
        <w:tc>
          <w:tcPr>
            <w:tcW w:w="824" w:type="pct"/>
            <w:vMerge/>
            <w:tcBorders>
              <w:top w:val="nil"/>
              <w:left w:val="single" w:sz="4" w:space="0" w:color="auto"/>
              <w:bottom w:val="single" w:sz="4" w:space="0" w:color="auto"/>
              <w:right w:val="single" w:sz="4" w:space="0" w:color="auto"/>
            </w:tcBorders>
            <w:vAlign w:val="center"/>
            <w:hideMark/>
          </w:tcPr>
          <w:p w14:paraId="246F9B8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8AF1011"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Pregnant women aged 15-49 years (with a live birth in a given time period) who received antenatal care four or more times</w:t>
            </w:r>
          </w:p>
        </w:tc>
        <w:tc>
          <w:tcPr>
            <w:tcW w:w="526" w:type="pct"/>
            <w:tcBorders>
              <w:top w:val="nil"/>
              <w:left w:val="nil"/>
              <w:bottom w:val="single" w:sz="4" w:space="0" w:color="auto"/>
              <w:right w:val="single" w:sz="4" w:space="0" w:color="auto"/>
            </w:tcBorders>
            <w:shd w:val="clear" w:color="auto" w:fill="auto"/>
            <w:noWrap/>
            <w:vAlign w:val="bottom"/>
            <w:hideMark/>
          </w:tcPr>
          <w:p w14:paraId="1F083D96"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40%</w:t>
            </w:r>
          </w:p>
        </w:tc>
        <w:tc>
          <w:tcPr>
            <w:tcW w:w="447" w:type="pct"/>
            <w:tcBorders>
              <w:top w:val="nil"/>
              <w:left w:val="nil"/>
              <w:bottom w:val="single" w:sz="4" w:space="0" w:color="auto"/>
              <w:right w:val="single" w:sz="4" w:space="0" w:color="auto"/>
            </w:tcBorders>
            <w:shd w:val="clear" w:color="auto" w:fill="auto"/>
            <w:noWrap/>
            <w:vAlign w:val="bottom"/>
            <w:hideMark/>
          </w:tcPr>
          <w:p w14:paraId="1A2F5C1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5EBB0F9"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5DF10E2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03B8FC3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631EE50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EC75E3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17710F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skilled Deliveries conducted in Health facilities</w:t>
            </w:r>
          </w:p>
        </w:tc>
        <w:tc>
          <w:tcPr>
            <w:tcW w:w="526" w:type="pct"/>
            <w:tcBorders>
              <w:top w:val="nil"/>
              <w:left w:val="nil"/>
              <w:bottom w:val="single" w:sz="4" w:space="0" w:color="auto"/>
              <w:right w:val="single" w:sz="4" w:space="0" w:color="auto"/>
            </w:tcBorders>
            <w:shd w:val="clear" w:color="auto" w:fill="auto"/>
            <w:noWrap/>
            <w:vAlign w:val="bottom"/>
            <w:hideMark/>
          </w:tcPr>
          <w:p w14:paraId="3FD2C685"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59%</w:t>
            </w:r>
          </w:p>
        </w:tc>
        <w:tc>
          <w:tcPr>
            <w:tcW w:w="447" w:type="pct"/>
            <w:tcBorders>
              <w:top w:val="nil"/>
              <w:left w:val="nil"/>
              <w:bottom w:val="single" w:sz="4" w:space="0" w:color="auto"/>
              <w:right w:val="single" w:sz="4" w:space="0" w:color="auto"/>
            </w:tcBorders>
            <w:shd w:val="clear" w:color="auto" w:fill="auto"/>
            <w:noWrap/>
            <w:vAlign w:val="bottom"/>
            <w:hideMark/>
          </w:tcPr>
          <w:p w14:paraId="1416C0A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7E95C19"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5E7F02F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49A1E6C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55542958"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33448EF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82C67C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infants receiving three doses of diphtheria-tetanus-pertussis containing vaccine (HIB/Hib/DPT3</w:t>
            </w:r>
          </w:p>
        </w:tc>
        <w:tc>
          <w:tcPr>
            <w:tcW w:w="526" w:type="pct"/>
            <w:tcBorders>
              <w:top w:val="nil"/>
              <w:left w:val="nil"/>
              <w:bottom w:val="single" w:sz="4" w:space="0" w:color="auto"/>
              <w:right w:val="single" w:sz="4" w:space="0" w:color="auto"/>
            </w:tcBorders>
            <w:shd w:val="clear" w:color="auto" w:fill="auto"/>
            <w:noWrap/>
            <w:vAlign w:val="bottom"/>
            <w:hideMark/>
          </w:tcPr>
          <w:p w14:paraId="0A9607ED"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80%</w:t>
            </w:r>
          </w:p>
        </w:tc>
        <w:tc>
          <w:tcPr>
            <w:tcW w:w="447" w:type="pct"/>
            <w:tcBorders>
              <w:top w:val="nil"/>
              <w:left w:val="nil"/>
              <w:bottom w:val="single" w:sz="4" w:space="0" w:color="auto"/>
              <w:right w:val="single" w:sz="4" w:space="0" w:color="auto"/>
            </w:tcBorders>
            <w:shd w:val="clear" w:color="auto" w:fill="auto"/>
            <w:noWrap/>
            <w:vAlign w:val="bottom"/>
            <w:hideMark/>
          </w:tcPr>
          <w:p w14:paraId="38BABF4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F48D8C3"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58B0A6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0BE117A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394462ED"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8C2F51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A41C20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Percentage of Children Fully immunized </w:t>
            </w:r>
          </w:p>
        </w:tc>
        <w:tc>
          <w:tcPr>
            <w:tcW w:w="526" w:type="pct"/>
            <w:tcBorders>
              <w:top w:val="nil"/>
              <w:left w:val="nil"/>
              <w:bottom w:val="single" w:sz="4" w:space="0" w:color="auto"/>
              <w:right w:val="single" w:sz="4" w:space="0" w:color="auto"/>
            </w:tcBorders>
            <w:shd w:val="clear" w:color="auto" w:fill="auto"/>
            <w:noWrap/>
            <w:vAlign w:val="bottom"/>
            <w:hideMark/>
          </w:tcPr>
          <w:p w14:paraId="17BC9F38"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74%</w:t>
            </w:r>
          </w:p>
        </w:tc>
        <w:tc>
          <w:tcPr>
            <w:tcW w:w="447" w:type="pct"/>
            <w:tcBorders>
              <w:top w:val="nil"/>
              <w:left w:val="nil"/>
              <w:bottom w:val="single" w:sz="4" w:space="0" w:color="auto"/>
              <w:right w:val="single" w:sz="4" w:space="0" w:color="auto"/>
            </w:tcBorders>
            <w:shd w:val="clear" w:color="auto" w:fill="auto"/>
            <w:noWrap/>
            <w:vAlign w:val="bottom"/>
            <w:hideMark/>
          </w:tcPr>
          <w:p w14:paraId="3A34EEA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BB539B1"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127302C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613E976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7023F418"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F9403A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C5BEFA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Proportion of Under 5 treatment for Pneumonia </w:t>
            </w:r>
          </w:p>
        </w:tc>
        <w:tc>
          <w:tcPr>
            <w:tcW w:w="526" w:type="pct"/>
            <w:tcBorders>
              <w:top w:val="nil"/>
              <w:left w:val="nil"/>
              <w:bottom w:val="single" w:sz="4" w:space="0" w:color="auto"/>
              <w:right w:val="single" w:sz="4" w:space="0" w:color="auto"/>
            </w:tcBorders>
            <w:shd w:val="clear" w:color="auto" w:fill="auto"/>
            <w:noWrap/>
            <w:vAlign w:val="bottom"/>
            <w:hideMark/>
          </w:tcPr>
          <w:p w14:paraId="2E06EF42"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22%</w:t>
            </w:r>
          </w:p>
        </w:tc>
        <w:tc>
          <w:tcPr>
            <w:tcW w:w="447" w:type="pct"/>
            <w:tcBorders>
              <w:top w:val="nil"/>
              <w:left w:val="nil"/>
              <w:bottom w:val="single" w:sz="4" w:space="0" w:color="auto"/>
              <w:right w:val="single" w:sz="4" w:space="0" w:color="auto"/>
            </w:tcBorders>
            <w:shd w:val="clear" w:color="auto" w:fill="auto"/>
            <w:noWrap/>
            <w:vAlign w:val="bottom"/>
            <w:hideMark/>
          </w:tcPr>
          <w:p w14:paraId="5B1572E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0E68732"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06DD839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7B0E56C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695AB6F1" w14:textId="77777777" w:rsidTr="00341050">
        <w:trPr>
          <w:trHeight w:val="9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E583AD3"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000000" w:fill="FF0000"/>
            <w:vAlign w:val="center"/>
            <w:hideMark/>
          </w:tcPr>
          <w:p w14:paraId="09D57F1B"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children under 5 years of age with suspected pneumonia (cough and difficult breathing NOT due to a problem in the chest and a blocked nose) in the two weeks preceding the survey taken to an appropriate health facility or provider.</w:t>
            </w:r>
          </w:p>
        </w:tc>
        <w:tc>
          <w:tcPr>
            <w:tcW w:w="526" w:type="pct"/>
            <w:tcBorders>
              <w:top w:val="nil"/>
              <w:left w:val="nil"/>
              <w:bottom w:val="single" w:sz="4" w:space="0" w:color="auto"/>
              <w:right w:val="single" w:sz="4" w:space="0" w:color="auto"/>
            </w:tcBorders>
            <w:shd w:val="clear" w:color="auto" w:fill="auto"/>
            <w:noWrap/>
            <w:vAlign w:val="bottom"/>
            <w:hideMark/>
          </w:tcPr>
          <w:p w14:paraId="5E79E9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5F0706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415C13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1A3317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CADF9F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EA07E5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82934D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noWrap/>
            <w:vAlign w:val="bottom"/>
            <w:hideMark/>
          </w:tcPr>
          <w:p w14:paraId="3FDDB8A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3802E67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2505BB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FDB585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CD7F74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4369FE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DD0D2E4"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E1A9B6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noWrap/>
            <w:vAlign w:val="bottom"/>
            <w:hideMark/>
          </w:tcPr>
          <w:p w14:paraId="2DC89E2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0469037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BB5800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CFE84E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B3DA0B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264C07B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33F26B9"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765BE"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Eliminate communicable conditions/ infectious disease control</w:t>
            </w:r>
          </w:p>
        </w:tc>
        <w:tc>
          <w:tcPr>
            <w:tcW w:w="526" w:type="pct"/>
            <w:tcBorders>
              <w:top w:val="nil"/>
              <w:left w:val="nil"/>
              <w:bottom w:val="single" w:sz="4" w:space="0" w:color="auto"/>
              <w:right w:val="single" w:sz="4" w:space="0" w:color="auto"/>
            </w:tcBorders>
            <w:shd w:val="clear" w:color="auto" w:fill="auto"/>
            <w:noWrap/>
            <w:vAlign w:val="bottom"/>
            <w:hideMark/>
          </w:tcPr>
          <w:p w14:paraId="6B471FF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22A1F67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A78DB7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98852D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DDE466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BAF24EB"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48BD4A1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noWrap/>
            <w:vAlign w:val="bottom"/>
            <w:hideMark/>
          </w:tcPr>
          <w:p w14:paraId="20D1429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16F508C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15DA2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03AEE9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FDFA3B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199932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50EC02D" w14:textId="77777777" w:rsidTr="00341050">
        <w:trPr>
          <w:trHeight w:val="96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9283ED7"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67FF7986" w14:textId="77777777" w:rsidR="00FA0203" w:rsidRPr="003556E8" w:rsidRDefault="00FA0203" w:rsidP="00815911">
            <w:pPr>
              <w:spacing w:after="0" w:line="240" w:lineRule="auto"/>
              <w:rPr>
                <w:rFonts w:ascii="Calibri" w:eastAsia="Times New Roman" w:hAnsi="Calibri" w:cs="Calibri"/>
                <w:color w:val="000000"/>
                <w:sz w:val="18"/>
                <w:szCs w:val="18"/>
              </w:rPr>
            </w:pPr>
            <w:r w:rsidRPr="003556E8">
              <w:rPr>
                <w:rFonts w:ascii="Calibri" w:eastAsia="Times New Roman" w:hAnsi="Calibri" w:cs="Calibri"/>
                <w:color w:val="000000"/>
                <w:sz w:val="18"/>
                <w:szCs w:val="18"/>
              </w:rPr>
              <w:t>Percentage of TB cases successfully treated (cured plus treatment completed) among TB cases notified to the national health authorities (</w:t>
            </w:r>
            <w:r w:rsidRPr="003556E8">
              <w:rPr>
                <w:rFonts w:ascii="Calibri" w:eastAsia="Times New Roman" w:hAnsi="Calibri" w:cs="Calibri"/>
                <w:b/>
                <w:bCs/>
                <w:color w:val="000000"/>
                <w:sz w:val="18"/>
                <w:szCs w:val="18"/>
              </w:rPr>
              <w:t>TB treatment Success Rate (TSR))</w:t>
            </w:r>
          </w:p>
        </w:tc>
        <w:tc>
          <w:tcPr>
            <w:tcW w:w="526" w:type="pct"/>
            <w:tcBorders>
              <w:top w:val="nil"/>
              <w:left w:val="nil"/>
              <w:bottom w:val="single" w:sz="4" w:space="0" w:color="auto"/>
              <w:right w:val="single" w:sz="4" w:space="0" w:color="auto"/>
            </w:tcBorders>
            <w:shd w:val="clear" w:color="auto" w:fill="auto"/>
            <w:noWrap/>
            <w:vAlign w:val="bottom"/>
            <w:hideMark/>
          </w:tcPr>
          <w:p w14:paraId="4EE5E517"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90%</w:t>
            </w:r>
          </w:p>
        </w:tc>
        <w:tc>
          <w:tcPr>
            <w:tcW w:w="447" w:type="pct"/>
            <w:tcBorders>
              <w:top w:val="nil"/>
              <w:left w:val="nil"/>
              <w:bottom w:val="single" w:sz="4" w:space="0" w:color="auto"/>
              <w:right w:val="single" w:sz="4" w:space="0" w:color="auto"/>
            </w:tcBorders>
            <w:shd w:val="clear" w:color="auto" w:fill="auto"/>
            <w:noWrap/>
            <w:vAlign w:val="bottom"/>
            <w:hideMark/>
          </w:tcPr>
          <w:p w14:paraId="6492944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64F110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TIBU</w:t>
            </w:r>
          </w:p>
        </w:tc>
        <w:tc>
          <w:tcPr>
            <w:tcW w:w="612" w:type="pct"/>
            <w:tcBorders>
              <w:top w:val="nil"/>
              <w:left w:val="nil"/>
              <w:bottom w:val="single" w:sz="4" w:space="0" w:color="auto"/>
              <w:right w:val="single" w:sz="4" w:space="0" w:color="auto"/>
            </w:tcBorders>
            <w:shd w:val="clear" w:color="auto" w:fill="auto"/>
            <w:noWrap/>
            <w:vAlign w:val="bottom"/>
            <w:hideMark/>
          </w:tcPr>
          <w:p w14:paraId="024C297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Cohort</w:t>
            </w:r>
          </w:p>
        </w:tc>
        <w:tc>
          <w:tcPr>
            <w:tcW w:w="703" w:type="pct"/>
            <w:tcBorders>
              <w:top w:val="nil"/>
              <w:left w:val="nil"/>
              <w:bottom w:val="single" w:sz="4" w:space="0" w:color="auto"/>
              <w:right w:val="single" w:sz="4" w:space="0" w:color="auto"/>
            </w:tcBorders>
            <w:shd w:val="clear" w:color="auto" w:fill="auto"/>
            <w:noWrap/>
            <w:vAlign w:val="bottom"/>
            <w:hideMark/>
          </w:tcPr>
          <w:p w14:paraId="3EDF3C0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w:t>
            </w:r>
          </w:p>
        </w:tc>
      </w:tr>
      <w:tr w:rsidR="00FA0203" w:rsidRPr="003556E8" w14:paraId="055C55D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71EF2A7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F3D89F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Malaria Prevalence rate</w:t>
            </w:r>
          </w:p>
        </w:tc>
        <w:tc>
          <w:tcPr>
            <w:tcW w:w="526" w:type="pct"/>
            <w:tcBorders>
              <w:top w:val="nil"/>
              <w:left w:val="nil"/>
              <w:bottom w:val="single" w:sz="4" w:space="0" w:color="auto"/>
              <w:right w:val="single" w:sz="4" w:space="0" w:color="auto"/>
            </w:tcBorders>
            <w:shd w:val="clear" w:color="auto" w:fill="auto"/>
            <w:noWrap/>
            <w:vAlign w:val="bottom"/>
            <w:hideMark/>
          </w:tcPr>
          <w:p w14:paraId="76E3E941"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8%</w:t>
            </w:r>
          </w:p>
        </w:tc>
        <w:tc>
          <w:tcPr>
            <w:tcW w:w="447" w:type="pct"/>
            <w:tcBorders>
              <w:top w:val="nil"/>
              <w:left w:val="nil"/>
              <w:bottom w:val="single" w:sz="4" w:space="0" w:color="auto"/>
              <w:right w:val="single" w:sz="4" w:space="0" w:color="auto"/>
            </w:tcBorders>
            <w:shd w:val="clear" w:color="auto" w:fill="auto"/>
            <w:noWrap/>
            <w:vAlign w:val="bottom"/>
            <w:hideMark/>
          </w:tcPr>
          <w:p w14:paraId="207858E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3F84EB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Malaria Indicator Survey(2015)</w:t>
            </w:r>
          </w:p>
        </w:tc>
        <w:tc>
          <w:tcPr>
            <w:tcW w:w="612" w:type="pct"/>
            <w:tcBorders>
              <w:top w:val="nil"/>
              <w:left w:val="nil"/>
              <w:bottom w:val="single" w:sz="4" w:space="0" w:color="auto"/>
              <w:right w:val="single" w:sz="4" w:space="0" w:color="auto"/>
            </w:tcBorders>
            <w:shd w:val="clear" w:color="auto" w:fill="auto"/>
            <w:noWrap/>
            <w:vAlign w:val="bottom"/>
            <w:hideMark/>
          </w:tcPr>
          <w:p w14:paraId="27F1B64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EEA80C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KNBS</w:t>
            </w:r>
          </w:p>
        </w:tc>
      </w:tr>
      <w:tr w:rsidR="00FA0203" w:rsidRPr="003556E8" w14:paraId="492AA795"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255443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C26AD2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Pregnant women who are currently on ART</w:t>
            </w:r>
          </w:p>
        </w:tc>
        <w:tc>
          <w:tcPr>
            <w:tcW w:w="526" w:type="pct"/>
            <w:tcBorders>
              <w:top w:val="nil"/>
              <w:left w:val="nil"/>
              <w:bottom w:val="single" w:sz="4" w:space="0" w:color="auto"/>
              <w:right w:val="single" w:sz="4" w:space="0" w:color="auto"/>
            </w:tcBorders>
            <w:shd w:val="clear" w:color="auto" w:fill="auto"/>
            <w:noWrap/>
            <w:vAlign w:val="bottom"/>
            <w:hideMark/>
          </w:tcPr>
          <w:p w14:paraId="52CE5DDB"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94%</w:t>
            </w:r>
          </w:p>
        </w:tc>
        <w:tc>
          <w:tcPr>
            <w:tcW w:w="447" w:type="pct"/>
            <w:tcBorders>
              <w:top w:val="nil"/>
              <w:left w:val="nil"/>
              <w:bottom w:val="single" w:sz="4" w:space="0" w:color="auto"/>
              <w:right w:val="single" w:sz="4" w:space="0" w:color="auto"/>
            </w:tcBorders>
            <w:shd w:val="clear" w:color="auto" w:fill="auto"/>
            <w:noWrap/>
            <w:vAlign w:val="bottom"/>
            <w:hideMark/>
          </w:tcPr>
          <w:p w14:paraId="51F3717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35523C6"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744A1D3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5A4FF9A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2EB36AFD"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46BE66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A71FC9E"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Antiretroviral therapy  (adult + children) coverage </w:t>
            </w:r>
          </w:p>
        </w:tc>
        <w:tc>
          <w:tcPr>
            <w:tcW w:w="526" w:type="pct"/>
            <w:tcBorders>
              <w:top w:val="nil"/>
              <w:left w:val="nil"/>
              <w:bottom w:val="single" w:sz="4" w:space="0" w:color="auto"/>
              <w:right w:val="single" w:sz="4" w:space="0" w:color="auto"/>
            </w:tcBorders>
            <w:shd w:val="clear" w:color="auto" w:fill="auto"/>
            <w:noWrap/>
            <w:vAlign w:val="bottom"/>
            <w:hideMark/>
          </w:tcPr>
          <w:p w14:paraId="41F50A0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08E4CB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E22D03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89ABAD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22FF141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C733DE8"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341C263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noWrap/>
            <w:vAlign w:val="bottom"/>
            <w:hideMark/>
          </w:tcPr>
          <w:p w14:paraId="36F27ED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0FF9ECA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1F8B2F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CF752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715802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EE1EDF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29B95C7" w14:textId="77777777" w:rsidTr="00341050">
        <w:trPr>
          <w:trHeight w:val="675"/>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C1A9598"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auto" w:fill="auto"/>
            <w:vAlign w:val="center"/>
            <w:hideMark/>
          </w:tcPr>
          <w:p w14:paraId="62E9B76B"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The number of new and relapse TB cases diagnosed and treated in national TB control programmes and notified to WHO in a given year (</w:t>
            </w:r>
            <w:r w:rsidRPr="003556E8">
              <w:rPr>
                <w:rFonts w:ascii="Calibri" w:eastAsia="Times New Roman" w:hAnsi="Calibri" w:cs="Calibri"/>
                <w:b/>
                <w:bCs/>
                <w:color w:val="000000"/>
                <w:sz w:val="16"/>
                <w:szCs w:val="16"/>
              </w:rPr>
              <w:t>TB Case detection Rate)</w:t>
            </w:r>
          </w:p>
        </w:tc>
        <w:tc>
          <w:tcPr>
            <w:tcW w:w="526" w:type="pct"/>
            <w:tcBorders>
              <w:top w:val="nil"/>
              <w:left w:val="nil"/>
              <w:bottom w:val="single" w:sz="4" w:space="0" w:color="auto"/>
              <w:right w:val="single" w:sz="4" w:space="0" w:color="auto"/>
            </w:tcBorders>
            <w:shd w:val="clear" w:color="auto" w:fill="auto"/>
            <w:noWrap/>
            <w:vAlign w:val="bottom"/>
            <w:hideMark/>
          </w:tcPr>
          <w:p w14:paraId="3B2E5D7C"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53%</w:t>
            </w:r>
          </w:p>
        </w:tc>
        <w:tc>
          <w:tcPr>
            <w:tcW w:w="447" w:type="pct"/>
            <w:tcBorders>
              <w:top w:val="nil"/>
              <w:left w:val="nil"/>
              <w:bottom w:val="single" w:sz="4" w:space="0" w:color="auto"/>
              <w:right w:val="single" w:sz="4" w:space="0" w:color="auto"/>
            </w:tcBorders>
            <w:shd w:val="clear" w:color="auto" w:fill="auto"/>
            <w:noWrap/>
            <w:vAlign w:val="bottom"/>
            <w:hideMark/>
          </w:tcPr>
          <w:p w14:paraId="7CC5412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66241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TIBU</w:t>
            </w:r>
          </w:p>
        </w:tc>
        <w:tc>
          <w:tcPr>
            <w:tcW w:w="612" w:type="pct"/>
            <w:tcBorders>
              <w:top w:val="nil"/>
              <w:left w:val="nil"/>
              <w:bottom w:val="single" w:sz="4" w:space="0" w:color="auto"/>
              <w:right w:val="single" w:sz="4" w:space="0" w:color="auto"/>
            </w:tcBorders>
            <w:shd w:val="clear" w:color="auto" w:fill="auto"/>
            <w:noWrap/>
            <w:vAlign w:val="bottom"/>
            <w:hideMark/>
          </w:tcPr>
          <w:p w14:paraId="72684F8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YEARLY</w:t>
            </w:r>
          </w:p>
        </w:tc>
        <w:tc>
          <w:tcPr>
            <w:tcW w:w="703" w:type="pct"/>
            <w:tcBorders>
              <w:top w:val="nil"/>
              <w:left w:val="nil"/>
              <w:bottom w:val="single" w:sz="4" w:space="0" w:color="auto"/>
              <w:right w:val="single" w:sz="4" w:space="0" w:color="auto"/>
            </w:tcBorders>
            <w:shd w:val="clear" w:color="auto" w:fill="auto"/>
            <w:noWrap/>
            <w:vAlign w:val="bottom"/>
            <w:hideMark/>
          </w:tcPr>
          <w:p w14:paraId="26C0842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w:t>
            </w:r>
          </w:p>
        </w:tc>
      </w:tr>
      <w:tr w:rsidR="00FA0203" w:rsidRPr="003556E8" w14:paraId="4B4C349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65CDCE8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37A0091"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adults and children who are currently receiving ART at the end of the reporting period</w:t>
            </w:r>
          </w:p>
        </w:tc>
        <w:tc>
          <w:tcPr>
            <w:tcW w:w="526" w:type="pct"/>
            <w:tcBorders>
              <w:top w:val="nil"/>
              <w:left w:val="nil"/>
              <w:bottom w:val="single" w:sz="4" w:space="0" w:color="auto"/>
              <w:right w:val="single" w:sz="4" w:space="0" w:color="auto"/>
            </w:tcBorders>
            <w:shd w:val="clear" w:color="auto" w:fill="auto"/>
            <w:noWrap/>
            <w:vAlign w:val="bottom"/>
            <w:hideMark/>
          </w:tcPr>
          <w:p w14:paraId="1A74927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524C11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E11717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E3ACCB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20CBF39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B4F0A98"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458AEED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DFA2B8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Infants (people) in malaria-endemic areas who slept under an ITN.</w:t>
            </w:r>
          </w:p>
        </w:tc>
        <w:tc>
          <w:tcPr>
            <w:tcW w:w="526" w:type="pct"/>
            <w:tcBorders>
              <w:top w:val="nil"/>
              <w:left w:val="nil"/>
              <w:bottom w:val="single" w:sz="4" w:space="0" w:color="auto"/>
              <w:right w:val="single" w:sz="4" w:space="0" w:color="auto"/>
            </w:tcBorders>
            <w:shd w:val="clear" w:color="auto" w:fill="auto"/>
            <w:noWrap/>
            <w:vAlign w:val="bottom"/>
            <w:hideMark/>
          </w:tcPr>
          <w:p w14:paraId="01642646"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56%</w:t>
            </w:r>
          </w:p>
        </w:tc>
        <w:tc>
          <w:tcPr>
            <w:tcW w:w="447" w:type="pct"/>
            <w:tcBorders>
              <w:top w:val="nil"/>
              <w:left w:val="nil"/>
              <w:bottom w:val="single" w:sz="4" w:space="0" w:color="auto"/>
              <w:right w:val="single" w:sz="4" w:space="0" w:color="auto"/>
            </w:tcBorders>
            <w:shd w:val="clear" w:color="auto" w:fill="auto"/>
            <w:noWrap/>
            <w:vAlign w:val="bottom"/>
            <w:hideMark/>
          </w:tcPr>
          <w:p w14:paraId="7A1CEB4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27ABDD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KMIS</w:t>
            </w:r>
          </w:p>
        </w:tc>
        <w:tc>
          <w:tcPr>
            <w:tcW w:w="612" w:type="pct"/>
            <w:tcBorders>
              <w:top w:val="nil"/>
              <w:left w:val="nil"/>
              <w:bottom w:val="single" w:sz="4" w:space="0" w:color="auto"/>
              <w:right w:val="single" w:sz="4" w:space="0" w:color="auto"/>
            </w:tcBorders>
            <w:shd w:val="clear" w:color="auto" w:fill="auto"/>
            <w:noWrap/>
            <w:vAlign w:val="bottom"/>
            <w:hideMark/>
          </w:tcPr>
          <w:p w14:paraId="79D1A53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7ABC0D1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4F525E9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42561799"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BD4332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Women (people) in malaria-endemic areas who slept under an ITN.</w:t>
            </w:r>
          </w:p>
        </w:tc>
        <w:tc>
          <w:tcPr>
            <w:tcW w:w="526" w:type="pct"/>
            <w:tcBorders>
              <w:top w:val="nil"/>
              <w:left w:val="nil"/>
              <w:bottom w:val="single" w:sz="4" w:space="0" w:color="auto"/>
              <w:right w:val="single" w:sz="4" w:space="0" w:color="auto"/>
            </w:tcBorders>
            <w:shd w:val="clear" w:color="auto" w:fill="auto"/>
            <w:noWrap/>
            <w:vAlign w:val="bottom"/>
            <w:hideMark/>
          </w:tcPr>
          <w:p w14:paraId="16BA5E12"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58%</w:t>
            </w:r>
          </w:p>
        </w:tc>
        <w:tc>
          <w:tcPr>
            <w:tcW w:w="447" w:type="pct"/>
            <w:tcBorders>
              <w:top w:val="nil"/>
              <w:left w:val="nil"/>
              <w:bottom w:val="single" w:sz="4" w:space="0" w:color="auto"/>
              <w:right w:val="single" w:sz="4" w:space="0" w:color="auto"/>
            </w:tcBorders>
            <w:shd w:val="clear" w:color="auto" w:fill="auto"/>
            <w:noWrap/>
            <w:vAlign w:val="bottom"/>
            <w:hideMark/>
          </w:tcPr>
          <w:p w14:paraId="06B78D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AB704C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KMIS</w:t>
            </w:r>
          </w:p>
        </w:tc>
        <w:tc>
          <w:tcPr>
            <w:tcW w:w="612" w:type="pct"/>
            <w:tcBorders>
              <w:top w:val="nil"/>
              <w:left w:val="nil"/>
              <w:bottom w:val="single" w:sz="4" w:space="0" w:color="auto"/>
              <w:right w:val="single" w:sz="4" w:space="0" w:color="auto"/>
            </w:tcBorders>
            <w:shd w:val="clear" w:color="auto" w:fill="auto"/>
            <w:noWrap/>
            <w:vAlign w:val="bottom"/>
            <w:hideMark/>
          </w:tcPr>
          <w:p w14:paraId="6A3FE20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2FCFBB5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t>
            </w:r>
          </w:p>
        </w:tc>
      </w:tr>
      <w:tr w:rsidR="00FA0203" w:rsidRPr="003556E8" w14:paraId="0C9BDAE2"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center"/>
            <w:hideMark/>
          </w:tcPr>
          <w:p w14:paraId="26043907"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vAlign w:val="center"/>
            <w:hideMark/>
          </w:tcPr>
          <w:p w14:paraId="0B0C776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784E0E5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5895B4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180734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7D2A67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748BD8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6173174"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8C6B9"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Halt and reverse the burden of Non- communicable conditions</w:t>
            </w:r>
          </w:p>
        </w:tc>
        <w:tc>
          <w:tcPr>
            <w:tcW w:w="526" w:type="pct"/>
            <w:tcBorders>
              <w:top w:val="nil"/>
              <w:left w:val="nil"/>
              <w:bottom w:val="single" w:sz="4" w:space="0" w:color="auto"/>
              <w:right w:val="single" w:sz="4" w:space="0" w:color="auto"/>
            </w:tcBorders>
            <w:shd w:val="clear" w:color="auto" w:fill="auto"/>
            <w:noWrap/>
            <w:vAlign w:val="bottom"/>
            <w:hideMark/>
          </w:tcPr>
          <w:p w14:paraId="015C910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733BF7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745D60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D2FE77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1D07B4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4A33F9D" w14:textId="77777777" w:rsidTr="00341050">
        <w:trPr>
          <w:trHeight w:val="45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2D13256"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5E850F8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Age-standardized prevalence of raised blood pressure among adults aged 18+ (</w:t>
            </w:r>
            <w:r w:rsidRPr="003556E8">
              <w:rPr>
                <w:rFonts w:ascii="Calibri" w:eastAsia="Times New Roman" w:hAnsi="Calibri" w:cs="Calibri"/>
                <w:b/>
                <w:bCs/>
                <w:color w:val="000000"/>
                <w:sz w:val="16"/>
                <w:szCs w:val="16"/>
              </w:rPr>
              <w:t>Hypertension)</w:t>
            </w:r>
          </w:p>
        </w:tc>
        <w:tc>
          <w:tcPr>
            <w:tcW w:w="526" w:type="pct"/>
            <w:tcBorders>
              <w:top w:val="nil"/>
              <w:left w:val="nil"/>
              <w:bottom w:val="single" w:sz="4" w:space="0" w:color="auto"/>
              <w:right w:val="single" w:sz="4" w:space="0" w:color="auto"/>
            </w:tcBorders>
            <w:shd w:val="clear" w:color="auto" w:fill="auto"/>
            <w:noWrap/>
            <w:vAlign w:val="bottom"/>
            <w:hideMark/>
          </w:tcPr>
          <w:p w14:paraId="31B21C8A"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23.8</w:t>
            </w:r>
          </w:p>
        </w:tc>
        <w:tc>
          <w:tcPr>
            <w:tcW w:w="447" w:type="pct"/>
            <w:tcBorders>
              <w:top w:val="nil"/>
              <w:left w:val="nil"/>
              <w:bottom w:val="single" w:sz="4" w:space="0" w:color="auto"/>
              <w:right w:val="single" w:sz="4" w:space="0" w:color="auto"/>
            </w:tcBorders>
            <w:shd w:val="clear" w:color="auto" w:fill="auto"/>
            <w:noWrap/>
            <w:vAlign w:val="bottom"/>
            <w:hideMark/>
          </w:tcPr>
          <w:p w14:paraId="18FDBA3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8DCBE6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STEPS</w:t>
            </w:r>
          </w:p>
        </w:tc>
        <w:tc>
          <w:tcPr>
            <w:tcW w:w="612" w:type="pct"/>
            <w:tcBorders>
              <w:top w:val="nil"/>
              <w:left w:val="nil"/>
              <w:bottom w:val="single" w:sz="4" w:space="0" w:color="auto"/>
              <w:right w:val="single" w:sz="4" w:space="0" w:color="auto"/>
            </w:tcBorders>
            <w:shd w:val="clear" w:color="auto" w:fill="auto"/>
            <w:noWrap/>
            <w:vAlign w:val="bottom"/>
            <w:hideMark/>
          </w:tcPr>
          <w:p w14:paraId="2781054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1BB5484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MOH/KNBS/WHO</w:t>
            </w:r>
          </w:p>
        </w:tc>
      </w:tr>
      <w:tr w:rsidR="00FA0203" w:rsidRPr="003556E8" w14:paraId="692049E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55CC1FC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12EB386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Age-standardized mean fasting plasma glucose for adults aged 25 years and older (</w:t>
            </w:r>
            <w:r w:rsidRPr="003556E8">
              <w:rPr>
                <w:rFonts w:ascii="Calibri" w:eastAsia="Times New Roman" w:hAnsi="Calibri" w:cs="Calibri"/>
                <w:b/>
                <w:bCs/>
                <w:color w:val="000000"/>
                <w:sz w:val="16"/>
                <w:szCs w:val="16"/>
              </w:rPr>
              <w:t>Diabetes</w:t>
            </w:r>
            <w:r w:rsidRPr="003556E8">
              <w:rPr>
                <w:rFonts w:ascii="Calibri" w:eastAsia="Times New Roman" w:hAnsi="Calibri" w:cs="Calibri"/>
                <w:color w:val="000000"/>
                <w:sz w:val="16"/>
                <w:szCs w:val="16"/>
              </w:rPr>
              <w:t>)</w:t>
            </w:r>
          </w:p>
        </w:tc>
        <w:tc>
          <w:tcPr>
            <w:tcW w:w="526" w:type="pct"/>
            <w:tcBorders>
              <w:top w:val="nil"/>
              <w:left w:val="nil"/>
              <w:bottom w:val="single" w:sz="4" w:space="0" w:color="auto"/>
              <w:right w:val="single" w:sz="4" w:space="0" w:color="auto"/>
            </w:tcBorders>
            <w:shd w:val="clear" w:color="auto" w:fill="auto"/>
            <w:noWrap/>
            <w:vAlign w:val="bottom"/>
            <w:hideMark/>
          </w:tcPr>
          <w:p w14:paraId="64DED87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4228D3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C9158B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F05527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A39DEA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7F31CE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16C0A99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837E5C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women aged 15−49 years (who report ever screened) found with cervical cancer receiving treatment</w:t>
            </w:r>
          </w:p>
        </w:tc>
        <w:tc>
          <w:tcPr>
            <w:tcW w:w="526" w:type="pct"/>
            <w:tcBorders>
              <w:top w:val="nil"/>
              <w:left w:val="nil"/>
              <w:bottom w:val="single" w:sz="4" w:space="0" w:color="auto"/>
              <w:right w:val="single" w:sz="4" w:space="0" w:color="auto"/>
            </w:tcBorders>
            <w:shd w:val="clear" w:color="auto" w:fill="auto"/>
            <w:noWrap/>
            <w:vAlign w:val="bottom"/>
            <w:hideMark/>
          </w:tcPr>
          <w:p w14:paraId="13777CF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A017F2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6788F5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A205DC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6B9FB8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387555F"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24A94A1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D8C7C0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people managed with lifestyle diseases (Renal, Cancer, Diabetes and Cardiovascular Diseases)</w:t>
            </w:r>
          </w:p>
        </w:tc>
        <w:tc>
          <w:tcPr>
            <w:tcW w:w="526" w:type="pct"/>
            <w:tcBorders>
              <w:top w:val="nil"/>
              <w:left w:val="nil"/>
              <w:bottom w:val="single" w:sz="4" w:space="0" w:color="auto"/>
              <w:right w:val="single" w:sz="4" w:space="0" w:color="auto"/>
            </w:tcBorders>
            <w:shd w:val="clear" w:color="auto" w:fill="auto"/>
            <w:noWrap/>
            <w:vAlign w:val="bottom"/>
            <w:hideMark/>
          </w:tcPr>
          <w:p w14:paraId="617F9F7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815808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BF0B54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C663BF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917DD0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D175C8E"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69E2F2B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285D16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Age-standardized prevalence of adults &gt;=18 years  smoking tobacco in last 30 days</w:t>
            </w:r>
          </w:p>
        </w:tc>
        <w:tc>
          <w:tcPr>
            <w:tcW w:w="526" w:type="pct"/>
            <w:tcBorders>
              <w:top w:val="nil"/>
              <w:left w:val="nil"/>
              <w:bottom w:val="single" w:sz="4" w:space="0" w:color="auto"/>
              <w:right w:val="single" w:sz="4" w:space="0" w:color="auto"/>
            </w:tcBorders>
            <w:shd w:val="clear" w:color="auto" w:fill="auto"/>
            <w:noWrap/>
            <w:vAlign w:val="bottom"/>
            <w:hideMark/>
          </w:tcPr>
          <w:p w14:paraId="22BE8F52"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13.30%</w:t>
            </w:r>
          </w:p>
        </w:tc>
        <w:tc>
          <w:tcPr>
            <w:tcW w:w="447" w:type="pct"/>
            <w:tcBorders>
              <w:top w:val="nil"/>
              <w:left w:val="nil"/>
              <w:bottom w:val="single" w:sz="4" w:space="0" w:color="auto"/>
              <w:right w:val="single" w:sz="4" w:space="0" w:color="auto"/>
            </w:tcBorders>
            <w:shd w:val="clear" w:color="auto" w:fill="auto"/>
            <w:noWrap/>
            <w:vAlign w:val="bottom"/>
            <w:hideMark/>
          </w:tcPr>
          <w:p w14:paraId="038CF3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1714C4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STEPS</w:t>
            </w:r>
          </w:p>
        </w:tc>
        <w:tc>
          <w:tcPr>
            <w:tcW w:w="612" w:type="pct"/>
            <w:tcBorders>
              <w:top w:val="nil"/>
              <w:left w:val="nil"/>
              <w:bottom w:val="single" w:sz="4" w:space="0" w:color="auto"/>
              <w:right w:val="single" w:sz="4" w:space="0" w:color="auto"/>
            </w:tcBorders>
            <w:shd w:val="clear" w:color="auto" w:fill="auto"/>
            <w:noWrap/>
            <w:vAlign w:val="bottom"/>
            <w:hideMark/>
          </w:tcPr>
          <w:p w14:paraId="0288D72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56B1C67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MOH/KNBS/WHO</w:t>
            </w:r>
          </w:p>
        </w:tc>
      </w:tr>
      <w:tr w:rsidR="00FA0203" w:rsidRPr="003556E8" w14:paraId="63093C34"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446B391"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auto" w:fill="auto"/>
            <w:vAlign w:val="center"/>
            <w:hideMark/>
          </w:tcPr>
          <w:p w14:paraId="27637E7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Hypertension treatment Coverage</w:t>
            </w:r>
          </w:p>
        </w:tc>
        <w:tc>
          <w:tcPr>
            <w:tcW w:w="526" w:type="pct"/>
            <w:tcBorders>
              <w:top w:val="nil"/>
              <w:left w:val="nil"/>
              <w:bottom w:val="single" w:sz="4" w:space="0" w:color="auto"/>
              <w:right w:val="single" w:sz="4" w:space="0" w:color="auto"/>
            </w:tcBorders>
            <w:shd w:val="clear" w:color="auto" w:fill="auto"/>
            <w:noWrap/>
            <w:vAlign w:val="bottom"/>
            <w:hideMark/>
          </w:tcPr>
          <w:p w14:paraId="2EF69ACE"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22.30%</w:t>
            </w:r>
          </w:p>
        </w:tc>
        <w:tc>
          <w:tcPr>
            <w:tcW w:w="447" w:type="pct"/>
            <w:tcBorders>
              <w:top w:val="nil"/>
              <w:left w:val="nil"/>
              <w:bottom w:val="single" w:sz="4" w:space="0" w:color="auto"/>
              <w:right w:val="single" w:sz="4" w:space="0" w:color="auto"/>
            </w:tcBorders>
            <w:shd w:val="clear" w:color="auto" w:fill="auto"/>
            <w:noWrap/>
            <w:vAlign w:val="bottom"/>
            <w:hideMark/>
          </w:tcPr>
          <w:p w14:paraId="459D9DF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AC0D68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STEPS</w:t>
            </w:r>
          </w:p>
        </w:tc>
        <w:tc>
          <w:tcPr>
            <w:tcW w:w="612" w:type="pct"/>
            <w:tcBorders>
              <w:top w:val="nil"/>
              <w:left w:val="nil"/>
              <w:bottom w:val="single" w:sz="4" w:space="0" w:color="auto"/>
              <w:right w:val="single" w:sz="4" w:space="0" w:color="auto"/>
            </w:tcBorders>
            <w:shd w:val="clear" w:color="auto" w:fill="auto"/>
            <w:noWrap/>
            <w:vAlign w:val="bottom"/>
            <w:hideMark/>
          </w:tcPr>
          <w:p w14:paraId="62F1F64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7782768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MOH/KNBS/WHO</w:t>
            </w:r>
          </w:p>
        </w:tc>
      </w:tr>
      <w:tr w:rsidR="00FA0203" w:rsidRPr="003556E8" w14:paraId="31286A60"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7457952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F0188C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Diabetes treatment coverage (percetage of respondant currently taking medication among those previous diagnosed</w:t>
            </w:r>
          </w:p>
        </w:tc>
        <w:tc>
          <w:tcPr>
            <w:tcW w:w="526" w:type="pct"/>
            <w:tcBorders>
              <w:top w:val="nil"/>
              <w:left w:val="nil"/>
              <w:bottom w:val="single" w:sz="4" w:space="0" w:color="auto"/>
              <w:right w:val="single" w:sz="4" w:space="0" w:color="auto"/>
            </w:tcBorders>
            <w:shd w:val="clear" w:color="auto" w:fill="auto"/>
            <w:noWrap/>
            <w:vAlign w:val="bottom"/>
            <w:hideMark/>
          </w:tcPr>
          <w:p w14:paraId="58E8258F"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40.10%</w:t>
            </w:r>
          </w:p>
        </w:tc>
        <w:tc>
          <w:tcPr>
            <w:tcW w:w="447" w:type="pct"/>
            <w:tcBorders>
              <w:top w:val="nil"/>
              <w:left w:val="nil"/>
              <w:bottom w:val="single" w:sz="4" w:space="0" w:color="auto"/>
              <w:right w:val="single" w:sz="4" w:space="0" w:color="auto"/>
            </w:tcBorders>
            <w:shd w:val="clear" w:color="auto" w:fill="auto"/>
            <w:noWrap/>
            <w:vAlign w:val="bottom"/>
            <w:hideMark/>
          </w:tcPr>
          <w:p w14:paraId="5CF5C9C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C4B71B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STEPS</w:t>
            </w:r>
          </w:p>
        </w:tc>
        <w:tc>
          <w:tcPr>
            <w:tcW w:w="612" w:type="pct"/>
            <w:tcBorders>
              <w:top w:val="nil"/>
              <w:left w:val="nil"/>
              <w:bottom w:val="single" w:sz="4" w:space="0" w:color="auto"/>
              <w:right w:val="single" w:sz="4" w:space="0" w:color="auto"/>
            </w:tcBorders>
            <w:shd w:val="clear" w:color="auto" w:fill="auto"/>
            <w:noWrap/>
            <w:vAlign w:val="bottom"/>
            <w:hideMark/>
          </w:tcPr>
          <w:p w14:paraId="5555AAA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5 Years</w:t>
            </w:r>
          </w:p>
        </w:tc>
        <w:tc>
          <w:tcPr>
            <w:tcW w:w="703" w:type="pct"/>
            <w:tcBorders>
              <w:top w:val="nil"/>
              <w:left w:val="nil"/>
              <w:bottom w:val="single" w:sz="4" w:space="0" w:color="auto"/>
              <w:right w:val="single" w:sz="4" w:space="0" w:color="auto"/>
            </w:tcBorders>
            <w:shd w:val="clear" w:color="auto" w:fill="auto"/>
            <w:noWrap/>
            <w:vAlign w:val="bottom"/>
            <w:hideMark/>
          </w:tcPr>
          <w:p w14:paraId="5280C59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MOH/KNBS/WHO</w:t>
            </w:r>
          </w:p>
        </w:tc>
      </w:tr>
      <w:tr w:rsidR="00FA0203" w:rsidRPr="003556E8" w14:paraId="28D6DAE5"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7685B3C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24E970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women aged 15−49 years (who report ever having been) screened for cervical cancer</w:t>
            </w:r>
          </w:p>
        </w:tc>
        <w:tc>
          <w:tcPr>
            <w:tcW w:w="526" w:type="pct"/>
            <w:tcBorders>
              <w:top w:val="nil"/>
              <w:left w:val="nil"/>
              <w:bottom w:val="single" w:sz="4" w:space="0" w:color="auto"/>
              <w:right w:val="single" w:sz="4" w:space="0" w:color="auto"/>
            </w:tcBorders>
            <w:shd w:val="clear" w:color="auto" w:fill="auto"/>
            <w:noWrap/>
            <w:vAlign w:val="bottom"/>
            <w:hideMark/>
          </w:tcPr>
          <w:p w14:paraId="1C05018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7182F9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5E5E63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FBE386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F85BDF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CD6B3F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598555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noWrap/>
            <w:vAlign w:val="bottom"/>
            <w:hideMark/>
          </w:tcPr>
          <w:p w14:paraId="500DBAE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39C7E56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4B907D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96FD3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2070A0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3194E1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B7E17E7"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C39148"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Improve service capacity and access</w:t>
            </w:r>
          </w:p>
        </w:tc>
        <w:tc>
          <w:tcPr>
            <w:tcW w:w="526" w:type="pct"/>
            <w:tcBorders>
              <w:top w:val="nil"/>
              <w:left w:val="nil"/>
              <w:bottom w:val="single" w:sz="4" w:space="0" w:color="auto"/>
              <w:right w:val="single" w:sz="4" w:space="0" w:color="auto"/>
            </w:tcBorders>
            <w:shd w:val="clear" w:color="auto" w:fill="auto"/>
            <w:noWrap/>
            <w:vAlign w:val="bottom"/>
            <w:hideMark/>
          </w:tcPr>
          <w:p w14:paraId="10A9538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AF6D3E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A2C78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712AF7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2E2A26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63E72D8"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F67A665"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46677AB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Service Availability and Readiness</w:t>
            </w:r>
          </w:p>
        </w:tc>
        <w:tc>
          <w:tcPr>
            <w:tcW w:w="526" w:type="pct"/>
            <w:tcBorders>
              <w:top w:val="nil"/>
              <w:left w:val="nil"/>
              <w:bottom w:val="single" w:sz="4" w:space="0" w:color="auto"/>
              <w:right w:val="single" w:sz="4" w:space="0" w:color="auto"/>
            </w:tcBorders>
            <w:shd w:val="clear" w:color="auto" w:fill="auto"/>
            <w:noWrap/>
            <w:vAlign w:val="bottom"/>
            <w:hideMark/>
          </w:tcPr>
          <w:p w14:paraId="0ADB61E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D48715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F3162A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4A1D1F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F01E1C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D48D8B6"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4C8981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E8093F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OPD per capita utilisation rate</w:t>
            </w:r>
          </w:p>
        </w:tc>
        <w:tc>
          <w:tcPr>
            <w:tcW w:w="526" w:type="pct"/>
            <w:tcBorders>
              <w:top w:val="nil"/>
              <w:left w:val="nil"/>
              <w:bottom w:val="single" w:sz="4" w:space="0" w:color="auto"/>
              <w:right w:val="single" w:sz="4" w:space="0" w:color="auto"/>
            </w:tcBorders>
            <w:shd w:val="clear" w:color="auto" w:fill="auto"/>
            <w:noWrap/>
            <w:vAlign w:val="bottom"/>
            <w:hideMark/>
          </w:tcPr>
          <w:p w14:paraId="55B90EC5"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1.4</w:t>
            </w:r>
          </w:p>
        </w:tc>
        <w:tc>
          <w:tcPr>
            <w:tcW w:w="447" w:type="pct"/>
            <w:tcBorders>
              <w:top w:val="nil"/>
              <w:left w:val="nil"/>
              <w:bottom w:val="single" w:sz="4" w:space="0" w:color="auto"/>
              <w:right w:val="single" w:sz="4" w:space="0" w:color="auto"/>
            </w:tcBorders>
            <w:shd w:val="clear" w:color="auto" w:fill="auto"/>
            <w:noWrap/>
            <w:vAlign w:val="bottom"/>
            <w:hideMark/>
          </w:tcPr>
          <w:p w14:paraId="377883A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55F0FE2"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4AF11AC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1E9C4D2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3815915C"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EAEAE83"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E699CC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Children&lt;5 stunted </w:t>
            </w:r>
          </w:p>
        </w:tc>
        <w:tc>
          <w:tcPr>
            <w:tcW w:w="526" w:type="pct"/>
            <w:tcBorders>
              <w:top w:val="nil"/>
              <w:left w:val="nil"/>
              <w:bottom w:val="single" w:sz="4" w:space="0" w:color="auto"/>
              <w:right w:val="single" w:sz="4" w:space="0" w:color="auto"/>
            </w:tcBorders>
            <w:shd w:val="clear" w:color="auto" w:fill="auto"/>
            <w:noWrap/>
            <w:vAlign w:val="bottom"/>
            <w:hideMark/>
          </w:tcPr>
          <w:p w14:paraId="24AF3E54"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2.5</w:t>
            </w:r>
          </w:p>
        </w:tc>
        <w:tc>
          <w:tcPr>
            <w:tcW w:w="447" w:type="pct"/>
            <w:tcBorders>
              <w:top w:val="nil"/>
              <w:left w:val="nil"/>
              <w:bottom w:val="single" w:sz="4" w:space="0" w:color="auto"/>
              <w:right w:val="single" w:sz="4" w:space="0" w:color="auto"/>
            </w:tcBorders>
            <w:shd w:val="clear" w:color="auto" w:fill="auto"/>
            <w:noWrap/>
            <w:vAlign w:val="bottom"/>
            <w:hideMark/>
          </w:tcPr>
          <w:p w14:paraId="71F6E86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83F2AC9"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1A5939A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6C05DDA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5ADBC9C9"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E763EB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9514A4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bed occupancy rate</w:t>
            </w:r>
          </w:p>
        </w:tc>
        <w:tc>
          <w:tcPr>
            <w:tcW w:w="526" w:type="pct"/>
            <w:tcBorders>
              <w:top w:val="nil"/>
              <w:left w:val="nil"/>
              <w:bottom w:val="single" w:sz="4" w:space="0" w:color="auto"/>
              <w:right w:val="single" w:sz="4" w:space="0" w:color="auto"/>
            </w:tcBorders>
            <w:shd w:val="clear" w:color="auto" w:fill="auto"/>
            <w:noWrap/>
            <w:vAlign w:val="bottom"/>
            <w:hideMark/>
          </w:tcPr>
          <w:p w14:paraId="0E9B3E1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4A8D57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C11EE0E"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6E64F0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C718A8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4BF8337"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CD90A2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nil"/>
              <w:right w:val="nil"/>
            </w:tcBorders>
            <w:shd w:val="clear" w:color="auto" w:fill="auto"/>
            <w:noWrap/>
            <w:vAlign w:val="bottom"/>
            <w:hideMark/>
          </w:tcPr>
          <w:p w14:paraId="6D671D62" w14:textId="77777777" w:rsidR="00FA0203" w:rsidRPr="003556E8" w:rsidRDefault="00FA0203" w:rsidP="00815911">
            <w:pPr>
              <w:spacing w:after="0" w:line="240" w:lineRule="auto"/>
              <w:rPr>
                <w:rFonts w:ascii="Calibri" w:eastAsia="Times New Roman" w:hAnsi="Calibri" w:cs="Calibri"/>
                <w:color w:val="000000"/>
              </w:rPr>
            </w:pPr>
          </w:p>
        </w:tc>
        <w:tc>
          <w:tcPr>
            <w:tcW w:w="526" w:type="pct"/>
            <w:tcBorders>
              <w:top w:val="nil"/>
              <w:left w:val="single" w:sz="4" w:space="0" w:color="auto"/>
              <w:bottom w:val="single" w:sz="4" w:space="0" w:color="auto"/>
              <w:right w:val="single" w:sz="4" w:space="0" w:color="auto"/>
            </w:tcBorders>
            <w:shd w:val="clear" w:color="auto" w:fill="auto"/>
            <w:noWrap/>
            <w:vAlign w:val="bottom"/>
            <w:hideMark/>
          </w:tcPr>
          <w:p w14:paraId="27DF20A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5F572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42BEBB2"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3FDD03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B29FC4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0F4862C"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1219859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single" w:sz="4" w:space="0" w:color="auto"/>
              <w:left w:val="nil"/>
              <w:bottom w:val="single" w:sz="4" w:space="0" w:color="auto"/>
              <w:right w:val="single" w:sz="4" w:space="0" w:color="auto"/>
            </w:tcBorders>
            <w:shd w:val="clear" w:color="auto" w:fill="auto"/>
            <w:vAlign w:val="center"/>
            <w:hideMark/>
          </w:tcPr>
          <w:p w14:paraId="7827871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1F7659E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A63664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256B110"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2D3B0C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E31361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FFAFB42" w14:textId="77777777" w:rsidTr="00341050">
        <w:trPr>
          <w:trHeight w:val="675"/>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FCBF57E"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auto" w:fill="auto"/>
            <w:vAlign w:val="center"/>
            <w:hideMark/>
          </w:tcPr>
          <w:p w14:paraId="1E959C6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Health professionals (physicians, psychiatrists, Nurse, and surgeons) per capita, relative to maximum thresholds for each cadre (per 10,000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6C9D9C5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582B02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1ACDB8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F6F952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6B9C65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3A6AA96"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7A85CBE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9ECF85E"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Hospital beds per capita, relative to a maximum threshold of 18 per 10,000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130134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0367A9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50AB3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685ACA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13D9C6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BC3114A"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BEAFDA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112E29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Doctors per population ratio (per 10,000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6C8BFCBB"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1.5</w:t>
            </w:r>
          </w:p>
        </w:tc>
        <w:tc>
          <w:tcPr>
            <w:tcW w:w="447" w:type="pct"/>
            <w:tcBorders>
              <w:top w:val="nil"/>
              <w:left w:val="nil"/>
              <w:bottom w:val="single" w:sz="4" w:space="0" w:color="auto"/>
              <w:right w:val="single" w:sz="4" w:space="0" w:color="auto"/>
            </w:tcBorders>
            <w:shd w:val="clear" w:color="auto" w:fill="auto"/>
            <w:noWrap/>
            <w:vAlign w:val="bottom"/>
            <w:hideMark/>
          </w:tcPr>
          <w:p w14:paraId="516B7EC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3EB0BC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Emory Report(rHRIS)2015</w:t>
            </w:r>
          </w:p>
        </w:tc>
        <w:tc>
          <w:tcPr>
            <w:tcW w:w="612" w:type="pct"/>
            <w:tcBorders>
              <w:top w:val="nil"/>
              <w:left w:val="nil"/>
              <w:bottom w:val="single" w:sz="4" w:space="0" w:color="auto"/>
              <w:right w:val="single" w:sz="4" w:space="0" w:color="auto"/>
            </w:tcBorders>
            <w:shd w:val="clear" w:color="auto" w:fill="auto"/>
            <w:noWrap/>
            <w:vAlign w:val="bottom"/>
            <w:hideMark/>
          </w:tcPr>
          <w:p w14:paraId="0B2FC4B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2993CE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MOH/CDC/Emory</w:t>
            </w:r>
          </w:p>
        </w:tc>
      </w:tr>
      <w:tr w:rsidR="00FA0203" w:rsidRPr="003556E8" w14:paraId="42809AA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57AF86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998944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Number of Nurses per population ratio (per 10,000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1D7D7A94"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8.3</w:t>
            </w:r>
          </w:p>
        </w:tc>
        <w:tc>
          <w:tcPr>
            <w:tcW w:w="447" w:type="pct"/>
            <w:tcBorders>
              <w:top w:val="nil"/>
              <w:left w:val="nil"/>
              <w:bottom w:val="single" w:sz="4" w:space="0" w:color="auto"/>
              <w:right w:val="single" w:sz="4" w:space="0" w:color="auto"/>
            </w:tcBorders>
            <w:shd w:val="clear" w:color="auto" w:fill="auto"/>
            <w:noWrap/>
            <w:vAlign w:val="bottom"/>
            <w:hideMark/>
          </w:tcPr>
          <w:p w14:paraId="71D4533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98A0BF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Emory Report(rHRIS)2015</w:t>
            </w:r>
          </w:p>
        </w:tc>
        <w:tc>
          <w:tcPr>
            <w:tcW w:w="612" w:type="pct"/>
            <w:tcBorders>
              <w:top w:val="nil"/>
              <w:left w:val="nil"/>
              <w:bottom w:val="single" w:sz="4" w:space="0" w:color="auto"/>
              <w:right w:val="single" w:sz="4" w:space="0" w:color="auto"/>
            </w:tcBorders>
            <w:shd w:val="clear" w:color="auto" w:fill="auto"/>
            <w:noWrap/>
            <w:vAlign w:val="bottom"/>
            <w:hideMark/>
          </w:tcPr>
          <w:p w14:paraId="3FFA2DF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BC1525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MOH/CDC/Emory</w:t>
            </w:r>
          </w:p>
        </w:tc>
      </w:tr>
      <w:tr w:rsidR="00FA0203" w:rsidRPr="003556E8" w14:paraId="0ADCB9F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AB9408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FEE12D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Health Worker density per 10,000 Population</w:t>
            </w:r>
          </w:p>
        </w:tc>
        <w:tc>
          <w:tcPr>
            <w:tcW w:w="526" w:type="pct"/>
            <w:tcBorders>
              <w:top w:val="nil"/>
              <w:left w:val="nil"/>
              <w:bottom w:val="single" w:sz="4" w:space="0" w:color="auto"/>
              <w:right w:val="single" w:sz="4" w:space="0" w:color="auto"/>
            </w:tcBorders>
            <w:shd w:val="clear" w:color="auto" w:fill="auto"/>
            <w:noWrap/>
            <w:vAlign w:val="bottom"/>
            <w:hideMark/>
          </w:tcPr>
          <w:p w14:paraId="3B550BEF"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16</w:t>
            </w:r>
          </w:p>
        </w:tc>
        <w:tc>
          <w:tcPr>
            <w:tcW w:w="447" w:type="pct"/>
            <w:tcBorders>
              <w:top w:val="nil"/>
              <w:left w:val="nil"/>
              <w:bottom w:val="single" w:sz="4" w:space="0" w:color="auto"/>
              <w:right w:val="single" w:sz="4" w:space="0" w:color="auto"/>
            </w:tcBorders>
            <w:shd w:val="clear" w:color="auto" w:fill="auto"/>
            <w:noWrap/>
            <w:vAlign w:val="bottom"/>
            <w:hideMark/>
          </w:tcPr>
          <w:p w14:paraId="48B79D2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714A60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Emory Report(rHRIS)2015</w:t>
            </w:r>
          </w:p>
        </w:tc>
        <w:tc>
          <w:tcPr>
            <w:tcW w:w="612" w:type="pct"/>
            <w:tcBorders>
              <w:top w:val="nil"/>
              <w:left w:val="nil"/>
              <w:bottom w:val="single" w:sz="4" w:space="0" w:color="auto"/>
              <w:right w:val="single" w:sz="4" w:space="0" w:color="auto"/>
            </w:tcBorders>
            <w:shd w:val="clear" w:color="auto" w:fill="auto"/>
            <w:noWrap/>
            <w:vAlign w:val="bottom"/>
            <w:hideMark/>
          </w:tcPr>
          <w:p w14:paraId="7E32319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6A60A0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MOH/CDC/Emory</w:t>
            </w:r>
          </w:p>
        </w:tc>
      </w:tr>
      <w:tr w:rsidR="00FA0203" w:rsidRPr="003556E8" w14:paraId="5D14D59A"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50D619E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0ABC9F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Proportion Quarterly of Community units conducting Dialogue days</w:t>
            </w:r>
          </w:p>
        </w:tc>
        <w:tc>
          <w:tcPr>
            <w:tcW w:w="526" w:type="pct"/>
            <w:tcBorders>
              <w:top w:val="nil"/>
              <w:left w:val="nil"/>
              <w:bottom w:val="single" w:sz="4" w:space="0" w:color="auto"/>
              <w:right w:val="single" w:sz="4" w:space="0" w:color="auto"/>
            </w:tcBorders>
            <w:shd w:val="clear" w:color="auto" w:fill="auto"/>
            <w:noWrap/>
            <w:vAlign w:val="bottom"/>
            <w:hideMark/>
          </w:tcPr>
          <w:p w14:paraId="196F1066"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2 days</w:t>
            </w:r>
          </w:p>
        </w:tc>
        <w:tc>
          <w:tcPr>
            <w:tcW w:w="447" w:type="pct"/>
            <w:tcBorders>
              <w:top w:val="nil"/>
              <w:left w:val="nil"/>
              <w:bottom w:val="single" w:sz="4" w:space="0" w:color="auto"/>
              <w:right w:val="single" w:sz="4" w:space="0" w:color="auto"/>
            </w:tcBorders>
            <w:shd w:val="clear" w:color="auto" w:fill="auto"/>
            <w:noWrap/>
            <w:vAlign w:val="bottom"/>
            <w:hideMark/>
          </w:tcPr>
          <w:p w14:paraId="54D4D77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45AFC33"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3189EFB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13BD37D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7F63457C"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353574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F47181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Proportion of Cus conduct action days held</w:t>
            </w:r>
          </w:p>
        </w:tc>
        <w:tc>
          <w:tcPr>
            <w:tcW w:w="526" w:type="pct"/>
            <w:tcBorders>
              <w:top w:val="nil"/>
              <w:left w:val="nil"/>
              <w:bottom w:val="single" w:sz="4" w:space="0" w:color="auto"/>
              <w:right w:val="single" w:sz="4" w:space="0" w:color="auto"/>
            </w:tcBorders>
            <w:shd w:val="clear" w:color="auto" w:fill="auto"/>
            <w:noWrap/>
            <w:vAlign w:val="bottom"/>
            <w:hideMark/>
          </w:tcPr>
          <w:p w14:paraId="55738B5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CB54B7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21C08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88A05F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213099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B9F3344"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E6D944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CDDD60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Average distance to Nearest Health Facility </w:t>
            </w:r>
          </w:p>
        </w:tc>
        <w:tc>
          <w:tcPr>
            <w:tcW w:w="526" w:type="pct"/>
            <w:tcBorders>
              <w:top w:val="nil"/>
              <w:left w:val="nil"/>
              <w:bottom w:val="single" w:sz="4" w:space="0" w:color="auto"/>
              <w:right w:val="single" w:sz="4" w:space="0" w:color="auto"/>
            </w:tcBorders>
            <w:shd w:val="clear" w:color="auto" w:fill="auto"/>
            <w:noWrap/>
            <w:vAlign w:val="bottom"/>
            <w:hideMark/>
          </w:tcPr>
          <w:p w14:paraId="1568EF3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5AEB41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A3F309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537FC1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FCE625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DA1DA3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57E903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336E957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health facilities with essential medicines</w:t>
            </w:r>
          </w:p>
        </w:tc>
        <w:tc>
          <w:tcPr>
            <w:tcW w:w="526" w:type="pct"/>
            <w:tcBorders>
              <w:top w:val="nil"/>
              <w:left w:val="nil"/>
              <w:bottom w:val="single" w:sz="4" w:space="0" w:color="auto"/>
              <w:right w:val="single" w:sz="4" w:space="0" w:color="auto"/>
            </w:tcBorders>
            <w:shd w:val="clear" w:color="auto" w:fill="auto"/>
            <w:noWrap/>
            <w:vAlign w:val="bottom"/>
            <w:hideMark/>
          </w:tcPr>
          <w:p w14:paraId="3469FFF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18E07A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0C8E98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6B4125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531AC0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D58ADD9"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753C6C7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A1A8D11"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clients seen in OPD</w:t>
            </w:r>
          </w:p>
        </w:tc>
        <w:tc>
          <w:tcPr>
            <w:tcW w:w="526" w:type="pct"/>
            <w:tcBorders>
              <w:top w:val="nil"/>
              <w:left w:val="nil"/>
              <w:bottom w:val="single" w:sz="4" w:space="0" w:color="auto"/>
              <w:right w:val="single" w:sz="4" w:space="0" w:color="auto"/>
            </w:tcBorders>
            <w:shd w:val="clear" w:color="auto" w:fill="auto"/>
            <w:noWrap/>
            <w:vAlign w:val="bottom"/>
            <w:hideMark/>
          </w:tcPr>
          <w:p w14:paraId="57A28BA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         70,432,271 </w:t>
            </w:r>
          </w:p>
        </w:tc>
        <w:tc>
          <w:tcPr>
            <w:tcW w:w="447" w:type="pct"/>
            <w:tcBorders>
              <w:top w:val="nil"/>
              <w:left w:val="nil"/>
              <w:bottom w:val="single" w:sz="4" w:space="0" w:color="auto"/>
              <w:right w:val="single" w:sz="4" w:space="0" w:color="auto"/>
            </w:tcBorders>
            <w:shd w:val="clear" w:color="auto" w:fill="auto"/>
            <w:noWrap/>
            <w:vAlign w:val="bottom"/>
            <w:hideMark/>
          </w:tcPr>
          <w:p w14:paraId="11D58F7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8EEA339"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05F8A2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2E79AFC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29A19ED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E1227C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98D2E9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beneficiaries referred in/out for specialized services</w:t>
            </w:r>
          </w:p>
        </w:tc>
        <w:tc>
          <w:tcPr>
            <w:tcW w:w="526" w:type="pct"/>
            <w:tcBorders>
              <w:top w:val="nil"/>
              <w:left w:val="nil"/>
              <w:bottom w:val="single" w:sz="4" w:space="0" w:color="auto"/>
              <w:right w:val="single" w:sz="4" w:space="0" w:color="auto"/>
            </w:tcBorders>
            <w:shd w:val="clear" w:color="auto" w:fill="auto"/>
            <w:noWrap/>
            <w:vAlign w:val="bottom"/>
            <w:hideMark/>
          </w:tcPr>
          <w:p w14:paraId="78408E1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F9846F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FE79BE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354671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803174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FC3B0CD"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8569A7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D704ED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beneficiaries received in-patient services</w:t>
            </w:r>
          </w:p>
        </w:tc>
        <w:tc>
          <w:tcPr>
            <w:tcW w:w="526" w:type="pct"/>
            <w:tcBorders>
              <w:top w:val="nil"/>
              <w:left w:val="nil"/>
              <w:bottom w:val="single" w:sz="4" w:space="0" w:color="auto"/>
              <w:right w:val="single" w:sz="4" w:space="0" w:color="auto"/>
            </w:tcBorders>
            <w:shd w:val="clear" w:color="auto" w:fill="auto"/>
            <w:noWrap/>
            <w:vAlign w:val="bottom"/>
            <w:hideMark/>
          </w:tcPr>
          <w:p w14:paraId="088EAF1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4DF8C0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F0BA26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C61927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63DE69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CFB1B8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11629E0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0000"/>
            <w:vAlign w:val="center"/>
            <w:hideMark/>
          </w:tcPr>
          <w:p w14:paraId="0F5598F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Access to specialized health care in management of lifestyle diseases (Renal, Cancer, Diabetes and Cardiovascular Diseases)</w:t>
            </w:r>
          </w:p>
        </w:tc>
        <w:tc>
          <w:tcPr>
            <w:tcW w:w="526" w:type="pct"/>
            <w:tcBorders>
              <w:top w:val="nil"/>
              <w:left w:val="nil"/>
              <w:bottom w:val="single" w:sz="4" w:space="0" w:color="auto"/>
              <w:right w:val="single" w:sz="4" w:space="0" w:color="auto"/>
            </w:tcBorders>
            <w:shd w:val="clear" w:color="auto" w:fill="auto"/>
            <w:noWrap/>
            <w:vAlign w:val="bottom"/>
            <w:hideMark/>
          </w:tcPr>
          <w:p w14:paraId="61D9D9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D6A9C1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DF278B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A0EE3D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846BE3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2EA846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85C70B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D5E33A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Timelyness of reports</w:t>
            </w:r>
          </w:p>
        </w:tc>
        <w:tc>
          <w:tcPr>
            <w:tcW w:w="526" w:type="pct"/>
            <w:tcBorders>
              <w:top w:val="nil"/>
              <w:left w:val="nil"/>
              <w:bottom w:val="single" w:sz="4" w:space="0" w:color="auto"/>
              <w:right w:val="single" w:sz="4" w:space="0" w:color="auto"/>
            </w:tcBorders>
            <w:shd w:val="clear" w:color="auto" w:fill="auto"/>
            <w:noWrap/>
            <w:vAlign w:val="bottom"/>
            <w:hideMark/>
          </w:tcPr>
          <w:p w14:paraId="61EFF5C4"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74%</w:t>
            </w:r>
          </w:p>
        </w:tc>
        <w:tc>
          <w:tcPr>
            <w:tcW w:w="447" w:type="pct"/>
            <w:tcBorders>
              <w:top w:val="nil"/>
              <w:left w:val="nil"/>
              <w:bottom w:val="single" w:sz="4" w:space="0" w:color="auto"/>
              <w:right w:val="single" w:sz="4" w:space="0" w:color="auto"/>
            </w:tcBorders>
            <w:shd w:val="clear" w:color="auto" w:fill="auto"/>
            <w:noWrap/>
            <w:vAlign w:val="bottom"/>
            <w:hideMark/>
          </w:tcPr>
          <w:p w14:paraId="4DB43C3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676E5EC"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6A5F3D5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62C10BB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5F951B96"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9E5597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EA667CD"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Completeness of reports</w:t>
            </w:r>
          </w:p>
        </w:tc>
        <w:tc>
          <w:tcPr>
            <w:tcW w:w="526" w:type="pct"/>
            <w:tcBorders>
              <w:top w:val="nil"/>
              <w:left w:val="nil"/>
              <w:bottom w:val="single" w:sz="4" w:space="0" w:color="auto"/>
              <w:right w:val="single" w:sz="4" w:space="0" w:color="auto"/>
            </w:tcBorders>
            <w:shd w:val="clear" w:color="auto" w:fill="auto"/>
            <w:noWrap/>
            <w:vAlign w:val="bottom"/>
            <w:hideMark/>
          </w:tcPr>
          <w:p w14:paraId="20E8EC15"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81%</w:t>
            </w:r>
          </w:p>
        </w:tc>
        <w:tc>
          <w:tcPr>
            <w:tcW w:w="447" w:type="pct"/>
            <w:tcBorders>
              <w:top w:val="nil"/>
              <w:left w:val="nil"/>
              <w:bottom w:val="single" w:sz="4" w:space="0" w:color="auto"/>
              <w:right w:val="single" w:sz="4" w:space="0" w:color="auto"/>
            </w:tcBorders>
            <w:shd w:val="clear" w:color="auto" w:fill="auto"/>
            <w:noWrap/>
            <w:vAlign w:val="bottom"/>
            <w:hideMark/>
          </w:tcPr>
          <w:p w14:paraId="22B5957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B345DD6"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13009F8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19F4CE2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66DED80A"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02188"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Improve financing and financial Risk protection</w:t>
            </w:r>
          </w:p>
        </w:tc>
        <w:tc>
          <w:tcPr>
            <w:tcW w:w="526" w:type="pct"/>
            <w:tcBorders>
              <w:top w:val="nil"/>
              <w:left w:val="nil"/>
              <w:bottom w:val="single" w:sz="4" w:space="0" w:color="auto"/>
              <w:right w:val="single" w:sz="4" w:space="0" w:color="auto"/>
            </w:tcBorders>
            <w:shd w:val="clear" w:color="auto" w:fill="auto"/>
            <w:noWrap/>
            <w:vAlign w:val="bottom"/>
            <w:hideMark/>
          </w:tcPr>
          <w:p w14:paraId="7B2348A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3A71E3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D3FCF7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407091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CF53AD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C3D3E6B"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E12EF99"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077E6CA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population incurring catastrophic health expenditures</w:t>
            </w:r>
          </w:p>
        </w:tc>
        <w:tc>
          <w:tcPr>
            <w:tcW w:w="526" w:type="pct"/>
            <w:tcBorders>
              <w:top w:val="nil"/>
              <w:left w:val="nil"/>
              <w:bottom w:val="single" w:sz="4" w:space="0" w:color="auto"/>
              <w:right w:val="single" w:sz="4" w:space="0" w:color="auto"/>
            </w:tcBorders>
            <w:shd w:val="clear" w:color="auto" w:fill="auto"/>
            <w:noWrap/>
            <w:vAlign w:val="bottom"/>
            <w:hideMark/>
          </w:tcPr>
          <w:p w14:paraId="181AA1ED"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26</w:t>
            </w:r>
          </w:p>
        </w:tc>
        <w:tc>
          <w:tcPr>
            <w:tcW w:w="447" w:type="pct"/>
            <w:tcBorders>
              <w:top w:val="nil"/>
              <w:left w:val="nil"/>
              <w:bottom w:val="single" w:sz="4" w:space="0" w:color="auto"/>
              <w:right w:val="single" w:sz="4" w:space="0" w:color="auto"/>
            </w:tcBorders>
            <w:shd w:val="clear" w:color="auto" w:fill="auto"/>
            <w:noWrap/>
            <w:vAlign w:val="bottom"/>
            <w:hideMark/>
          </w:tcPr>
          <w:p w14:paraId="50C2CC7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C2B33D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06FCE6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C4E8B2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EE54DB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4907FB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680581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Public per capita health spending (US$)</w:t>
            </w:r>
          </w:p>
        </w:tc>
        <w:tc>
          <w:tcPr>
            <w:tcW w:w="526" w:type="pct"/>
            <w:tcBorders>
              <w:top w:val="nil"/>
              <w:left w:val="nil"/>
              <w:bottom w:val="single" w:sz="4" w:space="0" w:color="auto"/>
              <w:right w:val="single" w:sz="4" w:space="0" w:color="auto"/>
            </w:tcBorders>
            <w:shd w:val="clear" w:color="auto" w:fill="auto"/>
            <w:noWrap/>
            <w:vAlign w:val="bottom"/>
            <w:hideMark/>
          </w:tcPr>
          <w:p w14:paraId="54C01E3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953A56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8FD4B9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848C9C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B71917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0E17575"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DE3C2D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5B5BB7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 capita spending on health (THE in $)</w:t>
            </w:r>
          </w:p>
        </w:tc>
        <w:tc>
          <w:tcPr>
            <w:tcW w:w="526" w:type="pct"/>
            <w:tcBorders>
              <w:top w:val="nil"/>
              <w:left w:val="nil"/>
              <w:bottom w:val="single" w:sz="4" w:space="0" w:color="auto"/>
              <w:right w:val="single" w:sz="4" w:space="0" w:color="auto"/>
            </w:tcBorders>
            <w:shd w:val="clear" w:color="auto" w:fill="auto"/>
            <w:noWrap/>
            <w:vAlign w:val="bottom"/>
            <w:hideMark/>
          </w:tcPr>
          <w:p w14:paraId="77E6BC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9D55C0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939734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C09589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D98903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3739EB4"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463DD6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63262D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Out of pocket expenditure as % of total health expenditure </w:t>
            </w:r>
          </w:p>
        </w:tc>
        <w:tc>
          <w:tcPr>
            <w:tcW w:w="526" w:type="pct"/>
            <w:tcBorders>
              <w:top w:val="nil"/>
              <w:left w:val="nil"/>
              <w:bottom w:val="single" w:sz="4" w:space="0" w:color="auto"/>
              <w:right w:val="single" w:sz="4" w:space="0" w:color="auto"/>
            </w:tcBorders>
            <w:shd w:val="clear" w:color="auto" w:fill="auto"/>
            <w:noWrap/>
            <w:vAlign w:val="bottom"/>
            <w:hideMark/>
          </w:tcPr>
          <w:p w14:paraId="5607579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2B8AC4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1B6DB6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F0B67D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39C6FA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B181EB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59C14B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FD47D1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Health Insurance Coverage </w:t>
            </w:r>
          </w:p>
        </w:tc>
        <w:tc>
          <w:tcPr>
            <w:tcW w:w="526" w:type="pct"/>
            <w:tcBorders>
              <w:top w:val="nil"/>
              <w:left w:val="nil"/>
              <w:bottom w:val="single" w:sz="4" w:space="0" w:color="auto"/>
              <w:right w:val="single" w:sz="4" w:space="0" w:color="auto"/>
            </w:tcBorders>
            <w:shd w:val="clear" w:color="auto" w:fill="auto"/>
            <w:noWrap/>
            <w:vAlign w:val="bottom"/>
            <w:hideMark/>
          </w:tcPr>
          <w:p w14:paraId="45CF9A7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864DF0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0CC102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F94FD3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1C203C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4E419C2"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175E62F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B0852F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Proportion of health budget as a percentage of Total budget (National + County)</w:t>
            </w:r>
          </w:p>
        </w:tc>
        <w:tc>
          <w:tcPr>
            <w:tcW w:w="526" w:type="pct"/>
            <w:tcBorders>
              <w:top w:val="nil"/>
              <w:left w:val="nil"/>
              <w:bottom w:val="single" w:sz="4" w:space="0" w:color="auto"/>
              <w:right w:val="single" w:sz="4" w:space="0" w:color="auto"/>
            </w:tcBorders>
            <w:shd w:val="clear" w:color="auto" w:fill="auto"/>
            <w:noWrap/>
            <w:vAlign w:val="bottom"/>
            <w:hideMark/>
          </w:tcPr>
          <w:p w14:paraId="296373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74158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0E7F32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D67F34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7EE1D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199C610"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0DBCD93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0E6774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Government spending on health as % of Total Health Expenditure (THE)</w:t>
            </w:r>
          </w:p>
        </w:tc>
        <w:tc>
          <w:tcPr>
            <w:tcW w:w="526" w:type="pct"/>
            <w:tcBorders>
              <w:top w:val="nil"/>
              <w:left w:val="nil"/>
              <w:bottom w:val="single" w:sz="4" w:space="0" w:color="auto"/>
              <w:right w:val="single" w:sz="4" w:space="0" w:color="auto"/>
            </w:tcBorders>
            <w:shd w:val="clear" w:color="auto" w:fill="auto"/>
            <w:noWrap/>
            <w:vAlign w:val="bottom"/>
            <w:hideMark/>
          </w:tcPr>
          <w:p w14:paraId="447B16F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12CEDB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3A7E26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AA5D60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711669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00518C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3501C6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35F0F1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Public spending on health as percentage of GDP</w:t>
            </w:r>
          </w:p>
        </w:tc>
        <w:tc>
          <w:tcPr>
            <w:tcW w:w="526" w:type="pct"/>
            <w:tcBorders>
              <w:top w:val="nil"/>
              <w:left w:val="nil"/>
              <w:bottom w:val="single" w:sz="4" w:space="0" w:color="auto"/>
              <w:right w:val="single" w:sz="4" w:space="0" w:color="auto"/>
            </w:tcBorders>
            <w:shd w:val="clear" w:color="auto" w:fill="auto"/>
            <w:noWrap/>
            <w:vAlign w:val="bottom"/>
            <w:hideMark/>
          </w:tcPr>
          <w:p w14:paraId="30D28D2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87D89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306462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2BEC02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2ADD8A0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FD24FC8"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2E94ECF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25311E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Health Insurance coverage for (Elderly and Persons With Disability (EPWD) </w:t>
            </w:r>
          </w:p>
        </w:tc>
        <w:tc>
          <w:tcPr>
            <w:tcW w:w="526" w:type="pct"/>
            <w:tcBorders>
              <w:top w:val="nil"/>
              <w:left w:val="nil"/>
              <w:bottom w:val="single" w:sz="4" w:space="0" w:color="auto"/>
              <w:right w:val="single" w:sz="4" w:space="0" w:color="auto"/>
            </w:tcBorders>
            <w:shd w:val="clear" w:color="auto" w:fill="auto"/>
            <w:noWrap/>
            <w:vAlign w:val="bottom"/>
            <w:hideMark/>
          </w:tcPr>
          <w:p w14:paraId="67E191EB"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3A7D284"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843EC3D"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10CADBA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Quarterly</w:t>
            </w:r>
          </w:p>
        </w:tc>
        <w:tc>
          <w:tcPr>
            <w:tcW w:w="703" w:type="pct"/>
            <w:tcBorders>
              <w:top w:val="nil"/>
              <w:left w:val="nil"/>
              <w:bottom w:val="single" w:sz="4" w:space="0" w:color="auto"/>
              <w:right w:val="single" w:sz="4" w:space="0" w:color="auto"/>
            </w:tcBorders>
            <w:shd w:val="clear" w:color="auto" w:fill="auto"/>
            <w:noWrap/>
            <w:vAlign w:val="bottom"/>
            <w:hideMark/>
          </w:tcPr>
          <w:p w14:paraId="5159099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5F66B0A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24B88A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6C5E56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Health Insurance coverage – Linda Mama </w:t>
            </w:r>
          </w:p>
        </w:tc>
        <w:tc>
          <w:tcPr>
            <w:tcW w:w="526" w:type="pct"/>
            <w:tcBorders>
              <w:top w:val="nil"/>
              <w:left w:val="nil"/>
              <w:bottom w:val="single" w:sz="4" w:space="0" w:color="auto"/>
              <w:right w:val="single" w:sz="4" w:space="0" w:color="auto"/>
            </w:tcBorders>
            <w:shd w:val="clear" w:color="auto" w:fill="auto"/>
            <w:noWrap/>
            <w:vAlign w:val="bottom"/>
            <w:hideMark/>
          </w:tcPr>
          <w:p w14:paraId="30FD7FFF"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824379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075B9E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6F68C9A6"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Quarterly</w:t>
            </w:r>
          </w:p>
        </w:tc>
        <w:tc>
          <w:tcPr>
            <w:tcW w:w="703" w:type="pct"/>
            <w:tcBorders>
              <w:top w:val="nil"/>
              <w:left w:val="nil"/>
              <w:bottom w:val="single" w:sz="4" w:space="0" w:color="auto"/>
              <w:right w:val="single" w:sz="4" w:space="0" w:color="auto"/>
            </w:tcBorders>
            <w:shd w:val="clear" w:color="auto" w:fill="auto"/>
            <w:noWrap/>
            <w:vAlign w:val="bottom"/>
            <w:hideMark/>
          </w:tcPr>
          <w:p w14:paraId="220CC82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0CB2180D"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19474A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74CE18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Health Insurance coverage – (Secondary school)</w:t>
            </w:r>
          </w:p>
        </w:tc>
        <w:tc>
          <w:tcPr>
            <w:tcW w:w="526" w:type="pct"/>
            <w:tcBorders>
              <w:top w:val="nil"/>
              <w:left w:val="nil"/>
              <w:bottom w:val="single" w:sz="4" w:space="0" w:color="auto"/>
              <w:right w:val="single" w:sz="4" w:space="0" w:color="auto"/>
            </w:tcBorders>
            <w:shd w:val="clear" w:color="auto" w:fill="auto"/>
            <w:noWrap/>
            <w:vAlign w:val="bottom"/>
            <w:hideMark/>
          </w:tcPr>
          <w:p w14:paraId="1B758364"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063E55D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070E484"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25FB5EA4"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Quarterly</w:t>
            </w:r>
          </w:p>
        </w:tc>
        <w:tc>
          <w:tcPr>
            <w:tcW w:w="703" w:type="pct"/>
            <w:tcBorders>
              <w:top w:val="nil"/>
              <w:left w:val="nil"/>
              <w:bottom w:val="single" w:sz="4" w:space="0" w:color="auto"/>
              <w:right w:val="single" w:sz="4" w:space="0" w:color="auto"/>
            </w:tcBorders>
            <w:shd w:val="clear" w:color="auto" w:fill="auto"/>
            <w:noWrap/>
            <w:vAlign w:val="bottom"/>
            <w:hideMark/>
          </w:tcPr>
          <w:p w14:paraId="376A866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64C4B49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75151E9"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5C0316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Health insurance coverage for Inua Jamii (70yrs +)</w:t>
            </w:r>
          </w:p>
        </w:tc>
        <w:tc>
          <w:tcPr>
            <w:tcW w:w="526" w:type="pct"/>
            <w:tcBorders>
              <w:top w:val="nil"/>
              <w:left w:val="nil"/>
              <w:bottom w:val="single" w:sz="4" w:space="0" w:color="auto"/>
              <w:right w:val="single" w:sz="4" w:space="0" w:color="auto"/>
            </w:tcBorders>
            <w:shd w:val="clear" w:color="auto" w:fill="auto"/>
            <w:noWrap/>
            <w:vAlign w:val="bottom"/>
            <w:hideMark/>
          </w:tcPr>
          <w:p w14:paraId="693453D9"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1781896C"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F81A2B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0B4B2B7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Quarterly</w:t>
            </w:r>
          </w:p>
        </w:tc>
        <w:tc>
          <w:tcPr>
            <w:tcW w:w="703" w:type="pct"/>
            <w:tcBorders>
              <w:top w:val="nil"/>
              <w:left w:val="nil"/>
              <w:bottom w:val="single" w:sz="4" w:space="0" w:color="auto"/>
              <w:right w:val="single" w:sz="4" w:space="0" w:color="auto"/>
            </w:tcBorders>
            <w:shd w:val="clear" w:color="auto" w:fill="auto"/>
            <w:noWrap/>
            <w:vAlign w:val="bottom"/>
            <w:hideMark/>
          </w:tcPr>
          <w:p w14:paraId="5DCEE219"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24BE2A66" w14:textId="77777777" w:rsidTr="00341050">
        <w:trPr>
          <w:trHeight w:val="45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950168F"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auto" w:fill="auto"/>
            <w:vAlign w:val="center"/>
            <w:hideMark/>
          </w:tcPr>
          <w:p w14:paraId="407E5DC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Government spending on health as % of total government spending </w:t>
            </w:r>
          </w:p>
        </w:tc>
        <w:tc>
          <w:tcPr>
            <w:tcW w:w="526" w:type="pct"/>
            <w:tcBorders>
              <w:top w:val="nil"/>
              <w:left w:val="nil"/>
              <w:bottom w:val="single" w:sz="4" w:space="0" w:color="auto"/>
              <w:right w:val="single" w:sz="4" w:space="0" w:color="auto"/>
            </w:tcBorders>
            <w:shd w:val="clear" w:color="auto" w:fill="auto"/>
            <w:noWrap/>
            <w:vAlign w:val="bottom"/>
            <w:hideMark/>
          </w:tcPr>
          <w:p w14:paraId="4ADFFEA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E39D77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C0CA96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CCCC4B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6A28B1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090DD1B"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2E6D645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5B057C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Government spending on health as % of total government spending (Absolute KShs Billions)</w:t>
            </w:r>
          </w:p>
        </w:tc>
        <w:tc>
          <w:tcPr>
            <w:tcW w:w="526" w:type="pct"/>
            <w:tcBorders>
              <w:top w:val="nil"/>
              <w:left w:val="nil"/>
              <w:bottom w:val="single" w:sz="4" w:space="0" w:color="auto"/>
              <w:right w:val="single" w:sz="4" w:space="0" w:color="auto"/>
            </w:tcBorders>
            <w:shd w:val="clear" w:color="auto" w:fill="auto"/>
            <w:noWrap/>
            <w:vAlign w:val="bottom"/>
            <w:hideMark/>
          </w:tcPr>
          <w:p w14:paraId="4923F07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2CBEAA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3F5ED1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C94B4A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FE3C88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22A3850"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507F042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3CF914E"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Public spending on health as percentage of GDP (Absolute values) KSh billions.</w:t>
            </w:r>
          </w:p>
        </w:tc>
        <w:tc>
          <w:tcPr>
            <w:tcW w:w="526" w:type="pct"/>
            <w:tcBorders>
              <w:top w:val="nil"/>
              <w:left w:val="nil"/>
              <w:bottom w:val="single" w:sz="4" w:space="0" w:color="auto"/>
              <w:right w:val="single" w:sz="4" w:space="0" w:color="auto"/>
            </w:tcBorders>
            <w:shd w:val="clear" w:color="auto" w:fill="auto"/>
            <w:noWrap/>
            <w:vAlign w:val="bottom"/>
            <w:hideMark/>
          </w:tcPr>
          <w:p w14:paraId="3D063EA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39EFE1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586754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24DCBC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D8E965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A99D802"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48BF0B1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419236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total health expenditure that is pooled (government and insurance)</w:t>
            </w:r>
          </w:p>
        </w:tc>
        <w:tc>
          <w:tcPr>
            <w:tcW w:w="526" w:type="pct"/>
            <w:tcBorders>
              <w:top w:val="nil"/>
              <w:left w:val="nil"/>
              <w:bottom w:val="single" w:sz="4" w:space="0" w:color="auto"/>
              <w:right w:val="single" w:sz="4" w:space="0" w:color="auto"/>
            </w:tcBorders>
            <w:shd w:val="clear" w:color="auto" w:fill="auto"/>
            <w:noWrap/>
            <w:vAlign w:val="bottom"/>
            <w:hideMark/>
          </w:tcPr>
          <w:p w14:paraId="3370338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274DD3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85667E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5DD17A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DE162D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C45E8BE"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B00688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9B76F9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 of population covered under mandatory prepayment schemes </w:t>
            </w:r>
          </w:p>
        </w:tc>
        <w:tc>
          <w:tcPr>
            <w:tcW w:w="526" w:type="pct"/>
            <w:tcBorders>
              <w:top w:val="nil"/>
              <w:left w:val="nil"/>
              <w:bottom w:val="single" w:sz="4" w:space="0" w:color="auto"/>
              <w:right w:val="single" w:sz="4" w:space="0" w:color="auto"/>
            </w:tcBorders>
            <w:shd w:val="clear" w:color="auto" w:fill="auto"/>
            <w:noWrap/>
            <w:vAlign w:val="bottom"/>
            <w:hideMark/>
          </w:tcPr>
          <w:p w14:paraId="3D40DE8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CA6BA3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343890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0ECCDB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79C250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670D8D8"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30FEA16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381F6B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population needing subsidies covered under mandatory insurance</w:t>
            </w:r>
          </w:p>
        </w:tc>
        <w:tc>
          <w:tcPr>
            <w:tcW w:w="526" w:type="pct"/>
            <w:tcBorders>
              <w:top w:val="nil"/>
              <w:left w:val="nil"/>
              <w:bottom w:val="single" w:sz="4" w:space="0" w:color="auto"/>
              <w:right w:val="single" w:sz="4" w:space="0" w:color="auto"/>
            </w:tcBorders>
            <w:shd w:val="clear" w:color="auto" w:fill="auto"/>
            <w:noWrap/>
            <w:vAlign w:val="bottom"/>
            <w:hideMark/>
          </w:tcPr>
          <w:p w14:paraId="1BE249E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3392B8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348D9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CC25C7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762054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E8BE864"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723BB9D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854A7F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total health expenditure contributed to by donor projects / programs</w:t>
            </w:r>
          </w:p>
        </w:tc>
        <w:tc>
          <w:tcPr>
            <w:tcW w:w="526" w:type="pct"/>
            <w:tcBorders>
              <w:top w:val="nil"/>
              <w:left w:val="nil"/>
              <w:bottom w:val="single" w:sz="4" w:space="0" w:color="auto"/>
              <w:right w:val="single" w:sz="4" w:space="0" w:color="auto"/>
            </w:tcBorders>
            <w:shd w:val="clear" w:color="auto" w:fill="auto"/>
            <w:noWrap/>
            <w:vAlign w:val="bottom"/>
            <w:hideMark/>
          </w:tcPr>
          <w:p w14:paraId="62BBD61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B110ED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87329D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5181D5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92AEB2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BA30D57"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585F519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BC910A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total health expenditure contributed to by voluntary pre-payment schemes</w:t>
            </w:r>
          </w:p>
        </w:tc>
        <w:tc>
          <w:tcPr>
            <w:tcW w:w="526" w:type="pct"/>
            <w:tcBorders>
              <w:top w:val="nil"/>
              <w:left w:val="nil"/>
              <w:bottom w:val="single" w:sz="4" w:space="0" w:color="auto"/>
              <w:right w:val="single" w:sz="4" w:space="0" w:color="auto"/>
            </w:tcBorders>
            <w:shd w:val="clear" w:color="auto" w:fill="auto"/>
            <w:noWrap/>
            <w:vAlign w:val="bottom"/>
            <w:hideMark/>
          </w:tcPr>
          <w:p w14:paraId="4B909C8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5D0BF6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44CAC2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C7497F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FF8175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301015C"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09437BB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CED6B99"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People covered by Health Insurance (NHIF) Supa cover Benefits Formal</w:t>
            </w:r>
          </w:p>
        </w:tc>
        <w:tc>
          <w:tcPr>
            <w:tcW w:w="526" w:type="pct"/>
            <w:tcBorders>
              <w:top w:val="nil"/>
              <w:left w:val="nil"/>
              <w:bottom w:val="single" w:sz="4" w:space="0" w:color="auto"/>
              <w:right w:val="single" w:sz="4" w:space="0" w:color="auto"/>
            </w:tcBorders>
            <w:shd w:val="clear" w:color="auto" w:fill="auto"/>
            <w:noWrap/>
            <w:vAlign w:val="bottom"/>
            <w:hideMark/>
          </w:tcPr>
          <w:p w14:paraId="3B45CA2A"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4,038,379</w:t>
            </w:r>
          </w:p>
        </w:tc>
        <w:tc>
          <w:tcPr>
            <w:tcW w:w="447" w:type="pct"/>
            <w:tcBorders>
              <w:top w:val="nil"/>
              <w:left w:val="nil"/>
              <w:bottom w:val="single" w:sz="4" w:space="0" w:color="auto"/>
              <w:right w:val="single" w:sz="4" w:space="0" w:color="auto"/>
            </w:tcBorders>
            <w:shd w:val="clear" w:color="auto" w:fill="auto"/>
            <w:noWrap/>
            <w:vAlign w:val="bottom"/>
            <w:hideMark/>
          </w:tcPr>
          <w:p w14:paraId="7F697137"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B29418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48C34C6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vAlign w:val="bottom"/>
            <w:hideMark/>
          </w:tcPr>
          <w:p w14:paraId="0757EBE2"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4D5C0437"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689E1277"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3375C97"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People covered by Health Insurance (NHIF) Supa cover Benefits Informal</w:t>
            </w:r>
          </w:p>
        </w:tc>
        <w:tc>
          <w:tcPr>
            <w:tcW w:w="526" w:type="pct"/>
            <w:tcBorders>
              <w:top w:val="nil"/>
              <w:left w:val="nil"/>
              <w:bottom w:val="single" w:sz="4" w:space="0" w:color="auto"/>
              <w:right w:val="single" w:sz="4" w:space="0" w:color="auto"/>
            </w:tcBorders>
            <w:shd w:val="clear" w:color="auto" w:fill="auto"/>
            <w:noWrap/>
            <w:vAlign w:val="bottom"/>
            <w:hideMark/>
          </w:tcPr>
          <w:p w14:paraId="4DE7BBE9"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3,619,084</w:t>
            </w:r>
          </w:p>
        </w:tc>
        <w:tc>
          <w:tcPr>
            <w:tcW w:w="447" w:type="pct"/>
            <w:tcBorders>
              <w:top w:val="nil"/>
              <w:left w:val="nil"/>
              <w:bottom w:val="single" w:sz="4" w:space="0" w:color="auto"/>
              <w:right w:val="single" w:sz="4" w:space="0" w:color="auto"/>
            </w:tcBorders>
            <w:shd w:val="clear" w:color="auto" w:fill="auto"/>
            <w:noWrap/>
            <w:vAlign w:val="bottom"/>
            <w:hideMark/>
          </w:tcPr>
          <w:p w14:paraId="4E20B62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7F9E91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296EE94C"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vAlign w:val="bottom"/>
            <w:hideMark/>
          </w:tcPr>
          <w:p w14:paraId="1EF8E453"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10EBB942" w14:textId="77777777" w:rsidTr="00341050">
        <w:trPr>
          <w:trHeight w:val="600"/>
        </w:trPr>
        <w:tc>
          <w:tcPr>
            <w:tcW w:w="824" w:type="pct"/>
            <w:vMerge/>
            <w:tcBorders>
              <w:top w:val="nil"/>
              <w:left w:val="single" w:sz="4" w:space="0" w:color="auto"/>
              <w:bottom w:val="single" w:sz="4" w:space="0" w:color="auto"/>
              <w:right w:val="single" w:sz="4" w:space="0" w:color="auto"/>
            </w:tcBorders>
            <w:vAlign w:val="center"/>
            <w:hideMark/>
          </w:tcPr>
          <w:p w14:paraId="5E1A976F"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D3054EA"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xml:space="preserve">People covered by Health Insurance (NHIF) UHC-EBP </w:t>
            </w:r>
          </w:p>
        </w:tc>
        <w:tc>
          <w:tcPr>
            <w:tcW w:w="526" w:type="pct"/>
            <w:tcBorders>
              <w:top w:val="nil"/>
              <w:left w:val="nil"/>
              <w:bottom w:val="single" w:sz="4" w:space="0" w:color="auto"/>
              <w:right w:val="single" w:sz="4" w:space="0" w:color="auto"/>
            </w:tcBorders>
            <w:shd w:val="clear" w:color="auto" w:fill="auto"/>
            <w:noWrap/>
            <w:vAlign w:val="bottom"/>
            <w:hideMark/>
          </w:tcPr>
          <w:p w14:paraId="02367BD0"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7F38962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vAlign w:val="bottom"/>
            <w:hideMark/>
          </w:tcPr>
          <w:p w14:paraId="38E45957"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Ministry of Interior/ NHIF</w:t>
            </w:r>
          </w:p>
        </w:tc>
        <w:tc>
          <w:tcPr>
            <w:tcW w:w="612" w:type="pct"/>
            <w:tcBorders>
              <w:top w:val="nil"/>
              <w:left w:val="nil"/>
              <w:bottom w:val="single" w:sz="4" w:space="0" w:color="auto"/>
              <w:right w:val="single" w:sz="4" w:space="0" w:color="auto"/>
            </w:tcBorders>
            <w:shd w:val="clear" w:color="auto" w:fill="auto"/>
            <w:noWrap/>
            <w:vAlign w:val="bottom"/>
            <w:hideMark/>
          </w:tcPr>
          <w:p w14:paraId="2B4437D9"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vAlign w:val="bottom"/>
            <w:hideMark/>
          </w:tcPr>
          <w:p w14:paraId="731F401E"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Ministry of Interior/ NHIF</w:t>
            </w:r>
          </w:p>
        </w:tc>
      </w:tr>
      <w:tr w:rsidR="00FA0203" w:rsidRPr="003556E8" w14:paraId="70578C77" w14:textId="77777777" w:rsidTr="00341050">
        <w:trPr>
          <w:trHeight w:val="600"/>
        </w:trPr>
        <w:tc>
          <w:tcPr>
            <w:tcW w:w="824" w:type="pct"/>
            <w:vMerge/>
            <w:tcBorders>
              <w:top w:val="nil"/>
              <w:left w:val="single" w:sz="4" w:space="0" w:color="auto"/>
              <w:bottom w:val="single" w:sz="4" w:space="0" w:color="auto"/>
              <w:right w:val="single" w:sz="4" w:space="0" w:color="auto"/>
            </w:tcBorders>
            <w:vAlign w:val="center"/>
            <w:hideMark/>
          </w:tcPr>
          <w:p w14:paraId="3E2EE44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7F866B0"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people identified for special programme (HISP, ; EPWDs Innua Jamiis)</w:t>
            </w:r>
          </w:p>
        </w:tc>
        <w:tc>
          <w:tcPr>
            <w:tcW w:w="526" w:type="pct"/>
            <w:tcBorders>
              <w:top w:val="nil"/>
              <w:left w:val="nil"/>
              <w:bottom w:val="single" w:sz="4" w:space="0" w:color="auto"/>
              <w:right w:val="single" w:sz="4" w:space="0" w:color="auto"/>
            </w:tcBorders>
            <w:shd w:val="clear" w:color="auto" w:fill="auto"/>
            <w:noWrap/>
            <w:vAlign w:val="bottom"/>
            <w:hideMark/>
          </w:tcPr>
          <w:p w14:paraId="7F88412E"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223,415</w:t>
            </w:r>
          </w:p>
        </w:tc>
        <w:tc>
          <w:tcPr>
            <w:tcW w:w="447" w:type="pct"/>
            <w:tcBorders>
              <w:top w:val="nil"/>
              <w:left w:val="nil"/>
              <w:bottom w:val="single" w:sz="4" w:space="0" w:color="auto"/>
              <w:right w:val="single" w:sz="4" w:space="0" w:color="auto"/>
            </w:tcBorders>
            <w:shd w:val="clear" w:color="auto" w:fill="auto"/>
            <w:noWrap/>
            <w:vAlign w:val="bottom"/>
            <w:hideMark/>
          </w:tcPr>
          <w:p w14:paraId="29397A59"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vAlign w:val="bottom"/>
            <w:hideMark/>
          </w:tcPr>
          <w:p w14:paraId="1D176CB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Social Protection Sectcretariat</w:t>
            </w:r>
          </w:p>
        </w:tc>
        <w:tc>
          <w:tcPr>
            <w:tcW w:w="612" w:type="pct"/>
            <w:tcBorders>
              <w:top w:val="nil"/>
              <w:left w:val="nil"/>
              <w:bottom w:val="single" w:sz="4" w:space="0" w:color="auto"/>
              <w:right w:val="single" w:sz="4" w:space="0" w:color="auto"/>
            </w:tcBorders>
            <w:shd w:val="clear" w:color="auto" w:fill="auto"/>
            <w:noWrap/>
            <w:vAlign w:val="bottom"/>
            <w:hideMark/>
          </w:tcPr>
          <w:p w14:paraId="26B388A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Annually</w:t>
            </w:r>
          </w:p>
        </w:tc>
        <w:tc>
          <w:tcPr>
            <w:tcW w:w="703" w:type="pct"/>
            <w:tcBorders>
              <w:top w:val="nil"/>
              <w:left w:val="nil"/>
              <w:bottom w:val="single" w:sz="4" w:space="0" w:color="auto"/>
              <w:right w:val="single" w:sz="4" w:space="0" w:color="auto"/>
            </w:tcBorders>
            <w:shd w:val="clear" w:color="auto" w:fill="auto"/>
            <w:vAlign w:val="bottom"/>
            <w:hideMark/>
          </w:tcPr>
          <w:p w14:paraId="508DF0B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Social Protection Sectcretariat</w:t>
            </w:r>
          </w:p>
        </w:tc>
      </w:tr>
      <w:tr w:rsidR="00FA0203" w:rsidRPr="003556E8" w14:paraId="408E6EFF" w14:textId="77777777" w:rsidTr="00341050">
        <w:trPr>
          <w:trHeight w:val="600"/>
        </w:trPr>
        <w:tc>
          <w:tcPr>
            <w:tcW w:w="824" w:type="pct"/>
            <w:vMerge/>
            <w:tcBorders>
              <w:top w:val="nil"/>
              <w:left w:val="single" w:sz="4" w:space="0" w:color="auto"/>
              <w:bottom w:val="single" w:sz="4" w:space="0" w:color="auto"/>
              <w:right w:val="single" w:sz="4" w:space="0" w:color="auto"/>
            </w:tcBorders>
            <w:vAlign w:val="center"/>
            <w:hideMark/>
          </w:tcPr>
          <w:p w14:paraId="69B4AD1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3610892"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people identified for special programme - Innua Jamii</w:t>
            </w:r>
          </w:p>
        </w:tc>
        <w:tc>
          <w:tcPr>
            <w:tcW w:w="526" w:type="pct"/>
            <w:tcBorders>
              <w:top w:val="nil"/>
              <w:left w:val="nil"/>
              <w:bottom w:val="single" w:sz="4" w:space="0" w:color="auto"/>
              <w:right w:val="single" w:sz="4" w:space="0" w:color="auto"/>
            </w:tcBorders>
            <w:shd w:val="clear" w:color="auto" w:fill="auto"/>
            <w:noWrap/>
            <w:vAlign w:val="bottom"/>
            <w:hideMark/>
          </w:tcPr>
          <w:p w14:paraId="4C92B23D"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32CCA8E6"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vAlign w:val="bottom"/>
            <w:hideMark/>
          </w:tcPr>
          <w:p w14:paraId="7078581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Social Protection Sectcretariat</w:t>
            </w:r>
          </w:p>
        </w:tc>
        <w:tc>
          <w:tcPr>
            <w:tcW w:w="612" w:type="pct"/>
            <w:tcBorders>
              <w:top w:val="nil"/>
              <w:left w:val="nil"/>
              <w:bottom w:val="single" w:sz="4" w:space="0" w:color="auto"/>
              <w:right w:val="single" w:sz="4" w:space="0" w:color="auto"/>
            </w:tcBorders>
            <w:shd w:val="clear" w:color="auto" w:fill="auto"/>
            <w:noWrap/>
            <w:vAlign w:val="bottom"/>
            <w:hideMark/>
          </w:tcPr>
          <w:p w14:paraId="53D96B9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Annually</w:t>
            </w:r>
          </w:p>
        </w:tc>
        <w:tc>
          <w:tcPr>
            <w:tcW w:w="703" w:type="pct"/>
            <w:tcBorders>
              <w:top w:val="nil"/>
              <w:left w:val="nil"/>
              <w:bottom w:val="single" w:sz="4" w:space="0" w:color="auto"/>
              <w:right w:val="single" w:sz="4" w:space="0" w:color="auto"/>
            </w:tcBorders>
            <w:shd w:val="clear" w:color="auto" w:fill="auto"/>
            <w:vAlign w:val="bottom"/>
            <w:hideMark/>
          </w:tcPr>
          <w:p w14:paraId="5700461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Social Protection Sectcretariat</w:t>
            </w:r>
          </w:p>
        </w:tc>
      </w:tr>
      <w:tr w:rsidR="00FA0203" w:rsidRPr="003556E8" w14:paraId="0FEBEB67"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34509C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A94C24C"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people identified for Secondary students programme</w:t>
            </w:r>
          </w:p>
        </w:tc>
        <w:tc>
          <w:tcPr>
            <w:tcW w:w="526" w:type="pct"/>
            <w:tcBorders>
              <w:top w:val="nil"/>
              <w:left w:val="nil"/>
              <w:bottom w:val="single" w:sz="4" w:space="0" w:color="auto"/>
              <w:right w:val="single" w:sz="4" w:space="0" w:color="auto"/>
            </w:tcBorders>
            <w:shd w:val="clear" w:color="auto" w:fill="auto"/>
            <w:noWrap/>
            <w:vAlign w:val="bottom"/>
            <w:hideMark/>
          </w:tcPr>
          <w:p w14:paraId="37EEE7DA"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634174F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vAlign w:val="bottom"/>
            <w:hideMark/>
          </w:tcPr>
          <w:p w14:paraId="61319267"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Ministry of Education</w:t>
            </w:r>
          </w:p>
        </w:tc>
        <w:tc>
          <w:tcPr>
            <w:tcW w:w="612" w:type="pct"/>
            <w:tcBorders>
              <w:top w:val="nil"/>
              <w:left w:val="nil"/>
              <w:bottom w:val="single" w:sz="4" w:space="0" w:color="auto"/>
              <w:right w:val="single" w:sz="4" w:space="0" w:color="auto"/>
            </w:tcBorders>
            <w:shd w:val="clear" w:color="auto" w:fill="auto"/>
            <w:noWrap/>
            <w:vAlign w:val="bottom"/>
            <w:hideMark/>
          </w:tcPr>
          <w:p w14:paraId="45CA75B9"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vAlign w:val="bottom"/>
            <w:hideMark/>
          </w:tcPr>
          <w:p w14:paraId="0313212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Ministry of Education</w:t>
            </w:r>
          </w:p>
        </w:tc>
      </w:tr>
      <w:tr w:rsidR="00FA0203" w:rsidRPr="003556E8" w14:paraId="6F6E7195"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68B28929"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444EA53"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expectant mothers registered under the linda mama programme</w:t>
            </w:r>
          </w:p>
        </w:tc>
        <w:tc>
          <w:tcPr>
            <w:tcW w:w="526" w:type="pct"/>
            <w:tcBorders>
              <w:top w:val="nil"/>
              <w:left w:val="nil"/>
              <w:bottom w:val="single" w:sz="4" w:space="0" w:color="auto"/>
              <w:right w:val="single" w:sz="4" w:space="0" w:color="auto"/>
            </w:tcBorders>
            <w:shd w:val="clear" w:color="auto" w:fill="auto"/>
            <w:noWrap/>
            <w:vAlign w:val="bottom"/>
            <w:hideMark/>
          </w:tcPr>
          <w:p w14:paraId="02DE325F"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213F0D2D"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vAlign w:val="bottom"/>
            <w:hideMark/>
          </w:tcPr>
          <w:p w14:paraId="0AE946B4"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324A193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vAlign w:val="bottom"/>
            <w:hideMark/>
          </w:tcPr>
          <w:p w14:paraId="5FB64B2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6455A6A9"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7B084D79"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8910DD3"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Total amount capitated</w:t>
            </w:r>
          </w:p>
        </w:tc>
        <w:tc>
          <w:tcPr>
            <w:tcW w:w="526" w:type="pct"/>
            <w:tcBorders>
              <w:top w:val="nil"/>
              <w:left w:val="nil"/>
              <w:bottom w:val="single" w:sz="4" w:space="0" w:color="auto"/>
              <w:right w:val="single" w:sz="4" w:space="0" w:color="auto"/>
            </w:tcBorders>
            <w:shd w:val="clear" w:color="auto" w:fill="auto"/>
            <w:noWrap/>
            <w:vAlign w:val="bottom"/>
            <w:hideMark/>
          </w:tcPr>
          <w:p w14:paraId="3FCC1CA9"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14746467"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03C713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39CF8AB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6A0887F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1993BB97"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44E7929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2F05620"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HFs received Timely disbursments ( within 14 working days from the date the HFs submt the claim)</w:t>
            </w:r>
          </w:p>
        </w:tc>
        <w:tc>
          <w:tcPr>
            <w:tcW w:w="526" w:type="pct"/>
            <w:tcBorders>
              <w:top w:val="nil"/>
              <w:left w:val="nil"/>
              <w:bottom w:val="single" w:sz="4" w:space="0" w:color="auto"/>
              <w:right w:val="single" w:sz="4" w:space="0" w:color="auto"/>
            </w:tcBorders>
            <w:shd w:val="clear" w:color="auto" w:fill="auto"/>
            <w:noWrap/>
            <w:vAlign w:val="bottom"/>
            <w:hideMark/>
          </w:tcPr>
          <w:p w14:paraId="5924A8DE"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E6F4309"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D6BA0D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c>
          <w:tcPr>
            <w:tcW w:w="612" w:type="pct"/>
            <w:tcBorders>
              <w:top w:val="nil"/>
              <w:left w:val="nil"/>
              <w:bottom w:val="single" w:sz="4" w:space="0" w:color="auto"/>
              <w:right w:val="single" w:sz="4" w:space="0" w:color="auto"/>
            </w:tcBorders>
            <w:shd w:val="clear" w:color="auto" w:fill="auto"/>
            <w:noWrap/>
            <w:vAlign w:val="bottom"/>
            <w:hideMark/>
          </w:tcPr>
          <w:p w14:paraId="65051EA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1075FDB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r>
      <w:tr w:rsidR="00FA0203" w:rsidRPr="003556E8" w14:paraId="3C5B1C88"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3903C5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00"/>
            <w:vAlign w:val="center"/>
            <w:hideMark/>
          </w:tcPr>
          <w:p w14:paraId="5F689194"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claims submitted for reimbursement</w:t>
            </w:r>
          </w:p>
        </w:tc>
        <w:tc>
          <w:tcPr>
            <w:tcW w:w="526" w:type="pct"/>
            <w:tcBorders>
              <w:top w:val="nil"/>
              <w:left w:val="nil"/>
              <w:bottom w:val="single" w:sz="4" w:space="0" w:color="auto"/>
              <w:right w:val="single" w:sz="4" w:space="0" w:color="auto"/>
            </w:tcBorders>
            <w:shd w:val="clear" w:color="auto" w:fill="auto"/>
            <w:noWrap/>
            <w:vAlign w:val="bottom"/>
            <w:hideMark/>
          </w:tcPr>
          <w:p w14:paraId="49A5B3C8"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74EED166"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08E43CC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36FC6866"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0C3DDD2F"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0A49D37F"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E6259B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00"/>
            <w:vAlign w:val="center"/>
            <w:hideMark/>
          </w:tcPr>
          <w:p w14:paraId="6E1764F7"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Total funds reimbursed  (NHIF)</w:t>
            </w:r>
          </w:p>
        </w:tc>
        <w:tc>
          <w:tcPr>
            <w:tcW w:w="526" w:type="pct"/>
            <w:tcBorders>
              <w:top w:val="nil"/>
              <w:left w:val="nil"/>
              <w:bottom w:val="single" w:sz="4" w:space="0" w:color="auto"/>
              <w:right w:val="single" w:sz="4" w:space="0" w:color="auto"/>
            </w:tcBorders>
            <w:shd w:val="clear" w:color="auto" w:fill="auto"/>
            <w:noWrap/>
            <w:vAlign w:val="bottom"/>
            <w:hideMark/>
          </w:tcPr>
          <w:p w14:paraId="12894222"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36BAC32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5DCAC5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6DCC804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5961717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1F99EF49"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D4361A3"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D05946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Total amount received from FIF (cash)</w:t>
            </w:r>
          </w:p>
        </w:tc>
        <w:tc>
          <w:tcPr>
            <w:tcW w:w="526" w:type="pct"/>
            <w:tcBorders>
              <w:top w:val="nil"/>
              <w:left w:val="nil"/>
              <w:bottom w:val="single" w:sz="4" w:space="0" w:color="auto"/>
              <w:right w:val="single" w:sz="4" w:space="0" w:color="auto"/>
            </w:tcBorders>
            <w:shd w:val="clear" w:color="auto" w:fill="auto"/>
            <w:noWrap/>
            <w:vAlign w:val="bottom"/>
            <w:hideMark/>
          </w:tcPr>
          <w:p w14:paraId="4A1A829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60FBE0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4FA0C1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c>
          <w:tcPr>
            <w:tcW w:w="612" w:type="pct"/>
            <w:tcBorders>
              <w:top w:val="nil"/>
              <w:left w:val="nil"/>
              <w:bottom w:val="single" w:sz="4" w:space="0" w:color="auto"/>
              <w:right w:val="single" w:sz="4" w:space="0" w:color="auto"/>
            </w:tcBorders>
            <w:shd w:val="clear" w:color="auto" w:fill="auto"/>
            <w:noWrap/>
            <w:vAlign w:val="bottom"/>
            <w:hideMark/>
          </w:tcPr>
          <w:p w14:paraId="17AE2692"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0F0A779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r>
      <w:tr w:rsidR="00FA0203" w:rsidRPr="003556E8" w14:paraId="580483A0"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F7D95CA"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FE85128"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Total Amount of claims not reimbursed</w:t>
            </w:r>
          </w:p>
        </w:tc>
        <w:tc>
          <w:tcPr>
            <w:tcW w:w="526" w:type="pct"/>
            <w:tcBorders>
              <w:top w:val="nil"/>
              <w:left w:val="nil"/>
              <w:bottom w:val="single" w:sz="4" w:space="0" w:color="auto"/>
              <w:right w:val="single" w:sz="4" w:space="0" w:color="auto"/>
            </w:tcBorders>
            <w:shd w:val="clear" w:color="auto" w:fill="auto"/>
            <w:noWrap/>
            <w:vAlign w:val="bottom"/>
            <w:hideMark/>
          </w:tcPr>
          <w:p w14:paraId="4E7E3F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C4C69C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A833C6D"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c>
          <w:tcPr>
            <w:tcW w:w="612" w:type="pct"/>
            <w:tcBorders>
              <w:top w:val="nil"/>
              <w:left w:val="nil"/>
              <w:bottom w:val="single" w:sz="4" w:space="0" w:color="auto"/>
              <w:right w:val="single" w:sz="4" w:space="0" w:color="auto"/>
            </w:tcBorders>
            <w:shd w:val="clear" w:color="auto" w:fill="auto"/>
            <w:noWrap/>
            <w:vAlign w:val="bottom"/>
            <w:hideMark/>
          </w:tcPr>
          <w:p w14:paraId="17B21DD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272F2E0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r>
      <w:tr w:rsidR="00FA0203" w:rsidRPr="003556E8" w14:paraId="29DF5198"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03A71DC"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D2ECB8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Total amount collected from FIF + cash</w:t>
            </w:r>
          </w:p>
        </w:tc>
        <w:tc>
          <w:tcPr>
            <w:tcW w:w="526" w:type="pct"/>
            <w:tcBorders>
              <w:top w:val="nil"/>
              <w:left w:val="nil"/>
              <w:bottom w:val="nil"/>
              <w:right w:val="nil"/>
            </w:tcBorders>
            <w:shd w:val="clear" w:color="auto" w:fill="auto"/>
            <w:noWrap/>
            <w:vAlign w:val="bottom"/>
            <w:hideMark/>
          </w:tcPr>
          <w:p w14:paraId="2741F1C0" w14:textId="77777777" w:rsidR="00FA0203" w:rsidRPr="003556E8" w:rsidRDefault="00FA0203" w:rsidP="00815911">
            <w:pPr>
              <w:spacing w:after="0" w:line="240" w:lineRule="auto"/>
              <w:rPr>
                <w:rFonts w:ascii="Calibri" w:eastAsia="Times New Roman" w:hAnsi="Calibri" w:cs="Calibri"/>
                <w:color w:val="000000"/>
              </w:rPr>
            </w:pPr>
          </w:p>
        </w:tc>
        <w:tc>
          <w:tcPr>
            <w:tcW w:w="447" w:type="pct"/>
            <w:tcBorders>
              <w:top w:val="nil"/>
              <w:left w:val="single" w:sz="4" w:space="0" w:color="auto"/>
              <w:bottom w:val="single" w:sz="4" w:space="0" w:color="auto"/>
              <w:right w:val="single" w:sz="4" w:space="0" w:color="auto"/>
            </w:tcBorders>
            <w:shd w:val="clear" w:color="auto" w:fill="auto"/>
            <w:noWrap/>
            <w:vAlign w:val="bottom"/>
            <w:hideMark/>
          </w:tcPr>
          <w:p w14:paraId="27E41D1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53C694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c>
          <w:tcPr>
            <w:tcW w:w="612" w:type="pct"/>
            <w:tcBorders>
              <w:top w:val="nil"/>
              <w:left w:val="nil"/>
              <w:bottom w:val="single" w:sz="4" w:space="0" w:color="auto"/>
              <w:right w:val="single" w:sz="4" w:space="0" w:color="auto"/>
            </w:tcBorders>
            <w:shd w:val="clear" w:color="auto" w:fill="auto"/>
            <w:noWrap/>
            <w:vAlign w:val="bottom"/>
            <w:hideMark/>
          </w:tcPr>
          <w:p w14:paraId="29A06B1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0A38389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MOH</w:t>
            </w:r>
          </w:p>
        </w:tc>
      </w:tr>
      <w:tr w:rsidR="00FA0203" w:rsidRPr="003556E8" w14:paraId="071CD9B5"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4A0729"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Improve Health Related interventions and social determinants</w:t>
            </w:r>
            <w:r w:rsidRPr="003556E8">
              <w:rPr>
                <w:rFonts w:ascii="Calibri" w:eastAsia="Times New Roman" w:hAnsi="Calibri" w:cs="Calibri"/>
                <w:b/>
                <w:bCs/>
                <w:color w:val="000000"/>
              </w:rPr>
              <w:br/>
              <w:t>SOCIAL DETERMINANTS</w:t>
            </w:r>
          </w:p>
        </w:tc>
        <w:tc>
          <w:tcPr>
            <w:tcW w:w="526" w:type="pct"/>
            <w:tcBorders>
              <w:top w:val="single" w:sz="4" w:space="0" w:color="auto"/>
              <w:left w:val="nil"/>
              <w:bottom w:val="single" w:sz="4" w:space="0" w:color="auto"/>
              <w:right w:val="single" w:sz="4" w:space="0" w:color="auto"/>
            </w:tcBorders>
            <w:shd w:val="clear" w:color="auto" w:fill="auto"/>
            <w:noWrap/>
            <w:vAlign w:val="bottom"/>
            <w:hideMark/>
          </w:tcPr>
          <w:p w14:paraId="6E01B30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23D9BB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08B675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F074BD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5F65B6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A00D567"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8D8A814"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2AB4F15E"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households using improved sanitation facilities</w:t>
            </w:r>
          </w:p>
        </w:tc>
        <w:tc>
          <w:tcPr>
            <w:tcW w:w="526" w:type="pct"/>
            <w:tcBorders>
              <w:top w:val="nil"/>
              <w:left w:val="nil"/>
              <w:bottom w:val="single" w:sz="4" w:space="0" w:color="auto"/>
              <w:right w:val="single" w:sz="4" w:space="0" w:color="auto"/>
            </w:tcBorders>
            <w:shd w:val="clear" w:color="auto" w:fill="auto"/>
            <w:noWrap/>
            <w:vAlign w:val="bottom"/>
            <w:hideMark/>
          </w:tcPr>
          <w:p w14:paraId="7A9C5E6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BDEFC5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483B52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BC881D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628E5B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6F62DE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D078DF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5DCE889"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households using improved safe water facilities</w:t>
            </w:r>
          </w:p>
        </w:tc>
        <w:tc>
          <w:tcPr>
            <w:tcW w:w="526" w:type="pct"/>
            <w:tcBorders>
              <w:top w:val="nil"/>
              <w:left w:val="nil"/>
              <w:bottom w:val="single" w:sz="4" w:space="0" w:color="auto"/>
              <w:right w:val="single" w:sz="4" w:space="0" w:color="auto"/>
            </w:tcBorders>
            <w:shd w:val="clear" w:color="auto" w:fill="auto"/>
            <w:noWrap/>
            <w:vAlign w:val="bottom"/>
            <w:hideMark/>
          </w:tcPr>
          <w:p w14:paraId="56D19A0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20EB23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8D8DB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25A417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B8E8E4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0F5654C"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6D4B385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Outputs</w:t>
            </w:r>
          </w:p>
        </w:tc>
        <w:tc>
          <w:tcPr>
            <w:tcW w:w="1106" w:type="pct"/>
            <w:tcBorders>
              <w:top w:val="nil"/>
              <w:left w:val="nil"/>
              <w:bottom w:val="single" w:sz="4" w:space="0" w:color="auto"/>
              <w:right w:val="single" w:sz="4" w:space="0" w:color="auto"/>
            </w:tcBorders>
            <w:shd w:val="clear" w:color="auto" w:fill="auto"/>
            <w:noWrap/>
            <w:vAlign w:val="bottom"/>
            <w:hideMark/>
          </w:tcPr>
          <w:p w14:paraId="79BDBB3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7EC3599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2750A30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B8B7E7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18062A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5560B1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7C1E3B1"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713C07E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noWrap/>
            <w:vAlign w:val="bottom"/>
            <w:hideMark/>
          </w:tcPr>
          <w:p w14:paraId="2708D77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193F4EF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2CC640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CB0490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1EF05A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9B8F5F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93CCD4D"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448F602"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Increase Demand and quality of care</w:t>
            </w:r>
          </w:p>
        </w:tc>
        <w:tc>
          <w:tcPr>
            <w:tcW w:w="526" w:type="pct"/>
            <w:tcBorders>
              <w:top w:val="nil"/>
              <w:left w:val="nil"/>
              <w:bottom w:val="single" w:sz="4" w:space="0" w:color="auto"/>
              <w:right w:val="single" w:sz="4" w:space="0" w:color="auto"/>
            </w:tcBorders>
            <w:shd w:val="clear" w:color="auto" w:fill="auto"/>
            <w:noWrap/>
            <w:vAlign w:val="bottom"/>
            <w:hideMark/>
          </w:tcPr>
          <w:p w14:paraId="5E129C8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B0C56F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3710CB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3025B5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C76162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0160E0CB"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C9CFBD5"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1D75F3C5"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Client satisfaction </w:t>
            </w:r>
          </w:p>
        </w:tc>
        <w:tc>
          <w:tcPr>
            <w:tcW w:w="526" w:type="pct"/>
            <w:tcBorders>
              <w:top w:val="nil"/>
              <w:left w:val="nil"/>
              <w:bottom w:val="single" w:sz="4" w:space="0" w:color="auto"/>
              <w:right w:val="single" w:sz="4" w:space="0" w:color="auto"/>
            </w:tcBorders>
            <w:shd w:val="clear" w:color="auto" w:fill="auto"/>
            <w:noWrap/>
            <w:vAlign w:val="bottom"/>
            <w:hideMark/>
          </w:tcPr>
          <w:p w14:paraId="51159A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4E0298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6A4DF7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E1E2C3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6929B6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D971EE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7C9C707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89338D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Outpatient per capita utilisation Rate</w:t>
            </w:r>
          </w:p>
        </w:tc>
        <w:tc>
          <w:tcPr>
            <w:tcW w:w="526" w:type="pct"/>
            <w:tcBorders>
              <w:top w:val="nil"/>
              <w:left w:val="nil"/>
              <w:bottom w:val="single" w:sz="4" w:space="0" w:color="auto"/>
              <w:right w:val="single" w:sz="4" w:space="0" w:color="auto"/>
            </w:tcBorders>
            <w:shd w:val="clear" w:color="auto" w:fill="auto"/>
            <w:noWrap/>
            <w:vAlign w:val="bottom"/>
            <w:hideMark/>
          </w:tcPr>
          <w:p w14:paraId="62F914A1" w14:textId="77777777" w:rsidR="00FA0203" w:rsidRPr="003556E8" w:rsidRDefault="00FA0203" w:rsidP="00815911">
            <w:pPr>
              <w:spacing w:after="0" w:line="240" w:lineRule="auto"/>
              <w:jc w:val="right"/>
              <w:rPr>
                <w:rFonts w:ascii="Garamond" w:eastAsia="Times New Roman" w:hAnsi="Garamond" w:cs="Calibri"/>
                <w:color w:val="000000"/>
              </w:rPr>
            </w:pPr>
            <w:r w:rsidRPr="003556E8">
              <w:rPr>
                <w:rFonts w:ascii="Garamond" w:eastAsia="Times New Roman" w:hAnsi="Garamond" w:cs="Calibri"/>
                <w:color w:val="000000"/>
              </w:rPr>
              <w:t>1.4</w:t>
            </w:r>
          </w:p>
        </w:tc>
        <w:tc>
          <w:tcPr>
            <w:tcW w:w="447" w:type="pct"/>
            <w:tcBorders>
              <w:top w:val="nil"/>
              <w:left w:val="nil"/>
              <w:bottom w:val="single" w:sz="4" w:space="0" w:color="auto"/>
              <w:right w:val="single" w:sz="4" w:space="0" w:color="auto"/>
            </w:tcBorders>
            <w:shd w:val="clear" w:color="auto" w:fill="auto"/>
            <w:noWrap/>
            <w:vAlign w:val="bottom"/>
            <w:hideMark/>
          </w:tcPr>
          <w:p w14:paraId="089953FC"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D37A8CF"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5B540B3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423F9DD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2E75C3A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989E0B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97F4B1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TB treatment cure rate</w:t>
            </w:r>
          </w:p>
        </w:tc>
        <w:tc>
          <w:tcPr>
            <w:tcW w:w="526" w:type="pct"/>
            <w:tcBorders>
              <w:top w:val="nil"/>
              <w:left w:val="nil"/>
              <w:bottom w:val="single" w:sz="4" w:space="0" w:color="auto"/>
              <w:right w:val="single" w:sz="4" w:space="0" w:color="auto"/>
            </w:tcBorders>
            <w:shd w:val="clear" w:color="auto" w:fill="auto"/>
            <w:noWrap/>
            <w:vAlign w:val="bottom"/>
            <w:hideMark/>
          </w:tcPr>
          <w:p w14:paraId="33706D13"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81%</w:t>
            </w:r>
          </w:p>
        </w:tc>
        <w:tc>
          <w:tcPr>
            <w:tcW w:w="447" w:type="pct"/>
            <w:tcBorders>
              <w:top w:val="nil"/>
              <w:left w:val="nil"/>
              <w:bottom w:val="single" w:sz="4" w:space="0" w:color="auto"/>
              <w:right w:val="single" w:sz="4" w:space="0" w:color="auto"/>
            </w:tcBorders>
            <w:shd w:val="clear" w:color="auto" w:fill="auto"/>
            <w:noWrap/>
            <w:vAlign w:val="bottom"/>
            <w:hideMark/>
          </w:tcPr>
          <w:p w14:paraId="7B1542D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9B1791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87F122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YEARLY</w:t>
            </w:r>
          </w:p>
        </w:tc>
        <w:tc>
          <w:tcPr>
            <w:tcW w:w="703" w:type="pct"/>
            <w:tcBorders>
              <w:top w:val="nil"/>
              <w:left w:val="nil"/>
              <w:bottom w:val="single" w:sz="4" w:space="0" w:color="auto"/>
              <w:right w:val="single" w:sz="4" w:space="0" w:color="auto"/>
            </w:tcBorders>
            <w:shd w:val="clear" w:color="auto" w:fill="auto"/>
            <w:noWrap/>
            <w:vAlign w:val="bottom"/>
            <w:hideMark/>
          </w:tcPr>
          <w:p w14:paraId="2DE7BE2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MOH</w:t>
            </w:r>
          </w:p>
        </w:tc>
      </w:tr>
      <w:tr w:rsidR="00FA0203" w:rsidRPr="003556E8" w14:paraId="314CF2F7"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76E03C2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36FA2F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Fresh still birth rate</w:t>
            </w:r>
          </w:p>
        </w:tc>
        <w:tc>
          <w:tcPr>
            <w:tcW w:w="526" w:type="pct"/>
            <w:tcBorders>
              <w:top w:val="nil"/>
              <w:left w:val="nil"/>
              <w:bottom w:val="single" w:sz="4" w:space="0" w:color="auto"/>
              <w:right w:val="single" w:sz="4" w:space="0" w:color="auto"/>
            </w:tcBorders>
            <w:shd w:val="clear" w:color="auto" w:fill="auto"/>
            <w:noWrap/>
            <w:vAlign w:val="bottom"/>
            <w:hideMark/>
          </w:tcPr>
          <w:p w14:paraId="3CCCBE6B"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1.2</w:t>
            </w:r>
          </w:p>
        </w:tc>
        <w:tc>
          <w:tcPr>
            <w:tcW w:w="447" w:type="pct"/>
            <w:tcBorders>
              <w:top w:val="nil"/>
              <w:left w:val="nil"/>
              <w:bottom w:val="single" w:sz="4" w:space="0" w:color="auto"/>
              <w:right w:val="single" w:sz="4" w:space="0" w:color="auto"/>
            </w:tcBorders>
            <w:shd w:val="clear" w:color="auto" w:fill="auto"/>
            <w:noWrap/>
            <w:vAlign w:val="bottom"/>
            <w:hideMark/>
          </w:tcPr>
          <w:p w14:paraId="15B1E80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651F80F3"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04A2E8C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78C8255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0F141084"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7011B35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219E0A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Client, employee satisfaction and work environment survey (index)</w:t>
            </w:r>
          </w:p>
        </w:tc>
        <w:tc>
          <w:tcPr>
            <w:tcW w:w="526" w:type="pct"/>
            <w:tcBorders>
              <w:top w:val="nil"/>
              <w:left w:val="nil"/>
              <w:bottom w:val="single" w:sz="4" w:space="0" w:color="auto"/>
              <w:right w:val="single" w:sz="4" w:space="0" w:color="auto"/>
            </w:tcBorders>
            <w:shd w:val="clear" w:color="auto" w:fill="auto"/>
            <w:noWrap/>
            <w:vAlign w:val="bottom"/>
            <w:hideMark/>
          </w:tcPr>
          <w:p w14:paraId="65CB5A0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45499AC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3C3B52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608C85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9F9CC0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2F458A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FCA5CB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1548EC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Level of knowledge on UHC for general public </w:t>
            </w:r>
          </w:p>
        </w:tc>
        <w:tc>
          <w:tcPr>
            <w:tcW w:w="526" w:type="pct"/>
            <w:tcBorders>
              <w:top w:val="nil"/>
              <w:left w:val="nil"/>
              <w:bottom w:val="single" w:sz="4" w:space="0" w:color="auto"/>
              <w:right w:val="single" w:sz="4" w:space="0" w:color="auto"/>
            </w:tcBorders>
            <w:shd w:val="clear" w:color="auto" w:fill="auto"/>
            <w:noWrap/>
            <w:vAlign w:val="bottom"/>
            <w:hideMark/>
          </w:tcPr>
          <w:p w14:paraId="03F588F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D95039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8B77BB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212F13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BBD29A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3F4530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2FA5FF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A40DB1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Level of knowledge on UHC for healthcare workers</w:t>
            </w:r>
          </w:p>
        </w:tc>
        <w:tc>
          <w:tcPr>
            <w:tcW w:w="526" w:type="pct"/>
            <w:tcBorders>
              <w:top w:val="nil"/>
              <w:left w:val="nil"/>
              <w:bottom w:val="single" w:sz="4" w:space="0" w:color="auto"/>
              <w:right w:val="single" w:sz="4" w:space="0" w:color="auto"/>
            </w:tcBorders>
            <w:shd w:val="clear" w:color="auto" w:fill="auto"/>
            <w:noWrap/>
            <w:vAlign w:val="bottom"/>
            <w:hideMark/>
          </w:tcPr>
          <w:p w14:paraId="15215F4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C5074B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59B69F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63D643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C39E43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023F5B9"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F2290A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C1457B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Average Length of stay (ALOS)</w:t>
            </w:r>
          </w:p>
        </w:tc>
        <w:tc>
          <w:tcPr>
            <w:tcW w:w="526" w:type="pct"/>
            <w:tcBorders>
              <w:top w:val="nil"/>
              <w:left w:val="nil"/>
              <w:bottom w:val="single" w:sz="4" w:space="0" w:color="auto"/>
              <w:right w:val="single" w:sz="4" w:space="0" w:color="auto"/>
            </w:tcBorders>
            <w:shd w:val="clear" w:color="auto" w:fill="auto"/>
            <w:noWrap/>
            <w:vAlign w:val="bottom"/>
            <w:hideMark/>
          </w:tcPr>
          <w:p w14:paraId="23751943"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7 days</w:t>
            </w:r>
          </w:p>
        </w:tc>
        <w:tc>
          <w:tcPr>
            <w:tcW w:w="447" w:type="pct"/>
            <w:tcBorders>
              <w:top w:val="nil"/>
              <w:left w:val="nil"/>
              <w:bottom w:val="single" w:sz="4" w:space="0" w:color="auto"/>
              <w:right w:val="single" w:sz="4" w:space="0" w:color="auto"/>
            </w:tcBorders>
            <w:shd w:val="clear" w:color="auto" w:fill="auto"/>
            <w:noWrap/>
            <w:vAlign w:val="bottom"/>
            <w:hideMark/>
          </w:tcPr>
          <w:p w14:paraId="5E56F1C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8859830"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482C34D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62F3056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0E5F97A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E968CDB"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0A66E7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percentage of Neonatal deaths Audited</w:t>
            </w:r>
          </w:p>
        </w:tc>
        <w:tc>
          <w:tcPr>
            <w:tcW w:w="526" w:type="pct"/>
            <w:tcBorders>
              <w:top w:val="nil"/>
              <w:left w:val="nil"/>
              <w:bottom w:val="single" w:sz="4" w:space="0" w:color="auto"/>
              <w:right w:val="single" w:sz="4" w:space="0" w:color="auto"/>
            </w:tcBorders>
            <w:shd w:val="clear" w:color="auto" w:fill="auto"/>
            <w:noWrap/>
            <w:vAlign w:val="bottom"/>
            <w:hideMark/>
          </w:tcPr>
          <w:p w14:paraId="5BE7F0C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C0D6C5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A033D1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94ABD2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3480E7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BE6EB4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44A2396"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B43E84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Precentage of Maternal deaths Audited</w:t>
            </w:r>
          </w:p>
        </w:tc>
        <w:tc>
          <w:tcPr>
            <w:tcW w:w="526" w:type="pct"/>
            <w:tcBorders>
              <w:top w:val="nil"/>
              <w:left w:val="nil"/>
              <w:bottom w:val="single" w:sz="4" w:space="0" w:color="auto"/>
              <w:right w:val="single" w:sz="4" w:space="0" w:color="auto"/>
            </w:tcBorders>
            <w:shd w:val="clear" w:color="auto" w:fill="auto"/>
            <w:noWrap/>
            <w:vAlign w:val="bottom"/>
            <w:hideMark/>
          </w:tcPr>
          <w:p w14:paraId="67324A13" w14:textId="77777777" w:rsidR="00FA0203" w:rsidRPr="003556E8" w:rsidRDefault="00FA0203" w:rsidP="00815911">
            <w:pPr>
              <w:spacing w:after="0" w:line="240" w:lineRule="auto"/>
              <w:jc w:val="right"/>
              <w:rPr>
                <w:rFonts w:ascii="Calibri" w:eastAsia="Times New Roman" w:hAnsi="Calibri" w:cs="Calibri"/>
                <w:color w:val="000000"/>
              </w:rPr>
            </w:pPr>
            <w:r w:rsidRPr="003556E8">
              <w:rPr>
                <w:rFonts w:ascii="Calibri" w:eastAsia="Times New Roman" w:hAnsi="Calibri" w:cs="Calibri"/>
                <w:color w:val="000000"/>
              </w:rPr>
              <w:t>80.4</w:t>
            </w:r>
          </w:p>
        </w:tc>
        <w:tc>
          <w:tcPr>
            <w:tcW w:w="447" w:type="pct"/>
            <w:tcBorders>
              <w:top w:val="nil"/>
              <w:left w:val="nil"/>
              <w:bottom w:val="single" w:sz="4" w:space="0" w:color="auto"/>
              <w:right w:val="single" w:sz="4" w:space="0" w:color="auto"/>
            </w:tcBorders>
            <w:shd w:val="clear" w:color="auto" w:fill="auto"/>
            <w:noWrap/>
            <w:vAlign w:val="bottom"/>
            <w:hideMark/>
          </w:tcPr>
          <w:p w14:paraId="0F509EC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2E83D5E" w14:textId="77777777" w:rsidR="00FA0203" w:rsidRPr="003556E8" w:rsidRDefault="00FA0203" w:rsidP="00815911">
            <w:pPr>
              <w:spacing w:after="0" w:line="240" w:lineRule="auto"/>
              <w:rPr>
                <w:rFonts w:ascii="Garamond" w:eastAsia="Times New Roman" w:hAnsi="Garamond" w:cs="Calibri"/>
                <w:i/>
                <w:iCs/>
                <w:color w:val="000000"/>
              </w:rPr>
            </w:pPr>
            <w:r w:rsidRPr="003556E8">
              <w:rPr>
                <w:rFonts w:ascii="Garamond" w:eastAsia="Times New Roman" w:hAnsi="Garamond" w:cs="Calibri"/>
                <w:i/>
                <w:iCs/>
                <w:color w:val="000000"/>
              </w:rPr>
              <w:t>DHIS 2</w:t>
            </w:r>
          </w:p>
        </w:tc>
        <w:tc>
          <w:tcPr>
            <w:tcW w:w="612" w:type="pct"/>
            <w:tcBorders>
              <w:top w:val="nil"/>
              <w:left w:val="nil"/>
              <w:bottom w:val="single" w:sz="4" w:space="0" w:color="auto"/>
              <w:right w:val="single" w:sz="4" w:space="0" w:color="auto"/>
            </w:tcBorders>
            <w:shd w:val="clear" w:color="auto" w:fill="auto"/>
            <w:noWrap/>
            <w:vAlign w:val="bottom"/>
            <w:hideMark/>
          </w:tcPr>
          <w:p w14:paraId="4287096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Monthly</w:t>
            </w:r>
          </w:p>
        </w:tc>
        <w:tc>
          <w:tcPr>
            <w:tcW w:w="703" w:type="pct"/>
            <w:tcBorders>
              <w:top w:val="nil"/>
              <w:left w:val="nil"/>
              <w:bottom w:val="single" w:sz="4" w:space="0" w:color="auto"/>
              <w:right w:val="single" w:sz="4" w:space="0" w:color="auto"/>
            </w:tcBorders>
            <w:shd w:val="clear" w:color="auto" w:fill="auto"/>
            <w:noWrap/>
            <w:vAlign w:val="bottom"/>
            <w:hideMark/>
          </w:tcPr>
          <w:p w14:paraId="51808E7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xml:space="preserve">MOH </w:t>
            </w:r>
          </w:p>
        </w:tc>
      </w:tr>
      <w:tr w:rsidR="00FA0203" w:rsidRPr="003556E8" w14:paraId="02AAA33D"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4DC365D"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Outputs</w:t>
            </w:r>
          </w:p>
        </w:tc>
        <w:tc>
          <w:tcPr>
            <w:tcW w:w="1106" w:type="pct"/>
            <w:tcBorders>
              <w:top w:val="nil"/>
              <w:left w:val="nil"/>
              <w:bottom w:val="single" w:sz="4" w:space="0" w:color="auto"/>
              <w:right w:val="single" w:sz="4" w:space="0" w:color="auto"/>
            </w:tcBorders>
            <w:shd w:val="clear" w:color="auto" w:fill="auto"/>
            <w:vAlign w:val="center"/>
            <w:hideMark/>
          </w:tcPr>
          <w:p w14:paraId="3F1E837F"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quarterly Joint implementation support visits</w:t>
            </w:r>
          </w:p>
        </w:tc>
        <w:tc>
          <w:tcPr>
            <w:tcW w:w="526" w:type="pct"/>
            <w:tcBorders>
              <w:top w:val="nil"/>
              <w:left w:val="nil"/>
              <w:bottom w:val="single" w:sz="4" w:space="0" w:color="auto"/>
              <w:right w:val="single" w:sz="4" w:space="0" w:color="auto"/>
            </w:tcBorders>
            <w:shd w:val="clear" w:color="auto" w:fill="auto"/>
            <w:noWrap/>
            <w:vAlign w:val="bottom"/>
            <w:hideMark/>
          </w:tcPr>
          <w:p w14:paraId="10A786C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5E9C8B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4C5370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CDD8DC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A9574B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18850172"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745151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04689C4"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xml:space="preserve"># of  functional QITs </w:t>
            </w:r>
          </w:p>
        </w:tc>
        <w:tc>
          <w:tcPr>
            <w:tcW w:w="526" w:type="pct"/>
            <w:tcBorders>
              <w:top w:val="nil"/>
              <w:left w:val="nil"/>
              <w:bottom w:val="single" w:sz="4" w:space="0" w:color="auto"/>
              <w:right w:val="single" w:sz="4" w:space="0" w:color="auto"/>
            </w:tcBorders>
            <w:shd w:val="clear" w:color="auto" w:fill="auto"/>
            <w:noWrap/>
            <w:vAlign w:val="bottom"/>
            <w:hideMark/>
          </w:tcPr>
          <w:p w14:paraId="0D200B7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2164468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EF22CF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BB2DE1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27FFB9B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87A4D1C"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19522F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16B528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stakeholders sensitized</w:t>
            </w:r>
          </w:p>
        </w:tc>
        <w:tc>
          <w:tcPr>
            <w:tcW w:w="526" w:type="pct"/>
            <w:tcBorders>
              <w:top w:val="nil"/>
              <w:left w:val="nil"/>
              <w:bottom w:val="single" w:sz="4" w:space="0" w:color="auto"/>
              <w:right w:val="single" w:sz="4" w:space="0" w:color="auto"/>
            </w:tcBorders>
            <w:shd w:val="clear" w:color="auto" w:fill="auto"/>
            <w:noWrap/>
            <w:vAlign w:val="bottom"/>
            <w:hideMark/>
          </w:tcPr>
          <w:p w14:paraId="5D4A7F2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DFCE12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9562A7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9A747B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177B57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BBB7F56"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6ECF6B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00"/>
            <w:vAlign w:val="center"/>
            <w:hideMark/>
          </w:tcPr>
          <w:p w14:paraId="1BC10E77"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Estimated # of HHs Registered by NHIF</w:t>
            </w:r>
          </w:p>
        </w:tc>
        <w:tc>
          <w:tcPr>
            <w:tcW w:w="526" w:type="pct"/>
            <w:tcBorders>
              <w:top w:val="nil"/>
              <w:left w:val="nil"/>
              <w:bottom w:val="single" w:sz="4" w:space="0" w:color="auto"/>
              <w:right w:val="single" w:sz="4" w:space="0" w:color="auto"/>
            </w:tcBorders>
            <w:shd w:val="clear" w:color="000000" w:fill="FFFF00"/>
            <w:noWrap/>
            <w:vAlign w:val="bottom"/>
            <w:hideMark/>
          </w:tcPr>
          <w:p w14:paraId="5854B21D"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000000" w:fill="FFFF00"/>
            <w:noWrap/>
            <w:vAlign w:val="bottom"/>
            <w:hideMark/>
          </w:tcPr>
          <w:p w14:paraId="4441D5E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000000" w:fill="FFFF00"/>
            <w:noWrap/>
            <w:vAlign w:val="bottom"/>
            <w:hideMark/>
          </w:tcPr>
          <w:p w14:paraId="2CB8EBAC"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000000" w:fill="FFFF00"/>
            <w:noWrap/>
            <w:vAlign w:val="bottom"/>
            <w:hideMark/>
          </w:tcPr>
          <w:p w14:paraId="4D35E1A7"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000000" w:fill="FFFF00"/>
            <w:noWrap/>
            <w:vAlign w:val="bottom"/>
            <w:hideMark/>
          </w:tcPr>
          <w:p w14:paraId="271E980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13FF1E73"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310FFE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E370055"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Estimated # of beneficiaries</w:t>
            </w:r>
          </w:p>
        </w:tc>
        <w:tc>
          <w:tcPr>
            <w:tcW w:w="526" w:type="pct"/>
            <w:tcBorders>
              <w:top w:val="nil"/>
              <w:left w:val="nil"/>
              <w:bottom w:val="single" w:sz="4" w:space="0" w:color="auto"/>
              <w:right w:val="single" w:sz="4" w:space="0" w:color="auto"/>
            </w:tcBorders>
            <w:shd w:val="clear" w:color="auto" w:fill="auto"/>
            <w:noWrap/>
            <w:vAlign w:val="bottom"/>
            <w:hideMark/>
          </w:tcPr>
          <w:p w14:paraId="1F14C9E5"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B922A2F"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1693EA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2D95E7AF"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6AE5FBF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7342CFAA"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D3FE9C9"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00"/>
            <w:vAlign w:val="center"/>
            <w:hideMark/>
          </w:tcPr>
          <w:p w14:paraId="57F88CD9"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contributing to the scheme</w:t>
            </w:r>
          </w:p>
        </w:tc>
        <w:tc>
          <w:tcPr>
            <w:tcW w:w="526" w:type="pct"/>
            <w:tcBorders>
              <w:top w:val="nil"/>
              <w:left w:val="nil"/>
              <w:bottom w:val="single" w:sz="4" w:space="0" w:color="auto"/>
              <w:right w:val="single" w:sz="4" w:space="0" w:color="auto"/>
            </w:tcBorders>
            <w:shd w:val="clear" w:color="000000" w:fill="FFFF00"/>
            <w:noWrap/>
            <w:vAlign w:val="bottom"/>
            <w:hideMark/>
          </w:tcPr>
          <w:p w14:paraId="75404FF3"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000000" w:fill="FFFF00"/>
            <w:noWrap/>
            <w:vAlign w:val="bottom"/>
            <w:hideMark/>
          </w:tcPr>
          <w:p w14:paraId="3F48056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000000" w:fill="FFFF00"/>
            <w:noWrap/>
            <w:vAlign w:val="bottom"/>
            <w:hideMark/>
          </w:tcPr>
          <w:p w14:paraId="490512D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612" w:type="pct"/>
            <w:tcBorders>
              <w:top w:val="nil"/>
              <w:left w:val="nil"/>
              <w:bottom w:val="single" w:sz="4" w:space="0" w:color="auto"/>
              <w:right w:val="single" w:sz="4" w:space="0" w:color="auto"/>
            </w:tcBorders>
            <w:shd w:val="clear" w:color="000000" w:fill="FFFF00"/>
            <w:noWrap/>
            <w:vAlign w:val="bottom"/>
            <w:hideMark/>
          </w:tcPr>
          <w:p w14:paraId="62B1BA8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03" w:type="pct"/>
            <w:tcBorders>
              <w:top w:val="nil"/>
              <w:left w:val="nil"/>
              <w:bottom w:val="single" w:sz="4" w:space="0" w:color="auto"/>
              <w:right w:val="single" w:sz="4" w:space="0" w:color="auto"/>
            </w:tcBorders>
            <w:shd w:val="clear" w:color="000000" w:fill="FFFF00"/>
            <w:noWrap/>
            <w:vAlign w:val="bottom"/>
            <w:hideMark/>
          </w:tcPr>
          <w:p w14:paraId="574E55EA"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r>
      <w:tr w:rsidR="00FA0203" w:rsidRPr="003556E8" w14:paraId="421397BE"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525AEE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1B3E7C0"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HFs gazzetted</w:t>
            </w:r>
          </w:p>
        </w:tc>
        <w:tc>
          <w:tcPr>
            <w:tcW w:w="526" w:type="pct"/>
            <w:tcBorders>
              <w:top w:val="nil"/>
              <w:left w:val="nil"/>
              <w:bottom w:val="single" w:sz="4" w:space="0" w:color="auto"/>
              <w:right w:val="single" w:sz="4" w:space="0" w:color="auto"/>
            </w:tcBorders>
            <w:shd w:val="clear" w:color="auto" w:fill="auto"/>
            <w:noWrap/>
            <w:vAlign w:val="bottom"/>
            <w:hideMark/>
          </w:tcPr>
          <w:p w14:paraId="1DCE990D"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9D25B92"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60FAD55"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2795FB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5589331"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r>
      <w:tr w:rsidR="00FA0203" w:rsidRPr="003556E8" w14:paraId="4DD43DDC"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04B11EC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00"/>
            <w:vAlign w:val="center"/>
            <w:hideMark/>
          </w:tcPr>
          <w:p w14:paraId="19F782F4"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HFs on  accredited</w:t>
            </w:r>
          </w:p>
        </w:tc>
        <w:tc>
          <w:tcPr>
            <w:tcW w:w="526" w:type="pct"/>
            <w:tcBorders>
              <w:top w:val="nil"/>
              <w:left w:val="nil"/>
              <w:bottom w:val="single" w:sz="4" w:space="0" w:color="auto"/>
              <w:right w:val="single" w:sz="4" w:space="0" w:color="auto"/>
            </w:tcBorders>
            <w:shd w:val="clear" w:color="000000" w:fill="FFFF00"/>
            <w:noWrap/>
            <w:vAlign w:val="bottom"/>
            <w:hideMark/>
          </w:tcPr>
          <w:p w14:paraId="4767945F"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 </w:t>
            </w:r>
          </w:p>
        </w:tc>
        <w:tc>
          <w:tcPr>
            <w:tcW w:w="447" w:type="pct"/>
            <w:tcBorders>
              <w:top w:val="nil"/>
              <w:left w:val="nil"/>
              <w:bottom w:val="single" w:sz="4" w:space="0" w:color="auto"/>
              <w:right w:val="single" w:sz="4" w:space="0" w:color="auto"/>
            </w:tcBorders>
            <w:shd w:val="clear" w:color="000000" w:fill="FFFF00"/>
            <w:noWrap/>
            <w:vAlign w:val="bottom"/>
            <w:hideMark/>
          </w:tcPr>
          <w:p w14:paraId="6BB3D02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000000" w:fill="FFFF00"/>
            <w:noWrap/>
            <w:vAlign w:val="bottom"/>
            <w:hideMark/>
          </w:tcPr>
          <w:p w14:paraId="6C4591F4"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612" w:type="pct"/>
            <w:tcBorders>
              <w:top w:val="nil"/>
              <w:left w:val="nil"/>
              <w:bottom w:val="single" w:sz="4" w:space="0" w:color="auto"/>
              <w:right w:val="single" w:sz="4" w:space="0" w:color="auto"/>
            </w:tcBorders>
            <w:shd w:val="clear" w:color="000000" w:fill="FFFF00"/>
            <w:noWrap/>
            <w:vAlign w:val="bottom"/>
            <w:hideMark/>
          </w:tcPr>
          <w:p w14:paraId="43FD2E6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03" w:type="pct"/>
            <w:tcBorders>
              <w:top w:val="nil"/>
              <w:left w:val="nil"/>
              <w:bottom w:val="single" w:sz="4" w:space="0" w:color="auto"/>
              <w:right w:val="single" w:sz="4" w:space="0" w:color="auto"/>
            </w:tcBorders>
            <w:shd w:val="clear" w:color="000000" w:fill="FFFF00"/>
            <w:noWrap/>
            <w:vAlign w:val="bottom"/>
            <w:hideMark/>
          </w:tcPr>
          <w:p w14:paraId="62EA33DB"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r>
      <w:tr w:rsidR="00FA0203" w:rsidRPr="003556E8" w14:paraId="59FFDDA4"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625610F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AD4B63C" w14:textId="77777777" w:rsidR="00FA0203" w:rsidRPr="003556E8" w:rsidRDefault="00FA0203" w:rsidP="00815911">
            <w:pPr>
              <w:spacing w:after="0" w:line="240" w:lineRule="auto"/>
              <w:rPr>
                <w:rFonts w:ascii="Garamond" w:eastAsia="Times New Roman" w:hAnsi="Garamond" w:cs="Calibri"/>
                <w:color w:val="000000"/>
                <w:sz w:val="16"/>
                <w:szCs w:val="16"/>
              </w:rPr>
            </w:pPr>
            <w:r w:rsidRPr="003556E8">
              <w:rPr>
                <w:rFonts w:ascii="Garamond" w:eastAsia="Times New Roman" w:hAnsi="Garamond" w:cs="Calibri"/>
                <w:color w:val="000000"/>
                <w:sz w:val="16"/>
                <w:szCs w:val="16"/>
              </w:rPr>
              <w:t># of HFs signed Contracts</w:t>
            </w:r>
          </w:p>
        </w:tc>
        <w:tc>
          <w:tcPr>
            <w:tcW w:w="526" w:type="pct"/>
            <w:tcBorders>
              <w:top w:val="nil"/>
              <w:left w:val="nil"/>
              <w:bottom w:val="single" w:sz="4" w:space="0" w:color="auto"/>
              <w:right w:val="single" w:sz="4" w:space="0" w:color="auto"/>
            </w:tcBorders>
            <w:shd w:val="clear" w:color="auto" w:fill="auto"/>
            <w:noWrap/>
            <w:vAlign w:val="bottom"/>
            <w:hideMark/>
          </w:tcPr>
          <w:p w14:paraId="6D5FD69D"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7,584</w:t>
            </w:r>
          </w:p>
        </w:tc>
        <w:tc>
          <w:tcPr>
            <w:tcW w:w="447" w:type="pct"/>
            <w:tcBorders>
              <w:top w:val="nil"/>
              <w:left w:val="nil"/>
              <w:bottom w:val="single" w:sz="4" w:space="0" w:color="auto"/>
              <w:right w:val="single" w:sz="4" w:space="0" w:color="auto"/>
            </w:tcBorders>
            <w:shd w:val="clear" w:color="auto" w:fill="auto"/>
            <w:noWrap/>
            <w:vAlign w:val="bottom"/>
            <w:hideMark/>
          </w:tcPr>
          <w:p w14:paraId="10B9356E"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C43821F"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34E3ABD7"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Quartely</w:t>
            </w:r>
          </w:p>
        </w:tc>
        <w:tc>
          <w:tcPr>
            <w:tcW w:w="703" w:type="pct"/>
            <w:tcBorders>
              <w:top w:val="nil"/>
              <w:left w:val="nil"/>
              <w:bottom w:val="single" w:sz="4" w:space="0" w:color="auto"/>
              <w:right w:val="single" w:sz="4" w:space="0" w:color="auto"/>
            </w:tcBorders>
            <w:shd w:val="clear" w:color="auto" w:fill="auto"/>
            <w:noWrap/>
            <w:vAlign w:val="bottom"/>
            <w:hideMark/>
          </w:tcPr>
          <w:p w14:paraId="1D442303"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239A8210"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7E6B53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78C2FA9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 of HFs capitated</w:t>
            </w:r>
          </w:p>
        </w:tc>
        <w:tc>
          <w:tcPr>
            <w:tcW w:w="526" w:type="pct"/>
            <w:tcBorders>
              <w:top w:val="nil"/>
              <w:left w:val="nil"/>
              <w:bottom w:val="single" w:sz="4" w:space="0" w:color="auto"/>
              <w:right w:val="single" w:sz="4" w:space="0" w:color="auto"/>
            </w:tcBorders>
            <w:shd w:val="clear" w:color="auto" w:fill="auto"/>
            <w:noWrap/>
            <w:vAlign w:val="bottom"/>
            <w:hideMark/>
          </w:tcPr>
          <w:p w14:paraId="6B1527A2" w14:textId="77777777" w:rsidR="00FA0203" w:rsidRPr="003556E8" w:rsidRDefault="00FA0203" w:rsidP="00815911">
            <w:pPr>
              <w:spacing w:after="0" w:line="240" w:lineRule="auto"/>
              <w:jc w:val="center"/>
              <w:rPr>
                <w:rFonts w:ascii="Garamond" w:eastAsia="Times New Roman" w:hAnsi="Garamond" w:cs="Calibri"/>
                <w:color w:val="000000"/>
              </w:rPr>
            </w:pPr>
            <w:r w:rsidRPr="003556E8">
              <w:rPr>
                <w:rFonts w:ascii="Garamond" w:eastAsia="Times New Roman" w:hAnsi="Garamond" w:cs="Calibri"/>
                <w:color w:val="000000"/>
              </w:rPr>
              <w:t>N/A</w:t>
            </w:r>
          </w:p>
        </w:tc>
        <w:tc>
          <w:tcPr>
            <w:tcW w:w="447" w:type="pct"/>
            <w:tcBorders>
              <w:top w:val="nil"/>
              <w:left w:val="nil"/>
              <w:bottom w:val="single" w:sz="4" w:space="0" w:color="auto"/>
              <w:right w:val="single" w:sz="4" w:space="0" w:color="auto"/>
            </w:tcBorders>
            <w:shd w:val="clear" w:color="auto" w:fill="auto"/>
            <w:noWrap/>
            <w:vAlign w:val="bottom"/>
            <w:hideMark/>
          </w:tcPr>
          <w:p w14:paraId="259E6086"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47E9B318"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c>
          <w:tcPr>
            <w:tcW w:w="612" w:type="pct"/>
            <w:tcBorders>
              <w:top w:val="nil"/>
              <w:left w:val="nil"/>
              <w:bottom w:val="single" w:sz="4" w:space="0" w:color="auto"/>
              <w:right w:val="single" w:sz="4" w:space="0" w:color="auto"/>
            </w:tcBorders>
            <w:shd w:val="clear" w:color="auto" w:fill="auto"/>
            <w:noWrap/>
            <w:vAlign w:val="bottom"/>
            <w:hideMark/>
          </w:tcPr>
          <w:p w14:paraId="6B888552"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F6F8050" w14:textId="77777777" w:rsidR="00FA0203" w:rsidRPr="003556E8" w:rsidRDefault="00FA0203" w:rsidP="00815911">
            <w:pPr>
              <w:spacing w:after="0" w:line="240" w:lineRule="auto"/>
              <w:rPr>
                <w:rFonts w:ascii="Garamond" w:eastAsia="Times New Roman" w:hAnsi="Garamond" w:cs="Calibri"/>
                <w:color w:val="000000"/>
              </w:rPr>
            </w:pPr>
            <w:r w:rsidRPr="003556E8">
              <w:rPr>
                <w:rFonts w:ascii="Garamond" w:eastAsia="Times New Roman" w:hAnsi="Garamond" w:cs="Calibri"/>
                <w:color w:val="000000"/>
              </w:rPr>
              <w:t>NHIF</w:t>
            </w:r>
          </w:p>
        </w:tc>
      </w:tr>
      <w:tr w:rsidR="00FA0203" w:rsidRPr="003556E8" w14:paraId="37446B38" w14:textId="77777777" w:rsidTr="00341050">
        <w:trPr>
          <w:trHeight w:val="300"/>
        </w:trPr>
        <w:tc>
          <w:tcPr>
            <w:tcW w:w="193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97C632B" w14:textId="77777777" w:rsidR="00FA0203" w:rsidRPr="003556E8" w:rsidRDefault="00FA0203" w:rsidP="00815911">
            <w:pPr>
              <w:spacing w:after="0" w:line="240" w:lineRule="auto"/>
              <w:jc w:val="center"/>
              <w:rPr>
                <w:rFonts w:ascii="Calibri" w:eastAsia="Times New Roman" w:hAnsi="Calibri" w:cs="Calibri"/>
                <w:b/>
                <w:bCs/>
                <w:color w:val="000000"/>
              </w:rPr>
            </w:pPr>
            <w:r w:rsidRPr="003556E8">
              <w:rPr>
                <w:rFonts w:ascii="Calibri" w:eastAsia="Times New Roman" w:hAnsi="Calibri" w:cs="Calibri"/>
                <w:b/>
                <w:bCs/>
                <w:color w:val="000000"/>
              </w:rPr>
              <w:t>Service Capacity and Access (IHR-core capacity index)</w:t>
            </w:r>
          </w:p>
        </w:tc>
        <w:tc>
          <w:tcPr>
            <w:tcW w:w="526" w:type="pct"/>
            <w:tcBorders>
              <w:top w:val="nil"/>
              <w:left w:val="nil"/>
              <w:bottom w:val="single" w:sz="4" w:space="0" w:color="auto"/>
              <w:right w:val="single" w:sz="4" w:space="0" w:color="auto"/>
            </w:tcBorders>
            <w:shd w:val="clear" w:color="auto" w:fill="auto"/>
            <w:noWrap/>
            <w:vAlign w:val="bottom"/>
            <w:hideMark/>
          </w:tcPr>
          <w:p w14:paraId="33F5742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A7544C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FDD170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FC96E5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D9AD0A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AD76AA4"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56D20C3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Outcome</w:t>
            </w:r>
          </w:p>
        </w:tc>
        <w:tc>
          <w:tcPr>
            <w:tcW w:w="1106" w:type="pct"/>
            <w:tcBorders>
              <w:top w:val="nil"/>
              <w:left w:val="nil"/>
              <w:bottom w:val="single" w:sz="4" w:space="0" w:color="auto"/>
              <w:right w:val="single" w:sz="4" w:space="0" w:color="auto"/>
            </w:tcBorders>
            <w:shd w:val="clear" w:color="auto" w:fill="auto"/>
            <w:vAlign w:val="center"/>
            <w:hideMark/>
          </w:tcPr>
          <w:p w14:paraId="532CC2F9"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International Health Regulation (IHR) index</w:t>
            </w:r>
          </w:p>
        </w:tc>
        <w:tc>
          <w:tcPr>
            <w:tcW w:w="526" w:type="pct"/>
            <w:tcBorders>
              <w:top w:val="nil"/>
              <w:left w:val="nil"/>
              <w:bottom w:val="single" w:sz="4" w:space="0" w:color="auto"/>
              <w:right w:val="single" w:sz="4" w:space="0" w:color="auto"/>
            </w:tcBorders>
            <w:shd w:val="clear" w:color="auto" w:fill="auto"/>
            <w:noWrap/>
            <w:vAlign w:val="bottom"/>
            <w:hideMark/>
          </w:tcPr>
          <w:p w14:paraId="7740AE7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772B7B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6FDE9A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5FA6CA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3276EE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2AD0B1B" w14:textId="77777777" w:rsidTr="00341050">
        <w:trPr>
          <w:trHeight w:val="300"/>
        </w:trPr>
        <w:tc>
          <w:tcPr>
            <w:tcW w:w="824" w:type="pct"/>
            <w:tcBorders>
              <w:top w:val="nil"/>
              <w:left w:val="single" w:sz="4" w:space="0" w:color="auto"/>
              <w:bottom w:val="single" w:sz="4" w:space="0" w:color="auto"/>
              <w:right w:val="single" w:sz="4" w:space="0" w:color="auto"/>
            </w:tcBorders>
            <w:shd w:val="clear" w:color="auto" w:fill="auto"/>
            <w:noWrap/>
            <w:vAlign w:val="bottom"/>
            <w:hideMark/>
          </w:tcPr>
          <w:p w14:paraId="2522E8A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1106" w:type="pct"/>
            <w:tcBorders>
              <w:top w:val="nil"/>
              <w:left w:val="nil"/>
              <w:bottom w:val="single" w:sz="4" w:space="0" w:color="auto"/>
              <w:right w:val="single" w:sz="4" w:space="0" w:color="auto"/>
            </w:tcBorders>
            <w:shd w:val="clear" w:color="auto" w:fill="auto"/>
            <w:noWrap/>
            <w:vAlign w:val="bottom"/>
            <w:hideMark/>
          </w:tcPr>
          <w:p w14:paraId="4744F92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526" w:type="pct"/>
            <w:tcBorders>
              <w:top w:val="nil"/>
              <w:left w:val="nil"/>
              <w:bottom w:val="single" w:sz="4" w:space="0" w:color="auto"/>
              <w:right w:val="single" w:sz="4" w:space="0" w:color="auto"/>
            </w:tcBorders>
            <w:shd w:val="clear" w:color="auto" w:fill="auto"/>
            <w:noWrap/>
            <w:vAlign w:val="bottom"/>
            <w:hideMark/>
          </w:tcPr>
          <w:p w14:paraId="3C184CB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B444E7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6821AD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84CA97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100ECBC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2714F2C" w14:textId="77777777" w:rsidTr="00341050">
        <w:trPr>
          <w:trHeight w:val="300"/>
        </w:trPr>
        <w:tc>
          <w:tcPr>
            <w:tcW w:w="82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38FD4E9" w14:textId="77777777" w:rsidR="00FA0203" w:rsidRPr="003556E8" w:rsidRDefault="00FA0203" w:rsidP="00815911">
            <w:pPr>
              <w:spacing w:after="0" w:line="240" w:lineRule="auto"/>
              <w:jc w:val="center"/>
              <w:rPr>
                <w:rFonts w:ascii="Calibri" w:eastAsia="Times New Roman" w:hAnsi="Calibri" w:cs="Calibri"/>
                <w:color w:val="000000"/>
              </w:rPr>
            </w:pPr>
            <w:r w:rsidRPr="003556E8">
              <w:rPr>
                <w:rFonts w:ascii="Calibri" w:eastAsia="Times New Roman" w:hAnsi="Calibri" w:cs="Calibri"/>
                <w:color w:val="000000"/>
              </w:rPr>
              <w:t>Output</w:t>
            </w:r>
          </w:p>
        </w:tc>
        <w:tc>
          <w:tcPr>
            <w:tcW w:w="1106" w:type="pct"/>
            <w:tcBorders>
              <w:top w:val="nil"/>
              <w:left w:val="nil"/>
              <w:bottom w:val="single" w:sz="4" w:space="0" w:color="auto"/>
              <w:right w:val="single" w:sz="4" w:space="0" w:color="auto"/>
            </w:tcBorders>
            <w:shd w:val="clear" w:color="auto" w:fill="auto"/>
            <w:vAlign w:val="center"/>
            <w:hideMark/>
          </w:tcPr>
          <w:p w14:paraId="1FE7E123"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for National legislation, policy and financing;</w:t>
            </w:r>
          </w:p>
        </w:tc>
        <w:tc>
          <w:tcPr>
            <w:tcW w:w="526" w:type="pct"/>
            <w:tcBorders>
              <w:top w:val="nil"/>
              <w:left w:val="nil"/>
              <w:bottom w:val="single" w:sz="4" w:space="0" w:color="auto"/>
              <w:right w:val="single" w:sz="4" w:space="0" w:color="auto"/>
            </w:tcBorders>
            <w:shd w:val="clear" w:color="auto" w:fill="auto"/>
            <w:noWrap/>
            <w:vAlign w:val="bottom"/>
            <w:hideMark/>
          </w:tcPr>
          <w:p w14:paraId="1DB4C42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AD6984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59C18B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06DA85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69DF9C0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F8B5367"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0FF71F48"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1677CDE6"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for Coordination and National Focal Point communications;</w:t>
            </w:r>
          </w:p>
        </w:tc>
        <w:tc>
          <w:tcPr>
            <w:tcW w:w="526" w:type="pct"/>
            <w:tcBorders>
              <w:top w:val="nil"/>
              <w:left w:val="nil"/>
              <w:bottom w:val="single" w:sz="4" w:space="0" w:color="auto"/>
              <w:right w:val="single" w:sz="4" w:space="0" w:color="auto"/>
            </w:tcBorders>
            <w:shd w:val="clear" w:color="auto" w:fill="auto"/>
            <w:noWrap/>
            <w:vAlign w:val="bottom"/>
            <w:hideMark/>
          </w:tcPr>
          <w:p w14:paraId="0D22A1A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49F9CB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7A4C02A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10EA94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A80856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9124E85"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F0B8815"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08707C9A"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in  Surveillance;</w:t>
            </w:r>
          </w:p>
        </w:tc>
        <w:tc>
          <w:tcPr>
            <w:tcW w:w="526" w:type="pct"/>
            <w:tcBorders>
              <w:top w:val="nil"/>
              <w:left w:val="nil"/>
              <w:bottom w:val="single" w:sz="4" w:space="0" w:color="auto"/>
              <w:right w:val="single" w:sz="4" w:space="0" w:color="auto"/>
            </w:tcBorders>
            <w:shd w:val="clear" w:color="auto" w:fill="auto"/>
            <w:noWrap/>
            <w:vAlign w:val="bottom"/>
            <w:hideMark/>
          </w:tcPr>
          <w:p w14:paraId="5E68D3C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7692074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B2D5A1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75E74DB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59D92B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6820ECD8"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E5B2E90"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6B1639E1"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in Response;</w:t>
            </w:r>
          </w:p>
        </w:tc>
        <w:tc>
          <w:tcPr>
            <w:tcW w:w="526" w:type="pct"/>
            <w:tcBorders>
              <w:top w:val="nil"/>
              <w:left w:val="nil"/>
              <w:bottom w:val="single" w:sz="4" w:space="0" w:color="auto"/>
              <w:right w:val="single" w:sz="4" w:space="0" w:color="auto"/>
            </w:tcBorders>
            <w:shd w:val="clear" w:color="auto" w:fill="auto"/>
            <w:noWrap/>
            <w:vAlign w:val="bottom"/>
            <w:hideMark/>
          </w:tcPr>
          <w:p w14:paraId="4EB7585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AC4AEC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672432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38877C8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0C1DBF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200D022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22B114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943BA52"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in Preparedness;</w:t>
            </w:r>
          </w:p>
        </w:tc>
        <w:tc>
          <w:tcPr>
            <w:tcW w:w="526" w:type="pct"/>
            <w:tcBorders>
              <w:top w:val="nil"/>
              <w:left w:val="nil"/>
              <w:bottom w:val="single" w:sz="4" w:space="0" w:color="auto"/>
              <w:right w:val="single" w:sz="4" w:space="0" w:color="auto"/>
            </w:tcBorders>
            <w:shd w:val="clear" w:color="auto" w:fill="auto"/>
            <w:noWrap/>
            <w:vAlign w:val="bottom"/>
            <w:hideMark/>
          </w:tcPr>
          <w:p w14:paraId="164FC59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0D5BF79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1C371FF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9D34AF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9EE8FBD"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E1FB32D"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2E1775DE"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5511A33C"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for Risk communication;</w:t>
            </w:r>
          </w:p>
        </w:tc>
        <w:tc>
          <w:tcPr>
            <w:tcW w:w="526" w:type="pct"/>
            <w:tcBorders>
              <w:top w:val="nil"/>
              <w:left w:val="nil"/>
              <w:bottom w:val="single" w:sz="4" w:space="0" w:color="auto"/>
              <w:right w:val="single" w:sz="4" w:space="0" w:color="auto"/>
            </w:tcBorders>
            <w:shd w:val="clear" w:color="auto" w:fill="auto"/>
            <w:noWrap/>
            <w:vAlign w:val="bottom"/>
            <w:hideMark/>
          </w:tcPr>
          <w:p w14:paraId="20B0099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1C6DBD8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390DAB2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5C6CDF3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57BB790C"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5404F701"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1299BD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44B6BEE"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done Human resources for Health;</w:t>
            </w:r>
          </w:p>
        </w:tc>
        <w:tc>
          <w:tcPr>
            <w:tcW w:w="526" w:type="pct"/>
            <w:tcBorders>
              <w:top w:val="nil"/>
              <w:left w:val="nil"/>
              <w:bottom w:val="single" w:sz="4" w:space="0" w:color="auto"/>
              <w:right w:val="single" w:sz="4" w:space="0" w:color="auto"/>
            </w:tcBorders>
            <w:shd w:val="clear" w:color="auto" w:fill="auto"/>
            <w:noWrap/>
            <w:vAlign w:val="bottom"/>
            <w:hideMark/>
          </w:tcPr>
          <w:p w14:paraId="7C785C7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080BE6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615B95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1A74B18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9CB36E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1ECD724"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5D84D414"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BC8E0A0"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in Laboratory;</w:t>
            </w:r>
          </w:p>
        </w:tc>
        <w:tc>
          <w:tcPr>
            <w:tcW w:w="526" w:type="pct"/>
            <w:tcBorders>
              <w:top w:val="nil"/>
              <w:left w:val="nil"/>
              <w:bottom w:val="single" w:sz="4" w:space="0" w:color="auto"/>
              <w:right w:val="single" w:sz="4" w:space="0" w:color="auto"/>
            </w:tcBorders>
            <w:shd w:val="clear" w:color="auto" w:fill="auto"/>
            <w:noWrap/>
            <w:vAlign w:val="bottom"/>
            <w:hideMark/>
          </w:tcPr>
          <w:p w14:paraId="745E406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5ED986E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A1A5EA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0AE3915"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76D0C39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BC50B4E"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3606650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2E5DCAE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in Points of entry;</w:t>
            </w:r>
          </w:p>
        </w:tc>
        <w:tc>
          <w:tcPr>
            <w:tcW w:w="526" w:type="pct"/>
            <w:tcBorders>
              <w:top w:val="nil"/>
              <w:left w:val="nil"/>
              <w:bottom w:val="single" w:sz="4" w:space="0" w:color="auto"/>
              <w:right w:val="single" w:sz="4" w:space="0" w:color="auto"/>
            </w:tcBorders>
            <w:shd w:val="clear" w:color="auto" w:fill="auto"/>
            <w:noWrap/>
            <w:vAlign w:val="bottom"/>
            <w:hideMark/>
          </w:tcPr>
          <w:p w14:paraId="5F3DDD34"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35BF33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98DC72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2F1E75B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E96D70E"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7E6A138C"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114F734D"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3006FAC9"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achieved in Zoonotic events;</w:t>
            </w:r>
          </w:p>
        </w:tc>
        <w:tc>
          <w:tcPr>
            <w:tcW w:w="526" w:type="pct"/>
            <w:tcBorders>
              <w:top w:val="nil"/>
              <w:left w:val="nil"/>
              <w:bottom w:val="single" w:sz="4" w:space="0" w:color="auto"/>
              <w:right w:val="single" w:sz="4" w:space="0" w:color="auto"/>
            </w:tcBorders>
            <w:shd w:val="clear" w:color="auto" w:fill="auto"/>
            <w:noWrap/>
            <w:vAlign w:val="bottom"/>
            <w:hideMark/>
          </w:tcPr>
          <w:p w14:paraId="16CFB223"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8F1964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71EBFB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61ACAEF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38C1D08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4D3ABA1B" w14:textId="77777777" w:rsidTr="00341050">
        <w:trPr>
          <w:trHeight w:val="300"/>
        </w:trPr>
        <w:tc>
          <w:tcPr>
            <w:tcW w:w="824" w:type="pct"/>
            <w:vMerge/>
            <w:tcBorders>
              <w:top w:val="nil"/>
              <w:left w:val="single" w:sz="4" w:space="0" w:color="auto"/>
              <w:bottom w:val="single" w:sz="4" w:space="0" w:color="auto"/>
              <w:right w:val="single" w:sz="4" w:space="0" w:color="auto"/>
            </w:tcBorders>
            <w:vAlign w:val="center"/>
            <w:hideMark/>
          </w:tcPr>
          <w:p w14:paraId="467CE4C2"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auto" w:fill="auto"/>
            <w:vAlign w:val="center"/>
            <w:hideMark/>
          </w:tcPr>
          <w:p w14:paraId="4060CCE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Capacity attained in Food safety;</w:t>
            </w:r>
          </w:p>
        </w:tc>
        <w:tc>
          <w:tcPr>
            <w:tcW w:w="526" w:type="pct"/>
            <w:tcBorders>
              <w:top w:val="nil"/>
              <w:left w:val="nil"/>
              <w:bottom w:val="single" w:sz="4" w:space="0" w:color="auto"/>
              <w:right w:val="single" w:sz="4" w:space="0" w:color="auto"/>
            </w:tcBorders>
            <w:shd w:val="clear" w:color="auto" w:fill="auto"/>
            <w:noWrap/>
            <w:vAlign w:val="bottom"/>
            <w:hideMark/>
          </w:tcPr>
          <w:p w14:paraId="5CA19F5F"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3F6BD71A"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2727E740"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40DF3DD1"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4F536446"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r w:rsidR="00FA0203" w:rsidRPr="003556E8" w14:paraId="3E496ECA" w14:textId="77777777" w:rsidTr="00341050">
        <w:trPr>
          <w:trHeight w:val="450"/>
        </w:trPr>
        <w:tc>
          <w:tcPr>
            <w:tcW w:w="824" w:type="pct"/>
            <w:vMerge/>
            <w:tcBorders>
              <w:top w:val="nil"/>
              <w:left w:val="single" w:sz="4" w:space="0" w:color="auto"/>
              <w:bottom w:val="single" w:sz="4" w:space="0" w:color="auto"/>
              <w:right w:val="single" w:sz="4" w:space="0" w:color="auto"/>
            </w:tcBorders>
            <w:vAlign w:val="center"/>
            <w:hideMark/>
          </w:tcPr>
          <w:p w14:paraId="61026E21" w14:textId="77777777" w:rsidR="00FA0203" w:rsidRPr="003556E8" w:rsidRDefault="00FA0203" w:rsidP="00815911">
            <w:pPr>
              <w:spacing w:after="0" w:line="240" w:lineRule="auto"/>
              <w:rPr>
                <w:rFonts w:ascii="Calibri" w:eastAsia="Times New Roman" w:hAnsi="Calibri" w:cs="Calibri"/>
                <w:color w:val="000000"/>
              </w:rPr>
            </w:pPr>
          </w:p>
        </w:tc>
        <w:tc>
          <w:tcPr>
            <w:tcW w:w="1106" w:type="pct"/>
            <w:tcBorders>
              <w:top w:val="nil"/>
              <w:left w:val="nil"/>
              <w:bottom w:val="single" w:sz="4" w:space="0" w:color="auto"/>
              <w:right w:val="single" w:sz="4" w:space="0" w:color="auto"/>
            </w:tcBorders>
            <w:shd w:val="clear" w:color="000000" w:fill="FFFFFF"/>
            <w:vAlign w:val="center"/>
            <w:hideMark/>
          </w:tcPr>
          <w:p w14:paraId="3547DD67" w14:textId="77777777" w:rsidR="00FA0203" w:rsidRPr="003556E8" w:rsidRDefault="00FA0203" w:rsidP="00815911">
            <w:pPr>
              <w:spacing w:after="0" w:line="240" w:lineRule="auto"/>
              <w:rPr>
                <w:rFonts w:ascii="Calibri" w:eastAsia="Times New Roman" w:hAnsi="Calibri" w:cs="Calibri"/>
                <w:color w:val="000000"/>
                <w:sz w:val="16"/>
                <w:szCs w:val="16"/>
              </w:rPr>
            </w:pPr>
            <w:r w:rsidRPr="003556E8">
              <w:rPr>
                <w:rFonts w:ascii="Calibri" w:eastAsia="Times New Roman" w:hAnsi="Calibri" w:cs="Calibri"/>
                <w:color w:val="000000"/>
                <w:sz w:val="16"/>
                <w:szCs w:val="16"/>
              </w:rPr>
              <w:t>Access to specialized health care in management of lifestyle diseases (Renal, Cancer, Diabetes and Cardiovascular Diseases)</w:t>
            </w:r>
          </w:p>
        </w:tc>
        <w:tc>
          <w:tcPr>
            <w:tcW w:w="526" w:type="pct"/>
            <w:tcBorders>
              <w:top w:val="nil"/>
              <w:left w:val="nil"/>
              <w:bottom w:val="single" w:sz="4" w:space="0" w:color="auto"/>
              <w:right w:val="single" w:sz="4" w:space="0" w:color="auto"/>
            </w:tcBorders>
            <w:shd w:val="clear" w:color="auto" w:fill="auto"/>
            <w:noWrap/>
            <w:vAlign w:val="bottom"/>
            <w:hideMark/>
          </w:tcPr>
          <w:p w14:paraId="21058419"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447" w:type="pct"/>
            <w:tcBorders>
              <w:top w:val="nil"/>
              <w:left w:val="nil"/>
              <w:bottom w:val="single" w:sz="4" w:space="0" w:color="auto"/>
              <w:right w:val="single" w:sz="4" w:space="0" w:color="auto"/>
            </w:tcBorders>
            <w:shd w:val="clear" w:color="auto" w:fill="auto"/>
            <w:noWrap/>
            <w:vAlign w:val="bottom"/>
            <w:hideMark/>
          </w:tcPr>
          <w:p w14:paraId="6BA97817"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83" w:type="pct"/>
            <w:tcBorders>
              <w:top w:val="nil"/>
              <w:left w:val="nil"/>
              <w:bottom w:val="single" w:sz="4" w:space="0" w:color="auto"/>
              <w:right w:val="single" w:sz="4" w:space="0" w:color="auto"/>
            </w:tcBorders>
            <w:shd w:val="clear" w:color="auto" w:fill="auto"/>
            <w:noWrap/>
            <w:vAlign w:val="bottom"/>
            <w:hideMark/>
          </w:tcPr>
          <w:p w14:paraId="5F70EF5B"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612" w:type="pct"/>
            <w:tcBorders>
              <w:top w:val="nil"/>
              <w:left w:val="nil"/>
              <w:bottom w:val="single" w:sz="4" w:space="0" w:color="auto"/>
              <w:right w:val="single" w:sz="4" w:space="0" w:color="auto"/>
            </w:tcBorders>
            <w:shd w:val="clear" w:color="auto" w:fill="auto"/>
            <w:noWrap/>
            <w:vAlign w:val="bottom"/>
            <w:hideMark/>
          </w:tcPr>
          <w:p w14:paraId="0A9B7092"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c>
          <w:tcPr>
            <w:tcW w:w="703" w:type="pct"/>
            <w:tcBorders>
              <w:top w:val="nil"/>
              <w:left w:val="nil"/>
              <w:bottom w:val="single" w:sz="4" w:space="0" w:color="auto"/>
              <w:right w:val="single" w:sz="4" w:space="0" w:color="auto"/>
            </w:tcBorders>
            <w:shd w:val="clear" w:color="auto" w:fill="auto"/>
            <w:noWrap/>
            <w:vAlign w:val="bottom"/>
            <w:hideMark/>
          </w:tcPr>
          <w:p w14:paraId="083A43D8" w14:textId="77777777" w:rsidR="00FA0203" w:rsidRPr="003556E8" w:rsidRDefault="00FA0203" w:rsidP="00815911">
            <w:pPr>
              <w:spacing w:after="0" w:line="240" w:lineRule="auto"/>
              <w:rPr>
                <w:rFonts w:ascii="Calibri" w:eastAsia="Times New Roman" w:hAnsi="Calibri" w:cs="Calibri"/>
                <w:color w:val="000000"/>
              </w:rPr>
            </w:pPr>
            <w:r w:rsidRPr="003556E8">
              <w:rPr>
                <w:rFonts w:ascii="Calibri" w:eastAsia="Times New Roman" w:hAnsi="Calibri" w:cs="Calibri"/>
                <w:color w:val="000000"/>
              </w:rPr>
              <w:t> </w:t>
            </w:r>
          </w:p>
        </w:tc>
      </w:tr>
    </w:tbl>
    <w:p w14:paraId="222C1380" w14:textId="77777777" w:rsidR="00FA0203" w:rsidRPr="00280784" w:rsidRDefault="00FA0203" w:rsidP="00FA0203">
      <w:pPr>
        <w:rPr>
          <w:rFonts w:ascii="Californian FB" w:hAnsi="Californian FB"/>
          <w:sz w:val="24"/>
          <w:szCs w:val="24"/>
        </w:rPr>
      </w:pPr>
    </w:p>
    <w:p w14:paraId="0FF4E05B" w14:textId="77777777" w:rsidR="00FA0203" w:rsidRPr="00280784" w:rsidRDefault="00FA0203" w:rsidP="00FA0203">
      <w:pPr>
        <w:rPr>
          <w:rFonts w:ascii="Californian FB" w:hAnsi="Californian FB"/>
          <w:sz w:val="24"/>
          <w:szCs w:val="24"/>
        </w:rPr>
      </w:pPr>
    </w:p>
    <w:p w14:paraId="404FC825" w14:textId="77777777" w:rsidR="00FA0203" w:rsidRPr="00280784" w:rsidRDefault="00FA0203" w:rsidP="00FA0203">
      <w:pPr>
        <w:rPr>
          <w:rFonts w:ascii="Californian FB" w:hAnsi="Californian FB"/>
          <w:sz w:val="24"/>
          <w:szCs w:val="24"/>
        </w:rPr>
      </w:pPr>
    </w:p>
    <w:p w14:paraId="4FBDF90D" w14:textId="77777777" w:rsidR="00FA0203" w:rsidRPr="00280784" w:rsidRDefault="00FA0203" w:rsidP="00FA0203">
      <w:pPr>
        <w:rPr>
          <w:rFonts w:ascii="Californian FB" w:hAnsi="Californian FB"/>
          <w:sz w:val="24"/>
          <w:szCs w:val="24"/>
        </w:rPr>
      </w:pPr>
    </w:p>
    <w:p w14:paraId="460837BF" w14:textId="77777777" w:rsidR="00FA0203" w:rsidRPr="00280784" w:rsidRDefault="00FA0203" w:rsidP="00FA0203">
      <w:pPr>
        <w:rPr>
          <w:rFonts w:ascii="Californian FB" w:hAnsi="Californian FB"/>
          <w:sz w:val="24"/>
          <w:szCs w:val="24"/>
        </w:rPr>
      </w:pPr>
    </w:p>
    <w:p w14:paraId="444F73ED" w14:textId="77777777" w:rsidR="00FA0203" w:rsidRPr="00280784" w:rsidRDefault="00FA0203" w:rsidP="00FA0203">
      <w:pPr>
        <w:rPr>
          <w:rFonts w:ascii="Californian FB" w:hAnsi="Californian FB"/>
          <w:sz w:val="24"/>
          <w:szCs w:val="24"/>
        </w:rPr>
      </w:pPr>
    </w:p>
    <w:p w14:paraId="371F2743" w14:textId="77777777" w:rsidR="00FA0203" w:rsidRPr="00280784" w:rsidRDefault="00FA0203" w:rsidP="00FA0203">
      <w:pPr>
        <w:rPr>
          <w:rFonts w:ascii="Californian FB" w:hAnsi="Californian FB"/>
          <w:sz w:val="24"/>
          <w:szCs w:val="24"/>
        </w:rPr>
      </w:pPr>
    </w:p>
    <w:p w14:paraId="4131F8DA" w14:textId="77777777" w:rsidR="00FA0203" w:rsidRPr="00280784" w:rsidRDefault="00FA0203" w:rsidP="00FA0203">
      <w:pPr>
        <w:rPr>
          <w:rFonts w:ascii="Californian FB" w:hAnsi="Californian FB"/>
          <w:sz w:val="24"/>
          <w:szCs w:val="24"/>
        </w:rPr>
      </w:pPr>
    </w:p>
    <w:p w14:paraId="35248FEC" w14:textId="77777777" w:rsidR="00FA0203" w:rsidRPr="00280784" w:rsidRDefault="00FA0203" w:rsidP="00203568">
      <w:pPr>
        <w:pStyle w:val="Heading2"/>
        <w:numPr>
          <w:ilvl w:val="1"/>
          <w:numId w:val="9"/>
        </w:numPr>
        <w:spacing w:before="0"/>
        <w:rPr>
          <w:rFonts w:ascii="Californian FB" w:hAnsi="Californian FB"/>
          <w:sz w:val="24"/>
          <w:szCs w:val="24"/>
          <w:lang w:val="en-US"/>
        </w:rPr>
      </w:pPr>
      <w:bookmarkStart w:id="54" w:name="_Toc520793130"/>
      <w:r w:rsidRPr="00280784">
        <w:rPr>
          <w:rFonts w:ascii="Californian FB" w:hAnsi="Californian FB"/>
          <w:sz w:val="24"/>
          <w:szCs w:val="24"/>
          <w:lang w:val="en-US"/>
        </w:rPr>
        <w:t>Tools for Monitoring and Evaluation of UHC</w:t>
      </w:r>
      <w:bookmarkEnd w:id="54"/>
    </w:p>
    <w:p w14:paraId="56B22A93" w14:textId="77777777" w:rsidR="00FA0203" w:rsidRPr="00280784" w:rsidRDefault="00FA0203" w:rsidP="00FA0203">
      <w:pPr>
        <w:rPr>
          <w:sz w:val="24"/>
          <w:szCs w:val="24"/>
        </w:rPr>
      </w:pPr>
    </w:p>
    <w:p w14:paraId="0C181B14" w14:textId="77777777" w:rsidR="00FA0203" w:rsidRPr="00280784" w:rsidRDefault="00FA0203" w:rsidP="00FA0203">
      <w:pPr>
        <w:rPr>
          <w:sz w:val="24"/>
          <w:szCs w:val="24"/>
        </w:rPr>
      </w:pPr>
    </w:p>
    <w:p w14:paraId="13D3814B" w14:textId="77777777" w:rsidR="00FA0203" w:rsidRPr="00280784" w:rsidRDefault="00FA0203" w:rsidP="00FA0203">
      <w:pPr>
        <w:rPr>
          <w:sz w:val="24"/>
          <w:szCs w:val="24"/>
        </w:rPr>
      </w:pPr>
    </w:p>
    <w:p w14:paraId="3413E879" w14:textId="77777777" w:rsidR="00FA0203" w:rsidRPr="00280784" w:rsidRDefault="00FA0203" w:rsidP="00FA0203">
      <w:pPr>
        <w:rPr>
          <w:sz w:val="24"/>
          <w:szCs w:val="24"/>
        </w:rPr>
      </w:pPr>
    </w:p>
    <w:p w14:paraId="7ACA35B5" w14:textId="77777777" w:rsidR="00FA0203" w:rsidRPr="00280784" w:rsidRDefault="00FA0203" w:rsidP="00FA0203">
      <w:pPr>
        <w:rPr>
          <w:sz w:val="24"/>
          <w:szCs w:val="24"/>
        </w:rPr>
      </w:pPr>
    </w:p>
    <w:p w14:paraId="3A7B5318" w14:textId="77777777" w:rsidR="00FA0203" w:rsidRPr="00280784" w:rsidRDefault="00FA0203" w:rsidP="00203568">
      <w:pPr>
        <w:pStyle w:val="Heading2"/>
        <w:numPr>
          <w:ilvl w:val="1"/>
          <w:numId w:val="9"/>
        </w:numPr>
        <w:spacing w:before="0"/>
        <w:rPr>
          <w:rFonts w:ascii="Californian FB" w:hAnsi="Californian FB"/>
          <w:sz w:val="24"/>
          <w:szCs w:val="24"/>
          <w:lang w:val="en-US"/>
        </w:rPr>
      </w:pPr>
      <w:bookmarkStart w:id="55" w:name="_Toc520793131"/>
      <w:r w:rsidRPr="00280784">
        <w:rPr>
          <w:rFonts w:ascii="Californian FB" w:hAnsi="Californian FB"/>
          <w:sz w:val="24"/>
          <w:szCs w:val="24"/>
          <w:lang w:val="en-US"/>
        </w:rPr>
        <w:t>Data quality plan for UHC</w:t>
      </w:r>
      <w:bookmarkEnd w:id="55"/>
    </w:p>
    <w:p w14:paraId="282FA09A" w14:textId="77777777" w:rsidR="00FA0203" w:rsidRPr="00280784" w:rsidRDefault="00FA0203" w:rsidP="00FA0203">
      <w:pPr>
        <w:rPr>
          <w:sz w:val="24"/>
          <w:szCs w:val="24"/>
        </w:rPr>
      </w:pPr>
    </w:p>
    <w:p w14:paraId="46310877" w14:textId="77777777" w:rsidR="00FA0203" w:rsidRPr="00280784" w:rsidRDefault="00FA0203" w:rsidP="00FA0203">
      <w:pPr>
        <w:rPr>
          <w:sz w:val="24"/>
          <w:szCs w:val="24"/>
        </w:rPr>
      </w:pPr>
    </w:p>
    <w:p w14:paraId="621E92DF" w14:textId="77777777" w:rsidR="00FA0203" w:rsidRPr="00280784" w:rsidRDefault="00FA0203" w:rsidP="00FA0203">
      <w:pPr>
        <w:rPr>
          <w:sz w:val="24"/>
          <w:szCs w:val="24"/>
        </w:rPr>
      </w:pPr>
    </w:p>
    <w:p w14:paraId="49F56674" w14:textId="77777777" w:rsidR="00FA0203" w:rsidRPr="00280784" w:rsidRDefault="00FA0203" w:rsidP="00203568">
      <w:pPr>
        <w:pStyle w:val="Heading2"/>
        <w:numPr>
          <w:ilvl w:val="1"/>
          <w:numId w:val="9"/>
        </w:numPr>
        <w:spacing w:before="0"/>
        <w:rPr>
          <w:rFonts w:ascii="Californian FB" w:hAnsi="Californian FB"/>
          <w:sz w:val="24"/>
          <w:szCs w:val="24"/>
          <w:lang w:val="en-US"/>
        </w:rPr>
      </w:pPr>
      <w:bookmarkStart w:id="56" w:name="_Toc520793132"/>
      <w:r w:rsidRPr="00280784">
        <w:rPr>
          <w:rFonts w:ascii="Californian FB" w:hAnsi="Californian FB"/>
          <w:sz w:val="24"/>
          <w:szCs w:val="24"/>
          <w:lang w:val="en-US"/>
        </w:rPr>
        <w:t>Information dissemination and use</w:t>
      </w:r>
      <w:bookmarkEnd w:id="56"/>
    </w:p>
    <w:p w14:paraId="66684A21" w14:textId="77777777" w:rsidR="00FA0203" w:rsidRPr="00280784" w:rsidRDefault="00FA0203" w:rsidP="00FA0203">
      <w:pPr>
        <w:rPr>
          <w:sz w:val="24"/>
          <w:szCs w:val="24"/>
        </w:rPr>
      </w:pPr>
    </w:p>
    <w:p w14:paraId="6FA0B0B4" w14:textId="77777777" w:rsidR="005A09C4" w:rsidRPr="00F3749A" w:rsidRDefault="005A09C4" w:rsidP="00F3749A">
      <w:pPr>
        <w:pStyle w:val="Heading1"/>
        <w:spacing w:before="0"/>
        <w:rPr>
          <w:rFonts w:ascii="Californian FB" w:hAnsi="Californian FB"/>
          <w:lang w:val="en-US"/>
        </w:rPr>
      </w:pPr>
      <w:bookmarkStart w:id="57" w:name="_Toc520793133"/>
      <w:r w:rsidRPr="00F3749A">
        <w:rPr>
          <w:rFonts w:ascii="Californian FB" w:hAnsi="Californian FB"/>
          <w:lang w:val="en-US"/>
        </w:rPr>
        <w:t xml:space="preserve">SECTION </w:t>
      </w:r>
      <w:r w:rsidR="00F3749A">
        <w:rPr>
          <w:rFonts w:ascii="Californian FB" w:hAnsi="Californian FB"/>
          <w:lang w:val="en-US"/>
        </w:rPr>
        <w:t>6</w:t>
      </w:r>
      <w:r w:rsidRPr="00F3749A">
        <w:rPr>
          <w:rFonts w:ascii="Californian FB" w:hAnsi="Californian FB"/>
          <w:lang w:val="en-US"/>
        </w:rPr>
        <w:t>: EVALUATING UNIVERSAL HEALTH COVERAGE</w:t>
      </w:r>
      <w:bookmarkEnd w:id="57"/>
      <w:r w:rsidRPr="00F3749A">
        <w:rPr>
          <w:rFonts w:ascii="Californian FB" w:hAnsi="Californian FB"/>
          <w:lang w:val="en-US"/>
        </w:rPr>
        <w:t xml:space="preserve"> </w:t>
      </w:r>
    </w:p>
    <w:p w14:paraId="02A7CA6D" w14:textId="77777777" w:rsidR="00E765E5" w:rsidRDefault="00E765E5" w:rsidP="00203568">
      <w:pPr>
        <w:pStyle w:val="Heading2"/>
        <w:numPr>
          <w:ilvl w:val="1"/>
          <w:numId w:val="10"/>
        </w:numPr>
        <w:spacing w:before="0"/>
        <w:rPr>
          <w:rFonts w:ascii="Californian FB" w:hAnsi="Californian FB"/>
        </w:rPr>
      </w:pPr>
      <w:bookmarkStart w:id="58" w:name="_Toc520793134"/>
      <w:r w:rsidRPr="00F3749A">
        <w:rPr>
          <w:rFonts w:ascii="Californian FB" w:hAnsi="Californian FB"/>
        </w:rPr>
        <w:t>Why the evaluation</w:t>
      </w:r>
      <w:bookmarkEnd w:id="58"/>
    </w:p>
    <w:p w14:paraId="7A0D73C3" w14:textId="77777777" w:rsidR="00136380" w:rsidRPr="004820CB" w:rsidRDefault="00136380" w:rsidP="004820CB">
      <w:pPr>
        <w:jc w:val="both"/>
        <w:rPr>
          <w:rFonts w:ascii="Arial" w:hAnsi="Arial" w:cs="Arial"/>
          <w:color w:val="000000" w:themeColor="text1"/>
        </w:rPr>
      </w:pPr>
      <w:r w:rsidRPr="004820CB">
        <w:rPr>
          <w:rFonts w:ascii="Arial" w:hAnsi="Arial" w:cs="Arial"/>
          <w:color w:val="000000" w:themeColor="text1"/>
        </w:rPr>
        <w:t xml:space="preserve">Implementation of UHC in Kenya is intended to improve access to quality health services to the population without suffering financial catastrophe. It is anticipated that there will be improvements in health outcomes. This evaluation is intended to determine whether or not the changes envisioned are actually achieved. </w:t>
      </w:r>
      <w:r w:rsidR="00EB541D" w:rsidRPr="004820CB">
        <w:rPr>
          <w:rFonts w:ascii="Arial" w:hAnsi="Arial" w:cs="Arial"/>
          <w:color w:val="000000" w:themeColor="text1"/>
        </w:rPr>
        <w:t>This evaluation is designed to assess whether the implementation of UHC would have achieved the intended goals of improving health and well-being of the population. This evaluation is intended to provide evidence based policy making relating to the scale up on UHC interventions across the Country</w:t>
      </w:r>
      <w:r w:rsidR="00917464" w:rsidRPr="004820CB">
        <w:rPr>
          <w:rFonts w:ascii="Arial" w:hAnsi="Arial" w:cs="Arial"/>
          <w:color w:val="000000" w:themeColor="text1"/>
        </w:rPr>
        <w:t xml:space="preserve"> by ensuring that there is </w:t>
      </w:r>
      <w:r w:rsidR="005731FD" w:rsidRPr="004820CB">
        <w:rPr>
          <w:rFonts w:ascii="Arial" w:hAnsi="Arial" w:cs="Arial"/>
          <w:color w:val="000000" w:themeColor="text1"/>
        </w:rPr>
        <w:t>robust</w:t>
      </w:r>
      <w:r w:rsidR="00F937FE" w:rsidRPr="004820CB">
        <w:rPr>
          <w:rFonts w:ascii="Arial" w:hAnsi="Arial" w:cs="Arial"/>
          <w:color w:val="000000" w:themeColor="text1"/>
        </w:rPr>
        <w:t xml:space="preserve"> and credible evidence on performance and document what worked and what did not work</w:t>
      </w:r>
      <w:r w:rsidR="00EB541D" w:rsidRPr="004820CB">
        <w:rPr>
          <w:rFonts w:ascii="Arial" w:hAnsi="Arial" w:cs="Arial"/>
          <w:color w:val="000000" w:themeColor="text1"/>
        </w:rPr>
        <w:t>.</w:t>
      </w:r>
      <w:r w:rsidR="00F937FE" w:rsidRPr="004820CB">
        <w:rPr>
          <w:rFonts w:ascii="Arial" w:hAnsi="Arial" w:cs="Arial"/>
          <w:color w:val="000000" w:themeColor="text1"/>
        </w:rPr>
        <w:t xml:space="preserve"> </w:t>
      </w:r>
    </w:p>
    <w:p w14:paraId="711EFA92" w14:textId="77777777" w:rsidR="001E31F1" w:rsidRPr="004820CB" w:rsidRDefault="001E31F1" w:rsidP="004820CB">
      <w:pPr>
        <w:jc w:val="both"/>
        <w:rPr>
          <w:rFonts w:ascii="Arial" w:hAnsi="Arial" w:cs="Arial"/>
          <w:color w:val="000000" w:themeColor="text1"/>
        </w:rPr>
      </w:pPr>
      <w:r w:rsidRPr="004820CB">
        <w:rPr>
          <w:rFonts w:ascii="Arial" w:hAnsi="Arial" w:cs="Arial"/>
          <w:color w:val="000000" w:themeColor="text1"/>
        </w:rPr>
        <w:t xml:space="preserve">This evaluation is intended to assess the changes in the health outcomes that can be attributed </w:t>
      </w:r>
      <w:r w:rsidR="00917464" w:rsidRPr="004820CB">
        <w:rPr>
          <w:rFonts w:ascii="Arial" w:hAnsi="Arial" w:cs="Arial"/>
          <w:color w:val="000000" w:themeColor="text1"/>
        </w:rPr>
        <w:t xml:space="preserve">to the implementation of UHC at the County level. </w:t>
      </w:r>
      <w:r w:rsidR="005731FD" w:rsidRPr="004820CB">
        <w:rPr>
          <w:rFonts w:ascii="Arial" w:hAnsi="Arial" w:cs="Arial"/>
          <w:color w:val="000000" w:themeColor="text1"/>
        </w:rPr>
        <w:t>Beyond answering the evaluation question</w:t>
      </w:r>
      <w:r w:rsidR="005B76D4" w:rsidRPr="004820CB">
        <w:rPr>
          <w:rFonts w:ascii="Arial" w:hAnsi="Arial" w:cs="Arial"/>
          <w:color w:val="000000" w:themeColor="text1"/>
        </w:rPr>
        <w:t xml:space="preserve">s, it will be used to test the effectiveness of UHC implementation alternatives at the county level. </w:t>
      </w:r>
    </w:p>
    <w:p w14:paraId="4C7FB830" w14:textId="77777777" w:rsidR="00E50A2D" w:rsidRPr="004820CB" w:rsidRDefault="00E50A2D" w:rsidP="004820CB">
      <w:pPr>
        <w:jc w:val="both"/>
        <w:rPr>
          <w:rFonts w:ascii="Arial" w:hAnsi="Arial" w:cs="Arial"/>
          <w:color w:val="000000" w:themeColor="text1"/>
        </w:rPr>
      </w:pPr>
      <w:r w:rsidRPr="004820CB">
        <w:rPr>
          <w:rFonts w:ascii="Arial" w:hAnsi="Arial" w:cs="Arial"/>
          <w:color w:val="000000" w:themeColor="text1"/>
        </w:rPr>
        <w:t>The UHC Phase I is a time-bound intervention in four counties with different epidemiological or geographical challenges.  Several policy, managerial, administrative changes will be instituted during Phase I period, to test their effectiveness to improve the situ</w:t>
      </w:r>
      <w:r w:rsidR="005B76D4" w:rsidRPr="004820CB">
        <w:rPr>
          <w:rFonts w:ascii="Arial" w:hAnsi="Arial" w:cs="Arial"/>
          <w:color w:val="000000" w:themeColor="text1"/>
        </w:rPr>
        <w:t>ation. The phase I evaluation framework</w:t>
      </w:r>
      <w:r w:rsidRPr="004820CB">
        <w:rPr>
          <w:rFonts w:ascii="Arial" w:hAnsi="Arial" w:cs="Arial"/>
          <w:color w:val="000000" w:themeColor="text1"/>
        </w:rPr>
        <w:t xml:space="preserve"> is developed based on the scenarios (hypothesis) and expected actions to solve the problems identified as bottlenecks.  The collected data/information will be analyzed to test the hypothesis.  </w:t>
      </w:r>
    </w:p>
    <w:p w14:paraId="5AC9DABC" w14:textId="77777777" w:rsidR="00E50A2D" w:rsidRPr="004820CB" w:rsidRDefault="00E50A2D" w:rsidP="004820CB">
      <w:pPr>
        <w:jc w:val="both"/>
        <w:rPr>
          <w:rFonts w:ascii="Arial" w:hAnsi="Arial" w:cs="Arial"/>
          <w:color w:val="000000" w:themeColor="text1"/>
        </w:rPr>
      </w:pPr>
      <w:r w:rsidRPr="004820CB">
        <w:rPr>
          <w:rFonts w:ascii="Arial" w:hAnsi="Arial" w:cs="Arial"/>
          <w:color w:val="000000" w:themeColor="text1"/>
        </w:rPr>
        <w:t xml:space="preserve">The evaluation is also useful for “reality check” of the existing system/governance to achieve the goals for UHC needs to be assessed and compared with other alternative options so that Kenya is confident that the reforms are leading the country to the right direction.  </w:t>
      </w:r>
    </w:p>
    <w:p w14:paraId="0CD93B36" w14:textId="77777777" w:rsidR="00E50A2D" w:rsidRPr="004820CB" w:rsidRDefault="00E50A2D" w:rsidP="004820CB">
      <w:pPr>
        <w:jc w:val="both"/>
        <w:rPr>
          <w:rFonts w:ascii="Arial" w:hAnsi="Arial" w:cs="Arial"/>
          <w:color w:val="000000" w:themeColor="text1"/>
        </w:rPr>
      </w:pPr>
      <w:r w:rsidRPr="004820CB">
        <w:rPr>
          <w:rFonts w:ascii="Arial" w:hAnsi="Arial" w:cs="Arial"/>
          <w:color w:val="000000" w:themeColor="text1"/>
        </w:rPr>
        <w:t xml:space="preserve">The evaluation findings </w:t>
      </w:r>
      <w:r w:rsidR="005B76D4" w:rsidRPr="004820CB">
        <w:rPr>
          <w:rFonts w:ascii="Arial" w:hAnsi="Arial" w:cs="Arial"/>
          <w:color w:val="000000" w:themeColor="text1"/>
        </w:rPr>
        <w:t xml:space="preserve">will be </w:t>
      </w:r>
      <w:r w:rsidRPr="004820CB">
        <w:rPr>
          <w:rFonts w:ascii="Arial" w:hAnsi="Arial" w:cs="Arial"/>
          <w:color w:val="000000" w:themeColor="text1"/>
        </w:rPr>
        <w:t>converted into actionable.  Even if the intended changes do not happen, having collected sufficient data/info should allow an analysis of what went wrong (could it be hypothesis, timeframe, inputs, external factors, etc.).</w:t>
      </w:r>
    </w:p>
    <w:p w14:paraId="04C14317" w14:textId="77777777" w:rsidR="0064377F" w:rsidRDefault="0064377F" w:rsidP="00203568">
      <w:pPr>
        <w:pStyle w:val="Heading2"/>
        <w:numPr>
          <w:ilvl w:val="1"/>
          <w:numId w:val="10"/>
        </w:numPr>
        <w:spacing w:before="0"/>
        <w:rPr>
          <w:rFonts w:ascii="Californian FB" w:hAnsi="Californian FB"/>
        </w:rPr>
      </w:pPr>
      <w:bookmarkStart w:id="59" w:name="_Toc520793135"/>
      <w:r>
        <w:rPr>
          <w:rFonts w:ascii="Californian FB" w:hAnsi="Californian FB"/>
        </w:rPr>
        <w:t>Evaluation Objectives</w:t>
      </w:r>
      <w:bookmarkEnd w:id="59"/>
      <w:r>
        <w:rPr>
          <w:rFonts w:ascii="Californian FB" w:hAnsi="Californian FB"/>
        </w:rPr>
        <w:t xml:space="preserve"> </w:t>
      </w:r>
    </w:p>
    <w:p w14:paraId="05376CE0" w14:textId="77777777" w:rsidR="0064377F" w:rsidRPr="008077AC" w:rsidRDefault="0064377F" w:rsidP="008077AC">
      <w:pPr>
        <w:spacing w:after="0" w:line="360" w:lineRule="auto"/>
        <w:jc w:val="both"/>
        <w:rPr>
          <w:rFonts w:ascii="Garamond" w:hAnsi="Garamond" w:cs="Times New Roman"/>
          <w:b/>
          <w:sz w:val="24"/>
          <w:szCs w:val="24"/>
        </w:rPr>
      </w:pPr>
      <w:r w:rsidRPr="008077AC">
        <w:rPr>
          <w:rFonts w:ascii="Garamond" w:hAnsi="Garamond" w:cs="Times New Roman"/>
          <w:b/>
          <w:sz w:val="24"/>
          <w:szCs w:val="24"/>
        </w:rPr>
        <w:t xml:space="preserve">Overarching Objective </w:t>
      </w:r>
    </w:p>
    <w:p w14:paraId="3A588499" w14:textId="77777777" w:rsidR="0064377F" w:rsidRPr="008077AC" w:rsidRDefault="0064377F" w:rsidP="008077AC">
      <w:pPr>
        <w:spacing w:after="0" w:line="360" w:lineRule="auto"/>
        <w:jc w:val="both"/>
        <w:rPr>
          <w:rFonts w:ascii="Garamond" w:hAnsi="Garamond" w:cs="Times New Roman"/>
          <w:sz w:val="24"/>
          <w:szCs w:val="24"/>
        </w:rPr>
      </w:pPr>
      <w:r w:rsidRPr="008077AC">
        <w:rPr>
          <w:rFonts w:ascii="Garamond" w:hAnsi="Garamond" w:cs="Times New Roman"/>
          <w:sz w:val="24"/>
          <w:szCs w:val="24"/>
        </w:rPr>
        <w:t xml:space="preserve">To test the effect of full health insurance subsidies on UHC goals in 4 pilot counties, and to examine the implementation experience of the pilot and other parallel UHC reforms in Kenya. </w:t>
      </w:r>
    </w:p>
    <w:p w14:paraId="70E3B666" w14:textId="77777777" w:rsidR="0064377F" w:rsidRPr="008077AC" w:rsidRDefault="0064377F" w:rsidP="008077AC">
      <w:pPr>
        <w:spacing w:after="0" w:line="360" w:lineRule="auto"/>
        <w:jc w:val="both"/>
        <w:rPr>
          <w:rFonts w:ascii="Garamond" w:hAnsi="Garamond" w:cs="Times New Roman"/>
          <w:b/>
          <w:sz w:val="24"/>
          <w:szCs w:val="24"/>
        </w:rPr>
      </w:pPr>
      <w:r w:rsidRPr="008077AC">
        <w:rPr>
          <w:rFonts w:ascii="Garamond" w:hAnsi="Garamond" w:cs="Times New Roman"/>
          <w:b/>
          <w:sz w:val="24"/>
          <w:szCs w:val="24"/>
        </w:rPr>
        <w:t xml:space="preserve">Specific Objectives </w:t>
      </w:r>
    </w:p>
    <w:p w14:paraId="6AD95892"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t>To measure the effect of full health insurance subsidies on the level of out-of-pocket payments by households in the 4 pilot counties</w:t>
      </w:r>
    </w:p>
    <w:p w14:paraId="2F27BA13"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lastRenderedPageBreak/>
        <w:t>To measure the effect of full health insurance subsidies on utilization of primary and secondary healthcare services in the 4 pilot counties</w:t>
      </w:r>
    </w:p>
    <w:p w14:paraId="221A2712"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t>To measure the effect of full health insurance subsidies on effective service coverage with priority interventions in the four pilot counties with a focus on primary healthcare services</w:t>
      </w:r>
    </w:p>
    <w:p w14:paraId="6059B1E8"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t>To examine the cost of providing full health insurance subsidies, the feasibility of scale up, and model the financial requirements for national scale up that ensures sustainability</w:t>
      </w:r>
    </w:p>
    <w:p w14:paraId="6C0AFF59"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t>To examine how existing health system capacity influences the implementation and outcomes of the pilot intervention as well as parallel UHC reforms in non-pilot counties</w:t>
      </w:r>
    </w:p>
    <w:p w14:paraId="7CF2F303" w14:textId="77777777" w:rsidR="0064377F" w:rsidRPr="008077AC" w:rsidRDefault="0064377F" w:rsidP="00203568">
      <w:pPr>
        <w:pStyle w:val="ListParagraph"/>
        <w:numPr>
          <w:ilvl w:val="0"/>
          <w:numId w:val="21"/>
        </w:numPr>
        <w:spacing w:after="0" w:line="360" w:lineRule="auto"/>
        <w:jc w:val="both"/>
        <w:rPr>
          <w:rFonts w:ascii="Garamond" w:hAnsi="Garamond" w:cs="Times New Roman"/>
          <w:sz w:val="24"/>
          <w:szCs w:val="24"/>
        </w:rPr>
      </w:pPr>
      <w:r w:rsidRPr="008077AC">
        <w:rPr>
          <w:rFonts w:ascii="Garamond" w:hAnsi="Garamond" w:cs="Times New Roman"/>
          <w:sz w:val="24"/>
          <w:szCs w:val="24"/>
        </w:rPr>
        <w:t>To examine how purchasing arrangements, governance, and funding flow arrangements influences the implementation of the pilot intervention as well as parallel UHC reforms in non-pilot counties</w:t>
      </w:r>
    </w:p>
    <w:p w14:paraId="0F61B9B2" w14:textId="77777777" w:rsidR="0064377F" w:rsidRPr="008077AC" w:rsidRDefault="0064377F" w:rsidP="00203568">
      <w:pPr>
        <w:pStyle w:val="ListParagraph"/>
        <w:numPr>
          <w:ilvl w:val="0"/>
          <w:numId w:val="21"/>
        </w:numPr>
      </w:pPr>
      <w:r w:rsidRPr="008077AC">
        <w:rPr>
          <w:rFonts w:ascii="Garamond" w:hAnsi="Garamond" w:cs="Times New Roman"/>
          <w:sz w:val="24"/>
          <w:szCs w:val="24"/>
        </w:rPr>
        <w:t>To examine the implementation experience in the pilot intervention as well as other UHC reforms in non-pilot counties</w:t>
      </w:r>
    </w:p>
    <w:p w14:paraId="331DA207" w14:textId="77777777" w:rsidR="00E765E5" w:rsidRDefault="00E765E5" w:rsidP="00203568">
      <w:pPr>
        <w:pStyle w:val="Heading2"/>
        <w:numPr>
          <w:ilvl w:val="1"/>
          <w:numId w:val="10"/>
        </w:numPr>
        <w:spacing w:before="0"/>
        <w:rPr>
          <w:rFonts w:ascii="Californian FB" w:hAnsi="Californian FB"/>
        </w:rPr>
      </w:pPr>
      <w:bookmarkStart w:id="60" w:name="_Toc520793136"/>
      <w:r w:rsidRPr="00F3749A">
        <w:rPr>
          <w:rFonts w:ascii="Californian FB" w:hAnsi="Californian FB"/>
        </w:rPr>
        <w:t>Evaluation Questions</w:t>
      </w:r>
      <w:bookmarkEnd w:id="60"/>
    </w:p>
    <w:p w14:paraId="12DDC182" w14:textId="77777777" w:rsidR="00545A2B" w:rsidRDefault="00545A2B" w:rsidP="008077AC">
      <w:pPr>
        <w:jc w:val="both"/>
        <w:rPr>
          <w:lang w:val="en-GB"/>
        </w:rPr>
      </w:pPr>
      <w:r>
        <w:rPr>
          <w:lang w:val="en-GB"/>
        </w:rPr>
        <w:t xml:space="preserve">To carry out an effective evaluation, there is need that </w:t>
      </w:r>
      <w:r w:rsidR="00B5031E">
        <w:rPr>
          <w:lang w:val="en-GB"/>
        </w:rPr>
        <w:t xml:space="preserve">clear evaluation question are elaborated to ensure that they answer/respond to the appropriate policy questions. </w:t>
      </w:r>
      <w:r w:rsidR="00E634D0">
        <w:rPr>
          <w:lang w:val="en-GB"/>
        </w:rPr>
        <w:t xml:space="preserve">To establish the type of questions, theory of change has been developed as outlined below describing </w:t>
      </w:r>
      <w:r w:rsidR="00E43B04">
        <w:rPr>
          <w:lang w:val="en-GB"/>
        </w:rPr>
        <w:t xml:space="preserve">the results chain, for formulating hypotheses to be tested by the evaluation, and selecting performance indicators. </w:t>
      </w:r>
      <w:r w:rsidR="00B5031E">
        <w:rPr>
          <w:lang w:val="en-GB"/>
        </w:rPr>
        <w:t>The proposed evaluation questions are as indicated below;</w:t>
      </w:r>
    </w:p>
    <w:p w14:paraId="60555F55" w14:textId="77777777" w:rsidR="00AA0078" w:rsidRDefault="00B5031E" w:rsidP="00203568">
      <w:pPr>
        <w:pStyle w:val="ListParagraph"/>
        <w:numPr>
          <w:ilvl w:val="0"/>
          <w:numId w:val="20"/>
        </w:numPr>
      </w:pPr>
      <w:r>
        <w:t>Is the UHC implementation in the selected County effective compared to the non-focus county?</w:t>
      </w:r>
    </w:p>
    <w:p w14:paraId="4637282E" w14:textId="77777777" w:rsidR="00B5031E" w:rsidRDefault="00AA0078" w:rsidP="00203568">
      <w:pPr>
        <w:pStyle w:val="ListParagraph"/>
        <w:numPr>
          <w:ilvl w:val="1"/>
          <w:numId w:val="20"/>
        </w:numPr>
      </w:pPr>
      <w:r>
        <w:t xml:space="preserve">Process evaluation – funds flow, HR, HPTs supply, Access to Insurance, </w:t>
      </w:r>
    </w:p>
    <w:p w14:paraId="4D0D408E" w14:textId="77777777" w:rsidR="00AA0078" w:rsidRDefault="00AA0078" w:rsidP="00203568">
      <w:pPr>
        <w:pStyle w:val="ListParagraph"/>
        <w:numPr>
          <w:ilvl w:val="1"/>
          <w:numId w:val="20"/>
        </w:numPr>
      </w:pPr>
      <w:r>
        <w:t>Outcome evaluation – Immunizations, SBAs, Coverage</w:t>
      </w:r>
      <w:r w:rsidR="00FB1239">
        <w:t xml:space="preserve">, Utilization </w:t>
      </w:r>
    </w:p>
    <w:p w14:paraId="1088F355" w14:textId="7EE9FBB9" w:rsidR="00B5031E" w:rsidRDefault="00AA0078" w:rsidP="00203568">
      <w:pPr>
        <w:pStyle w:val="ListParagraph"/>
        <w:numPr>
          <w:ilvl w:val="1"/>
          <w:numId w:val="20"/>
        </w:numPr>
      </w:pPr>
      <w:r w:rsidRPr="008077AC">
        <w:rPr>
          <w:highlight w:val="yellow"/>
        </w:rPr>
        <w:t xml:space="preserve">Impact Evaluation – Changes within the population </w:t>
      </w:r>
    </w:p>
    <w:p w14:paraId="70EBB421" w14:textId="77777777" w:rsidR="00A610B7" w:rsidRDefault="004805F1" w:rsidP="00203568">
      <w:pPr>
        <w:pStyle w:val="ListParagraph"/>
        <w:numPr>
          <w:ilvl w:val="0"/>
          <w:numId w:val="20"/>
        </w:numPr>
        <w:rPr>
          <w:lang w:val="en-US"/>
        </w:rPr>
      </w:pPr>
      <w:r w:rsidRPr="004820CB">
        <w:rPr>
          <w:lang w:val="en-US"/>
        </w:rPr>
        <w:t>Has the Health Benefit Package (HBP) improved the people’s access to quality services?</w:t>
      </w:r>
    </w:p>
    <w:p w14:paraId="1D6A554B" w14:textId="77777777" w:rsidR="00FB1239" w:rsidRDefault="00FB1239" w:rsidP="00203568">
      <w:pPr>
        <w:pStyle w:val="ListParagraph"/>
        <w:numPr>
          <w:ilvl w:val="1"/>
          <w:numId w:val="20"/>
        </w:numPr>
        <w:rPr>
          <w:lang w:val="en-US"/>
        </w:rPr>
      </w:pPr>
      <w:r>
        <w:rPr>
          <w:lang w:val="en-US"/>
        </w:rPr>
        <w:t xml:space="preserve">Utilization of Health services </w:t>
      </w:r>
    </w:p>
    <w:p w14:paraId="1356E91A" w14:textId="77777777" w:rsidR="00FB1239" w:rsidRPr="004820CB" w:rsidRDefault="00FB1239" w:rsidP="00203568">
      <w:pPr>
        <w:pStyle w:val="ListParagraph"/>
        <w:numPr>
          <w:ilvl w:val="1"/>
          <w:numId w:val="20"/>
        </w:numPr>
        <w:rPr>
          <w:lang w:val="en-US"/>
        </w:rPr>
      </w:pPr>
      <w:r>
        <w:rPr>
          <w:lang w:val="en-US"/>
        </w:rPr>
        <w:t xml:space="preserve">Awareness of the entitlements </w:t>
      </w:r>
    </w:p>
    <w:p w14:paraId="08394F88" w14:textId="77777777" w:rsidR="00A610B7" w:rsidRDefault="004805F1" w:rsidP="00203568">
      <w:pPr>
        <w:pStyle w:val="ListParagraph"/>
        <w:numPr>
          <w:ilvl w:val="0"/>
          <w:numId w:val="20"/>
        </w:numPr>
        <w:rPr>
          <w:lang w:val="en-US"/>
        </w:rPr>
      </w:pPr>
      <w:r w:rsidRPr="004820CB">
        <w:rPr>
          <w:lang w:val="en-US"/>
        </w:rPr>
        <w:t>Primary health care network can improve access to care with an impact to the high level referral health facilities</w:t>
      </w:r>
    </w:p>
    <w:p w14:paraId="19ACDA04" w14:textId="77777777" w:rsidR="00FB1239" w:rsidRDefault="005934C6" w:rsidP="00203568">
      <w:pPr>
        <w:pStyle w:val="ListParagraph"/>
        <w:numPr>
          <w:ilvl w:val="1"/>
          <w:numId w:val="20"/>
        </w:numPr>
        <w:rPr>
          <w:lang w:val="en-US"/>
        </w:rPr>
      </w:pPr>
      <w:r>
        <w:rPr>
          <w:lang w:val="en-US"/>
        </w:rPr>
        <w:t xml:space="preserve">Refer to the referral system and indicators </w:t>
      </w:r>
    </w:p>
    <w:p w14:paraId="17349B7B" w14:textId="77777777" w:rsidR="005934C6" w:rsidRDefault="005934C6" w:rsidP="00203568">
      <w:pPr>
        <w:pStyle w:val="ListParagraph"/>
        <w:numPr>
          <w:ilvl w:val="1"/>
          <w:numId w:val="20"/>
        </w:numPr>
        <w:rPr>
          <w:lang w:val="en-US"/>
        </w:rPr>
      </w:pPr>
      <w:r>
        <w:rPr>
          <w:lang w:val="en-US"/>
        </w:rPr>
        <w:t xml:space="preserve">Defined health package for the different services </w:t>
      </w:r>
    </w:p>
    <w:p w14:paraId="481F8415" w14:textId="77777777" w:rsidR="00A610B7" w:rsidRDefault="004805F1" w:rsidP="00203568">
      <w:pPr>
        <w:pStyle w:val="ListParagraph"/>
        <w:numPr>
          <w:ilvl w:val="0"/>
          <w:numId w:val="20"/>
        </w:numPr>
        <w:rPr>
          <w:lang w:val="en-US"/>
        </w:rPr>
      </w:pPr>
      <w:r w:rsidRPr="004820CB">
        <w:rPr>
          <w:lang w:val="en-US"/>
        </w:rPr>
        <w:t>Efficiency can be gained by setting up an independent medical claims review function (screening) before sending to NHIF for reimbursement</w:t>
      </w:r>
    </w:p>
    <w:p w14:paraId="7C1B0380" w14:textId="77777777" w:rsidR="009C41F0" w:rsidRDefault="009C41F0" w:rsidP="00203568">
      <w:pPr>
        <w:pStyle w:val="ListParagraph"/>
        <w:numPr>
          <w:ilvl w:val="1"/>
          <w:numId w:val="20"/>
        </w:numPr>
        <w:rPr>
          <w:lang w:val="en-US"/>
        </w:rPr>
      </w:pPr>
      <w:r>
        <w:rPr>
          <w:lang w:val="en-US"/>
        </w:rPr>
        <w:t xml:space="preserve">Set up of an independent claims </w:t>
      </w:r>
      <w:r w:rsidR="00F71D4C">
        <w:rPr>
          <w:lang w:val="en-US"/>
        </w:rPr>
        <w:t xml:space="preserve">oversight </w:t>
      </w:r>
      <w:r>
        <w:rPr>
          <w:lang w:val="en-US"/>
        </w:rPr>
        <w:t xml:space="preserve">department </w:t>
      </w:r>
    </w:p>
    <w:p w14:paraId="33623897" w14:textId="77777777" w:rsidR="009C41F0" w:rsidRPr="004820CB" w:rsidRDefault="009C41F0" w:rsidP="00203568">
      <w:pPr>
        <w:pStyle w:val="ListParagraph"/>
        <w:numPr>
          <w:ilvl w:val="1"/>
          <w:numId w:val="20"/>
        </w:numPr>
        <w:rPr>
          <w:lang w:val="en-US"/>
        </w:rPr>
      </w:pPr>
      <w:r>
        <w:rPr>
          <w:lang w:val="en-US"/>
        </w:rPr>
        <w:t xml:space="preserve">Strategic purchasing for services </w:t>
      </w:r>
    </w:p>
    <w:p w14:paraId="5A21D2B1" w14:textId="6D96F34F" w:rsidR="00A610B7" w:rsidRDefault="004805F1" w:rsidP="00203568">
      <w:pPr>
        <w:pStyle w:val="ListParagraph"/>
        <w:numPr>
          <w:ilvl w:val="0"/>
          <w:numId w:val="20"/>
        </w:numPr>
        <w:rPr>
          <w:lang w:val="en-US"/>
        </w:rPr>
      </w:pPr>
      <w:r w:rsidRPr="004820CB">
        <w:rPr>
          <w:lang w:val="en-US"/>
        </w:rPr>
        <w:t xml:space="preserve">Is there any change in </w:t>
      </w:r>
      <w:r w:rsidR="0087634A">
        <w:rPr>
          <w:lang w:val="en-US"/>
        </w:rPr>
        <w:t>quality of health</w:t>
      </w:r>
      <w:r w:rsidRPr="004820CB">
        <w:rPr>
          <w:lang w:val="en-US"/>
        </w:rPr>
        <w:t xml:space="preserve"> care by investments in HRH, infrastructure, Equipment, commodities, HIS..?</w:t>
      </w:r>
    </w:p>
    <w:p w14:paraId="5E9CC856" w14:textId="77777777" w:rsidR="00F71D4C" w:rsidRDefault="0087634A" w:rsidP="00203568">
      <w:pPr>
        <w:pStyle w:val="ListParagraph"/>
        <w:numPr>
          <w:ilvl w:val="1"/>
          <w:numId w:val="20"/>
        </w:numPr>
        <w:rPr>
          <w:lang w:val="en-US"/>
        </w:rPr>
      </w:pPr>
      <w:r>
        <w:rPr>
          <w:lang w:val="en-US"/>
        </w:rPr>
        <w:lastRenderedPageBreak/>
        <w:t xml:space="preserve">Domains of the </w:t>
      </w:r>
      <w:r w:rsidR="00F71D4C">
        <w:rPr>
          <w:lang w:val="en-US"/>
        </w:rPr>
        <w:t xml:space="preserve">Quality of Care – Timely, Safe, Efficient, Effective, Patient-Centred, and Equitable </w:t>
      </w:r>
    </w:p>
    <w:p w14:paraId="3FBE64A2" w14:textId="77777777" w:rsidR="0087634A" w:rsidRPr="004820CB" w:rsidRDefault="0087634A" w:rsidP="00203568">
      <w:pPr>
        <w:pStyle w:val="ListParagraph"/>
        <w:numPr>
          <w:ilvl w:val="1"/>
          <w:numId w:val="20"/>
        </w:numPr>
        <w:rPr>
          <w:lang w:val="en-US"/>
        </w:rPr>
      </w:pPr>
      <w:r>
        <w:rPr>
          <w:lang w:val="en-US"/>
        </w:rPr>
        <w:t xml:space="preserve">Technical and Allocative efficiencies </w:t>
      </w:r>
    </w:p>
    <w:p w14:paraId="06276915" w14:textId="77777777" w:rsidR="00A610B7" w:rsidRDefault="004805F1" w:rsidP="00203568">
      <w:pPr>
        <w:pStyle w:val="ListParagraph"/>
        <w:numPr>
          <w:ilvl w:val="0"/>
          <w:numId w:val="20"/>
        </w:numPr>
        <w:rPr>
          <w:lang w:val="en-US"/>
        </w:rPr>
      </w:pPr>
      <w:r w:rsidRPr="004820CB">
        <w:rPr>
          <w:lang w:val="en-US"/>
        </w:rPr>
        <w:t>How many people are covered by</w:t>
      </w:r>
      <w:r w:rsidR="0087634A">
        <w:rPr>
          <w:lang w:val="en-US"/>
        </w:rPr>
        <w:t xml:space="preserve"> health</w:t>
      </w:r>
      <w:r w:rsidRPr="004820CB">
        <w:rPr>
          <w:lang w:val="en-US"/>
        </w:rPr>
        <w:t xml:space="preserve"> insurance?</w:t>
      </w:r>
    </w:p>
    <w:p w14:paraId="30F6F005" w14:textId="77777777" w:rsidR="0087634A" w:rsidRDefault="0087634A" w:rsidP="00203568">
      <w:pPr>
        <w:pStyle w:val="ListParagraph"/>
        <w:numPr>
          <w:ilvl w:val="1"/>
          <w:numId w:val="20"/>
        </w:numPr>
        <w:rPr>
          <w:lang w:val="en-US"/>
        </w:rPr>
      </w:pPr>
      <w:r>
        <w:rPr>
          <w:lang w:val="en-US"/>
        </w:rPr>
        <w:t>Households covered with health insurance</w:t>
      </w:r>
    </w:p>
    <w:p w14:paraId="0C62BBCC" w14:textId="77777777" w:rsidR="0087634A" w:rsidRPr="004820CB" w:rsidRDefault="0087634A" w:rsidP="00203568">
      <w:pPr>
        <w:pStyle w:val="ListParagraph"/>
        <w:numPr>
          <w:ilvl w:val="1"/>
          <w:numId w:val="20"/>
        </w:numPr>
        <w:rPr>
          <w:lang w:val="en-US"/>
        </w:rPr>
      </w:pPr>
      <w:r>
        <w:rPr>
          <w:lang w:val="en-US"/>
        </w:rPr>
        <w:t xml:space="preserve">The percentage of population covered </w:t>
      </w:r>
    </w:p>
    <w:p w14:paraId="42CB3BA1" w14:textId="77777777" w:rsidR="00A610B7" w:rsidRDefault="004805F1" w:rsidP="00203568">
      <w:pPr>
        <w:pStyle w:val="ListParagraph"/>
        <w:numPr>
          <w:ilvl w:val="0"/>
          <w:numId w:val="20"/>
        </w:numPr>
        <w:rPr>
          <w:lang w:val="en-US"/>
        </w:rPr>
      </w:pPr>
      <w:r w:rsidRPr="004820CB">
        <w:rPr>
          <w:lang w:val="en-US"/>
        </w:rPr>
        <w:t>How many people are covered by health insurance and are able to pay?</w:t>
      </w:r>
    </w:p>
    <w:p w14:paraId="09BB6403" w14:textId="77777777" w:rsidR="0087634A" w:rsidRDefault="0087634A" w:rsidP="00203568">
      <w:pPr>
        <w:pStyle w:val="ListParagraph"/>
        <w:numPr>
          <w:ilvl w:val="1"/>
          <w:numId w:val="20"/>
        </w:numPr>
        <w:rPr>
          <w:lang w:val="en-US"/>
        </w:rPr>
      </w:pPr>
      <w:r>
        <w:rPr>
          <w:lang w:val="en-US"/>
        </w:rPr>
        <w:t xml:space="preserve">Social Economic Status Data </w:t>
      </w:r>
    </w:p>
    <w:p w14:paraId="74F8765E" w14:textId="77777777" w:rsidR="0087634A" w:rsidRPr="004820CB" w:rsidRDefault="0087634A" w:rsidP="00203568">
      <w:pPr>
        <w:pStyle w:val="ListParagraph"/>
        <w:numPr>
          <w:ilvl w:val="1"/>
          <w:numId w:val="20"/>
        </w:numPr>
        <w:rPr>
          <w:lang w:val="en-US"/>
        </w:rPr>
      </w:pPr>
      <w:r>
        <w:rPr>
          <w:lang w:val="en-US"/>
        </w:rPr>
        <w:t>The amount of subsidization by the governments</w:t>
      </w:r>
    </w:p>
    <w:p w14:paraId="7AE1E596" w14:textId="77777777" w:rsidR="00A610B7" w:rsidRDefault="004805F1" w:rsidP="00203568">
      <w:pPr>
        <w:pStyle w:val="ListParagraph"/>
        <w:numPr>
          <w:ilvl w:val="0"/>
          <w:numId w:val="20"/>
        </w:numPr>
        <w:rPr>
          <w:lang w:val="en-US"/>
        </w:rPr>
      </w:pPr>
      <w:r w:rsidRPr="004820CB">
        <w:rPr>
          <w:lang w:val="en-US"/>
        </w:rPr>
        <w:t xml:space="preserve">What lessons </w:t>
      </w:r>
      <w:r w:rsidR="00FD238B">
        <w:rPr>
          <w:lang w:val="en-US"/>
        </w:rPr>
        <w:t xml:space="preserve">can be learned </w:t>
      </w:r>
      <w:r w:rsidRPr="004820CB">
        <w:rPr>
          <w:lang w:val="en-US"/>
        </w:rPr>
        <w:t>from the pilot counties for mutual learning and accountability?</w:t>
      </w:r>
    </w:p>
    <w:p w14:paraId="4731ABFE" w14:textId="77777777" w:rsidR="00FD238B" w:rsidRDefault="00FD238B" w:rsidP="00203568">
      <w:pPr>
        <w:pStyle w:val="ListParagraph"/>
        <w:numPr>
          <w:ilvl w:val="1"/>
          <w:numId w:val="20"/>
        </w:numPr>
        <w:rPr>
          <w:lang w:val="en-US"/>
        </w:rPr>
      </w:pPr>
      <w:r>
        <w:rPr>
          <w:lang w:val="en-US"/>
        </w:rPr>
        <w:t xml:space="preserve">Budget Allocations </w:t>
      </w:r>
    </w:p>
    <w:p w14:paraId="57A01CE4" w14:textId="77777777" w:rsidR="00FD238B" w:rsidRDefault="00FD238B" w:rsidP="00203568">
      <w:pPr>
        <w:pStyle w:val="ListParagraph"/>
        <w:numPr>
          <w:ilvl w:val="1"/>
          <w:numId w:val="20"/>
        </w:numPr>
        <w:rPr>
          <w:lang w:val="en-US"/>
        </w:rPr>
      </w:pPr>
      <w:r>
        <w:rPr>
          <w:lang w:val="en-US"/>
        </w:rPr>
        <w:t>Social Accountability Mechanisms</w:t>
      </w:r>
    </w:p>
    <w:p w14:paraId="34814D11" w14:textId="77777777" w:rsidR="00FD238B" w:rsidRPr="004820CB" w:rsidRDefault="00FD238B" w:rsidP="00203568">
      <w:pPr>
        <w:pStyle w:val="ListParagraph"/>
        <w:numPr>
          <w:ilvl w:val="1"/>
          <w:numId w:val="20"/>
        </w:numPr>
        <w:rPr>
          <w:lang w:val="en-US"/>
        </w:rPr>
      </w:pPr>
      <w:r>
        <w:rPr>
          <w:lang w:val="en-US"/>
        </w:rPr>
        <w:t xml:space="preserve">Networking of facilities </w:t>
      </w:r>
    </w:p>
    <w:p w14:paraId="5F7650C7" w14:textId="53011DD3" w:rsidR="00A610B7" w:rsidRDefault="00FD238B" w:rsidP="00203568">
      <w:pPr>
        <w:pStyle w:val="ListParagraph"/>
        <w:numPr>
          <w:ilvl w:val="0"/>
          <w:numId w:val="20"/>
        </w:numPr>
        <w:rPr>
          <w:lang w:val="en-US"/>
        </w:rPr>
      </w:pPr>
      <w:r>
        <w:rPr>
          <w:lang w:val="en-US"/>
        </w:rPr>
        <w:t>Are</w:t>
      </w:r>
      <w:r w:rsidRPr="004820CB">
        <w:rPr>
          <w:lang w:val="en-US"/>
        </w:rPr>
        <w:t xml:space="preserve"> </w:t>
      </w:r>
      <w:r w:rsidR="004805F1" w:rsidRPr="004820CB">
        <w:rPr>
          <w:lang w:val="en-US"/>
        </w:rPr>
        <w:t>there any lessons learnt from other counties?</w:t>
      </w:r>
    </w:p>
    <w:p w14:paraId="5905C6B2" w14:textId="77777777" w:rsidR="00FD238B" w:rsidRDefault="00FD238B" w:rsidP="00203568">
      <w:pPr>
        <w:pStyle w:val="ListParagraph"/>
        <w:numPr>
          <w:ilvl w:val="1"/>
          <w:numId w:val="20"/>
        </w:numPr>
        <w:rPr>
          <w:lang w:val="en-US"/>
        </w:rPr>
      </w:pPr>
      <w:r>
        <w:rPr>
          <w:lang w:val="en-US"/>
        </w:rPr>
        <w:t xml:space="preserve">Other UHC focus counties – Laikipia, Makueni, Siaya, </w:t>
      </w:r>
    </w:p>
    <w:p w14:paraId="4DA483CA" w14:textId="77777777" w:rsidR="00FD238B" w:rsidRDefault="00FD238B" w:rsidP="00203568">
      <w:pPr>
        <w:pStyle w:val="ListParagraph"/>
        <w:numPr>
          <w:ilvl w:val="1"/>
          <w:numId w:val="20"/>
        </w:numPr>
        <w:rPr>
          <w:lang w:val="en-US"/>
        </w:rPr>
      </w:pPr>
      <w:r>
        <w:rPr>
          <w:lang w:val="en-US"/>
        </w:rPr>
        <w:t xml:space="preserve">Budget Allocations </w:t>
      </w:r>
    </w:p>
    <w:p w14:paraId="3B60B027" w14:textId="77777777" w:rsidR="00FD238B" w:rsidRDefault="00FD238B" w:rsidP="00203568">
      <w:pPr>
        <w:pStyle w:val="ListParagraph"/>
        <w:numPr>
          <w:ilvl w:val="1"/>
          <w:numId w:val="20"/>
        </w:numPr>
        <w:rPr>
          <w:lang w:val="en-US"/>
        </w:rPr>
      </w:pPr>
      <w:r>
        <w:rPr>
          <w:lang w:val="en-US"/>
        </w:rPr>
        <w:t>Social Accountability Mechanisms</w:t>
      </w:r>
    </w:p>
    <w:p w14:paraId="0752A4DC" w14:textId="77777777" w:rsidR="00FD238B" w:rsidRPr="00FD238B" w:rsidRDefault="00FD238B" w:rsidP="00203568">
      <w:pPr>
        <w:pStyle w:val="ListParagraph"/>
        <w:numPr>
          <w:ilvl w:val="1"/>
          <w:numId w:val="20"/>
        </w:numPr>
        <w:rPr>
          <w:lang w:val="en-US"/>
        </w:rPr>
      </w:pPr>
      <w:r>
        <w:rPr>
          <w:lang w:val="en-US"/>
        </w:rPr>
        <w:t xml:space="preserve">Networking of facilities </w:t>
      </w:r>
    </w:p>
    <w:p w14:paraId="088B337D" w14:textId="6CE218B7" w:rsidR="00E50A2D" w:rsidRDefault="00FD238B" w:rsidP="00203568">
      <w:pPr>
        <w:pStyle w:val="ListParagraph"/>
        <w:numPr>
          <w:ilvl w:val="0"/>
          <w:numId w:val="20"/>
        </w:numPr>
        <w:rPr>
          <w:lang w:val="en-US"/>
        </w:rPr>
      </w:pPr>
      <w:r>
        <w:rPr>
          <w:lang w:val="en-US"/>
        </w:rPr>
        <w:t>Is h</w:t>
      </w:r>
      <w:r w:rsidR="00E50A2D" w:rsidRPr="004820CB">
        <w:rPr>
          <w:lang w:val="en-US"/>
        </w:rPr>
        <w:t>aving an ear-marked county health pool lead to increased expenditures (absorption rate)? - disaggregate by funding sources</w:t>
      </w:r>
    </w:p>
    <w:p w14:paraId="5F42F24A" w14:textId="77777777" w:rsidR="00FD238B" w:rsidRDefault="00E92EBD" w:rsidP="00203568">
      <w:pPr>
        <w:pStyle w:val="ListParagraph"/>
        <w:numPr>
          <w:ilvl w:val="1"/>
          <w:numId w:val="20"/>
        </w:numPr>
        <w:rPr>
          <w:lang w:val="en-US"/>
        </w:rPr>
      </w:pPr>
      <w:r>
        <w:rPr>
          <w:lang w:val="en-US"/>
        </w:rPr>
        <w:t xml:space="preserve">Management processes of Health Facilities </w:t>
      </w:r>
    </w:p>
    <w:p w14:paraId="2655DD59" w14:textId="77777777" w:rsidR="00E92EBD" w:rsidRDefault="00E92EBD" w:rsidP="00203568">
      <w:pPr>
        <w:pStyle w:val="ListParagraph"/>
        <w:numPr>
          <w:ilvl w:val="1"/>
          <w:numId w:val="20"/>
        </w:numPr>
        <w:rPr>
          <w:lang w:val="en-US"/>
        </w:rPr>
      </w:pPr>
      <w:r>
        <w:rPr>
          <w:lang w:val="en-US"/>
        </w:rPr>
        <w:t>Available Health pools in the county</w:t>
      </w:r>
    </w:p>
    <w:p w14:paraId="4719585A" w14:textId="77777777" w:rsidR="00E92EBD" w:rsidRDefault="00E92EBD" w:rsidP="00203568">
      <w:pPr>
        <w:pStyle w:val="ListParagraph"/>
        <w:numPr>
          <w:ilvl w:val="1"/>
          <w:numId w:val="20"/>
        </w:numPr>
        <w:rPr>
          <w:lang w:val="en-US"/>
        </w:rPr>
      </w:pPr>
      <w:r>
        <w:rPr>
          <w:lang w:val="en-US"/>
        </w:rPr>
        <w:t xml:space="preserve">Budget allocation process to the facilities  </w:t>
      </w:r>
    </w:p>
    <w:p w14:paraId="325F574D" w14:textId="77777777" w:rsidR="00E92EBD" w:rsidRDefault="00E92EBD" w:rsidP="00203568">
      <w:pPr>
        <w:pStyle w:val="ListParagraph"/>
        <w:numPr>
          <w:ilvl w:val="0"/>
          <w:numId w:val="20"/>
        </w:numPr>
        <w:rPr>
          <w:lang w:val="en-US"/>
        </w:rPr>
      </w:pPr>
      <w:r>
        <w:rPr>
          <w:lang w:val="en-US"/>
        </w:rPr>
        <w:t>Resource Allocation (Financial, HRH, HPTs)</w:t>
      </w:r>
    </w:p>
    <w:p w14:paraId="0EA50050" w14:textId="77777777" w:rsidR="00E92EBD" w:rsidRDefault="00E92EBD" w:rsidP="00203568">
      <w:pPr>
        <w:pStyle w:val="ListParagraph"/>
        <w:numPr>
          <w:ilvl w:val="1"/>
          <w:numId w:val="20"/>
        </w:numPr>
        <w:rPr>
          <w:lang w:val="en-US"/>
        </w:rPr>
      </w:pPr>
      <w:r>
        <w:rPr>
          <w:lang w:val="en-US"/>
        </w:rPr>
        <w:t>Funds flow</w:t>
      </w:r>
    </w:p>
    <w:p w14:paraId="6B09C0A5" w14:textId="77777777" w:rsidR="00E92EBD" w:rsidRDefault="00E92EBD" w:rsidP="00203568">
      <w:pPr>
        <w:pStyle w:val="ListParagraph"/>
        <w:numPr>
          <w:ilvl w:val="1"/>
          <w:numId w:val="20"/>
        </w:numPr>
        <w:rPr>
          <w:lang w:val="en-US"/>
        </w:rPr>
      </w:pPr>
      <w:r>
        <w:rPr>
          <w:lang w:val="en-US"/>
        </w:rPr>
        <w:t xml:space="preserve">Out of Pocket Expenditure </w:t>
      </w:r>
    </w:p>
    <w:p w14:paraId="703073FF" w14:textId="77777777" w:rsidR="00E92EBD" w:rsidRDefault="00E92EBD" w:rsidP="00203568">
      <w:pPr>
        <w:pStyle w:val="ListParagraph"/>
        <w:numPr>
          <w:ilvl w:val="1"/>
          <w:numId w:val="20"/>
        </w:numPr>
        <w:rPr>
          <w:lang w:val="en-US"/>
        </w:rPr>
      </w:pPr>
      <w:r>
        <w:rPr>
          <w:lang w:val="en-US"/>
        </w:rPr>
        <w:t xml:space="preserve">Supply Chain </w:t>
      </w:r>
    </w:p>
    <w:p w14:paraId="0DDEF9CC" w14:textId="77777777" w:rsidR="00E92EBD" w:rsidRPr="004820CB" w:rsidRDefault="000E382C" w:rsidP="00203568">
      <w:pPr>
        <w:pStyle w:val="ListParagraph"/>
        <w:numPr>
          <w:ilvl w:val="1"/>
          <w:numId w:val="20"/>
        </w:numPr>
        <w:rPr>
          <w:lang w:val="en-US"/>
        </w:rPr>
      </w:pPr>
      <w:r>
        <w:rPr>
          <w:lang w:val="en-US"/>
        </w:rPr>
        <w:t xml:space="preserve">Health Workforce </w:t>
      </w:r>
    </w:p>
    <w:p w14:paraId="3E21B9D6" w14:textId="77777777" w:rsidR="00E50A2D" w:rsidRPr="00E50A2D" w:rsidRDefault="00E50A2D" w:rsidP="00E50A2D">
      <w:pPr>
        <w:spacing w:after="0"/>
        <w:rPr>
          <w:rFonts w:ascii="Californian FB" w:hAnsi="Californian FB"/>
          <w:sz w:val="36"/>
        </w:rPr>
      </w:pPr>
    </w:p>
    <w:p w14:paraId="2EE31F75" w14:textId="77777777" w:rsidR="00E765E5" w:rsidRDefault="00E765E5" w:rsidP="00203568">
      <w:pPr>
        <w:pStyle w:val="Heading2"/>
        <w:numPr>
          <w:ilvl w:val="1"/>
          <w:numId w:val="10"/>
        </w:numPr>
        <w:spacing w:before="0"/>
        <w:rPr>
          <w:rFonts w:ascii="Californian FB" w:hAnsi="Californian FB"/>
        </w:rPr>
      </w:pPr>
      <w:bookmarkStart w:id="61" w:name="_Toc520793137"/>
      <w:r w:rsidRPr="00F3749A">
        <w:rPr>
          <w:rFonts w:ascii="Californian FB" w:hAnsi="Californian FB"/>
        </w:rPr>
        <w:t>Evaluation framework</w:t>
      </w:r>
      <w:bookmarkEnd w:id="61"/>
      <w:r w:rsidRPr="00F3749A">
        <w:rPr>
          <w:rFonts w:ascii="Californian FB" w:hAnsi="Californian FB"/>
        </w:rPr>
        <w:t xml:space="preserve"> </w:t>
      </w:r>
    </w:p>
    <w:p w14:paraId="5A3AA7BD" w14:textId="77777777" w:rsidR="005F39C9" w:rsidRDefault="005F39C9" w:rsidP="005F39C9">
      <w:pPr>
        <w:pStyle w:val="ListParagraph"/>
        <w:ind w:left="360"/>
        <w:rPr>
          <w:rFonts w:ascii="Arial" w:hAnsi="Arial" w:cs="Arial"/>
          <w:color w:val="C00000"/>
        </w:rPr>
      </w:pPr>
    </w:p>
    <w:p w14:paraId="1741EE81" w14:textId="77777777" w:rsidR="005F39C9" w:rsidRPr="005F39C9" w:rsidRDefault="005F39C9" w:rsidP="005F39C9">
      <w:pPr>
        <w:pStyle w:val="ListParagraph"/>
        <w:ind w:left="360"/>
        <w:rPr>
          <w:rFonts w:ascii="Arial" w:hAnsi="Arial" w:cs="Arial"/>
          <w:color w:val="C00000"/>
        </w:rPr>
      </w:pPr>
      <w:r w:rsidRPr="004820CB">
        <w:rPr>
          <w:rFonts w:ascii="Arial" w:hAnsi="Arial" w:cs="Arial"/>
          <w:color w:val="C00000"/>
          <w:highlight w:val="yellow"/>
        </w:rPr>
        <w:t>This one also, want to have a consensus on the framework format first.</w:t>
      </w:r>
    </w:p>
    <w:p w14:paraId="57679378" w14:textId="77777777" w:rsidR="005F39C9" w:rsidRDefault="005A3CF8" w:rsidP="005F39C9">
      <w:pPr>
        <w:rPr>
          <w:lang w:val="en-GB"/>
        </w:rPr>
      </w:pPr>
      <w:r>
        <w:rPr>
          <w:lang w:val="en-GB"/>
        </w:rPr>
        <w:t>The proposed framework that will be used for this evaluation will be the results chain framework, where the process evaluation will focus on the inputs and outputs, outcome evaluation on the intended outcomes and Impact evaluation on the intended Impact of UHC  Implementation.</w:t>
      </w:r>
    </w:p>
    <w:p w14:paraId="3B913CCF" w14:textId="77777777" w:rsidR="005A3CF8" w:rsidRPr="00F3749A" w:rsidRDefault="005A3CF8" w:rsidP="005A3CF8">
      <w:pPr>
        <w:pStyle w:val="Caption"/>
        <w:spacing w:after="0"/>
        <w:rPr>
          <w:rFonts w:ascii="Californian FB" w:hAnsi="Californian FB"/>
          <w:lang w:val="en-US"/>
        </w:rPr>
      </w:pPr>
      <w:r w:rsidRPr="00F3749A">
        <w:rPr>
          <w:rFonts w:ascii="Californian FB" w:hAnsi="Californian FB"/>
          <w:lang w:val="en-US"/>
        </w:rPr>
        <w:t xml:space="preserve">Figure </w:t>
      </w:r>
      <w:r w:rsidRPr="00F3749A">
        <w:rPr>
          <w:rFonts w:ascii="Californian FB" w:hAnsi="Californian FB"/>
          <w:lang w:val="en-US"/>
        </w:rPr>
        <w:fldChar w:fldCharType="begin"/>
      </w:r>
      <w:r w:rsidRPr="00F3749A">
        <w:rPr>
          <w:rFonts w:ascii="Californian FB" w:hAnsi="Californian FB"/>
          <w:lang w:val="en-US"/>
        </w:rPr>
        <w:instrText xml:space="preserve"> SEQ Figure \* ARABIC </w:instrText>
      </w:r>
      <w:r w:rsidRPr="00F3749A">
        <w:rPr>
          <w:rFonts w:ascii="Californian FB" w:hAnsi="Californian FB"/>
          <w:lang w:val="en-US"/>
        </w:rPr>
        <w:fldChar w:fldCharType="separate"/>
      </w:r>
      <w:r w:rsidRPr="00F3749A">
        <w:rPr>
          <w:rFonts w:ascii="Californian FB" w:hAnsi="Californian FB"/>
          <w:noProof/>
          <w:lang w:val="en-US"/>
        </w:rPr>
        <w:t>3</w:t>
      </w:r>
      <w:r w:rsidRPr="00F3749A">
        <w:rPr>
          <w:rFonts w:ascii="Californian FB" w:hAnsi="Californian FB"/>
          <w:lang w:val="en-US"/>
        </w:rPr>
        <w:fldChar w:fldCharType="end"/>
      </w:r>
      <w:r w:rsidRPr="00F3749A">
        <w:rPr>
          <w:rFonts w:ascii="Californian FB" w:hAnsi="Californian FB"/>
          <w:lang w:val="en-US"/>
        </w:rPr>
        <w:t xml:space="preserve">: </w:t>
      </w:r>
      <w:r>
        <w:rPr>
          <w:rFonts w:ascii="Californian FB" w:hAnsi="Californian FB"/>
          <w:lang w:val="en-US"/>
        </w:rPr>
        <w:t xml:space="preserve"> Proposed UHC Monitoring </w:t>
      </w:r>
      <w:commentRangeStart w:id="62"/>
      <w:r>
        <w:rPr>
          <w:rFonts w:ascii="Californian FB" w:hAnsi="Californian FB"/>
          <w:lang w:val="en-US"/>
        </w:rPr>
        <w:t>framework</w:t>
      </w:r>
      <w:commentRangeEnd w:id="62"/>
      <w:r>
        <w:rPr>
          <w:rStyle w:val="CommentReference"/>
          <w:i w:val="0"/>
          <w:iCs w:val="0"/>
          <w:color w:val="auto"/>
          <w:lang w:val="en-US"/>
        </w:rPr>
        <w:commentReference w:id="62"/>
      </w:r>
    </w:p>
    <w:p w14:paraId="4DD69F59" w14:textId="4AA7F8E9" w:rsidR="005A3CF8" w:rsidRPr="00F3749A" w:rsidRDefault="005A3CF8" w:rsidP="005A3CF8">
      <w:pPr>
        <w:spacing w:after="0"/>
        <w:rPr>
          <w:rFonts w:ascii="Californian FB" w:hAnsi="Californian FB"/>
        </w:rPr>
      </w:pPr>
    </w:p>
    <w:p w14:paraId="3DAC047B" w14:textId="77777777" w:rsidR="005A3CF8" w:rsidRDefault="00814383" w:rsidP="005F39C9">
      <w:pPr>
        <w:rPr>
          <w:lang w:val="en-GB"/>
        </w:rPr>
      </w:pPr>
      <w:r w:rsidRPr="00814383">
        <w:rPr>
          <w:noProof/>
        </w:rPr>
        <w:lastRenderedPageBreak/>
        <w:drawing>
          <wp:inline distT="0" distB="0" distL="0" distR="0" wp14:anchorId="7389A92C" wp14:editId="032BFD44">
            <wp:extent cx="6283460" cy="3533775"/>
            <wp:effectExtent l="0" t="0" r="317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293812" cy="3539597"/>
                    </a:xfrm>
                    <a:prstGeom prst="rect">
                      <a:avLst/>
                    </a:prstGeom>
                  </pic:spPr>
                </pic:pic>
              </a:graphicData>
            </a:graphic>
          </wp:inline>
        </w:drawing>
      </w:r>
    </w:p>
    <w:p w14:paraId="0B34B2C9" w14:textId="77777777" w:rsidR="005A3CF8" w:rsidRDefault="00770749" w:rsidP="005F39C9">
      <w:pPr>
        <w:rPr>
          <w:lang w:val="en-GB"/>
        </w:rPr>
      </w:pPr>
      <w:r>
        <w:rPr>
          <w:lang w:val="en-GB"/>
        </w:rPr>
        <w:t xml:space="preserve">**** The highlighted activities to be relooked </w:t>
      </w:r>
    </w:p>
    <w:p w14:paraId="7FBB8329" w14:textId="77777777" w:rsidR="005F39C9" w:rsidRPr="005F39C9" w:rsidRDefault="005F39C9" w:rsidP="005F39C9">
      <w:pPr>
        <w:rPr>
          <w:lang w:val="en-GB"/>
        </w:rPr>
      </w:pPr>
    </w:p>
    <w:p w14:paraId="2715F5E3" w14:textId="77777777" w:rsidR="005F39C9" w:rsidRPr="005F39C9" w:rsidRDefault="005F39C9" w:rsidP="005F39C9">
      <w:pPr>
        <w:rPr>
          <w:sz w:val="24"/>
          <w:szCs w:val="24"/>
        </w:rPr>
      </w:pPr>
      <w:r w:rsidRPr="005F39C9">
        <w:rPr>
          <w:sz w:val="24"/>
          <w:szCs w:val="24"/>
        </w:rPr>
        <w:t xml:space="preserve">The evaluation is focused on the measurement of the impact for Universal Health Coverage (UHC) in counties and their contributions in achieving the health agenda for 100% UHC by 2022.  The overall evaluation will focus on qualitative and quantitative evidence </w:t>
      </w:r>
      <w:r>
        <w:rPr>
          <w:sz w:val="24"/>
          <w:szCs w:val="24"/>
        </w:rPr>
        <w:t xml:space="preserve">generated from  multi-sectoral sources </w:t>
      </w:r>
      <w:r w:rsidRPr="005F39C9">
        <w:rPr>
          <w:sz w:val="24"/>
          <w:szCs w:val="24"/>
        </w:rPr>
        <w:t>around Health Systems strengthening, provision of quality health care to Kenyans, improved health lives and measurements that may drive the economic growth to 10% by 2022.</w:t>
      </w:r>
    </w:p>
    <w:p w14:paraId="1086DC76" w14:textId="77777777" w:rsidR="005F39C9" w:rsidRDefault="005F39C9" w:rsidP="005F39C9">
      <w:pPr>
        <w:rPr>
          <w:sz w:val="24"/>
          <w:szCs w:val="24"/>
        </w:rPr>
      </w:pPr>
      <w:r w:rsidRPr="005F39C9">
        <w:rPr>
          <w:sz w:val="24"/>
          <w:szCs w:val="24"/>
        </w:rPr>
        <w:t xml:space="preserve">The impact evaluation in phase I implementation emphasizes the need to test the effect of delivery of the Health Benefit Package (HBP) as an affordable health care package to Kenyans. </w:t>
      </w:r>
    </w:p>
    <w:p w14:paraId="20C449ED" w14:textId="77777777" w:rsidR="0064377F" w:rsidRPr="008077AC" w:rsidRDefault="0064377F" w:rsidP="00203568">
      <w:pPr>
        <w:pStyle w:val="Heading2"/>
        <w:numPr>
          <w:ilvl w:val="1"/>
          <w:numId w:val="23"/>
        </w:numPr>
      </w:pPr>
      <w:r w:rsidRPr="008077AC">
        <w:rPr>
          <w:b w:val="0"/>
        </w:rPr>
        <w:t xml:space="preserve"> </w:t>
      </w:r>
      <w:bookmarkStart w:id="63" w:name="_Toc520793138"/>
      <w:r w:rsidRPr="008077AC">
        <w:rPr>
          <w:b w:val="0"/>
        </w:rPr>
        <w:t>Evaluation Methodology</w:t>
      </w:r>
      <w:bookmarkEnd w:id="63"/>
      <w:r w:rsidRPr="008077AC">
        <w:rPr>
          <w:b w:val="0"/>
        </w:rPr>
        <w:t xml:space="preserve"> </w:t>
      </w:r>
    </w:p>
    <w:p w14:paraId="2554BF46" w14:textId="77777777" w:rsidR="0064377F" w:rsidRDefault="0064377F" w:rsidP="0064377F">
      <w:pPr>
        <w:spacing w:after="0" w:line="360" w:lineRule="auto"/>
        <w:contextualSpacing/>
        <w:jc w:val="both"/>
        <w:rPr>
          <w:rFonts w:ascii="Garamond" w:hAnsi="Garamond" w:cs="Times New Roman"/>
          <w:sz w:val="24"/>
          <w:szCs w:val="24"/>
        </w:rPr>
      </w:pPr>
      <w:r w:rsidRPr="00F368A1">
        <w:rPr>
          <w:rFonts w:ascii="Garamond" w:hAnsi="Garamond" w:cs="Times New Roman"/>
          <w:sz w:val="24"/>
          <w:szCs w:val="24"/>
        </w:rPr>
        <w:t>We propose to employ a mixed methods study approach that combines a quantitative quasi-experimental (before and after with controls) study design with qualitative case studies. Table 2 outlines the study approach matched with study objecti</w:t>
      </w:r>
      <w:r>
        <w:rPr>
          <w:rFonts w:ascii="Garamond" w:hAnsi="Garamond" w:cs="Times New Roman"/>
          <w:sz w:val="24"/>
          <w:szCs w:val="24"/>
        </w:rPr>
        <w:t>ves and data collection method.</w:t>
      </w:r>
    </w:p>
    <w:p w14:paraId="3F3AA06B" w14:textId="77777777" w:rsidR="0064377F" w:rsidRDefault="0064377F" w:rsidP="0064377F">
      <w:pPr>
        <w:spacing w:after="0" w:line="360" w:lineRule="auto"/>
        <w:contextualSpacing/>
        <w:jc w:val="both"/>
        <w:rPr>
          <w:rFonts w:ascii="Garamond" w:hAnsi="Garamond" w:cs="Times New Roman"/>
          <w:sz w:val="24"/>
          <w:szCs w:val="24"/>
        </w:rPr>
      </w:pPr>
    </w:p>
    <w:p w14:paraId="4729075B" w14:textId="77777777" w:rsidR="0064377F" w:rsidRPr="00F368A1" w:rsidRDefault="0064377F" w:rsidP="0064377F">
      <w:pPr>
        <w:spacing w:after="0" w:line="360" w:lineRule="auto"/>
        <w:contextualSpacing/>
        <w:jc w:val="both"/>
        <w:rPr>
          <w:rFonts w:ascii="Garamond" w:hAnsi="Garamond" w:cs="Times New Roman"/>
          <w:sz w:val="24"/>
          <w:szCs w:val="24"/>
        </w:rPr>
      </w:pPr>
      <w:r w:rsidRPr="00F368A1">
        <w:rPr>
          <w:rFonts w:ascii="Garamond" w:hAnsi="Garamond" w:cs="Times New Roman"/>
          <w:sz w:val="24"/>
          <w:szCs w:val="24"/>
        </w:rPr>
        <w:t>Table 2: study approach and objectives</w:t>
      </w:r>
    </w:p>
    <w:tbl>
      <w:tblPr>
        <w:tblStyle w:val="TableGrid"/>
        <w:tblW w:w="0" w:type="auto"/>
        <w:tblLook w:val="04A0" w:firstRow="1" w:lastRow="0" w:firstColumn="1" w:lastColumn="0" w:noHBand="0" w:noVBand="1"/>
      </w:tblPr>
      <w:tblGrid>
        <w:gridCol w:w="4085"/>
        <w:gridCol w:w="2403"/>
        <w:gridCol w:w="2862"/>
      </w:tblGrid>
      <w:tr w:rsidR="0064377F" w:rsidRPr="00F368A1" w14:paraId="159AE82A" w14:textId="77777777" w:rsidTr="00532A33">
        <w:tc>
          <w:tcPr>
            <w:tcW w:w="5935" w:type="dxa"/>
          </w:tcPr>
          <w:p w14:paraId="0C0C09C6" w14:textId="77777777" w:rsidR="0064377F" w:rsidRPr="00F368A1" w:rsidRDefault="0064377F" w:rsidP="00532A33">
            <w:pPr>
              <w:contextualSpacing/>
              <w:jc w:val="both"/>
              <w:rPr>
                <w:rFonts w:ascii="Garamond" w:hAnsi="Garamond" w:cs="Times New Roman"/>
                <w:b/>
                <w:sz w:val="24"/>
                <w:szCs w:val="24"/>
              </w:rPr>
            </w:pPr>
            <w:r w:rsidRPr="00F368A1">
              <w:rPr>
                <w:rFonts w:ascii="Garamond" w:hAnsi="Garamond" w:cs="Times New Roman"/>
                <w:b/>
                <w:sz w:val="24"/>
                <w:szCs w:val="24"/>
              </w:rPr>
              <w:t>Study objective</w:t>
            </w:r>
          </w:p>
        </w:tc>
        <w:tc>
          <w:tcPr>
            <w:tcW w:w="3690" w:type="dxa"/>
          </w:tcPr>
          <w:p w14:paraId="44DFB0FE" w14:textId="77777777" w:rsidR="0064377F" w:rsidRPr="00F368A1" w:rsidRDefault="0064377F" w:rsidP="00532A33">
            <w:pPr>
              <w:contextualSpacing/>
              <w:jc w:val="both"/>
              <w:rPr>
                <w:rFonts w:ascii="Garamond" w:hAnsi="Garamond" w:cs="Times New Roman"/>
                <w:b/>
                <w:sz w:val="24"/>
                <w:szCs w:val="24"/>
              </w:rPr>
            </w:pPr>
            <w:r w:rsidRPr="00F368A1">
              <w:rPr>
                <w:rFonts w:ascii="Garamond" w:hAnsi="Garamond" w:cs="Times New Roman"/>
                <w:b/>
                <w:sz w:val="24"/>
                <w:szCs w:val="24"/>
              </w:rPr>
              <w:t>Study approach</w:t>
            </w:r>
          </w:p>
        </w:tc>
        <w:tc>
          <w:tcPr>
            <w:tcW w:w="4323" w:type="dxa"/>
          </w:tcPr>
          <w:p w14:paraId="5495E5BA" w14:textId="77777777" w:rsidR="0064377F" w:rsidRPr="00F368A1" w:rsidRDefault="0064377F" w:rsidP="00532A33">
            <w:pPr>
              <w:contextualSpacing/>
              <w:jc w:val="both"/>
              <w:rPr>
                <w:rFonts w:ascii="Garamond" w:hAnsi="Garamond" w:cs="Times New Roman"/>
                <w:b/>
                <w:sz w:val="24"/>
                <w:szCs w:val="24"/>
              </w:rPr>
            </w:pPr>
            <w:r w:rsidRPr="00F368A1">
              <w:rPr>
                <w:rFonts w:ascii="Garamond" w:hAnsi="Garamond" w:cs="Times New Roman"/>
                <w:b/>
                <w:sz w:val="24"/>
                <w:szCs w:val="24"/>
              </w:rPr>
              <w:t>Data collection methods</w:t>
            </w:r>
          </w:p>
        </w:tc>
      </w:tr>
      <w:tr w:rsidR="0064377F" w:rsidRPr="00F368A1" w14:paraId="3A87116B" w14:textId="77777777" w:rsidTr="00532A33">
        <w:tc>
          <w:tcPr>
            <w:tcW w:w="5935" w:type="dxa"/>
          </w:tcPr>
          <w:p w14:paraId="72C953B2"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lastRenderedPageBreak/>
              <w:t>To measure the effect of full health insurance subsidies on the level of out-of-pocket payments by households in the 4 pilot counties</w:t>
            </w:r>
          </w:p>
        </w:tc>
        <w:tc>
          <w:tcPr>
            <w:tcW w:w="3690" w:type="dxa"/>
            <w:vMerge w:val="restart"/>
          </w:tcPr>
          <w:p w14:paraId="309CB599" w14:textId="77777777" w:rsidR="0064377F" w:rsidRPr="00F368A1" w:rsidRDefault="0064377F" w:rsidP="00532A33">
            <w:pPr>
              <w:contextualSpacing/>
              <w:jc w:val="both"/>
              <w:rPr>
                <w:rFonts w:ascii="Garamond" w:hAnsi="Garamond" w:cs="Times New Roman"/>
                <w:sz w:val="24"/>
                <w:szCs w:val="24"/>
              </w:rPr>
            </w:pPr>
          </w:p>
          <w:p w14:paraId="06EF71A6" w14:textId="77777777" w:rsidR="0064377F" w:rsidRPr="00F368A1" w:rsidRDefault="0064377F" w:rsidP="00532A33">
            <w:pPr>
              <w:contextualSpacing/>
              <w:jc w:val="both"/>
              <w:rPr>
                <w:rFonts w:ascii="Garamond" w:hAnsi="Garamond" w:cs="Times New Roman"/>
                <w:sz w:val="24"/>
                <w:szCs w:val="24"/>
              </w:rPr>
            </w:pPr>
          </w:p>
          <w:p w14:paraId="2AE79039" w14:textId="77777777" w:rsidR="0064377F" w:rsidRPr="00F368A1" w:rsidRDefault="0064377F" w:rsidP="00532A33">
            <w:pPr>
              <w:contextualSpacing/>
              <w:jc w:val="both"/>
              <w:rPr>
                <w:rFonts w:ascii="Garamond" w:hAnsi="Garamond" w:cs="Times New Roman"/>
                <w:sz w:val="24"/>
                <w:szCs w:val="24"/>
              </w:rPr>
            </w:pPr>
          </w:p>
          <w:p w14:paraId="1094A6EA" w14:textId="77777777" w:rsidR="0064377F" w:rsidRPr="00F368A1" w:rsidRDefault="0064377F" w:rsidP="00532A33">
            <w:pPr>
              <w:contextualSpacing/>
              <w:jc w:val="both"/>
              <w:rPr>
                <w:rFonts w:ascii="Garamond" w:hAnsi="Garamond" w:cs="Times New Roman"/>
                <w:sz w:val="24"/>
                <w:szCs w:val="24"/>
              </w:rPr>
            </w:pPr>
          </w:p>
          <w:p w14:paraId="31D40812"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Before and after study with controls</w:t>
            </w:r>
          </w:p>
        </w:tc>
        <w:tc>
          <w:tcPr>
            <w:tcW w:w="4323" w:type="dxa"/>
            <w:vMerge w:val="restart"/>
          </w:tcPr>
          <w:p w14:paraId="2E4662B2" w14:textId="77777777" w:rsidR="0064377F" w:rsidRPr="00F368A1" w:rsidRDefault="0064377F" w:rsidP="00532A33">
            <w:pPr>
              <w:contextualSpacing/>
              <w:jc w:val="both"/>
              <w:rPr>
                <w:rFonts w:ascii="Garamond" w:hAnsi="Garamond" w:cs="Times New Roman"/>
                <w:sz w:val="24"/>
                <w:szCs w:val="24"/>
              </w:rPr>
            </w:pPr>
          </w:p>
          <w:p w14:paraId="5D451D6E" w14:textId="77777777" w:rsidR="0064377F" w:rsidRPr="00F368A1" w:rsidRDefault="0064377F" w:rsidP="00532A33">
            <w:pPr>
              <w:contextualSpacing/>
              <w:jc w:val="both"/>
              <w:rPr>
                <w:rFonts w:ascii="Garamond" w:hAnsi="Garamond" w:cs="Times New Roman"/>
                <w:sz w:val="24"/>
                <w:szCs w:val="24"/>
              </w:rPr>
            </w:pPr>
          </w:p>
          <w:p w14:paraId="3F86EBD6" w14:textId="77777777" w:rsidR="0064377F" w:rsidRPr="00F368A1" w:rsidRDefault="0064377F" w:rsidP="00532A33">
            <w:pPr>
              <w:contextualSpacing/>
              <w:jc w:val="both"/>
              <w:rPr>
                <w:rFonts w:ascii="Garamond" w:hAnsi="Garamond" w:cs="Times New Roman"/>
                <w:sz w:val="24"/>
                <w:szCs w:val="24"/>
              </w:rPr>
            </w:pPr>
          </w:p>
          <w:p w14:paraId="361259A5" w14:textId="77777777" w:rsidR="0064377F" w:rsidRPr="00F368A1" w:rsidRDefault="0064377F" w:rsidP="00532A33">
            <w:pPr>
              <w:contextualSpacing/>
              <w:jc w:val="both"/>
              <w:rPr>
                <w:rFonts w:ascii="Garamond" w:hAnsi="Garamond" w:cs="Times New Roman"/>
                <w:sz w:val="24"/>
                <w:szCs w:val="24"/>
              </w:rPr>
            </w:pPr>
          </w:p>
          <w:p w14:paraId="7905CDCE"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Household quantitative survey</w:t>
            </w:r>
          </w:p>
          <w:p w14:paraId="6EB540E2" w14:textId="77777777" w:rsidR="0064377F" w:rsidRPr="00F368A1" w:rsidRDefault="0064377F" w:rsidP="00532A33">
            <w:pPr>
              <w:contextualSpacing/>
              <w:jc w:val="both"/>
              <w:rPr>
                <w:rFonts w:ascii="Garamond" w:hAnsi="Garamond" w:cs="Times New Roman"/>
                <w:sz w:val="24"/>
                <w:szCs w:val="24"/>
              </w:rPr>
            </w:pPr>
          </w:p>
        </w:tc>
      </w:tr>
      <w:tr w:rsidR="0064377F" w:rsidRPr="00F368A1" w14:paraId="15D10B1E" w14:textId="77777777" w:rsidTr="00532A33">
        <w:trPr>
          <w:trHeight w:val="1090"/>
        </w:trPr>
        <w:tc>
          <w:tcPr>
            <w:tcW w:w="5935" w:type="dxa"/>
          </w:tcPr>
          <w:p w14:paraId="6AB3FE53"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measure the effect of full health insurance subsidies on the utilization of healthcare services in Kenya</w:t>
            </w:r>
          </w:p>
        </w:tc>
        <w:tc>
          <w:tcPr>
            <w:tcW w:w="3690" w:type="dxa"/>
            <w:vMerge/>
          </w:tcPr>
          <w:p w14:paraId="1630A8CC" w14:textId="77777777" w:rsidR="0064377F" w:rsidRPr="00F368A1" w:rsidRDefault="0064377F" w:rsidP="00532A33">
            <w:pPr>
              <w:contextualSpacing/>
              <w:jc w:val="both"/>
              <w:rPr>
                <w:rFonts w:ascii="Garamond" w:hAnsi="Garamond" w:cs="Times New Roman"/>
                <w:sz w:val="24"/>
                <w:szCs w:val="24"/>
              </w:rPr>
            </w:pPr>
          </w:p>
        </w:tc>
        <w:tc>
          <w:tcPr>
            <w:tcW w:w="4323" w:type="dxa"/>
            <w:vMerge/>
          </w:tcPr>
          <w:p w14:paraId="63C84A23" w14:textId="77777777" w:rsidR="0064377F" w:rsidRPr="00F368A1" w:rsidRDefault="0064377F" w:rsidP="00532A33">
            <w:pPr>
              <w:contextualSpacing/>
              <w:jc w:val="both"/>
              <w:rPr>
                <w:rFonts w:ascii="Garamond" w:hAnsi="Garamond" w:cs="Times New Roman"/>
                <w:sz w:val="24"/>
                <w:szCs w:val="24"/>
              </w:rPr>
            </w:pPr>
          </w:p>
        </w:tc>
      </w:tr>
      <w:tr w:rsidR="0064377F" w:rsidRPr="00F368A1" w14:paraId="2659EB2D" w14:textId="77777777" w:rsidTr="00532A33">
        <w:tc>
          <w:tcPr>
            <w:tcW w:w="5935" w:type="dxa"/>
          </w:tcPr>
          <w:p w14:paraId="0FA42EAE"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measure the effect of full health insurance subsidies on effective service coverage with priority interventions in the four pilot counties with a focus on primary healthcare services</w:t>
            </w:r>
          </w:p>
        </w:tc>
        <w:tc>
          <w:tcPr>
            <w:tcW w:w="3690" w:type="dxa"/>
            <w:vMerge/>
          </w:tcPr>
          <w:p w14:paraId="289F8634" w14:textId="77777777" w:rsidR="0064377F" w:rsidRPr="00F368A1" w:rsidRDefault="0064377F" w:rsidP="00532A33">
            <w:pPr>
              <w:contextualSpacing/>
              <w:jc w:val="both"/>
              <w:rPr>
                <w:rFonts w:ascii="Garamond" w:hAnsi="Garamond" w:cs="Times New Roman"/>
                <w:sz w:val="24"/>
                <w:szCs w:val="24"/>
              </w:rPr>
            </w:pPr>
          </w:p>
        </w:tc>
        <w:tc>
          <w:tcPr>
            <w:tcW w:w="4323" w:type="dxa"/>
            <w:vMerge/>
          </w:tcPr>
          <w:p w14:paraId="0AEC4D30" w14:textId="77777777" w:rsidR="0064377F" w:rsidRPr="00F368A1" w:rsidRDefault="0064377F" w:rsidP="00532A33">
            <w:pPr>
              <w:contextualSpacing/>
              <w:jc w:val="both"/>
              <w:rPr>
                <w:rFonts w:ascii="Garamond" w:hAnsi="Garamond" w:cs="Times New Roman"/>
                <w:sz w:val="24"/>
                <w:szCs w:val="24"/>
              </w:rPr>
            </w:pPr>
          </w:p>
        </w:tc>
      </w:tr>
      <w:tr w:rsidR="0064377F" w:rsidRPr="00F368A1" w14:paraId="4F70890C" w14:textId="77777777" w:rsidTr="00532A33">
        <w:tc>
          <w:tcPr>
            <w:tcW w:w="5935" w:type="dxa"/>
          </w:tcPr>
          <w:p w14:paraId="629FF4CA"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examine how existing health system capacity influences the implementation and outcomes of the pilot intervention as well as parallel UHC reforms in non-pilot counties</w:t>
            </w:r>
          </w:p>
        </w:tc>
        <w:tc>
          <w:tcPr>
            <w:tcW w:w="3690" w:type="dxa"/>
            <w:vMerge w:val="restart"/>
          </w:tcPr>
          <w:p w14:paraId="2D7EC240"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Qualitative case studies</w:t>
            </w:r>
          </w:p>
        </w:tc>
        <w:tc>
          <w:tcPr>
            <w:tcW w:w="4323" w:type="dxa"/>
            <w:vMerge w:val="restart"/>
          </w:tcPr>
          <w:p w14:paraId="72EED50F"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In depth interviews with national, county policy makers and implementers, health facility managers, frontline health workers, and members of the community</w:t>
            </w:r>
          </w:p>
        </w:tc>
      </w:tr>
      <w:tr w:rsidR="0064377F" w:rsidRPr="00F368A1" w14:paraId="3461A6CE" w14:textId="77777777" w:rsidTr="00532A33">
        <w:tc>
          <w:tcPr>
            <w:tcW w:w="5935" w:type="dxa"/>
          </w:tcPr>
          <w:p w14:paraId="2B468114"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examine how purchasing arrangements, governance, and funding flow arrangements influences the implementation of the pilot intervention as well as parallel UHC reforms in non-pilot counties</w:t>
            </w:r>
          </w:p>
        </w:tc>
        <w:tc>
          <w:tcPr>
            <w:tcW w:w="3690" w:type="dxa"/>
            <w:vMerge/>
          </w:tcPr>
          <w:p w14:paraId="4AD2AF70" w14:textId="77777777" w:rsidR="0064377F" w:rsidRPr="00F368A1" w:rsidRDefault="0064377F" w:rsidP="00532A33">
            <w:pPr>
              <w:contextualSpacing/>
              <w:jc w:val="both"/>
              <w:rPr>
                <w:rFonts w:ascii="Garamond" w:hAnsi="Garamond" w:cs="Times New Roman"/>
                <w:sz w:val="24"/>
                <w:szCs w:val="24"/>
              </w:rPr>
            </w:pPr>
          </w:p>
        </w:tc>
        <w:tc>
          <w:tcPr>
            <w:tcW w:w="4323" w:type="dxa"/>
            <w:vMerge/>
          </w:tcPr>
          <w:p w14:paraId="0FA126FE" w14:textId="77777777" w:rsidR="0064377F" w:rsidRPr="00F368A1" w:rsidRDefault="0064377F" w:rsidP="00532A33">
            <w:pPr>
              <w:contextualSpacing/>
              <w:jc w:val="both"/>
              <w:rPr>
                <w:rFonts w:ascii="Garamond" w:hAnsi="Garamond" w:cs="Times New Roman"/>
                <w:sz w:val="24"/>
                <w:szCs w:val="24"/>
              </w:rPr>
            </w:pPr>
          </w:p>
        </w:tc>
      </w:tr>
      <w:tr w:rsidR="0064377F" w:rsidRPr="00F368A1" w14:paraId="042CF324" w14:textId="77777777" w:rsidTr="00532A33">
        <w:tc>
          <w:tcPr>
            <w:tcW w:w="5935" w:type="dxa"/>
          </w:tcPr>
          <w:p w14:paraId="21490015"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examine the implementation experience in the pilot intervention as well as other UHC reforms in non-pilot counties</w:t>
            </w:r>
          </w:p>
        </w:tc>
        <w:tc>
          <w:tcPr>
            <w:tcW w:w="3690" w:type="dxa"/>
            <w:vMerge/>
          </w:tcPr>
          <w:p w14:paraId="0894F7E7" w14:textId="77777777" w:rsidR="0064377F" w:rsidRPr="00F368A1" w:rsidRDefault="0064377F" w:rsidP="00532A33">
            <w:pPr>
              <w:contextualSpacing/>
              <w:jc w:val="both"/>
              <w:rPr>
                <w:rFonts w:ascii="Garamond" w:hAnsi="Garamond" w:cs="Times New Roman"/>
                <w:sz w:val="24"/>
                <w:szCs w:val="24"/>
              </w:rPr>
            </w:pPr>
          </w:p>
        </w:tc>
        <w:tc>
          <w:tcPr>
            <w:tcW w:w="4323" w:type="dxa"/>
            <w:vMerge/>
          </w:tcPr>
          <w:p w14:paraId="55F71D54" w14:textId="77777777" w:rsidR="0064377F" w:rsidRPr="00F368A1" w:rsidRDefault="0064377F" w:rsidP="00532A33">
            <w:pPr>
              <w:contextualSpacing/>
              <w:jc w:val="both"/>
              <w:rPr>
                <w:rFonts w:ascii="Garamond" w:hAnsi="Garamond" w:cs="Times New Roman"/>
                <w:sz w:val="24"/>
                <w:szCs w:val="24"/>
              </w:rPr>
            </w:pPr>
          </w:p>
        </w:tc>
      </w:tr>
      <w:tr w:rsidR="0064377F" w:rsidRPr="00F368A1" w14:paraId="5FCFF104" w14:textId="77777777" w:rsidTr="00532A33">
        <w:tc>
          <w:tcPr>
            <w:tcW w:w="5935" w:type="dxa"/>
          </w:tcPr>
          <w:p w14:paraId="4B785477" w14:textId="77777777" w:rsidR="0064377F" w:rsidRPr="00263FD5" w:rsidRDefault="0064377F" w:rsidP="00203568">
            <w:pPr>
              <w:pStyle w:val="ListParagraph"/>
              <w:numPr>
                <w:ilvl w:val="0"/>
                <w:numId w:val="22"/>
              </w:numPr>
              <w:jc w:val="both"/>
              <w:rPr>
                <w:rFonts w:ascii="Garamond" w:hAnsi="Garamond" w:cs="Times New Roman"/>
                <w:sz w:val="24"/>
                <w:szCs w:val="24"/>
                <w:lang w:val="en-US"/>
              </w:rPr>
            </w:pPr>
            <w:r w:rsidRPr="00263FD5">
              <w:rPr>
                <w:rFonts w:ascii="Garamond" w:hAnsi="Garamond" w:cs="Times New Roman"/>
                <w:sz w:val="24"/>
                <w:szCs w:val="24"/>
                <w:lang w:val="en-US"/>
              </w:rPr>
              <w:t>To examine the cost of providing full health insurance subsidies, the feasibility of scale up, and model the financial requirements for national scale up that ensures sustainability</w:t>
            </w:r>
          </w:p>
        </w:tc>
        <w:tc>
          <w:tcPr>
            <w:tcW w:w="3690" w:type="dxa"/>
          </w:tcPr>
          <w:p w14:paraId="624D2F65"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Financial modeling</w:t>
            </w:r>
          </w:p>
        </w:tc>
        <w:tc>
          <w:tcPr>
            <w:tcW w:w="4323" w:type="dxa"/>
          </w:tcPr>
          <w:p w14:paraId="4620318C"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Document review</w:t>
            </w:r>
          </w:p>
          <w:p w14:paraId="5C19AB5D" w14:textId="77777777" w:rsidR="0064377F" w:rsidRPr="00F368A1" w:rsidRDefault="0064377F" w:rsidP="00532A33">
            <w:pPr>
              <w:contextualSpacing/>
              <w:jc w:val="both"/>
              <w:rPr>
                <w:rFonts w:ascii="Garamond" w:hAnsi="Garamond" w:cs="Times New Roman"/>
                <w:sz w:val="24"/>
                <w:szCs w:val="24"/>
              </w:rPr>
            </w:pPr>
            <w:r w:rsidRPr="00F368A1">
              <w:rPr>
                <w:rFonts w:ascii="Garamond" w:hAnsi="Garamond" w:cs="Times New Roman"/>
                <w:sz w:val="24"/>
                <w:szCs w:val="24"/>
              </w:rPr>
              <w:t>Routine financial reports</w:t>
            </w:r>
          </w:p>
        </w:tc>
      </w:tr>
    </w:tbl>
    <w:p w14:paraId="475E0550" w14:textId="77777777" w:rsidR="0064377F" w:rsidRPr="005F39C9" w:rsidRDefault="0064377F" w:rsidP="005F39C9">
      <w:pPr>
        <w:rPr>
          <w:sz w:val="24"/>
          <w:szCs w:val="24"/>
        </w:rPr>
      </w:pPr>
    </w:p>
    <w:p w14:paraId="292916A7" w14:textId="41F2E071" w:rsidR="00E765E5" w:rsidRDefault="00E765E5" w:rsidP="002D3704">
      <w:pPr>
        <w:pStyle w:val="ListParagraph"/>
        <w:spacing w:after="0"/>
        <w:ind w:left="1440"/>
        <w:rPr>
          <w:rFonts w:ascii="Californian FB" w:hAnsi="Californian FB"/>
          <w:sz w:val="36"/>
        </w:rPr>
      </w:pPr>
      <w:r w:rsidRPr="00F3749A">
        <w:rPr>
          <w:rFonts w:ascii="Californian FB" w:hAnsi="Californian FB"/>
          <w:sz w:val="36"/>
        </w:rPr>
        <w:t xml:space="preserve"> </w:t>
      </w:r>
    </w:p>
    <w:p w14:paraId="25A349EC" w14:textId="08EA665F" w:rsidR="009F7763" w:rsidRDefault="009F7763" w:rsidP="00203568">
      <w:pPr>
        <w:pStyle w:val="ListParagraph"/>
        <w:numPr>
          <w:ilvl w:val="0"/>
          <w:numId w:val="11"/>
        </w:numPr>
        <w:rPr>
          <w:rFonts w:ascii="Arial" w:hAnsi="Arial" w:cs="Arial"/>
          <w:b/>
          <w:color w:val="1F497D" w:themeColor="text2"/>
        </w:rPr>
      </w:pPr>
      <w:r>
        <w:rPr>
          <w:rFonts w:ascii="Arial" w:hAnsi="Arial" w:cs="Arial"/>
          <w:b/>
          <w:color w:val="1F497D" w:themeColor="text2"/>
        </w:rPr>
        <w:t>Comparison Evaluation -</w:t>
      </w:r>
      <w:r w:rsidR="002D3704">
        <w:rPr>
          <w:rFonts w:ascii="Arial" w:hAnsi="Arial" w:cs="Arial"/>
          <w:b/>
          <w:color w:val="1F497D" w:themeColor="text2"/>
        </w:rPr>
        <w:t xml:space="preserve"> </w:t>
      </w:r>
    </w:p>
    <w:p w14:paraId="04579A69" w14:textId="77777777" w:rsidR="009F7763" w:rsidRPr="002D3704" w:rsidRDefault="009F7763" w:rsidP="00203568">
      <w:pPr>
        <w:pStyle w:val="ListParagraph"/>
        <w:numPr>
          <w:ilvl w:val="0"/>
          <w:numId w:val="12"/>
        </w:numPr>
        <w:rPr>
          <w:rFonts w:ascii="Garamond" w:hAnsi="Garamond" w:cs="Times New Roman"/>
          <w:sz w:val="24"/>
          <w:szCs w:val="24"/>
          <w:lang w:val="en-US"/>
        </w:rPr>
      </w:pPr>
      <w:r w:rsidRPr="002D3704">
        <w:rPr>
          <w:rFonts w:ascii="Garamond" w:hAnsi="Garamond" w:cs="Times New Roman"/>
          <w:sz w:val="24"/>
          <w:szCs w:val="24"/>
          <w:lang w:val="en-US"/>
        </w:rPr>
        <w:t xml:space="preserve">Public hospital autonomy: </w:t>
      </w:r>
    </w:p>
    <w:p w14:paraId="2FCB600C" w14:textId="77777777" w:rsidR="009F7763" w:rsidRPr="002D3704" w:rsidRDefault="009F7763" w:rsidP="00203568">
      <w:pPr>
        <w:pStyle w:val="ListParagraph"/>
        <w:numPr>
          <w:ilvl w:val="0"/>
          <w:numId w:val="13"/>
        </w:numPr>
        <w:rPr>
          <w:rFonts w:ascii="Garamond" w:hAnsi="Garamond" w:cs="Times New Roman"/>
          <w:sz w:val="24"/>
          <w:szCs w:val="24"/>
          <w:lang w:val="en-US"/>
        </w:rPr>
      </w:pPr>
      <w:r w:rsidRPr="002D3704">
        <w:rPr>
          <w:rFonts w:ascii="Garamond" w:hAnsi="Garamond" w:cs="Times New Roman"/>
          <w:sz w:val="24"/>
          <w:szCs w:val="24"/>
          <w:lang w:val="en-US"/>
        </w:rPr>
        <w:t xml:space="preserve">Hypothesis: Increased autonomy and authority of public sector health facilities to make decision on what to use the facility income (either capitation or user fee or NHIF reimbursement) for -&gt; Facilities better equipped with drugs and commodities and more </w:t>
      </w:r>
      <w:r w:rsidRPr="002D3704">
        <w:rPr>
          <w:rFonts w:ascii="Garamond" w:hAnsi="Garamond" w:cs="Times New Roman"/>
          <w:sz w:val="24"/>
          <w:szCs w:val="24"/>
          <w:lang w:val="en-US"/>
        </w:rPr>
        <w:lastRenderedPageBreak/>
        <w:t xml:space="preserve">health workers hired -&gt; better services (quantity - more client visits, quality – happier clients); </w:t>
      </w:r>
    </w:p>
    <w:p w14:paraId="28308527" w14:textId="77777777" w:rsidR="009F7763" w:rsidRPr="002D3704" w:rsidRDefault="009F7763" w:rsidP="00203568">
      <w:pPr>
        <w:pStyle w:val="ListParagraph"/>
        <w:numPr>
          <w:ilvl w:val="0"/>
          <w:numId w:val="13"/>
        </w:numPr>
        <w:rPr>
          <w:rFonts w:ascii="Garamond" w:hAnsi="Garamond" w:cs="Times New Roman"/>
          <w:sz w:val="24"/>
          <w:szCs w:val="24"/>
          <w:lang w:val="en-US"/>
        </w:rPr>
      </w:pPr>
      <w:r w:rsidRPr="002D3704">
        <w:rPr>
          <w:rFonts w:ascii="Garamond" w:hAnsi="Garamond" w:cs="Times New Roman"/>
          <w:sz w:val="24"/>
          <w:szCs w:val="24"/>
          <w:lang w:val="en-US"/>
        </w:rPr>
        <w:t>Comparison groups: i) counties that allow NHIF to directly reimburse 100% of the claimed amount to public hospitals; ii) counties that receive NHIF reimbursement to CRF and transfer partially to HF’s commercial account through CRF; iii) counties that receive NHIF reimbursement to CRF, and stop there; iv) but no cash transfer), and some do not.</w:t>
      </w:r>
    </w:p>
    <w:p w14:paraId="6870E602" w14:textId="77777777" w:rsidR="009F7763" w:rsidRPr="002D3704" w:rsidRDefault="009F7763" w:rsidP="00203568">
      <w:pPr>
        <w:pStyle w:val="ListParagraph"/>
        <w:numPr>
          <w:ilvl w:val="0"/>
          <w:numId w:val="13"/>
        </w:numPr>
        <w:rPr>
          <w:rFonts w:ascii="Garamond" w:hAnsi="Garamond" w:cs="Times New Roman"/>
          <w:sz w:val="24"/>
          <w:szCs w:val="24"/>
          <w:lang w:val="en-US"/>
        </w:rPr>
      </w:pPr>
      <w:r w:rsidRPr="002D3704">
        <w:rPr>
          <w:rFonts w:ascii="Garamond" w:hAnsi="Garamond" w:cs="Times New Roman"/>
          <w:sz w:val="24"/>
          <w:szCs w:val="24"/>
          <w:lang w:val="en-US"/>
        </w:rPr>
        <w:t>MoV: Baseline/Endline; Process documentation</w:t>
      </w:r>
    </w:p>
    <w:p w14:paraId="4E34C772" w14:textId="77777777" w:rsidR="009F7763" w:rsidRPr="002D3704" w:rsidRDefault="009F7763" w:rsidP="009F7763">
      <w:pPr>
        <w:pStyle w:val="ListParagraph"/>
        <w:ind w:left="1080"/>
        <w:rPr>
          <w:rFonts w:ascii="Garamond" w:hAnsi="Garamond" w:cs="Times New Roman"/>
          <w:sz w:val="24"/>
          <w:szCs w:val="24"/>
          <w:lang w:val="en-US"/>
        </w:rPr>
      </w:pPr>
      <w:r w:rsidRPr="002D3704">
        <w:rPr>
          <w:rFonts w:ascii="Garamond" w:hAnsi="Garamond" w:cs="Times New Roman"/>
          <w:sz w:val="24"/>
          <w:szCs w:val="24"/>
          <w:lang w:val="en-US"/>
        </w:rPr>
        <w:t xml:space="preserve"> </w:t>
      </w:r>
    </w:p>
    <w:p w14:paraId="59D44FC2" w14:textId="77777777" w:rsidR="009F7763" w:rsidRPr="002D3704" w:rsidRDefault="009F7763" w:rsidP="00203568">
      <w:pPr>
        <w:pStyle w:val="ListParagraph"/>
        <w:numPr>
          <w:ilvl w:val="0"/>
          <w:numId w:val="14"/>
        </w:numPr>
        <w:rPr>
          <w:rFonts w:ascii="Garamond" w:hAnsi="Garamond" w:cs="Times New Roman"/>
          <w:sz w:val="24"/>
          <w:szCs w:val="24"/>
          <w:lang w:val="en-US"/>
        </w:rPr>
      </w:pPr>
      <w:r w:rsidRPr="002D3704">
        <w:rPr>
          <w:rFonts w:ascii="Garamond" w:hAnsi="Garamond" w:cs="Times New Roman"/>
          <w:sz w:val="24"/>
          <w:szCs w:val="24"/>
          <w:lang w:val="en-US"/>
        </w:rPr>
        <w:t>Public or Private - Which are the provider of choice?</w:t>
      </w:r>
    </w:p>
    <w:p w14:paraId="41049C2B" w14:textId="551FD9C9" w:rsidR="009F7763" w:rsidRPr="002D3704" w:rsidRDefault="009F7763" w:rsidP="00203568">
      <w:pPr>
        <w:pStyle w:val="ListParagraph"/>
        <w:numPr>
          <w:ilvl w:val="0"/>
          <w:numId w:val="15"/>
        </w:numPr>
        <w:rPr>
          <w:rFonts w:ascii="Garamond" w:hAnsi="Garamond" w:cs="Times New Roman"/>
          <w:sz w:val="24"/>
          <w:szCs w:val="24"/>
          <w:lang w:val="en-US"/>
        </w:rPr>
      </w:pPr>
      <w:r w:rsidRPr="002D3704">
        <w:rPr>
          <w:rFonts w:ascii="Garamond" w:hAnsi="Garamond" w:cs="Times New Roman"/>
          <w:sz w:val="24"/>
          <w:szCs w:val="24"/>
          <w:lang w:val="en-US"/>
        </w:rPr>
        <w:t xml:space="preserve">Background: Currently, more than </w:t>
      </w:r>
      <w:r w:rsidR="002D3704" w:rsidRPr="002D3704">
        <w:rPr>
          <w:rFonts w:ascii="Garamond" w:hAnsi="Garamond" w:cs="Times New Roman"/>
          <w:sz w:val="24"/>
          <w:szCs w:val="24"/>
          <w:lang w:val="en-US"/>
        </w:rPr>
        <w:t>two thirds (67%)</w:t>
      </w:r>
      <w:r w:rsidRPr="002D3704">
        <w:rPr>
          <w:rFonts w:ascii="Garamond" w:hAnsi="Garamond" w:cs="Times New Roman"/>
          <w:sz w:val="24"/>
          <w:szCs w:val="24"/>
          <w:lang w:val="en-US"/>
        </w:rPr>
        <w:t xml:space="preserve"> of NHIF reimbursement is to private health </w:t>
      </w:r>
      <w:r w:rsidR="002D3704" w:rsidRPr="002D3704">
        <w:rPr>
          <w:rFonts w:ascii="Garamond" w:hAnsi="Garamond" w:cs="Times New Roman"/>
          <w:sz w:val="24"/>
          <w:szCs w:val="24"/>
          <w:lang w:val="en-US"/>
        </w:rPr>
        <w:t xml:space="preserve">facilities. </w:t>
      </w:r>
      <w:r w:rsidRPr="002D3704">
        <w:rPr>
          <w:rFonts w:ascii="Garamond" w:hAnsi="Garamond" w:cs="Times New Roman"/>
          <w:sz w:val="24"/>
          <w:szCs w:val="24"/>
          <w:lang w:val="en-US"/>
        </w:rPr>
        <w:t xml:space="preserve">Meanwhile, the 1st phase UHC essential benefit package is likely to set the flat rebate rates for both private and public sector facilities.  </w:t>
      </w:r>
    </w:p>
    <w:p w14:paraId="68E7FD87" w14:textId="77777777" w:rsidR="009F7763" w:rsidRPr="002D3704" w:rsidRDefault="009F7763" w:rsidP="00203568">
      <w:pPr>
        <w:pStyle w:val="ListParagraph"/>
        <w:numPr>
          <w:ilvl w:val="0"/>
          <w:numId w:val="15"/>
        </w:numPr>
        <w:rPr>
          <w:rFonts w:ascii="Garamond" w:hAnsi="Garamond" w:cs="Times New Roman"/>
          <w:sz w:val="24"/>
          <w:szCs w:val="24"/>
          <w:lang w:val="en-US"/>
        </w:rPr>
      </w:pPr>
      <w:r w:rsidRPr="002D3704">
        <w:rPr>
          <w:rFonts w:ascii="Garamond" w:hAnsi="Garamond" w:cs="Times New Roman"/>
          <w:sz w:val="24"/>
          <w:szCs w:val="24"/>
          <w:lang w:val="en-US"/>
        </w:rPr>
        <w:t xml:space="preserve">Hypothesis: The rebate rate set under UHC essential benefit package is considered to be not profitable-&gt; private providers may opt out to contract the UHC BP package OR may seek other options (e.g. charge extra to patients) -&gt; public sector providers will become the choice for majority of patients -&gt; ratio of disbursed funds to private sector and public sector facilities may change over time.    </w:t>
      </w:r>
    </w:p>
    <w:p w14:paraId="26F61111" w14:textId="77777777" w:rsidR="009F7763" w:rsidRPr="002D3704" w:rsidRDefault="009F7763" w:rsidP="00203568">
      <w:pPr>
        <w:pStyle w:val="ListParagraph"/>
        <w:numPr>
          <w:ilvl w:val="0"/>
          <w:numId w:val="15"/>
        </w:numPr>
        <w:rPr>
          <w:rFonts w:ascii="Garamond" w:hAnsi="Garamond" w:cs="Times New Roman"/>
          <w:sz w:val="24"/>
          <w:szCs w:val="24"/>
          <w:lang w:val="en-US"/>
        </w:rPr>
      </w:pPr>
      <w:r w:rsidRPr="002D3704">
        <w:rPr>
          <w:rFonts w:ascii="Garamond" w:hAnsi="Garamond" w:cs="Times New Roman"/>
          <w:sz w:val="24"/>
          <w:szCs w:val="24"/>
          <w:lang w:val="en-US"/>
        </w:rPr>
        <w:t>Comparison groups: i) private sector for profit; ii) private sector non-profit; iii) public sector service providers.</w:t>
      </w:r>
    </w:p>
    <w:p w14:paraId="48F977AA" w14:textId="77777777" w:rsidR="009F7763" w:rsidRPr="002D3704" w:rsidRDefault="009F7763" w:rsidP="00203568">
      <w:pPr>
        <w:pStyle w:val="ListParagraph"/>
        <w:numPr>
          <w:ilvl w:val="0"/>
          <w:numId w:val="15"/>
        </w:numPr>
        <w:rPr>
          <w:rFonts w:ascii="Garamond" w:hAnsi="Garamond" w:cs="Times New Roman"/>
          <w:sz w:val="24"/>
          <w:szCs w:val="24"/>
          <w:lang w:val="en-US"/>
        </w:rPr>
      </w:pPr>
      <w:r w:rsidRPr="002D3704">
        <w:rPr>
          <w:rFonts w:ascii="Garamond" w:hAnsi="Garamond" w:cs="Times New Roman"/>
          <w:sz w:val="24"/>
          <w:szCs w:val="24"/>
          <w:lang w:val="en-US"/>
        </w:rPr>
        <w:t>MoV: Baseline/Endline; Process documentation</w:t>
      </w:r>
    </w:p>
    <w:p w14:paraId="2570A155" w14:textId="77777777" w:rsidR="009F7763" w:rsidRPr="002D3704" w:rsidRDefault="009F7763" w:rsidP="009F7763">
      <w:pPr>
        <w:pStyle w:val="ListParagraph"/>
        <w:ind w:left="1080"/>
        <w:rPr>
          <w:rFonts w:ascii="Garamond" w:hAnsi="Garamond" w:cs="Times New Roman"/>
          <w:sz w:val="24"/>
          <w:szCs w:val="24"/>
          <w:lang w:val="en-US"/>
        </w:rPr>
      </w:pPr>
    </w:p>
    <w:p w14:paraId="6CE9F4EC" w14:textId="77777777" w:rsidR="009F7763" w:rsidRPr="002D3704" w:rsidRDefault="009F7763" w:rsidP="00203568">
      <w:pPr>
        <w:pStyle w:val="ListParagraph"/>
        <w:numPr>
          <w:ilvl w:val="0"/>
          <w:numId w:val="14"/>
        </w:numPr>
        <w:rPr>
          <w:rFonts w:ascii="Garamond" w:hAnsi="Garamond" w:cs="Times New Roman"/>
          <w:sz w:val="24"/>
          <w:szCs w:val="24"/>
          <w:lang w:val="en-US"/>
        </w:rPr>
      </w:pPr>
      <w:r w:rsidRPr="002D3704">
        <w:rPr>
          <w:rFonts w:ascii="Garamond" w:hAnsi="Garamond" w:cs="Times New Roman"/>
          <w:sz w:val="24"/>
          <w:szCs w:val="24"/>
          <w:lang w:val="en-US"/>
        </w:rPr>
        <w:t xml:space="preserve">Measurement to identify poor/indigents </w:t>
      </w:r>
    </w:p>
    <w:p w14:paraId="6665E0AB" w14:textId="77777777" w:rsidR="009F7763" w:rsidRPr="002D3704" w:rsidRDefault="009F7763" w:rsidP="00203568">
      <w:pPr>
        <w:pStyle w:val="ListParagraph"/>
        <w:numPr>
          <w:ilvl w:val="0"/>
          <w:numId w:val="16"/>
        </w:numPr>
        <w:rPr>
          <w:rFonts w:ascii="Garamond" w:hAnsi="Garamond" w:cs="Times New Roman"/>
          <w:sz w:val="24"/>
          <w:szCs w:val="24"/>
          <w:lang w:val="en-US"/>
        </w:rPr>
      </w:pPr>
      <w:r w:rsidRPr="002D3704">
        <w:rPr>
          <w:rFonts w:ascii="Garamond" w:hAnsi="Garamond" w:cs="Times New Roman"/>
          <w:sz w:val="24"/>
          <w:szCs w:val="24"/>
          <w:lang w:val="en-US"/>
        </w:rPr>
        <w:t>Hypothesis: Counties experiment different ways to identify poor and indigents over the course.  MoH or M of Interior can provide a few ideas.</w:t>
      </w:r>
    </w:p>
    <w:p w14:paraId="6D68DF5A" w14:textId="77777777" w:rsidR="009F7763" w:rsidRPr="002D3704" w:rsidRDefault="009F7763" w:rsidP="00203568">
      <w:pPr>
        <w:pStyle w:val="ListParagraph"/>
        <w:numPr>
          <w:ilvl w:val="0"/>
          <w:numId w:val="17"/>
        </w:numPr>
        <w:rPr>
          <w:rFonts w:ascii="Garamond" w:hAnsi="Garamond" w:cs="Times New Roman"/>
          <w:sz w:val="24"/>
          <w:szCs w:val="24"/>
          <w:lang w:val="en-US"/>
        </w:rPr>
      </w:pPr>
      <w:r w:rsidRPr="002D3704">
        <w:rPr>
          <w:rFonts w:ascii="Garamond" w:hAnsi="Garamond" w:cs="Times New Roman"/>
          <w:sz w:val="24"/>
          <w:szCs w:val="24"/>
          <w:lang w:val="en-US"/>
        </w:rPr>
        <w:t>MoV: documentation of each county</w:t>
      </w:r>
    </w:p>
    <w:p w14:paraId="6B4D7ABA" w14:textId="77777777" w:rsidR="009F7763" w:rsidRPr="002D3704" w:rsidRDefault="009F7763" w:rsidP="00203568">
      <w:pPr>
        <w:pStyle w:val="ListParagraph"/>
        <w:numPr>
          <w:ilvl w:val="0"/>
          <w:numId w:val="14"/>
        </w:numPr>
        <w:rPr>
          <w:rFonts w:ascii="Garamond" w:hAnsi="Garamond" w:cs="Times New Roman"/>
          <w:sz w:val="24"/>
          <w:szCs w:val="24"/>
          <w:lang w:val="en-US"/>
        </w:rPr>
      </w:pPr>
      <w:r w:rsidRPr="002D3704">
        <w:rPr>
          <w:rFonts w:ascii="Garamond" w:hAnsi="Garamond" w:cs="Times New Roman"/>
          <w:sz w:val="24"/>
          <w:szCs w:val="24"/>
          <w:lang w:val="en-US"/>
        </w:rPr>
        <w:t>Centralized one national insurer who also has purchaser function, or decentralized insurers with an independent (3rd party) claims processing function:</w:t>
      </w:r>
    </w:p>
    <w:p w14:paraId="166A154E" w14:textId="77777777" w:rsidR="009F7763" w:rsidRPr="002D3704" w:rsidRDefault="009F7763" w:rsidP="009F7763">
      <w:pPr>
        <w:spacing w:after="0"/>
        <w:rPr>
          <w:rFonts w:ascii="Garamond" w:hAnsi="Garamond" w:cs="Times New Roman"/>
          <w:sz w:val="24"/>
          <w:szCs w:val="24"/>
        </w:rPr>
      </w:pPr>
      <w:r w:rsidRPr="002D3704">
        <w:rPr>
          <w:rFonts w:ascii="Garamond" w:hAnsi="Garamond" w:cs="Times New Roman"/>
          <w:sz w:val="24"/>
          <w:szCs w:val="24"/>
        </w:rPr>
        <w:t>Comparison of 42 counties (except Makueni, since they are the outlier) and of 4 pilot counties.  MoH will review the Makueni info separately).   (incl. their management cost - administrative cost</w:t>
      </w:r>
    </w:p>
    <w:p w14:paraId="7EBFFBD1" w14:textId="77777777" w:rsidR="005A09C4" w:rsidRPr="002D3704" w:rsidRDefault="005A09C4" w:rsidP="00F3749A">
      <w:pPr>
        <w:spacing w:after="0"/>
        <w:rPr>
          <w:rFonts w:ascii="Garamond" w:hAnsi="Garamond" w:cs="Times New Roman"/>
          <w:sz w:val="24"/>
          <w:szCs w:val="24"/>
        </w:rPr>
      </w:pPr>
      <w:r w:rsidRPr="002D3704">
        <w:rPr>
          <w:rFonts w:ascii="Garamond" w:hAnsi="Garamond" w:cs="Times New Roman"/>
          <w:sz w:val="24"/>
          <w:szCs w:val="24"/>
        </w:rPr>
        <w:br w:type="page"/>
      </w:r>
    </w:p>
    <w:p w14:paraId="262C80C1" w14:textId="77777777" w:rsidR="005A09C4" w:rsidRPr="00F3749A" w:rsidRDefault="006759D7" w:rsidP="00F3749A">
      <w:pPr>
        <w:pStyle w:val="Heading1"/>
        <w:spacing w:before="0"/>
        <w:rPr>
          <w:rFonts w:ascii="Californian FB" w:hAnsi="Californian FB"/>
          <w:lang w:val="en-US"/>
        </w:rPr>
      </w:pPr>
      <w:bookmarkStart w:id="64" w:name="_Toc520793139"/>
      <w:r>
        <w:rPr>
          <w:rFonts w:ascii="Californian FB" w:hAnsi="Californian FB"/>
          <w:lang w:val="en-US"/>
        </w:rPr>
        <w:lastRenderedPageBreak/>
        <w:t>SECTION 7</w:t>
      </w:r>
      <w:r w:rsidR="005A09C4" w:rsidRPr="00F3749A">
        <w:rPr>
          <w:rFonts w:ascii="Californian FB" w:hAnsi="Californian FB"/>
          <w:lang w:val="en-US"/>
        </w:rPr>
        <w:t>: TOOLS FOR MONITORING AND EVALUATION OF UHC</w:t>
      </w:r>
      <w:bookmarkEnd w:id="64"/>
      <w:r w:rsidR="005A09C4" w:rsidRPr="00F3749A">
        <w:rPr>
          <w:rFonts w:ascii="Californian FB" w:hAnsi="Californian FB"/>
          <w:lang w:val="en-US"/>
        </w:rPr>
        <w:t xml:space="preserve"> </w:t>
      </w:r>
    </w:p>
    <w:p w14:paraId="14544176" w14:textId="77777777" w:rsidR="005A09C4" w:rsidRPr="00F3749A" w:rsidRDefault="005A09C4" w:rsidP="00F3749A">
      <w:pPr>
        <w:spacing w:after="0"/>
        <w:rPr>
          <w:rFonts w:ascii="Californian FB" w:hAnsi="Californian FB"/>
          <w:sz w:val="36"/>
        </w:rPr>
      </w:pPr>
      <w:r w:rsidRPr="00F3749A">
        <w:rPr>
          <w:rFonts w:ascii="Californian FB" w:hAnsi="Californian FB"/>
          <w:sz w:val="36"/>
        </w:rPr>
        <w:br w:type="page"/>
      </w:r>
    </w:p>
    <w:p w14:paraId="7F5FFB12" w14:textId="77777777" w:rsidR="005A09C4" w:rsidRPr="00F3749A" w:rsidRDefault="006759D7" w:rsidP="00F3749A">
      <w:pPr>
        <w:pStyle w:val="Heading1"/>
        <w:spacing w:before="0"/>
        <w:rPr>
          <w:rFonts w:ascii="Californian FB" w:hAnsi="Californian FB"/>
          <w:lang w:val="en-US"/>
        </w:rPr>
      </w:pPr>
      <w:bookmarkStart w:id="65" w:name="_Toc520793140"/>
      <w:r>
        <w:rPr>
          <w:rFonts w:ascii="Californian FB" w:hAnsi="Californian FB"/>
          <w:lang w:val="en-US"/>
        </w:rPr>
        <w:lastRenderedPageBreak/>
        <w:t>SECTION 8</w:t>
      </w:r>
      <w:r w:rsidR="005A09C4" w:rsidRPr="00F3749A">
        <w:rPr>
          <w:rFonts w:ascii="Californian FB" w:hAnsi="Californian FB"/>
          <w:lang w:val="en-US"/>
        </w:rPr>
        <w:t>:  CAPACITY BUILDING FOR UNIVERSAL HEALTH COVERAGE M&amp;E</w:t>
      </w:r>
      <w:bookmarkEnd w:id="65"/>
    </w:p>
    <w:p w14:paraId="202FCC04" w14:textId="77777777" w:rsidR="001210EA" w:rsidRDefault="001210EA" w:rsidP="001210EA">
      <w:pPr>
        <w:rPr>
          <w:rFonts w:ascii="Arial" w:hAnsi="Arial" w:cs="Arial"/>
          <w:b/>
          <w:color w:val="1F497D" w:themeColor="text2"/>
        </w:rPr>
      </w:pPr>
      <w:r>
        <w:rPr>
          <w:rFonts w:ascii="Arial" w:hAnsi="Arial" w:cs="Arial"/>
          <w:b/>
          <w:color w:val="1F497D" w:themeColor="text2"/>
        </w:rPr>
        <w:t>Capacity Building for UHC M&amp;E -Kumiko</w:t>
      </w:r>
    </w:p>
    <w:p w14:paraId="64B26D46" w14:textId="77777777" w:rsidR="001210EA" w:rsidRDefault="001210EA" w:rsidP="001210EA">
      <w:pPr>
        <w:rPr>
          <w:rFonts w:ascii="Arial" w:hAnsi="Arial" w:cs="Arial"/>
          <w:color w:val="1F497D" w:themeColor="text2"/>
        </w:rPr>
      </w:pPr>
      <w:r>
        <w:rPr>
          <w:rFonts w:ascii="Cambria Math" w:hAnsi="Cambria Math" w:cs="Cambria Math"/>
          <w:color w:val="1F497D" w:themeColor="text2"/>
          <w:lang w:eastAsia="ja-JP"/>
        </w:rPr>
        <w:t>≪</w:t>
      </w:r>
      <w:r>
        <w:rPr>
          <w:rFonts w:ascii="Arial" w:hAnsi="Arial" w:cs="Arial"/>
          <w:color w:val="1F497D" w:themeColor="text2"/>
          <w:lang w:eastAsia="ja-JP"/>
        </w:rPr>
        <w:t>National Level</w:t>
      </w:r>
      <w:r>
        <w:rPr>
          <w:rFonts w:ascii="Cambria Math" w:hAnsi="Cambria Math" w:cs="Cambria Math"/>
          <w:color w:val="1F497D" w:themeColor="text2"/>
          <w:lang w:eastAsia="ja-JP"/>
        </w:rPr>
        <w:t>≫</w:t>
      </w:r>
    </w:p>
    <w:p w14:paraId="2C16FCA2" w14:textId="77777777" w:rsidR="001210EA" w:rsidRDefault="001210EA" w:rsidP="001210EA">
      <w:pPr>
        <w:rPr>
          <w:rFonts w:ascii="Arial" w:hAnsi="Arial" w:cs="Arial"/>
          <w:color w:val="1F497D" w:themeColor="text2"/>
        </w:rPr>
      </w:pPr>
      <w:r>
        <w:rPr>
          <w:rFonts w:ascii="Arial" w:hAnsi="Arial" w:cs="Arial"/>
          <w:color w:val="C0504D" w:themeColor="accent2"/>
        </w:rPr>
        <w:t>Start with the UHC coordination mechanism, who constitutes them, what is their roles</w:t>
      </w:r>
      <w:r>
        <w:rPr>
          <w:rFonts w:ascii="Arial" w:hAnsi="Arial" w:cs="Arial"/>
          <w:color w:val="1F497D" w:themeColor="text2"/>
        </w:rPr>
        <w:t xml:space="preserve">, UHC Project Delivery Unit (or UHC Coordination Dept?) of MoH will serve as the overall Secretariat for this coordination mechanism.  </w:t>
      </w:r>
    </w:p>
    <w:p w14:paraId="08E6A367" w14:textId="77777777" w:rsidR="001210EA" w:rsidRDefault="001210EA" w:rsidP="001210EA">
      <w:pPr>
        <w:rPr>
          <w:rFonts w:ascii="Arial" w:hAnsi="Arial" w:cs="Arial"/>
          <w:color w:val="1F497D" w:themeColor="text2"/>
        </w:rPr>
      </w:pPr>
      <w:r>
        <w:rPr>
          <w:rFonts w:ascii="Arial" w:hAnsi="Arial" w:cs="Arial"/>
          <w:color w:val="1F497D" w:themeColor="text2"/>
        </w:rPr>
        <w:t xml:space="preserve">M&amp;E Unit of MoH will continue tracking the routine data reported through DHIS2. </w:t>
      </w:r>
    </w:p>
    <w:p w14:paraId="13176403" w14:textId="77777777" w:rsidR="001210EA" w:rsidRDefault="001210EA" w:rsidP="001210EA">
      <w:pPr>
        <w:rPr>
          <w:rFonts w:ascii="Arial" w:hAnsi="Arial" w:cs="Arial"/>
          <w:color w:val="1F497D" w:themeColor="text2"/>
        </w:rPr>
      </w:pPr>
      <w:r>
        <w:rPr>
          <w:rFonts w:ascii="Arial" w:hAnsi="Arial" w:cs="Arial"/>
          <w:color w:val="1F497D" w:themeColor="text2"/>
        </w:rPr>
        <w:t xml:space="preserve">Special research to measure the changes during the Phase I implementation (incl. baseline/endline) will be commissioned to contractors through MoH M&amp;E Unit.   </w:t>
      </w:r>
      <w:r>
        <w:rPr>
          <w:rFonts w:ascii="Arial" w:hAnsi="Arial" w:cs="Arial"/>
          <w:color w:val="1F497D" w:themeColor="text2"/>
          <w:highlight w:val="yellow"/>
        </w:rPr>
        <w:t>(is this OK, wanjala?)</w:t>
      </w:r>
      <w:r>
        <w:rPr>
          <w:rFonts w:ascii="Arial" w:hAnsi="Arial" w:cs="Arial"/>
          <w:color w:val="1F497D" w:themeColor="text2"/>
        </w:rPr>
        <w:t xml:space="preserve"> </w:t>
      </w:r>
    </w:p>
    <w:p w14:paraId="03648669" w14:textId="77777777" w:rsidR="001210EA" w:rsidRDefault="001210EA" w:rsidP="001210EA">
      <w:pPr>
        <w:rPr>
          <w:rFonts w:ascii="Arial" w:hAnsi="Arial" w:cs="Arial"/>
          <w:color w:val="1F497D" w:themeColor="text2"/>
        </w:rPr>
      </w:pPr>
      <w:r>
        <w:rPr>
          <w:rFonts w:ascii="Cambria Math" w:hAnsi="Cambria Math" w:cs="Cambria Math"/>
          <w:color w:val="1F497D" w:themeColor="text2"/>
          <w:lang w:eastAsia="ja-JP"/>
        </w:rPr>
        <w:t>≪</w:t>
      </w:r>
      <w:r>
        <w:rPr>
          <w:rFonts w:ascii="Arial" w:hAnsi="Arial" w:cs="Arial"/>
          <w:color w:val="1F497D" w:themeColor="text2"/>
          <w:lang w:eastAsia="ja-JP"/>
        </w:rPr>
        <w:t>Pilot counties and any other counties interested</w:t>
      </w:r>
      <w:r>
        <w:rPr>
          <w:rFonts w:ascii="Cambria Math" w:hAnsi="Cambria Math" w:cs="Cambria Math"/>
          <w:color w:val="1F497D" w:themeColor="text2"/>
          <w:lang w:eastAsia="ja-JP"/>
        </w:rPr>
        <w:t>≫</w:t>
      </w:r>
    </w:p>
    <w:p w14:paraId="428509EA" w14:textId="77777777" w:rsidR="001210EA" w:rsidRDefault="001210EA" w:rsidP="00203568">
      <w:pPr>
        <w:pStyle w:val="ListParagraph"/>
        <w:numPr>
          <w:ilvl w:val="0"/>
          <w:numId w:val="18"/>
        </w:numPr>
        <w:spacing w:line="240" w:lineRule="auto"/>
        <w:rPr>
          <w:rFonts w:ascii="Arial" w:hAnsi="Arial" w:cs="Arial"/>
          <w:color w:val="1F497D" w:themeColor="text2"/>
        </w:rPr>
      </w:pPr>
      <w:r>
        <w:rPr>
          <w:rFonts w:ascii="Arial" w:hAnsi="Arial" w:cs="Arial"/>
          <w:color w:val="1F497D" w:themeColor="text2"/>
        </w:rPr>
        <w:t xml:space="preserve">Pilot counties will establish </w:t>
      </w:r>
      <w:commentRangeStart w:id="66"/>
      <w:r>
        <w:rPr>
          <w:rFonts w:ascii="Arial" w:hAnsi="Arial" w:cs="Arial"/>
          <w:color w:val="1F497D" w:themeColor="text2"/>
        </w:rPr>
        <w:t xml:space="preserve">County UHC coordination committee to update each others’ </w:t>
      </w:r>
      <w:commentRangeEnd w:id="66"/>
      <w:r w:rsidR="00DC24B3">
        <w:rPr>
          <w:rStyle w:val="CommentReference"/>
          <w:lang w:val="en-US"/>
        </w:rPr>
        <w:commentReference w:id="66"/>
      </w:r>
      <w:r>
        <w:rPr>
          <w:rFonts w:ascii="Arial" w:hAnsi="Arial" w:cs="Arial"/>
          <w:color w:val="1F497D" w:themeColor="text2"/>
        </w:rPr>
        <w:t xml:space="preserve">progress , enhance multi-sector collaboration.  </w:t>
      </w:r>
    </w:p>
    <w:p w14:paraId="04DA3073" w14:textId="77777777" w:rsidR="001210EA" w:rsidRDefault="001210EA" w:rsidP="00203568">
      <w:pPr>
        <w:pStyle w:val="ListParagraph"/>
        <w:numPr>
          <w:ilvl w:val="0"/>
          <w:numId w:val="18"/>
        </w:numPr>
        <w:spacing w:line="240" w:lineRule="auto"/>
        <w:rPr>
          <w:rFonts w:ascii="Arial" w:hAnsi="Arial" w:cs="Arial"/>
          <w:color w:val="1F497D" w:themeColor="text2"/>
        </w:rPr>
      </w:pPr>
      <w:r>
        <w:rPr>
          <w:rFonts w:ascii="Arial" w:hAnsi="Arial" w:cs="Arial"/>
          <w:color w:val="1F497D" w:themeColor="text2"/>
        </w:rPr>
        <w:t xml:space="preserve">Pilot counties will assign at least 1 M&amp;E focal person from each of information source identified in this framework: namely NHIF, Education sector, Agriculture sector, Water sector, office in charge of resident registry (which agency is in charge?) </w:t>
      </w:r>
    </w:p>
    <w:p w14:paraId="41816878" w14:textId="77777777" w:rsidR="001210EA" w:rsidRDefault="001210EA" w:rsidP="00203568">
      <w:pPr>
        <w:pStyle w:val="ListParagraph"/>
        <w:numPr>
          <w:ilvl w:val="0"/>
          <w:numId w:val="18"/>
        </w:numPr>
        <w:spacing w:line="240" w:lineRule="auto"/>
        <w:rPr>
          <w:rFonts w:ascii="Arial" w:hAnsi="Arial" w:cs="Arial"/>
          <w:color w:val="1F497D" w:themeColor="text2"/>
        </w:rPr>
      </w:pPr>
      <w:r>
        <w:rPr>
          <w:rFonts w:ascii="Arial" w:hAnsi="Arial" w:cs="Arial"/>
          <w:color w:val="1F497D" w:themeColor="text2"/>
        </w:rPr>
        <w:t>Pilot Counties will set up M&amp;E unit under CHMT</w:t>
      </w:r>
      <w:r>
        <w:rPr>
          <w:rFonts w:ascii="Arial" w:hAnsi="Arial" w:cs="Arial"/>
          <w:color w:val="1F497D" w:themeColor="text2"/>
          <w:lang w:eastAsia="ja-JP"/>
        </w:rPr>
        <w:t xml:space="preserve">.  </w:t>
      </w:r>
      <w:r>
        <w:rPr>
          <w:rFonts w:ascii="Arial" w:hAnsi="Arial" w:cs="Arial"/>
          <w:color w:val="1F497D" w:themeColor="text2"/>
        </w:rPr>
        <w:t xml:space="preserve">National MoH will assist the set up of county M&amp;E unit through technical assistance (as per </w:t>
      </w:r>
      <w:r>
        <w:rPr>
          <w:rFonts w:ascii="Arial" w:hAnsi="Arial" w:cs="Arial"/>
          <w:i/>
          <w:color w:val="1F497D" w:themeColor="text2"/>
        </w:rPr>
        <w:t xml:space="preserve">“GUIDELINES FOR THE INSTITUTIONALIZATION OF MONITORING AND EVALUATION (M&amp;E) IN THE HEALTH SECTOR” </w:t>
      </w:r>
      <w:r>
        <w:rPr>
          <w:rFonts w:ascii="Arial" w:hAnsi="Arial" w:cs="Arial"/>
          <w:color w:val="1F497D" w:themeColor="text2"/>
        </w:rPr>
        <w:t xml:space="preserve"> published by MoH in 2017)</w:t>
      </w:r>
    </w:p>
    <w:p w14:paraId="1C91A261" w14:textId="77777777" w:rsidR="001210EA" w:rsidRDefault="001210EA" w:rsidP="00203568">
      <w:pPr>
        <w:pStyle w:val="ListParagraph"/>
        <w:numPr>
          <w:ilvl w:val="0"/>
          <w:numId w:val="18"/>
        </w:numPr>
        <w:spacing w:after="0" w:line="240" w:lineRule="auto"/>
        <w:rPr>
          <w:rFonts w:ascii="Arial" w:hAnsi="Arial" w:cs="Arial"/>
          <w:color w:val="1F497D" w:themeColor="text2"/>
        </w:rPr>
      </w:pPr>
      <w:r>
        <w:rPr>
          <w:rFonts w:ascii="Arial" w:hAnsi="Arial" w:cs="Arial"/>
          <w:color w:val="1F497D" w:themeColor="text2"/>
          <w:lang w:eastAsia="ja-JP"/>
        </w:rPr>
        <w:t xml:space="preserve">The </w:t>
      </w:r>
      <w:commentRangeStart w:id="67"/>
      <w:r>
        <w:rPr>
          <w:rFonts w:ascii="Arial" w:hAnsi="Arial" w:cs="Arial"/>
          <w:color w:val="1F497D" w:themeColor="text2"/>
          <w:lang w:eastAsia="ja-JP"/>
        </w:rPr>
        <w:t xml:space="preserve">county M&amp;E Unit </w:t>
      </w:r>
      <w:commentRangeEnd w:id="67"/>
      <w:r w:rsidR="00CA7716">
        <w:rPr>
          <w:rStyle w:val="CommentReference"/>
          <w:lang w:val="en-US"/>
        </w:rPr>
        <w:commentReference w:id="67"/>
      </w:r>
      <w:r>
        <w:rPr>
          <w:rFonts w:ascii="Arial" w:hAnsi="Arial" w:cs="Arial"/>
          <w:color w:val="1F497D" w:themeColor="text2"/>
          <w:lang w:eastAsia="ja-JP"/>
        </w:rPr>
        <w:t xml:space="preserve">will be tasked to: </w:t>
      </w:r>
    </w:p>
    <w:p w14:paraId="1A0F3477"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lang w:eastAsia="ja-JP"/>
        </w:rPr>
        <w:t xml:space="preserve">conduct </w:t>
      </w:r>
      <w:r>
        <w:rPr>
          <w:rFonts w:ascii="Arial" w:hAnsi="Arial" w:cs="Arial"/>
          <w:color w:val="1F497D" w:themeColor="text2"/>
        </w:rPr>
        <w:t xml:space="preserve">baseline/endline survey </w:t>
      </w:r>
    </w:p>
    <w:p w14:paraId="545C68CF"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rPr>
        <w:t>ensure regular reporting of routine health indicators and facility-based data required by MoH</w:t>
      </w:r>
    </w:p>
    <w:p w14:paraId="782DB426"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rPr>
        <w:t xml:space="preserve">analyze DHIS2 data monthly for any policy/service delivery implications-&gt; report to CHMT for discussion.  </w:t>
      </w:r>
    </w:p>
    <w:p w14:paraId="0C6505AD"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rPr>
        <w:t xml:space="preserve">analyze IHRIS system for the latest status of human resources in the county.  </w:t>
      </w:r>
    </w:p>
    <w:p w14:paraId="1A9778AB"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rPr>
        <w:t xml:space="preserve">consolidate the data/info/reports from the M&amp;E focal persons in the county, and report to the County UHC coordination committee meetings.    </w:t>
      </w:r>
    </w:p>
    <w:p w14:paraId="3FFD0227" w14:textId="77777777" w:rsidR="001210EA" w:rsidRDefault="001210EA" w:rsidP="00203568">
      <w:pPr>
        <w:pStyle w:val="ListParagraph"/>
        <w:numPr>
          <w:ilvl w:val="0"/>
          <w:numId w:val="19"/>
        </w:numPr>
        <w:spacing w:after="0" w:line="240" w:lineRule="auto"/>
        <w:ind w:left="1224"/>
        <w:rPr>
          <w:rFonts w:ascii="Arial" w:hAnsi="Arial" w:cs="Arial"/>
          <w:color w:val="1F497D" w:themeColor="text2"/>
        </w:rPr>
      </w:pPr>
      <w:r>
        <w:rPr>
          <w:rFonts w:ascii="Arial" w:hAnsi="Arial" w:cs="Arial"/>
          <w:color w:val="1F497D" w:themeColor="text2"/>
        </w:rPr>
        <w:t>conduct operational research, document the process of reforms and good practices (qualitative studies) -&gt; report/disseminate through inter-governmental forums.</w:t>
      </w:r>
    </w:p>
    <w:p w14:paraId="68485753" w14:textId="77777777" w:rsidR="001210EA" w:rsidRDefault="001210EA" w:rsidP="001210EA">
      <w:pPr>
        <w:rPr>
          <w:color w:val="1F497D" w:themeColor="text2"/>
          <w:sz w:val="36"/>
        </w:rPr>
      </w:pPr>
    </w:p>
    <w:p w14:paraId="3A4AFE18" w14:textId="77777777" w:rsidR="005A09C4" w:rsidRDefault="005A09C4" w:rsidP="00F3749A">
      <w:pPr>
        <w:spacing w:after="0"/>
        <w:rPr>
          <w:rFonts w:ascii="Californian FB" w:hAnsi="Californian FB"/>
          <w:sz w:val="36"/>
        </w:rPr>
      </w:pPr>
    </w:p>
    <w:p w14:paraId="6A02AA9E" w14:textId="77777777" w:rsidR="001210EA" w:rsidRPr="00F3749A" w:rsidRDefault="001210EA" w:rsidP="00F3749A">
      <w:pPr>
        <w:spacing w:after="0"/>
        <w:rPr>
          <w:rFonts w:ascii="Californian FB" w:hAnsi="Californian FB"/>
          <w:sz w:val="36"/>
        </w:rPr>
      </w:pPr>
    </w:p>
    <w:p w14:paraId="03586FAE" w14:textId="77777777" w:rsidR="00E765E5" w:rsidRPr="00F3749A" w:rsidRDefault="00E765E5" w:rsidP="00F3749A">
      <w:pPr>
        <w:pStyle w:val="Heading1"/>
        <w:spacing w:before="0"/>
        <w:rPr>
          <w:rFonts w:ascii="Californian FB" w:hAnsi="Californian FB"/>
        </w:rPr>
      </w:pPr>
      <w:bookmarkStart w:id="68" w:name="_Toc520793141"/>
      <w:r w:rsidRPr="00F3749A">
        <w:rPr>
          <w:rFonts w:ascii="Californian FB" w:hAnsi="Californian FB"/>
        </w:rPr>
        <w:t>M&amp;E Budget</w:t>
      </w:r>
      <w:bookmarkEnd w:id="68"/>
      <w:r w:rsidRPr="00F3749A">
        <w:rPr>
          <w:rFonts w:ascii="Californian FB" w:hAnsi="Californian FB"/>
        </w:rPr>
        <w:t xml:space="preserve"> </w:t>
      </w:r>
    </w:p>
    <w:p w14:paraId="72C1187C" w14:textId="77777777" w:rsidR="005A09C4" w:rsidRPr="00F3749A" w:rsidRDefault="005A09C4" w:rsidP="00F3749A">
      <w:pPr>
        <w:spacing w:after="0"/>
        <w:rPr>
          <w:rFonts w:ascii="Californian FB" w:hAnsi="Californian FB"/>
          <w:sz w:val="36"/>
        </w:rPr>
      </w:pPr>
      <w:r w:rsidRPr="00F3749A">
        <w:rPr>
          <w:rFonts w:ascii="Californian FB" w:hAnsi="Californian FB"/>
          <w:sz w:val="36"/>
        </w:rPr>
        <w:br w:type="page"/>
      </w:r>
    </w:p>
    <w:p w14:paraId="74D548AD" w14:textId="77777777" w:rsidR="00E765E5" w:rsidRPr="00F3749A" w:rsidRDefault="00E765E5" w:rsidP="00F3749A">
      <w:pPr>
        <w:pStyle w:val="Heading1"/>
        <w:spacing w:before="0"/>
        <w:rPr>
          <w:rFonts w:ascii="Californian FB" w:hAnsi="Californian FB"/>
        </w:rPr>
      </w:pPr>
      <w:bookmarkStart w:id="69" w:name="_Toc520793142"/>
      <w:r w:rsidRPr="00F3749A">
        <w:rPr>
          <w:rFonts w:ascii="Californian FB" w:hAnsi="Californian FB"/>
        </w:rPr>
        <w:lastRenderedPageBreak/>
        <w:t>Appendices</w:t>
      </w:r>
      <w:bookmarkEnd w:id="69"/>
      <w:r w:rsidRPr="00F3749A">
        <w:rPr>
          <w:rFonts w:ascii="Californian FB" w:hAnsi="Californian FB"/>
        </w:rPr>
        <w:t xml:space="preserve"> </w:t>
      </w:r>
    </w:p>
    <w:p w14:paraId="355209F6" w14:textId="77777777" w:rsidR="00E765E5" w:rsidRPr="00F3749A" w:rsidRDefault="00E765E5" w:rsidP="00F3749A">
      <w:pPr>
        <w:spacing w:after="0"/>
        <w:rPr>
          <w:rFonts w:ascii="Californian FB" w:hAnsi="Californian FB"/>
        </w:rPr>
      </w:pPr>
      <w:r w:rsidRPr="00F3749A">
        <w:rPr>
          <w:rFonts w:ascii="Californian FB" w:hAnsi="Californian FB"/>
        </w:rPr>
        <w:br w:type="page"/>
      </w:r>
    </w:p>
    <w:p w14:paraId="2754F89D" w14:textId="77777777" w:rsidR="00C23CD2" w:rsidRPr="00F3749A" w:rsidRDefault="00E765E5" w:rsidP="00F3749A">
      <w:pPr>
        <w:pStyle w:val="Heading1"/>
        <w:spacing w:before="0"/>
        <w:rPr>
          <w:rFonts w:ascii="Californian FB" w:hAnsi="Californian FB"/>
        </w:rPr>
      </w:pPr>
      <w:bookmarkStart w:id="70" w:name="_Toc520793143"/>
      <w:r w:rsidRPr="00F3749A">
        <w:rPr>
          <w:rFonts w:ascii="Californian FB" w:hAnsi="Californian FB"/>
        </w:rPr>
        <w:lastRenderedPageBreak/>
        <w:t>Appendix 1: Indic</w:t>
      </w:r>
      <w:r w:rsidR="00C23CD2" w:rsidRPr="00F3749A">
        <w:rPr>
          <w:rFonts w:ascii="Californian FB" w:hAnsi="Californian FB"/>
        </w:rPr>
        <w:t xml:space="preserve">ators for each </w:t>
      </w:r>
      <w:r w:rsidR="00B07760" w:rsidRPr="00F3749A">
        <w:rPr>
          <w:rFonts w:ascii="Californian FB" w:hAnsi="Californian FB"/>
        </w:rPr>
        <w:t xml:space="preserve">domain and dimension </w:t>
      </w:r>
      <w:r w:rsidR="00C23CD2" w:rsidRPr="00F3749A">
        <w:rPr>
          <w:rFonts w:ascii="Californian FB" w:hAnsi="Californian FB"/>
        </w:rPr>
        <w:t>of the actions framework</w:t>
      </w:r>
      <w:bookmarkEnd w:id="70"/>
    </w:p>
    <w:p w14:paraId="01D25523" w14:textId="77777777" w:rsidR="00EC276F" w:rsidRDefault="00EC276F" w:rsidP="00F3749A">
      <w:pPr>
        <w:spacing w:after="0"/>
        <w:rPr>
          <w:rFonts w:ascii="Californian FB" w:hAnsi="Californian FB"/>
        </w:rPr>
      </w:pPr>
    </w:p>
    <w:tbl>
      <w:tblPr>
        <w:tblW w:w="5000" w:type="pct"/>
        <w:tblLook w:val="04A0" w:firstRow="1" w:lastRow="0" w:firstColumn="1" w:lastColumn="0" w:noHBand="0" w:noVBand="1"/>
      </w:tblPr>
      <w:tblGrid>
        <w:gridCol w:w="2080"/>
        <w:gridCol w:w="2414"/>
        <w:gridCol w:w="2734"/>
        <w:gridCol w:w="2122"/>
      </w:tblGrid>
      <w:tr w:rsidR="007C1C2F" w:rsidRPr="00C8198D" w14:paraId="6C671854" w14:textId="77777777" w:rsidTr="00BC0E2D">
        <w:trPr>
          <w:trHeight w:val="300"/>
        </w:trPr>
        <w:tc>
          <w:tcPr>
            <w:tcW w:w="1112"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18D8B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Input/process</w:t>
            </w:r>
          </w:p>
        </w:tc>
        <w:tc>
          <w:tcPr>
            <w:tcW w:w="1291" w:type="pct"/>
            <w:tcBorders>
              <w:top w:val="single" w:sz="4" w:space="0" w:color="auto"/>
              <w:left w:val="nil"/>
              <w:bottom w:val="single" w:sz="4" w:space="0" w:color="auto"/>
              <w:right w:val="single" w:sz="4" w:space="0" w:color="auto"/>
            </w:tcBorders>
            <w:shd w:val="clear" w:color="000000" w:fill="FFFFFF"/>
            <w:noWrap/>
            <w:vAlign w:val="bottom"/>
            <w:hideMark/>
          </w:tcPr>
          <w:p w14:paraId="3D3F86E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 Output</w:t>
            </w:r>
          </w:p>
        </w:tc>
        <w:tc>
          <w:tcPr>
            <w:tcW w:w="1462" w:type="pct"/>
            <w:tcBorders>
              <w:top w:val="single" w:sz="4" w:space="0" w:color="auto"/>
              <w:left w:val="nil"/>
              <w:bottom w:val="single" w:sz="4" w:space="0" w:color="auto"/>
              <w:right w:val="single" w:sz="4" w:space="0" w:color="auto"/>
            </w:tcBorders>
            <w:shd w:val="clear" w:color="000000" w:fill="FFFFFF"/>
            <w:noWrap/>
            <w:vAlign w:val="bottom"/>
            <w:hideMark/>
          </w:tcPr>
          <w:p w14:paraId="49273E5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Outcome</w:t>
            </w:r>
          </w:p>
        </w:tc>
        <w:tc>
          <w:tcPr>
            <w:tcW w:w="1135" w:type="pct"/>
            <w:tcBorders>
              <w:top w:val="single" w:sz="4" w:space="0" w:color="auto"/>
              <w:left w:val="nil"/>
              <w:bottom w:val="single" w:sz="4" w:space="0" w:color="auto"/>
              <w:right w:val="single" w:sz="4" w:space="0" w:color="auto"/>
            </w:tcBorders>
            <w:shd w:val="clear" w:color="000000" w:fill="FFFFFF"/>
            <w:noWrap/>
            <w:vAlign w:val="bottom"/>
            <w:hideMark/>
          </w:tcPr>
          <w:p w14:paraId="018F2AB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 Impact</w:t>
            </w:r>
          </w:p>
        </w:tc>
      </w:tr>
      <w:tr w:rsidR="007C1C2F" w:rsidRPr="00C8198D" w14:paraId="09CAF254"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A1D4AE6"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Service Capacity and Access</w:t>
            </w:r>
          </w:p>
        </w:tc>
        <w:tc>
          <w:tcPr>
            <w:tcW w:w="1291" w:type="pct"/>
            <w:tcBorders>
              <w:top w:val="nil"/>
              <w:left w:val="nil"/>
              <w:bottom w:val="single" w:sz="4" w:space="0" w:color="auto"/>
              <w:right w:val="single" w:sz="4" w:space="0" w:color="auto"/>
            </w:tcBorders>
            <w:shd w:val="clear" w:color="000000" w:fill="FFFFFF"/>
            <w:vAlign w:val="center"/>
            <w:hideMark/>
          </w:tcPr>
          <w:p w14:paraId="60CF2CA6"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Service Capacity and Access</w:t>
            </w:r>
          </w:p>
        </w:tc>
        <w:tc>
          <w:tcPr>
            <w:tcW w:w="1462" w:type="pct"/>
            <w:tcBorders>
              <w:top w:val="nil"/>
              <w:left w:val="nil"/>
              <w:bottom w:val="single" w:sz="4" w:space="0" w:color="auto"/>
              <w:right w:val="single" w:sz="4" w:space="0" w:color="auto"/>
            </w:tcBorders>
            <w:shd w:val="clear" w:color="000000" w:fill="FFFFFF"/>
            <w:vAlign w:val="center"/>
            <w:hideMark/>
          </w:tcPr>
          <w:p w14:paraId="06F0C702"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Service Capacity and Access</w:t>
            </w:r>
          </w:p>
        </w:tc>
        <w:tc>
          <w:tcPr>
            <w:tcW w:w="1135" w:type="pct"/>
            <w:tcBorders>
              <w:top w:val="nil"/>
              <w:left w:val="nil"/>
              <w:bottom w:val="single" w:sz="4" w:space="0" w:color="auto"/>
              <w:right w:val="single" w:sz="4" w:space="0" w:color="auto"/>
            </w:tcBorders>
            <w:shd w:val="clear" w:color="000000" w:fill="FFFFFF"/>
            <w:noWrap/>
            <w:vAlign w:val="bottom"/>
            <w:hideMark/>
          </w:tcPr>
          <w:p w14:paraId="5E0F3E03"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Impact</w:t>
            </w:r>
          </w:p>
        </w:tc>
      </w:tr>
      <w:tr w:rsidR="007C1C2F" w:rsidRPr="00C8198D" w14:paraId="2C2B8524" w14:textId="77777777" w:rsidTr="00BC0E2D">
        <w:trPr>
          <w:trHeight w:val="9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9BF2FF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Hospital beds per capita, relative to a maximum threshold of 18 per 10,000 population</w:t>
            </w:r>
          </w:p>
        </w:tc>
        <w:tc>
          <w:tcPr>
            <w:tcW w:w="1291" w:type="pct"/>
            <w:tcBorders>
              <w:top w:val="nil"/>
              <w:left w:val="nil"/>
              <w:bottom w:val="single" w:sz="4" w:space="0" w:color="auto"/>
              <w:right w:val="single" w:sz="4" w:space="0" w:color="auto"/>
            </w:tcBorders>
            <w:shd w:val="clear" w:color="000000" w:fill="FFFFFF"/>
            <w:vAlign w:val="center"/>
            <w:hideMark/>
          </w:tcPr>
          <w:p w14:paraId="469F2FE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Average distance to Nearest Health Facility </w:t>
            </w:r>
          </w:p>
        </w:tc>
        <w:tc>
          <w:tcPr>
            <w:tcW w:w="1462" w:type="pct"/>
            <w:tcBorders>
              <w:top w:val="nil"/>
              <w:left w:val="nil"/>
              <w:bottom w:val="single" w:sz="4" w:space="0" w:color="auto"/>
              <w:right w:val="single" w:sz="4" w:space="0" w:color="auto"/>
            </w:tcBorders>
            <w:shd w:val="clear" w:color="000000" w:fill="FFFFFF"/>
            <w:vAlign w:val="center"/>
            <w:hideMark/>
          </w:tcPr>
          <w:p w14:paraId="63FE8F3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women of reproductive age (15−49 years) (who are married or in-union ) who have their need for family planning satisfied with modern methods.</w:t>
            </w:r>
          </w:p>
        </w:tc>
        <w:tc>
          <w:tcPr>
            <w:tcW w:w="1135" w:type="pct"/>
            <w:tcBorders>
              <w:top w:val="nil"/>
              <w:left w:val="nil"/>
              <w:bottom w:val="single" w:sz="4" w:space="0" w:color="auto"/>
              <w:right w:val="single" w:sz="4" w:space="0" w:color="auto"/>
            </w:tcBorders>
            <w:shd w:val="clear" w:color="000000" w:fill="FFFFFF"/>
            <w:vAlign w:val="center"/>
            <w:hideMark/>
          </w:tcPr>
          <w:p w14:paraId="37C8C49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Under Five Mortality Rate</w:t>
            </w:r>
          </w:p>
        </w:tc>
      </w:tr>
      <w:tr w:rsidR="007C1C2F" w:rsidRPr="00C8198D" w14:paraId="6F666606" w14:textId="77777777" w:rsidTr="00BC0E2D">
        <w:trPr>
          <w:trHeight w:val="9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1C9F823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Community Dialogue days</w:t>
            </w:r>
          </w:p>
        </w:tc>
        <w:tc>
          <w:tcPr>
            <w:tcW w:w="1291" w:type="pct"/>
            <w:tcBorders>
              <w:top w:val="nil"/>
              <w:left w:val="nil"/>
              <w:bottom w:val="single" w:sz="4" w:space="0" w:color="auto"/>
              <w:right w:val="single" w:sz="4" w:space="0" w:color="auto"/>
            </w:tcBorders>
            <w:shd w:val="clear" w:color="000000" w:fill="FFFFFF"/>
            <w:vAlign w:val="center"/>
            <w:hideMark/>
          </w:tcPr>
          <w:p w14:paraId="2E52F3B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Health professionals (physicians, psychiatrists, Nurse, and surgeons) per capita, relative to maximum thresholds for each cadre (per 10,000 population)</w:t>
            </w:r>
          </w:p>
        </w:tc>
        <w:tc>
          <w:tcPr>
            <w:tcW w:w="1462" w:type="pct"/>
            <w:tcBorders>
              <w:top w:val="nil"/>
              <w:left w:val="nil"/>
              <w:bottom w:val="single" w:sz="4" w:space="0" w:color="auto"/>
              <w:right w:val="single" w:sz="4" w:space="0" w:color="auto"/>
            </w:tcBorders>
            <w:shd w:val="clear" w:color="000000" w:fill="FFFFFF"/>
            <w:vAlign w:val="center"/>
            <w:hideMark/>
          </w:tcPr>
          <w:p w14:paraId="3F5C596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Pregnant women aged 15-49 years (with a live birth in a given time period) who received antenatal care four or more times</w:t>
            </w:r>
          </w:p>
        </w:tc>
        <w:tc>
          <w:tcPr>
            <w:tcW w:w="1135" w:type="pct"/>
            <w:tcBorders>
              <w:top w:val="nil"/>
              <w:left w:val="nil"/>
              <w:bottom w:val="single" w:sz="4" w:space="0" w:color="auto"/>
              <w:right w:val="single" w:sz="4" w:space="0" w:color="auto"/>
            </w:tcBorders>
            <w:shd w:val="clear" w:color="000000" w:fill="FFFFFF"/>
            <w:vAlign w:val="center"/>
            <w:hideMark/>
          </w:tcPr>
          <w:p w14:paraId="54DE4E1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Infant Mortality Rate </w:t>
            </w:r>
          </w:p>
        </w:tc>
      </w:tr>
      <w:tr w:rsidR="007C1C2F" w:rsidRPr="00C8198D" w14:paraId="390147A0"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664F1A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Doctors per population ratio (per 10,000 population)</w:t>
            </w:r>
          </w:p>
        </w:tc>
        <w:tc>
          <w:tcPr>
            <w:tcW w:w="1291" w:type="pct"/>
            <w:tcBorders>
              <w:top w:val="nil"/>
              <w:left w:val="nil"/>
              <w:bottom w:val="single" w:sz="4" w:space="0" w:color="auto"/>
              <w:right w:val="single" w:sz="4" w:space="0" w:color="auto"/>
            </w:tcBorders>
            <w:shd w:val="clear" w:color="000000" w:fill="FFFFFF"/>
            <w:vAlign w:val="center"/>
            <w:hideMark/>
          </w:tcPr>
          <w:p w14:paraId="2998AA0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Service Availability and Readiness</w:t>
            </w:r>
          </w:p>
        </w:tc>
        <w:tc>
          <w:tcPr>
            <w:tcW w:w="1462" w:type="pct"/>
            <w:tcBorders>
              <w:top w:val="nil"/>
              <w:left w:val="nil"/>
              <w:bottom w:val="single" w:sz="4" w:space="0" w:color="auto"/>
              <w:right w:val="single" w:sz="4" w:space="0" w:color="auto"/>
            </w:tcBorders>
            <w:shd w:val="clear" w:color="000000" w:fill="FFFFFF"/>
            <w:vAlign w:val="center"/>
            <w:hideMark/>
          </w:tcPr>
          <w:p w14:paraId="60BEC3A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skilled Deliveries conducted in Health facilities</w:t>
            </w:r>
          </w:p>
        </w:tc>
        <w:tc>
          <w:tcPr>
            <w:tcW w:w="1135" w:type="pct"/>
            <w:tcBorders>
              <w:top w:val="nil"/>
              <w:left w:val="nil"/>
              <w:bottom w:val="single" w:sz="4" w:space="0" w:color="auto"/>
              <w:right w:val="single" w:sz="4" w:space="0" w:color="auto"/>
            </w:tcBorders>
            <w:shd w:val="clear" w:color="000000" w:fill="FFFFFF"/>
            <w:vAlign w:val="center"/>
            <w:hideMark/>
          </w:tcPr>
          <w:p w14:paraId="1163B41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Maternal Mortality Rate </w:t>
            </w:r>
          </w:p>
        </w:tc>
      </w:tr>
      <w:tr w:rsidR="007C1C2F" w:rsidRPr="00C8198D" w14:paraId="2967395C"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1259A7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Nurses per population ratio (per 10,000 population)</w:t>
            </w:r>
          </w:p>
        </w:tc>
        <w:tc>
          <w:tcPr>
            <w:tcW w:w="1291" w:type="pct"/>
            <w:tcBorders>
              <w:top w:val="nil"/>
              <w:left w:val="nil"/>
              <w:bottom w:val="single" w:sz="4" w:space="0" w:color="auto"/>
              <w:right w:val="single" w:sz="4" w:space="0" w:color="auto"/>
            </w:tcBorders>
            <w:shd w:val="clear" w:color="000000" w:fill="FFFFFF"/>
            <w:vAlign w:val="center"/>
            <w:hideMark/>
          </w:tcPr>
          <w:p w14:paraId="1AA3C32A"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1782E65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infants receiving three doses of diphtheria-tetanus-pertussis containing vaccine (HIB/Hib/DPT3</w:t>
            </w:r>
          </w:p>
        </w:tc>
        <w:tc>
          <w:tcPr>
            <w:tcW w:w="1135" w:type="pct"/>
            <w:tcBorders>
              <w:top w:val="nil"/>
              <w:left w:val="nil"/>
              <w:bottom w:val="single" w:sz="4" w:space="0" w:color="auto"/>
              <w:right w:val="single" w:sz="4" w:space="0" w:color="auto"/>
            </w:tcBorders>
            <w:shd w:val="clear" w:color="000000" w:fill="FFFFFF"/>
            <w:vAlign w:val="center"/>
            <w:hideMark/>
          </w:tcPr>
          <w:p w14:paraId="13CC8DC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Malaria Prevalence rate</w:t>
            </w:r>
          </w:p>
        </w:tc>
      </w:tr>
      <w:tr w:rsidR="007C1C2F" w:rsidRPr="00C8198D" w14:paraId="2B938574"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7810538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Health Worker density per 10,000 Population</w:t>
            </w:r>
          </w:p>
        </w:tc>
        <w:tc>
          <w:tcPr>
            <w:tcW w:w="1291" w:type="pct"/>
            <w:tcBorders>
              <w:top w:val="nil"/>
              <w:left w:val="nil"/>
              <w:bottom w:val="single" w:sz="4" w:space="0" w:color="auto"/>
              <w:right w:val="single" w:sz="4" w:space="0" w:color="auto"/>
            </w:tcBorders>
            <w:shd w:val="clear" w:color="000000" w:fill="FFFFFF"/>
            <w:vAlign w:val="center"/>
            <w:hideMark/>
          </w:tcPr>
          <w:p w14:paraId="25604C3A"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7A590C8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Percentage of Children Fully immunized </w:t>
            </w:r>
          </w:p>
        </w:tc>
        <w:tc>
          <w:tcPr>
            <w:tcW w:w="1135" w:type="pct"/>
            <w:tcBorders>
              <w:top w:val="nil"/>
              <w:left w:val="nil"/>
              <w:bottom w:val="single" w:sz="4" w:space="0" w:color="auto"/>
              <w:right w:val="single" w:sz="4" w:space="0" w:color="auto"/>
            </w:tcBorders>
            <w:shd w:val="clear" w:color="000000" w:fill="FFFFFF"/>
            <w:vAlign w:val="center"/>
            <w:hideMark/>
          </w:tcPr>
          <w:p w14:paraId="4542B7D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Prevalence of undernourished population (stunting)</w:t>
            </w:r>
          </w:p>
        </w:tc>
      </w:tr>
      <w:tr w:rsidR="007C1C2F" w:rsidRPr="00C8198D" w14:paraId="07010667"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55737E8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health facilities with essential medicines</w:t>
            </w:r>
          </w:p>
        </w:tc>
        <w:tc>
          <w:tcPr>
            <w:tcW w:w="1291" w:type="pct"/>
            <w:tcBorders>
              <w:top w:val="nil"/>
              <w:left w:val="nil"/>
              <w:bottom w:val="single" w:sz="4" w:space="0" w:color="auto"/>
              <w:right w:val="single" w:sz="4" w:space="0" w:color="auto"/>
            </w:tcBorders>
            <w:shd w:val="clear" w:color="000000" w:fill="FFFFFF"/>
            <w:vAlign w:val="center"/>
            <w:hideMark/>
          </w:tcPr>
          <w:p w14:paraId="4AC983D1"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2FD2B80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OPD per capita utilisation rate</w:t>
            </w:r>
          </w:p>
        </w:tc>
        <w:tc>
          <w:tcPr>
            <w:tcW w:w="1135" w:type="pct"/>
            <w:tcBorders>
              <w:top w:val="nil"/>
              <w:left w:val="nil"/>
              <w:bottom w:val="single" w:sz="4" w:space="0" w:color="auto"/>
              <w:right w:val="single" w:sz="4" w:space="0" w:color="auto"/>
            </w:tcBorders>
            <w:shd w:val="clear" w:color="000000" w:fill="FFFFFF"/>
            <w:vAlign w:val="center"/>
            <w:hideMark/>
          </w:tcPr>
          <w:p w14:paraId="41EB9D5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Death rate due to road traffic injuries (per 100,000 population)</w:t>
            </w:r>
          </w:p>
        </w:tc>
      </w:tr>
      <w:tr w:rsidR="007C1C2F" w:rsidRPr="00C8198D" w14:paraId="28930B7B"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D5F5C6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5E69DEF2"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noWrap/>
            <w:vAlign w:val="bottom"/>
            <w:hideMark/>
          </w:tcPr>
          <w:p w14:paraId="1E9AD4D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34E3F74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4280CDB5"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C2C449A"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Service Capacity and Access (IHR-core capacity index)</w:t>
            </w:r>
          </w:p>
        </w:tc>
        <w:tc>
          <w:tcPr>
            <w:tcW w:w="1291" w:type="pct"/>
            <w:tcBorders>
              <w:top w:val="nil"/>
              <w:left w:val="nil"/>
              <w:bottom w:val="single" w:sz="4" w:space="0" w:color="auto"/>
              <w:right w:val="single" w:sz="4" w:space="0" w:color="auto"/>
            </w:tcBorders>
            <w:shd w:val="clear" w:color="000000" w:fill="FFFFFF"/>
            <w:vAlign w:val="center"/>
            <w:hideMark/>
          </w:tcPr>
          <w:p w14:paraId="39509665"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63A6815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05BD195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20FAAA91" w14:textId="77777777" w:rsidTr="00BC0E2D">
        <w:trPr>
          <w:trHeight w:val="13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26062B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for National legislation, policy and financing;</w:t>
            </w:r>
          </w:p>
        </w:tc>
        <w:tc>
          <w:tcPr>
            <w:tcW w:w="1291" w:type="pct"/>
            <w:tcBorders>
              <w:top w:val="nil"/>
              <w:left w:val="nil"/>
              <w:bottom w:val="single" w:sz="4" w:space="0" w:color="auto"/>
              <w:right w:val="single" w:sz="4" w:space="0" w:color="auto"/>
            </w:tcBorders>
            <w:shd w:val="clear" w:color="000000" w:fill="FFFFFF"/>
            <w:vAlign w:val="center"/>
            <w:hideMark/>
          </w:tcPr>
          <w:p w14:paraId="26B79E4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children under 5 years of age with suspected pneumonia (cough and difficult breathing NOT due to a problem in the chest and a blocked nose) in the two weeks preceding the survey taken to an appropriate health facility or provider.</w:t>
            </w:r>
          </w:p>
        </w:tc>
        <w:tc>
          <w:tcPr>
            <w:tcW w:w="1462" w:type="pct"/>
            <w:tcBorders>
              <w:top w:val="nil"/>
              <w:left w:val="nil"/>
              <w:bottom w:val="single" w:sz="4" w:space="0" w:color="auto"/>
              <w:right w:val="single" w:sz="4" w:space="0" w:color="auto"/>
            </w:tcBorders>
            <w:shd w:val="clear" w:color="000000" w:fill="FFFFFF"/>
            <w:vAlign w:val="center"/>
            <w:hideMark/>
          </w:tcPr>
          <w:p w14:paraId="6D410D6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TB cases successfully treated (cured plus treatment completed) among TB cases notified to the national health authorities (</w:t>
            </w:r>
            <w:r w:rsidRPr="00C8198D">
              <w:rPr>
                <w:rFonts w:eastAsia="Times New Roman" w:cstheme="minorHAnsi"/>
                <w:b/>
                <w:bCs/>
                <w:color w:val="595959" w:themeColor="text1" w:themeTint="A6"/>
                <w:sz w:val="20"/>
                <w:szCs w:val="20"/>
              </w:rPr>
              <w:t>TB treatment Success Rate (TSR))</w:t>
            </w:r>
          </w:p>
        </w:tc>
        <w:tc>
          <w:tcPr>
            <w:tcW w:w="1135" w:type="pct"/>
            <w:tcBorders>
              <w:top w:val="nil"/>
              <w:left w:val="nil"/>
              <w:bottom w:val="single" w:sz="4" w:space="0" w:color="auto"/>
              <w:right w:val="single" w:sz="4" w:space="0" w:color="auto"/>
            </w:tcBorders>
            <w:shd w:val="clear" w:color="000000" w:fill="FFFFFF"/>
            <w:vAlign w:val="center"/>
            <w:hideMark/>
          </w:tcPr>
          <w:p w14:paraId="73ABCD9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6640B7B" w14:textId="77777777" w:rsidTr="00BC0E2D">
        <w:trPr>
          <w:trHeight w:val="9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B6E43A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lastRenderedPageBreak/>
              <w:t>Capacity attained for Coordination and National Focal Point communications;</w:t>
            </w:r>
          </w:p>
        </w:tc>
        <w:tc>
          <w:tcPr>
            <w:tcW w:w="1291" w:type="pct"/>
            <w:tcBorders>
              <w:top w:val="nil"/>
              <w:left w:val="nil"/>
              <w:bottom w:val="single" w:sz="4" w:space="0" w:color="auto"/>
              <w:right w:val="single" w:sz="4" w:space="0" w:color="auto"/>
            </w:tcBorders>
            <w:shd w:val="clear" w:color="000000" w:fill="FFFFFF"/>
            <w:vAlign w:val="center"/>
            <w:hideMark/>
          </w:tcPr>
          <w:p w14:paraId="6025783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The number of new and relapse TB cases diagnosed and treated in national TB control programmes and notified to WHO in a given year (</w:t>
            </w:r>
            <w:r w:rsidRPr="00C8198D">
              <w:rPr>
                <w:rFonts w:eastAsia="Times New Roman" w:cstheme="minorHAnsi"/>
                <w:b/>
                <w:bCs/>
                <w:color w:val="595959" w:themeColor="text1" w:themeTint="A6"/>
                <w:sz w:val="20"/>
                <w:szCs w:val="20"/>
              </w:rPr>
              <w:t>TB Case detection Rate)</w:t>
            </w:r>
          </w:p>
        </w:tc>
        <w:tc>
          <w:tcPr>
            <w:tcW w:w="1462" w:type="pct"/>
            <w:tcBorders>
              <w:top w:val="nil"/>
              <w:left w:val="nil"/>
              <w:bottom w:val="single" w:sz="4" w:space="0" w:color="auto"/>
              <w:right w:val="single" w:sz="4" w:space="0" w:color="auto"/>
            </w:tcBorders>
            <w:shd w:val="clear" w:color="000000" w:fill="FFFFFF"/>
            <w:vAlign w:val="center"/>
            <w:hideMark/>
          </w:tcPr>
          <w:p w14:paraId="1881B21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Age-standardized prevalence of non-raised blood pressure among adults aged 18+ (</w:t>
            </w:r>
            <w:r w:rsidRPr="00C8198D">
              <w:rPr>
                <w:rFonts w:eastAsia="Times New Roman" w:cstheme="minorHAnsi"/>
                <w:b/>
                <w:bCs/>
                <w:color w:val="595959" w:themeColor="text1" w:themeTint="A6"/>
                <w:sz w:val="20"/>
                <w:szCs w:val="20"/>
              </w:rPr>
              <w:t>Hypertension)</w:t>
            </w:r>
          </w:p>
        </w:tc>
        <w:tc>
          <w:tcPr>
            <w:tcW w:w="1135" w:type="pct"/>
            <w:tcBorders>
              <w:top w:val="nil"/>
              <w:left w:val="nil"/>
              <w:bottom w:val="single" w:sz="4" w:space="0" w:color="auto"/>
              <w:right w:val="single" w:sz="4" w:space="0" w:color="auto"/>
            </w:tcBorders>
            <w:shd w:val="clear" w:color="000000" w:fill="FFFFFF"/>
            <w:vAlign w:val="center"/>
            <w:hideMark/>
          </w:tcPr>
          <w:p w14:paraId="4299191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8ABAB54"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71920C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in  Surveillance;</w:t>
            </w:r>
          </w:p>
        </w:tc>
        <w:tc>
          <w:tcPr>
            <w:tcW w:w="1291" w:type="pct"/>
            <w:tcBorders>
              <w:top w:val="nil"/>
              <w:left w:val="nil"/>
              <w:bottom w:val="single" w:sz="4" w:space="0" w:color="auto"/>
              <w:right w:val="single" w:sz="4" w:space="0" w:color="auto"/>
            </w:tcBorders>
            <w:shd w:val="clear" w:color="000000" w:fill="FFFFFF"/>
            <w:vAlign w:val="center"/>
            <w:hideMark/>
          </w:tcPr>
          <w:p w14:paraId="2A0B943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Pregnant women who are currently on ART</w:t>
            </w:r>
          </w:p>
        </w:tc>
        <w:tc>
          <w:tcPr>
            <w:tcW w:w="1462" w:type="pct"/>
            <w:tcBorders>
              <w:top w:val="nil"/>
              <w:left w:val="nil"/>
              <w:bottom w:val="single" w:sz="4" w:space="0" w:color="auto"/>
              <w:right w:val="single" w:sz="4" w:space="0" w:color="auto"/>
            </w:tcBorders>
            <w:shd w:val="clear" w:color="000000" w:fill="FFFFFF"/>
            <w:vAlign w:val="center"/>
            <w:hideMark/>
          </w:tcPr>
          <w:p w14:paraId="1941C99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Age-standardized mean fasting plasma glucose for adults aged 25 years and older (</w:t>
            </w:r>
            <w:r w:rsidRPr="00C8198D">
              <w:rPr>
                <w:rFonts w:eastAsia="Times New Roman" w:cstheme="minorHAnsi"/>
                <w:b/>
                <w:bCs/>
                <w:color w:val="595959" w:themeColor="text1" w:themeTint="A6"/>
                <w:sz w:val="20"/>
                <w:szCs w:val="20"/>
              </w:rPr>
              <w:t>Diabetes</w:t>
            </w:r>
            <w:r w:rsidRPr="00C8198D">
              <w:rPr>
                <w:rFonts w:eastAsia="Times New Roman" w:cstheme="minorHAnsi"/>
                <w:color w:val="595959" w:themeColor="text1" w:themeTint="A6"/>
                <w:sz w:val="20"/>
                <w:szCs w:val="20"/>
              </w:rPr>
              <w:t>)</w:t>
            </w:r>
          </w:p>
        </w:tc>
        <w:tc>
          <w:tcPr>
            <w:tcW w:w="1135" w:type="pct"/>
            <w:tcBorders>
              <w:top w:val="nil"/>
              <w:left w:val="nil"/>
              <w:bottom w:val="single" w:sz="4" w:space="0" w:color="auto"/>
              <w:right w:val="single" w:sz="4" w:space="0" w:color="auto"/>
            </w:tcBorders>
            <w:shd w:val="clear" w:color="000000" w:fill="FFFFFF"/>
            <w:vAlign w:val="center"/>
            <w:hideMark/>
          </w:tcPr>
          <w:p w14:paraId="0BE0586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A4BDF52"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CD8756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in Response;</w:t>
            </w:r>
          </w:p>
        </w:tc>
        <w:tc>
          <w:tcPr>
            <w:tcW w:w="1291" w:type="pct"/>
            <w:tcBorders>
              <w:top w:val="nil"/>
              <w:left w:val="nil"/>
              <w:bottom w:val="single" w:sz="4" w:space="0" w:color="auto"/>
              <w:right w:val="single" w:sz="4" w:space="0" w:color="auto"/>
            </w:tcBorders>
            <w:shd w:val="clear" w:color="000000" w:fill="FFFFFF"/>
            <w:vAlign w:val="center"/>
            <w:hideMark/>
          </w:tcPr>
          <w:p w14:paraId="071DD47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adults and children who are currently receiving ART at the end of the reporting period</w:t>
            </w:r>
          </w:p>
        </w:tc>
        <w:tc>
          <w:tcPr>
            <w:tcW w:w="1462" w:type="pct"/>
            <w:tcBorders>
              <w:top w:val="nil"/>
              <w:left w:val="nil"/>
              <w:bottom w:val="single" w:sz="4" w:space="0" w:color="auto"/>
              <w:right w:val="single" w:sz="4" w:space="0" w:color="auto"/>
            </w:tcBorders>
            <w:shd w:val="clear" w:color="000000" w:fill="FFFFFF"/>
            <w:vAlign w:val="center"/>
            <w:hideMark/>
          </w:tcPr>
          <w:p w14:paraId="1E6D2C2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Age-standardized prevalence of adults &gt;=15 years not smoking tobacco in last 30 days</w:t>
            </w:r>
          </w:p>
        </w:tc>
        <w:tc>
          <w:tcPr>
            <w:tcW w:w="1135" w:type="pct"/>
            <w:tcBorders>
              <w:top w:val="nil"/>
              <w:left w:val="nil"/>
              <w:bottom w:val="single" w:sz="4" w:space="0" w:color="auto"/>
              <w:right w:val="single" w:sz="4" w:space="0" w:color="auto"/>
            </w:tcBorders>
            <w:shd w:val="clear" w:color="000000" w:fill="FFFFFF"/>
            <w:vAlign w:val="center"/>
            <w:hideMark/>
          </w:tcPr>
          <w:p w14:paraId="5D43BA3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2210FF9F"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1BC312A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in Preparedness;</w:t>
            </w:r>
          </w:p>
        </w:tc>
        <w:tc>
          <w:tcPr>
            <w:tcW w:w="1291" w:type="pct"/>
            <w:tcBorders>
              <w:top w:val="nil"/>
              <w:left w:val="nil"/>
              <w:bottom w:val="single" w:sz="4" w:space="0" w:color="auto"/>
              <w:right w:val="single" w:sz="4" w:space="0" w:color="auto"/>
            </w:tcBorders>
            <w:shd w:val="clear" w:color="000000" w:fill="FFFFFF"/>
            <w:vAlign w:val="center"/>
            <w:hideMark/>
          </w:tcPr>
          <w:p w14:paraId="25AE42B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Infants (people) in malaria-endemic areas who slept under an ITN.</w:t>
            </w:r>
          </w:p>
        </w:tc>
        <w:tc>
          <w:tcPr>
            <w:tcW w:w="1462" w:type="pct"/>
            <w:tcBorders>
              <w:top w:val="nil"/>
              <w:left w:val="nil"/>
              <w:bottom w:val="single" w:sz="4" w:space="0" w:color="auto"/>
              <w:right w:val="single" w:sz="4" w:space="0" w:color="auto"/>
            </w:tcBorders>
            <w:shd w:val="clear" w:color="000000" w:fill="FFFFFF"/>
            <w:vAlign w:val="center"/>
            <w:hideMark/>
          </w:tcPr>
          <w:p w14:paraId="29414D7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49461E9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182124F"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12B2C0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for Risk communication;</w:t>
            </w:r>
          </w:p>
        </w:tc>
        <w:tc>
          <w:tcPr>
            <w:tcW w:w="1291" w:type="pct"/>
            <w:tcBorders>
              <w:top w:val="nil"/>
              <w:left w:val="nil"/>
              <w:bottom w:val="single" w:sz="4" w:space="0" w:color="auto"/>
              <w:right w:val="single" w:sz="4" w:space="0" w:color="auto"/>
            </w:tcBorders>
            <w:shd w:val="clear" w:color="000000" w:fill="FFFFFF"/>
            <w:vAlign w:val="center"/>
            <w:hideMark/>
          </w:tcPr>
          <w:p w14:paraId="704534B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Women (people) in malaria-endemic areas who slept under an ITN.</w:t>
            </w:r>
          </w:p>
        </w:tc>
        <w:tc>
          <w:tcPr>
            <w:tcW w:w="1462" w:type="pct"/>
            <w:tcBorders>
              <w:top w:val="nil"/>
              <w:left w:val="nil"/>
              <w:bottom w:val="single" w:sz="4" w:space="0" w:color="auto"/>
              <w:right w:val="single" w:sz="4" w:space="0" w:color="auto"/>
            </w:tcBorders>
            <w:shd w:val="clear" w:color="000000" w:fill="FFFFFF"/>
            <w:vAlign w:val="center"/>
            <w:hideMark/>
          </w:tcPr>
          <w:p w14:paraId="2A04AD2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1073474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56D38FAE"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6053E4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done Human resources for Health;</w:t>
            </w:r>
          </w:p>
        </w:tc>
        <w:tc>
          <w:tcPr>
            <w:tcW w:w="1291" w:type="pct"/>
            <w:tcBorders>
              <w:top w:val="nil"/>
              <w:left w:val="nil"/>
              <w:bottom w:val="single" w:sz="4" w:space="0" w:color="auto"/>
              <w:right w:val="single" w:sz="4" w:space="0" w:color="auto"/>
            </w:tcBorders>
            <w:shd w:val="clear" w:color="000000" w:fill="FFFFFF"/>
            <w:vAlign w:val="center"/>
            <w:hideMark/>
          </w:tcPr>
          <w:p w14:paraId="72334B5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households using improved sanitation facilities</w:t>
            </w:r>
          </w:p>
        </w:tc>
        <w:tc>
          <w:tcPr>
            <w:tcW w:w="1462" w:type="pct"/>
            <w:tcBorders>
              <w:top w:val="nil"/>
              <w:left w:val="nil"/>
              <w:bottom w:val="single" w:sz="4" w:space="0" w:color="auto"/>
              <w:right w:val="single" w:sz="4" w:space="0" w:color="auto"/>
            </w:tcBorders>
            <w:shd w:val="clear" w:color="000000" w:fill="FFFFFF"/>
            <w:vAlign w:val="center"/>
            <w:hideMark/>
          </w:tcPr>
          <w:p w14:paraId="34DE13C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46A8DA8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ADE89FC"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D3BF9F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in Laboratory;</w:t>
            </w:r>
          </w:p>
        </w:tc>
        <w:tc>
          <w:tcPr>
            <w:tcW w:w="1291" w:type="pct"/>
            <w:tcBorders>
              <w:top w:val="nil"/>
              <w:left w:val="nil"/>
              <w:bottom w:val="single" w:sz="4" w:space="0" w:color="auto"/>
              <w:right w:val="single" w:sz="4" w:space="0" w:color="auto"/>
            </w:tcBorders>
            <w:shd w:val="clear" w:color="000000" w:fill="FFFFFF"/>
            <w:vAlign w:val="center"/>
            <w:hideMark/>
          </w:tcPr>
          <w:p w14:paraId="50F1B7A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households using improved safe water facilities</w:t>
            </w:r>
          </w:p>
        </w:tc>
        <w:tc>
          <w:tcPr>
            <w:tcW w:w="1462" w:type="pct"/>
            <w:tcBorders>
              <w:top w:val="nil"/>
              <w:left w:val="nil"/>
              <w:bottom w:val="single" w:sz="4" w:space="0" w:color="auto"/>
              <w:right w:val="single" w:sz="4" w:space="0" w:color="auto"/>
            </w:tcBorders>
            <w:shd w:val="clear" w:color="000000" w:fill="FFFFFF"/>
            <w:vAlign w:val="center"/>
            <w:hideMark/>
          </w:tcPr>
          <w:p w14:paraId="641F2E4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1B3E2A0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7C3CF97"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6605AA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in Points of entry;</w:t>
            </w:r>
          </w:p>
        </w:tc>
        <w:tc>
          <w:tcPr>
            <w:tcW w:w="1291" w:type="pct"/>
            <w:tcBorders>
              <w:top w:val="nil"/>
              <w:left w:val="nil"/>
              <w:bottom w:val="single" w:sz="4" w:space="0" w:color="auto"/>
              <w:right w:val="single" w:sz="4" w:space="0" w:color="auto"/>
            </w:tcBorders>
            <w:shd w:val="clear" w:color="000000" w:fill="FFFFFF"/>
            <w:vAlign w:val="center"/>
            <w:hideMark/>
          </w:tcPr>
          <w:p w14:paraId="39832EF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Percentage of women aged 15−49 years (who report ever having been) screened for cervical cancer</w:t>
            </w:r>
          </w:p>
        </w:tc>
        <w:tc>
          <w:tcPr>
            <w:tcW w:w="1462" w:type="pct"/>
            <w:tcBorders>
              <w:top w:val="nil"/>
              <w:left w:val="nil"/>
              <w:bottom w:val="single" w:sz="4" w:space="0" w:color="auto"/>
              <w:right w:val="single" w:sz="4" w:space="0" w:color="auto"/>
            </w:tcBorders>
            <w:shd w:val="clear" w:color="000000" w:fill="FFFFFF"/>
            <w:noWrap/>
            <w:vAlign w:val="bottom"/>
            <w:hideMark/>
          </w:tcPr>
          <w:p w14:paraId="78AD48D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2AD13AA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5E578EFE"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DFFB32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achieved in Zoonotic events;</w:t>
            </w:r>
          </w:p>
        </w:tc>
        <w:tc>
          <w:tcPr>
            <w:tcW w:w="1291" w:type="pct"/>
            <w:tcBorders>
              <w:top w:val="nil"/>
              <w:left w:val="nil"/>
              <w:bottom w:val="single" w:sz="4" w:space="0" w:color="auto"/>
              <w:right w:val="single" w:sz="4" w:space="0" w:color="auto"/>
            </w:tcBorders>
            <w:shd w:val="clear" w:color="000000" w:fill="FFFFFF"/>
            <w:vAlign w:val="center"/>
            <w:hideMark/>
          </w:tcPr>
          <w:p w14:paraId="05892DE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Number of people managed with lifestyle diseases (Renal, Cancer, Diabetes and Cardiovascular Diseases)</w:t>
            </w:r>
          </w:p>
        </w:tc>
        <w:tc>
          <w:tcPr>
            <w:tcW w:w="1462" w:type="pct"/>
            <w:tcBorders>
              <w:top w:val="nil"/>
              <w:left w:val="nil"/>
              <w:bottom w:val="single" w:sz="4" w:space="0" w:color="auto"/>
              <w:right w:val="single" w:sz="4" w:space="0" w:color="auto"/>
            </w:tcBorders>
            <w:shd w:val="clear" w:color="000000" w:fill="FFFFFF"/>
            <w:noWrap/>
            <w:vAlign w:val="bottom"/>
            <w:hideMark/>
          </w:tcPr>
          <w:p w14:paraId="7AB289B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2E5A6EC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26C75608"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0159EE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attained in Food safety;</w:t>
            </w:r>
          </w:p>
        </w:tc>
        <w:tc>
          <w:tcPr>
            <w:tcW w:w="1291" w:type="pct"/>
            <w:tcBorders>
              <w:top w:val="nil"/>
              <w:left w:val="nil"/>
              <w:bottom w:val="single" w:sz="4" w:space="0" w:color="auto"/>
              <w:right w:val="single" w:sz="4" w:space="0" w:color="auto"/>
            </w:tcBorders>
            <w:shd w:val="clear" w:color="000000" w:fill="FFFFFF"/>
            <w:noWrap/>
            <w:vAlign w:val="bottom"/>
            <w:hideMark/>
          </w:tcPr>
          <w:p w14:paraId="387E150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57FA8DB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vAlign w:val="center"/>
            <w:hideMark/>
          </w:tcPr>
          <w:p w14:paraId="421B278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A8F623A"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83C4666"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Capacity achieved in Chemical events;</w:t>
            </w:r>
          </w:p>
        </w:tc>
        <w:tc>
          <w:tcPr>
            <w:tcW w:w="1291" w:type="pct"/>
            <w:tcBorders>
              <w:top w:val="nil"/>
              <w:left w:val="nil"/>
              <w:bottom w:val="single" w:sz="4" w:space="0" w:color="auto"/>
              <w:right w:val="single" w:sz="4" w:space="0" w:color="auto"/>
            </w:tcBorders>
            <w:shd w:val="clear" w:color="000000" w:fill="FFFFFF"/>
            <w:vAlign w:val="center"/>
            <w:hideMark/>
          </w:tcPr>
          <w:p w14:paraId="4B659A8F"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Demand and Quality of Care</w:t>
            </w:r>
          </w:p>
        </w:tc>
        <w:tc>
          <w:tcPr>
            <w:tcW w:w="1462" w:type="pct"/>
            <w:tcBorders>
              <w:top w:val="nil"/>
              <w:left w:val="nil"/>
              <w:bottom w:val="single" w:sz="4" w:space="0" w:color="auto"/>
              <w:right w:val="single" w:sz="4" w:space="0" w:color="auto"/>
            </w:tcBorders>
            <w:shd w:val="clear" w:color="000000" w:fill="FFFFFF"/>
            <w:vAlign w:val="center"/>
            <w:hideMark/>
          </w:tcPr>
          <w:p w14:paraId="13E7422F"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Demand and Quality of Care</w:t>
            </w:r>
          </w:p>
        </w:tc>
        <w:tc>
          <w:tcPr>
            <w:tcW w:w="1135" w:type="pct"/>
            <w:tcBorders>
              <w:top w:val="nil"/>
              <w:left w:val="nil"/>
              <w:bottom w:val="single" w:sz="4" w:space="0" w:color="auto"/>
              <w:right w:val="single" w:sz="4" w:space="0" w:color="auto"/>
            </w:tcBorders>
            <w:shd w:val="clear" w:color="000000" w:fill="FFFFFF"/>
            <w:vAlign w:val="center"/>
            <w:hideMark/>
          </w:tcPr>
          <w:p w14:paraId="29E2BD9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C98E85C" w14:textId="77777777" w:rsidTr="00BC0E2D">
        <w:trPr>
          <w:trHeight w:val="10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9B8434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Capacity in Radionuclear emergencies</w:t>
            </w:r>
          </w:p>
        </w:tc>
        <w:tc>
          <w:tcPr>
            <w:tcW w:w="1291" w:type="pct"/>
            <w:tcBorders>
              <w:top w:val="nil"/>
              <w:left w:val="nil"/>
              <w:bottom w:val="single" w:sz="4" w:space="0" w:color="auto"/>
              <w:right w:val="single" w:sz="4" w:space="0" w:color="auto"/>
            </w:tcBorders>
            <w:shd w:val="clear" w:color="000000" w:fill="FFFFFF"/>
            <w:vAlign w:val="center"/>
            <w:hideMark/>
          </w:tcPr>
          <w:p w14:paraId="5CF8FBF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Average Length of stay (ALOS)</w:t>
            </w:r>
          </w:p>
        </w:tc>
        <w:tc>
          <w:tcPr>
            <w:tcW w:w="1462" w:type="pct"/>
            <w:tcBorders>
              <w:top w:val="nil"/>
              <w:left w:val="nil"/>
              <w:bottom w:val="single" w:sz="4" w:space="0" w:color="auto"/>
              <w:right w:val="single" w:sz="4" w:space="0" w:color="auto"/>
            </w:tcBorders>
            <w:shd w:val="clear" w:color="000000" w:fill="FFFFFF"/>
            <w:vAlign w:val="center"/>
            <w:hideMark/>
          </w:tcPr>
          <w:p w14:paraId="56E6128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Client satisfaction Index</w:t>
            </w:r>
          </w:p>
        </w:tc>
        <w:tc>
          <w:tcPr>
            <w:tcW w:w="1135" w:type="pct"/>
            <w:tcBorders>
              <w:top w:val="nil"/>
              <w:left w:val="nil"/>
              <w:bottom w:val="single" w:sz="4" w:space="0" w:color="auto"/>
              <w:right w:val="single" w:sz="4" w:space="0" w:color="auto"/>
            </w:tcBorders>
            <w:shd w:val="clear" w:color="000000" w:fill="FFFFFF"/>
            <w:vAlign w:val="center"/>
            <w:hideMark/>
          </w:tcPr>
          <w:p w14:paraId="5361DE4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6BC7F31" w14:textId="77777777" w:rsidTr="00BC0E2D">
        <w:trPr>
          <w:trHeight w:val="9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11715D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Access to specialized health care in management of lifestyle diseases (Renal, Cancer, </w:t>
            </w:r>
            <w:r w:rsidRPr="00C8198D">
              <w:rPr>
                <w:rFonts w:eastAsia="Times New Roman" w:cstheme="minorHAnsi"/>
                <w:color w:val="595959" w:themeColor="text1" w:themeTint="A6"/>
                <w:sz w:val="20"/>
                <w:szCs w:val="20"/>
              </w:rPr>
              <w:lastRenderedPageBreak/>
              <w:t>Diabetes and Cardiovascular Diseases)</w:t>
            </w:r>
          </w:p>
        </w:tc>
        <w:tc>
          <w:tcPr>
            <w:tcW w:w="1291" w:type="pct"/>
            <w:tcBorders>
              <w:top w:val="nil"/>
              <w:left w:val="nil"/>
              <w:bottom w:val="single" w:sz="4" w:space="0" w:color="auto"/>
              <w:right w:val="single" w:sz="4" w:space="0" w:color="auto"/>
            </w:tcBorders>
            <w:shd w:val="clear" w:color="000000" w:fill="FFFFFF"/>
            <w:vAlign w:val="center"/>
            <w:hideMark/>
          </w:tcPr>
          <w:p w14:paraId="2DACF1A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lastRenderedPageBreak/>
              <w:t>Neonatal deaths Audit</w:t>
            </w:r>
          </w:p>
        </w:tc>
        <w:tc>
          <w:tcPr>
            <w:tcW w:w="1462" w:type="pct"/>
            <w:tcBorders>
              <w:top w:val="nil"/>
              <w:left w:val="nil"/>
              <w:bottom w:val="single" w:sz="4" w:space="0" w:color="auto"/>
              <w:right w:val="single" w:sz="4" w:space="0" w:color="auto"/>
            </w:tcBorders>
            <w:shd w:val="clear" w:color="000000" w:fill="FFFFFF"/>
            <w:vAlign w:val="center"/>
            <w:hideMark/>
          </w:tcPr>
          <w:p w14:paraId="5EBE8D3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Outpatient per capita utilisation Rate</w:t>
            </w:r>
          </w:p>
        </w:tc>
        <w:tc>
          <w:tcPr>
            <w:tcW w:w="1135" w:type="pct"/>
            <w:tcBorders>
              <w:top w:val="nil"/>
              <w:left w:val="nil"/>
              <w:bottom w:val="single" w:sz="4" w:space="0" w:color="auto"/>
              <w:right w:val="single" w:sz="4" w:space="0" w:color="auto"/>
            </w:tcBorders>
            <w:shd w:val="clear" w:color="000000" w:fill="FFFFFF"/>
            <w:noWrap/>
            <w:vAlign w:val="bottom"/>
            <w:hideMark/>
          </w:tcPr>
          <w:p w14:paraId="4F3D88F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32A9039"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0868404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22760C6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Maternal deaths Audit</w:t>
            </w:r>
          </w:p>
        </w:tc>
        <w:tc>
          <w:tcPr>
            <w:tcW w:w="1462" w:type="pct"/>
            <w:tcBorders>
              <w:top w:val="nil"/>
              <w:left w:val="nil"/>
              <w:bottom w:val="single" w:sz="4" w:space="0" w:color="auto"/>
              <w:right w:val="single" w:sz="4" w:space="0" w:color="auto"/>
            </w:tcBorders>
            <w:shd w:val="clear" w:color="000000" w:fill="FFFFFF"/>
            <w:vAlign w:val="center"/>
            <w:hideMark/>
          </w:tcPr>
          <w:p w14:paraId="25C7936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TB treatment cure rate</w:t>
            </w:r>
          </w:p>
        </w:tc>
        <w:tc>
          <w:tcPr>
            <w:tcW w:w="1135" w:type="pct"/>
            <w:tcBorders>
              <w:top w:val="nil"/>
              <w:left w:val="nil"/>
              <w:bottom w:val="single" w:sz="4" w:space="0" w:color="auto"/>
              <w:right w:val="single" w:sz="4" w:space="0" w:color="auto"/>
            </w:tcBorders>
            <w:shd w:val="clear" w:color="000000" w:fill="FFFFFF"/>
            <w:noWrap/>
            <w:vAlign w:val="bottom"/>
            <w:hideMark/>
          </w:tcPr>
          <w:p w14:paraId="746DCBA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4DE7171C"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02EBAA5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25F3421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Fresh still births</w:t>
            </w:r>
          </w:p>
        </w:tc>
        <w:tc>
          <w:tcPr>
            <w:tcW w:w="1462" w:type="pct"/>
            <w:tcBorders>
              <w:top w:val="nil"/>
              <w:left w:val="nil"/>
              <w:bottom w:val="single" w:sz="4" w:space="0" w:color="auto"/>
              <w:right w:val="single" w:sz="4" w:space="0" w:color="auto"/>
            </w:tcBorders>
            <w:shd w:val="clear" w:color="000000" w:fill="FFFFFF"/>
            <w:noWrap/>
            <w:vAlign w:val="bottom"/>
            <w:hideMark/>
          </w:tcPr>
          <w:p w14:paraId="003C69A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28AE9DC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B2BF2A4"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356E6A2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67EB6A54"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Joint assessment</w:t>
            </w:r>
          </w:p>
        </w:tc>
        <w:tc>
          <w:tcPr>
            <w:tcW w:w="1462" w:type="pct"/>
            <w:tcBorders>
              <w:top w:val="nil"/>
              <w:left w:val="nil"/>
              <w:bottom w:val="single" w:sz="4" w:space="0" w:color="auto"/>
              <w:right w:val="single" w:sz="4" w:space="0" w:color="auto"/>
            </w:tcBorders>
            <w:shd w:val="clear" w:color="000000" w:fill="FFFFFF"/>
            <w:vAlign w:val="center"/>
            <w:hideMark/>
          </w:tcPr>
          <w:p w14:paraId="4D5B04A3"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Joint assessment</w:t>
            </w:r>
          </w:p>
        </w:tc>
        <w:tc>
          <w:tcPr>
            <w:tcW w:w="1135" w:type="pct"/>
            <w:tcBorders>
              <w:top w:val="nil"/>
              <w:left w:val="nil"/>
              <w:bottom w:val="single" w:sz="4" w:space="0" w:color="auto"/>
              <w:right w:val="single" w:sz="4" w:space="0" w:color="auto"/>
            </w:tcBorders>
            <w:shd w:val="clear" w:color="000000" w:fill="FFFFFF"/>
            <w:noWrap/>
            <w:vAlign w:val="bottom"/>
            <w:hideMark/>
          </w:tcPr>
          <w:p w14:paraId="37CDBF2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EA0F51C"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100880D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31440E07"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1ADAEC6D"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135" w:type="pct"/>
            <w:tcBorders>
              <w:top w:val="nil"/>
              <w:left w:val="nil"/>
              <w:bottom w:val="single" w:sz="4" w:space="0" w:color="auto"/>
              <w:right w:val="single" w:sz="4" w:space="0" w:color="auto"/>
            </w:tcBorders>
            <w:shd w:val="clear" w:color="000000" w:fill="FFFFFF"/>
            <w:noWrap/>
            <w:vAlign w:val="bottom"/>
            <w:hideMark/>
          </w:tcPr>
          <w:p w14:paraId="5BACC8D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10BE3ED4"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4FE7FE5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1214971D"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vAlign w:val="center"/>
            <w:hideMark/>
          </w:tcPr>
          <w:p w14:paraId="3AF5E8A9"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135" w:type="pct"/>
            <w:tcBorders>
              <w:top w:val="nil"/>
              <w:left w:val="nil"/>
              <w:bottom w:val="single" w:sz="4" w:space="0" w:color="auto"/>
              <w:right w:val="single" w:sz="4" w:space="0" w:color="auto"/>
            </w:tcBorders>
            <w:shd w:val="clear" w:color="000000" w:fill="FFFFFF"/>
            <w:noWrap/>
            <w:vAlign w:val="bottom"/>
            <w:hideMark/>
          </w:tcPr>
          <w:p w14:paraId="06EB6CE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08833B8"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6D7CFB1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6EBA9F43"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462" w:type="pct"/>
            <w:tcBorders>
              <w:top w:val="nil"/>
              <w:left w:val="nil"/>
              <w:bottom w:val="single" w:sz="4" w:space="0" w:color="auto"/>
              <w:right w:val="single" w:sz="4" w:space="0" w:color="auto"/>
            </w:tcBorders>
            <w:shd w:val="clear" w:color="000000" w:fill="FFFFFF"/>
            <w:noWrap/>
            <w:vAlign w:val="bottom"/>
            <w:hideMark/>
          </w:tcPr>
          <w:p w14:paraId="087CC6C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35E36AE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2FEF3E7"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34350EF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noWrap/>
            <w:vAlign w:val="bottom"/>
            <w:hideMark/>
          </w:tcPr>
          <w:p w14:paraId="728BA33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7202845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59C29D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11280915"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79DFBEFB"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Social Health Protection</w:t>
            </w:r>
          </w:p>
        </w:tc>
        <w:tc>
          <w:tcPr>
            <w:tcW w:w="1291" w:type="pct"/>
            <w:tcBorders>
              <w:top w:val="nil"/>
              <w:left w:val="nil"/>
              <w:bottom w:val="single" w:sz="4" w:space="0" w:color="auto"/>
              <w:right w:val="single" w:sz="4" w:space="0" w:color="auto"/>
            </w:tcBorders>
            <w:shd w:val="clear" w:color="000000" w:fill="FFFFFF"/>
            <w:vAlign w:val="center"/>
            <w:hideMark/>
          </w:tcPr>
          <w:p w14:paraId="17AE89C3"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Social Health Protection</w:t>
            </w:r>
          </w:p>
        </w:tc>
        <w:tc>
          <w:tcPr>
            <w:tcW w:w="1462" w:type="pct"/>
            <w:tcBorders>
              <w:top w:val="nil"/>
              <w:left w:val="nil"/>
              <w:bottom w:val="single" w:sz="4" w:space="0" w:color="auto"/>
              <w:right w:val="single" w:sz="4" w:space="0" w:color="auto"/>
            </w:tcBorders>
            <w:shd w:val="clear" w:color="000000" w:fill="FFFFFF"/>
            <w:noWrap/>
            <w:vAlign w:val="bottom"/>
            <w:hideMark/>
          </w:tcPr>
          <w:p w14:paraId="1DE7CAF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06155D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61ABBC1"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7F11F8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Proportion of health budget as a percentage of Total budget (National + County)</w:t>
            </w:r>
          </w:p>
        </w:tc>
        <w:tc>
          <w:tcPr>
            <w:tcW w:w="1291" w:type="pct"/>
            <w:tcBorders>
              <w:top w:val="nil"/>
              <w:left w:val="nil"/>
              <w:bottom w:val="single" w:sz="4" w:space="0" w:color="auto"/>
              <w:right w:val="single" w:sz="4" w:space="0" w:color="auto"/>
            </w:tcBorders>
            <w:shd w:val="clear" w:color="000000" w:fill="FFFFFF"/>
            <w:vAlign w:val="center"/>
            <w:hideMark/>
          </w:tcPr>
          <w:p w14:paraId="0853610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Health Insurance Coverage </w:t>
            </w:r>
          </w:p>
        </w:tc>
        <w:tc>
          <w:tcPr>
            <w:tcW w:w="1462" w:type="pct"/>
            <w:tcBorders>
              <w:top w:val="nil"/>
              <w:left w:val="nil"/>
              <w:bottom w:val="single" w:sz="4" w:space="0" w:color="auto"/>
              <w:right w:val="single" w:sz="4" w:space="0" w:color="auto"/>
            </w:tcBorders>
            <w:shd w:val="clear" w:color="000000" w:fill="FFFFFF"/>
            <w:noWrap/>
            <w:vAlign w:val="bottom"/>
            <w:hideMark/>
          </w:tcPr>
          <w:p w14:paraId="01BDFB0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7052DDF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DF65A8A"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3AA1B64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68DB83F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People covered by Health Insurance (NHIF) </w:t>
            </w:r>
          </w:p>
        </w:tc>
        <w:tc>
          <w:tcPr>
            <w:tcW w:w="1462" w:type="pct"/>
            <w:tcBorders>
              <w:top w:val="nil"/>
              <w:left w:val="nil"/>
              <w:bottom w:val="single" w:sz="4" w:space="0" w:color="auto"/>
              <w:right w:val="single" w:sz="4" w:space="0" w:color="auto"/>
            </w:tcBorders>
            <w:shd w:val="clear" w:color="000000" w:fill="FFFFFF"/>
            <w:noWrap/>
            <w:vAlign w:val="bottom"/>
            <w:hideMark/>
          </w:tcPr>
          <w:p w14:paraId="4863367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212E080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17BB5A44"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6EFC5F3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62DD76D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Health Insurance coverage for (Elderly and Persons With Disability (EPWD) </w:t>
            </w:r>
          </w:p>
        </w:tc>
        <w:tc>
          <w:tcPr>
            <w:tcW w:w="1462" w:type="pct"/>
            <w:tcBorders>
              <w:top w:val="nil"/>
              <w:left w:val="nil"/>
              <w:bottom w:val="single" w:sz="4" w:space="0" w:color="auto"/>
              <w:right w:val="single" w:sz="4" w:space="0" w:color="auto"/>
            </w:tcBorders>
            <w:shd w:val="clear" w:color="000000" w:fill="FFFFFF"/>
            <w:noWrap/>
            <w:vAlign w:val="bottom"/>
            <w:hideMark/>
          </w:tcPr>
          <w:p w14:paraId="65257A1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9CA7A1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3F2E033"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0982B13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75D5E5B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xml:space="preserve">Health Insurance coverage – Linda Mama </w:t>
            </w:r>
          </w:p>
        </w:tc>
        <w:tc>
          <w:tcPr>
            <w:tcW w:w="1462" w:type="pct"/>
            <w:tcBorders>
              <w:top w:val="nil"/>
              <w:left w:val="nil"/>
              <w:bottom w:val="single" w:sz="4" w:space="0" w:color="auto"/>
              <w:right w:val="single" w:sz="4" w:space="0" w:color="auto"/>
            </w:tcBorders>
            <w:shd w:val="clear" w:color="000000" w:fill="FFFFFF"/>
            <w:noWrap/>
            <w:vAlign w:val="bottom"/>
            <w:hideMark/>
          </w:tcPr>
          <w:p w14:paraId="29D9BF8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219533D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AF02146"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478FF29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785AAAF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Health Insurance coverage – (Secondary school)</w:t>
            </w:r>
          </w:p>
        </w:tc>
        <w:tc>
          <w:tcPr>
            <w:tcW w:w="1462" w:type="pct"/>
            <w:tcBorders>
              <w:top w:val="nil"/>
              <w:left w:val="nil"/>
              <w:bottom w:val="single" w:sz="4" w:space="0" w:color="auto"/>
              <w:right w:val="single" w:sz="4" w:space="0" w:color="auto"/>
            </w:tcBorders>
            <w:shd w:val="clear" w:color="000000" w:fill="FFFFFF"/>
            <w:noWrap/>
            <w:vAlign w:val="bottom"/>
            <w:hideMark/>
          </w:tcPr>
          <w:p w14:paraId="495E190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39F3041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81E46BC"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9394223"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Gazettment , Accredited and claims</w:t>
            </w:r>
          </w:p>
        </w:tc>
        <w:tc>
          <w:tcPr>
            <w:tcW w:w="1291" w:type="pct"/>
            <w:tcBorders>
              <w:top w:val="nil"/>
              <w:left w:val="nil"/>
              <w:bottom w:val="single" w:sz="4" w:space="0" w:color="auto"/>
              <w:right w:val="single" w:sz="4" w:space="0" w:color="auto"/>
            </w:tcBorders>
            <w:shd w:val="clear" w:color="000000" w:fill="FFFFFF"/>
            <w:noWrap/>
            <w:vAlign w:val="bottom"/>
            <w:hideMark/>
          </w:tcPr>
          <w:p w14:paraId="14AB0C0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00F98E8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00DCF7E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9A8444F"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7C8C7105"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32D8D2C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431B608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0C53106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95474E4"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77517A31"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0BC98E6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4E69E9B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50376CC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E2DDE5F"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381538ED"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2135BDB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25BC7C69"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4AFD9AF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5BCE5B8A"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0B8E603"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105CD28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5405BC9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7B21D3F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5742BABF"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169A93AE"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432025D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4357B83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1741ED8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FE9BF56"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360315A4"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2F620FC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6003AE3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083F4FE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28E79648"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55E45B2"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4CA4967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612CC35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0D4EF3B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72A3340"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577D1ED9"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76154AB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29E121A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3CD5F52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AEDDA95"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8FD21E7" w14:textId="77777777" w:rsidR="007C1C2F" w:rsidRPr="00C8198D" w:rsidRDefault="007C1C2F" w:rsidP="00BC0E2D">
            <w:pPr>
              <w:spacing w:after="0" w:line="240" w:lineRule="auto"/>
              <w:rPr>
                <w:rFonts w:eastAsia="Times New Roman" w:cstheme="minorHAnsi"/>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120A53F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314300C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7282471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CE745AC"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61E7339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7DB3CB5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758C1F5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1B9A637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5ED9A77"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1F687EC0"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Financing</w:t>
            </w:r>
          </w:p>
        </w:tc>
        <w:tc>
          <w:tcPr>
            <w:tcW w:w="1291" w:type="pct"/>
            <w:tcBorders>
              <w:top w:val="nil"/>
              <w:left w:val="nil"/>
              <w:bottom w:val="single" w:sz="4" w:space="0" w:color="auto"/>
              <w:right w:val="single" w:sz="4" w:space="0" w:color="auto"/>
            </w:tcBorders>
            <w:shd w:val="clear" w:color="000000" w:fill="FFFFFF"/>
            <w:vAlign w:val="center"/>
            <w:hideMark/>
          </w:tcPr>
          <w:p w14:paraId="06D3461F"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Financing</w:t>
            </w:r>
          </w:p>
        </w:tc>
        <w:tc>
          <w:tcPr>
            <w:tcW w:w="1462" w:type="pct"/>
            <w:tcBorders>
              <w:top w:val="nil"/>
              <w:left w:val="nil"/>
              <w:bottom w:val="single" w:sz="4" w:space="0" w:color="auto"/>
              <w:right w:val="single" w:sz="4" w:space="0" w:color="auto"/>
            </w:tcBorders>
            <w:shd w:val="clear" w:color="000000" w:fill="FFFFFF"/>
            <w:noWrap/>
            <w:vAlign w:val="bottom"/>
            <w:hideMark/>
          </w:tcPr>
          <w:p w14:paraId="7235D9D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16F3115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01370FF4"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74B88D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Government spending on health as % of total government spending </w:t>
            </w:r>
          </w:p>
        </w:tc>
        <w:tc>
          <w:tcPr>
            <w:tcW w:w="1291" w:type="pct"/>
            <w:tcBorders>
              <w:top w:val="nil"/>
              <w:left w:val="nil"/>
              <w:bottom w:val="single" w:sz="4" w:space="0" w:color="auto"/>
              <w:right w:val="single" w:sz="4" w:space="0" w:color="auto"/>
            </w:tcBorders>
            <w:shd w:val="clear" w:color="000000" w:fill="FFFFFF"/>
            <w:vAlign w:val="center"/>
            <w:hideMark/>
          </w:tcPr>
          <w:p w14:paraId="77CE8AF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Public per capita health spending (US$)</w:t>
            </w:r>
          </w:p>
        </w:tc>
        <w:tc>
          <w:tcPr>
            <w:tcW w:w="1462" w:type="pct"/>
            <w:tcBorders>
              <w:top w:val="nil"/>
              <w:left w:val="nil"/>
              <w:bottom w:val="single" w:sz="4" w:space="0" w:color="auto"/>
              <w:right w:val="single" w:sz="4" w:space="0" w:color="auto"/>
            </w:tcBorders>
            <w:shd w:val="clear" w:color="000000" w:fill="FFFFFF"/>
            <w:noWrap/>
            <w:vAlign w:val="bottom"/>
            <w:hideMark/>
          </w:tcPr>
          <w:p w14:paraId="49B6B35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010A3F9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4BBF7CDA"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386BB3AC"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lastRenderedPageBreak/>
              <w:t>Government spending on health as % of total government spending (Absolute KShs Billions)</w:t>
            </w:r>
          </w:p>
        </w:tc>
        <w:tc>
          <w:tcPr>
            <w:tcW w:w="1291" w:type="pct"/>
            <w:tcBorders>
              <w:top w:val="nil"/>
              <w:left w:val="nil"/>
              <w:bottom w:val="single" w:sz="4" w:space="0" w:color="auto"/>
              <w:right w:val="single" w:sz="4" w:space="0" w:color="auto"/>
            </w:tcBorders>
            <w:shd w:val="clear" w:color="000000" w:fill="FFFFFF"/>
            <w:vAlign w:val="center"/>
            <w:hideMark/>
          </w:tcPr>
          <w:p w14:paraId="16D89D0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Per capita spending on health (THE in $)</w:t>
            </w:r>
          </w:p>
        </w:tc>
        <w:tc>
          <w:tcPr>
            <w:tcW w:w="1462" w:type="pct"/>
            <w:tcBorders>
              <w:top w:val="nil"/>
              <w:left w:val="nil"/>
              <w:bottom w:val="single" w:sz="4" w:space="0" w:color="auto"/>
              <w:right w:val="single" w:sz="4" w:space="0" w:color="auto"/>
            </w:tcBorders>
            <w:shd w:val="clear" w:color="000000" w:fill="FFFFFF"/>
            <w:noWrap/>
            <w:vAlign w:val="bottom"/>
            <w:hideMark/>
          </w:tcPr>
          <w:p w14:paraId="0F0C97A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71224BB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2B6CC03B"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C259B3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Government spending on health as % of Total Health Expenditure (THE)</w:t>
            </w:r>
          </w:p>
        </w:tc>
        <w:tc>
          <w:tcPr>
            <w:tcW w:w="1291" w:type="pct"/>
            <w:tcBorders>
              <w:top w:val="nil"/>
              <w:left w:val="nil"/>
              <w:bottom w:val="single" w:sz="4" w:space="0" w:color="auto"/>
              <w:right w:val="single" w:sz="4" w:space="0" w:color="auto"/>
            </w:tcBorders>
            <w:shd w:val="clear" w:color="000000" w:fill="FFFFFF"/>
            <w:vAlign w:val="center"/>
            <w:hideMark/>
          </w:tcPr>
          <w:p w14:paraId="19C0C65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total health expenditure that is pooled (government and insurance)</w:t>
            </w:r>
          </w:p>
        </w:tc>
        <w:tc>
          <w:tcPr>
            <w:tcW w:w="1462" w:type="pct"/>
            <w:tcBorders>
              <w:top w:val="nil"/>
              <w:left w:val="nil"/>
              <w:bottom w:val="single" w:sz="4" w:space="0" w:color="auto"/>
              <w:right w:val="single" w:sz="4" w:space="0" w:color="auto"/>
            </w:tcBorders>
            <w:shd w:val="clear" w:color="000000" w:fill="FFFFFF"/>
            <w:noWrap/>
            <w:vAlign w:val="bottom"/>
            <w:hideMark/>
          </w:tcPr>
          <w:p w14:paraId="1386531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232DB45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7A7B1EB9"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0617619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Public spending on health as percentage of GDP</w:t>
            </w:r>
          </w:p>
        </w:tc>
        <w:tc>
          <w:tcPr>
            <w:tcW w:w="1291" w:type="pct"/>
            <w:tcBorders>
              <w:top w:val="nil"/>
              <w:left w:val="nil"/>
              <w:bottom w:val="single" w:sz="4" w:space="0" w:color="auto"/>
              <w:right w:val="single" w:sz="4" w:space="0" w:color="auto"/>
            </w:tcBorders>
            <w:shd w:val="clear" w:color="000000" w:fill="FFFFFF"/>
            <w:vAlign w:val="center"/>
            <w:hideMark/>
          </w:tcPr>
          <w:p w14:paraId="4A089721"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population covered under mandatory prepayment schemes</w:t>
            </w:r>
          </w:p>
        </w:tc>
        <w:tc>
          <w:tcPr>
            <w:tcW w:w="1462" w:type="pct"/>
            <w:tcBorders>
              <w:top w:val="nil"/>
              <w:left w:val="nil"/>
              <w:bottom w:val="single" w:sz="4" w:space="0" w:color="auto"/>
              <w:right w:val="single" w:sz="4" w:space="0" w:color="auto"/>
            </w:tcBorders>
            <w:shd w:val="clear" w:color="000000" w:fill="FFFFFF"/>
            <w:noWrap/>
            <w:vAlign w:val="bottom"/>
            <w:hideMark/>
          </w:tcPr>
          <w:p w14:paraId="469AB7B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3885A79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382E94B3"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60569B5D"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Public spending on health as percentage of GDP (Absolute values) KSh billions.</w:t>
            </w:r>
          </w:p>
        </w:tc>
        <w:tc>
          <w:tcPr>
            <w:tcW w:w="1291" w:type="pct"/>
            <w:tcBorders>
              <w:top w:val="nil"/>
              <w:left w:val="nil"/>
              <w:bottom w:val="single" w:sz="4" w:space="0" w:color="auto"/>
              <w:right w:val="single" w:sz="4" w:space="0" w:color="auto"/>
            </w:tcBorders>
            <w:shd w:val="clear" w:color="000000" w:fill="FFFFFF"/>
            <w:vAlign w:val="center"/>
            <w:hideMark/>
          </w:tcPr>
          <w:p w14:paraId="759317D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population needing subsidies covered under mandatory insurance</w:t>
            </w:r>
          </w:p>
        </w:tc>
        <w:tc>
          <w:tcPr>
            <w:tcW w:w="1462" w:type="pct"/>
            <w:tcBorders>
              <w:top w:val="nil"/>
              <w:left w:val="nil"/>
              <w:bottom w:val="single" w:sz="4" w:space="0" w:color="auto"/>
              <w:right w:val="single" w:sz="4" w:space="0" w:color="auto"/>
            </w:tcBorders>
            <w:shd w:val="clear" w:color="000000" w:fill="FFFFFF"/>
            <w:noWrap/>
            <w:vAlign w:val="bottom"/>
            <w:hideMark/>
          </w:tcPr>
          <w:p w14:paraId="2707C51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7020DF97"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221C997"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noWrap/>
            <w:vAlign w:val="bottom"/>
            <w:hideMark/>
          </w:tcPr>
          <w:p w14:paraId="6E0B5FC8"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291" w:type="pct"/>
            <w:tcBorders>
              <w:top w:val="nil"/>
              <w:left w:val="nil"/>
              <w:bottom w:val="single" w:sz="4" w:space="0" w:color="auto"/>
              <w:right w:val="single" w:sz="4" w:space="0" w:color="auto"/>
            </w:tcBorders>
            <w:shd w:val="clear" w:color="000000" w:fill="FFFFFF"/>
            <w:vAlign w:val="center"/>
            <w:hideMark/>
          </w:tcPr>
          <w:p w14:paraId="456663C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total health expenditure contributed to by donor projects / programs</w:t>
            </w:r>
          </w:p>
        </w:tc>
        <w:tc>
          <w:tcPr>
            <w:tcW w:w="1462" w:type="pct"/>
            <w:tcBorders>
              <w:top w:val="nil"/>
              <w:left w:val="nil"/>
              <w:bottom w:val="single" w:sz="4" w:space="0" w:color="auto"/>
              <w:right w:val="single" w:sz="4" w:space="0" w:color="auto"/>
            </w:tcBorders>
            <w:shd w:val="clear" w:color="000000" w:fill="FFFFFF"/>
            <w:noWrap/>
            <w:vAlign w:val="bottom"/>
            <w:hideMark/>
          </w:tcPr>
          <w:p w14:paraId="040FC24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B9C317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4FC055E5"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53F8457" w14:textId="77777777" w:rsidR="007C1C2F" w:rsidRPr="00C8198D" w:rsidRDefault="007C1C2F" w:rsidP="00BC0E2D">
            <w:pPr>
              <w:spacing w:after="0" w:line="240" w:lineRule="auto"/>
              <w:rPr>
                <w:rFonts w:eastAsia="Times New Roman" w:cstheme="minorHAnsi"/>
                <w:b/>
                <w:bCs/>
                <w:color w:val="595959" w:themeColor="text1" w:themeTint="A6"/>
                <w:sz w:val="20"/>
                <w:szCs w:val="20"/>
              </w:rPr>
            </w:pPr>
            <w:r w:rsidRPr="00C8198D">
              <w:rPr>
                <w:rFonts w:eastAsia="Times New Roman" w:cstheme="minorHAnsi"/>
                <w:b/>
                <w:bCs/>
                <w:color w:val="595959" w:themeColor="text1" w:themeTint="A6"/>
                <w:sz w:val="20"/>
                <w:szCs w:val="20"/>
              </w:rPr>
              <w:t>Advocacy and social mobilisation</w:t>
            </w:r>
          </w:p>
        </w:tc>
        <w:tc>
          <w:tcPr>
            <w:tcW w:w="1291" w:type="pct"/>
            <w:tcBorders>
              <w:top w:val="nil"/>
              <w:left w:val="nil"/>
              <w:bottom w:val="single" w:sz="4" w:space="0" w:color="auto"/>
              <w:right w:val="single" w:sz="4" w:space="0" w:color="auto"/>
            </w:tcBorders>
            <w:shd w:val="clear" w:color="000000" w:fill="FFFFFF"/>
            <w:vAlign w:val="center"/>
            <w:hideMark/>
          </w:tcPr>
          <w:p w14:paraId="30C4D952"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total health expenditure contributed to by voluntary pre-payment schemes</w:t>
            </w:r>
          </w:p>
        </w:tc>
        <w:tc>
          <w:tcPr>
            <w:tcW w:w="1462" w:type="pct"/>
            <w:tcBorders>
              <w:top w:val="nil"/>
              <w:left w:val="nil"/>
              <w:bottom w:val="single" w:sz="4" w:space="0" w:color="auto"/>
              <w:right w:val="single" w:sz="4" w:space="0" w:color="auto"/>
            </w:tcBorders>
            <w:shd w:val="clear" w:color="000000" w:fill="FFFFFF"/>
            <w:noWrap/>
            <w:vAlign w:val="bottom"/>
            <w:hideMark/>
          </w:tcPr>
          <w:p w14:paraId="0AD1DED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305F36A6"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4552E411"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0AC18FF" w14:textId="77777777" w:rsidR="007C1C2F" w:rsidRPr="00C8198D" w:rsidRDefault="007C1C2F" w:rsidP="00BC0E2D">
            <w:pPr>
              <w:spacing w:after="0" w:line="240" w:lineRule="auto"/>
              <w:rPr>
                <w:rFonts w:ascii="Arial" w:eastAsia="Times New Roman" w:hAnsi="Arial" w:cs="Arial"/>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0547AA3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Out of pocket expenditure as % of total health expenditure </w:t>
            </w:r>
          </w:p>
        </w:tc>
        <w:tc>
          <w:tcPr>
            <w:tcW w:w="1462" w:type="pct"/>
            <w:tcBorders>
              <w:top w:val="nil"/>
              <w:left w:val="nil"/>
              <w:bottom w:val="single" w:sz="4" w:space="0" w:color="auto"/>
              <w:right w:val="single" w:sz="4" w:space="0" w:color="auto"/>
            </w:tcBorders>
            <w:shd w:val="clear" w:color="000000" w:fill="FFFFFF"/>
            <w:noWrap/>
            <w:vAlign w:val="bottom"/>
            <w:hideMark/>
          </w:tcPr>
          <w:p w14:paraId="2959763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819EAD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572902B3" w14:textId="77777777" w:rsidTr="00BC0E2D">
        <w:trPr>
          <w:trHeight w:val="45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18042F3A" w14:textId="77777777" w:rsidR="007C1C2F" w:rsidRPr="00C8198D" w:rsidRDefault="007C1C2F" w:rsidP="00BC0E2D">
            <w:pPr>
              <w:spacing w:after="0" w:line="240" w:lineRule="auto"/>
              <w:rPr>
                <w:rFonts w:ascii="Arial" w:eastAsia="Times New Roman" w:hAnsi="Arial" w:cs="Arial"/>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vAlign w:val="center"/>
            <w:hideMark/>
          </w:tcPr>
          <w:p w14:paraId="73948FBF"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of population incurring catastrophic health expenditures</w:t>
            </w:r>
          </w:p>
        </w:tc>
        <w:tc>
          <w:tcPr>
            <w:tcW w:w="1462" w:type="pct"/>
            <w:tcBorders>
              <w:top w:val="nil"/>
              <w:left w:val="nil"/>
              <w:bottom w:val="single" w:sz="4" w:space="0" w:color="auto"/>
              <w:right w:val="single" w:sz="4" w:space="0" w:color="auto"/>
            </w:tcBorders>
            <w:shd w:val="clear" w:color="000000" w:fill="FFFFFF"/>
            <w:noWrap/>
            <w:vAlign w:val="bottom"/>
            <w:hideMark/>
          </w:tcPr>
          <w:p w14:paraId="255B7DC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41F4608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1F3EC454"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5B596212" w14:textId="77777777" w:rsidR="007C1C2F" w:rsidRPr="00C8198D" w:rsidRDefault="007C1C2F" w:rsidP="00BC0E2D">
            <w:pPr>
              <w:spacing w:after="0" w:line="240" w:lineRule="auto"/>
              <w:rPr>
                <w:rFonts w:ascii="Arial" w:eastAsia="Times New Roman" w:hAnsi="Arial" w:cs="Arial"/>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0F142C9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13FFBE2E"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552FA0F5"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6F040A5" w14:textId="77777777" w:rsidTr="00BC0E2D">
        <w:trPr>
          <w:trHeight w:val="300"/>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45FE7E84" w14:textId="77777777" w:rsidR="007C1C2F" w:rsidRPr="00C8198D" w:rsidRDefault="007C1C2F" w:rsidP="00BC0E2D">
            <w:pPr>
              <w:spacing w:after="0" w:line="240" w:lineRule="auto"/>
              <w:rPr>
                <w:rFonts w:ascii="Arial" w:eastAsia="Times New Roman" w:hAnsi="Arial" w:cs="Arial"/>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4F486A0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2818E48A"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5E0452FB"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r w:rsidR="007C1C2F" w:rsidRPr="00C8198D" w14:paraId="679D5807" w14:textId="77777777" w:rsidTr="00BC0E2D">
        <w:trPr>
          <w:trHeight w:val="675"/>
        </w:trPr>
        <w:tc>
          <w:tcPr>
            <w:tcW w:w="1112" w:type="pct"/>
            <w:tcBorders>
              <w:top w:val="nil"/>
              <w:left w:val="single" w:sz="4" w:space="0" w:color="auto"/>
              <w:bottom w:val="single" w:sz="4" w:space="0" w:color="auto"/>
              <w:right w:val="single" w:sz="4" w:space="0" w:color="auto"/>
            </w:tcBorders>
            <w:shd w:val="clear" w:color="000000" w:fill="FFFFFF"/>
            <w:vAlign w:val="center"/>
            <w:hideMark/>
          </w:tcPr>
          <w:p w14:paraId="29ECF580" w14:textId="77777777" w:rsidR="007C1C2F" w:rsidRPr="00C8198D" w:rsidRDefault="007C1C2F" w:rsidP="00BC0E2D">
            <w:pPr>
              <w:spacing w:after="0" w:line="240" w:lineRule="auto"/>
              <w:rPr>
                <w:rFonts w:ascii="Arial" w:eastAsia="Times New Roman" w:hAnsi="Arial" w:cs="Arial"/>
                <w:color w:val="595959" w:themeColor="text1" w:themeTint="A6"/>
                <w:sz w:val="20"/>
                <w:szCs w:val="20"/>
              </w:rPr>
            </w:pPr>
          </w:p>
        </w:tc>
        <w:tc>
          <w:tcPr>
            <w:tcW w:w="1291" w:type="pct"/>
            <w:tcBorders>
              <w:top w:val="nil"/>
              <w:left w:val="nil"/>
              <w:bottom w:val="single" w:sz="4" w:space="0" w:color="auto"/>
              <w:right w:val="single" w:sz="4" w:space="0" w:color="auto"/>
            </w:tcBorders>
            <w:shd w:val="clear" w:color="000000" w:fill="FFFFFF"/>
            <w:noWrap/>
            <w:vAlign w:val="bottom"/>
            <w:hideMark/>
          </w:tcPr>
          <w:p w14:paraId="0292F723"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462" w:type="pct"/>
            <w:tcBorders>
              <w:top w:val="nil"/>
              <w:left w:val="nil"/>
              <w:bottom w:val="single" w:sz="4" w:space="0" w:color="auto"/>
              <w:right w:val="single" w:sz="4" w:space="0" w:color="auto"/>
            </w:tcBorders>
            <w:shd w:val="clear" w:color="000000" w:fill="FFFFFF"/>
            <w:noWrap/>
            <w:vAlign w:val="bottom"/>
            <w:hideMark/>
          </w:tcPr>
          <w:p w14:paraId="5B1F9FB4"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c>
          <w:tcPr>
            <w:tcW w:w="1135" w:type="pct"/>
            <w:tcBorders>
              <w:top w:val="nil"/>
              <w:left w:val="nil"/>
              <w:bottom w:val="single" w:sz="4" w:space="0" w:color="auto"/>
              <w:right w:val="single" w:sz="4" w:space="0" w:color="auto"/>
            </w:tcBorders>
            <w:shd w:val="clear" w:color="000000" w:fill="FFFFFF"/>
            <w:noWrap/>
            <w:vAlign w:val="bottom"/>
            <w:hideMark/>
          </w:tcPr>
          <w:p w14:paraId="673E99C0" w14:textId="77777777" w:rsidR="007C1C2F" w:rsidRPr="00C8198D" w:rsidRDefault="007C1C2F" w:rsidP="00BC0E2D">
            <w:pPr>
              <w:spacing w:after="0" w:line="240" w:lineRule="auto"/>
              <w:rPr>
                <w:rFonts w:eastAsia="Times New Roman" w:cstheme="minorHAnsi"/>
                <w:color w:val="595959" w:themeColor="text1" w:themeTint="A6"/>
                <w:sz w:val="20"/>
                <w:szCs w:val="20"/>
              </w:rPr>
            </w:pPr>
            <w:r w:rsidRPr="00C8198D">
              <w:rPr>
                <w:rFonts w:eastAsia="Times New Roman" w:cstheme="minorHAnsi"/>
                <w:color w:val="595959" w:themeColor="text1" w:themeTint="A6"/>
                <w:sz w:val="20"/>
                <w:szCs w:val="20"/>
              </w:rPr>
              <w:t> </w:t>
            </w:r>
          </w:p>
        </w:tc>
      </w:tr>
    </w:tbl>
    <w:p w14:paraId="1A46F95C" w14:textId="77777777" w:rsidR="001210EA" w:rsidRDefault="001210EA" w:rsidP="00F3749A">
      <w:pPr>
        <w:spacing w:after="0"/>
        <w:rPr>
          <w:rFonts w:ascii="Californian FB" w:hAnsi="Californian FB"/>
        </w:rPr>
      </w:pPr>
    </w:p>
    <w:p w14:paraId="2FD8F8B8" w14:textId="77777777" w:rsidR="001210EA" w:rsidRDefault="001210EA" w:rsidP="00F3749A">
      <w:pPr>
        <w:spacing w:after="0"/>
        <w:rPr>
          <w:rFonts w:ascii="Californian FB" w:hAnsi="Californian FB"/>
        </w:rPr>
      </w:pPr>
    </w:p>
    <w:p w14:paraId="31CA6A76" w14:textId="77777777" w:rsidR="001210EA" w:rsidRPr="00F3749A" w:rsidRDefault="001210EA" w:rsidP="00F3749A">
      <w:pPr>
        <w:spacing w:after="0"/>
        <w:rPr>
          <w:rFonts w:ascii="Californian FB" w:hAnsi="Californian FB"/>
        </w:rPr>
      </w:pPr>
    </w:p>
    <w:p w14:paraId="3D62EC83" w14:textId="77777777" w:rsidR="00E765E5" w:rsidRPr="00F3749A" w:rsidRDefault="00E765E5" w:rsidP="00F3749A">
      <w:pPr>
        <w:spacing w:after="0"/>
        <w:rPr>
          <w:rFonts w:ascii="Californian FB" w:eastAsiaTheme="majorEastAsia" w:hAnsi="Californian FB" w:cstheme="majorBidi"/>
          <w:b/>
          <w:bCs/>
          <w:color w:val="365F91" w:themeColor="accent1" w:themeShade="BF"/>
          <w:sz w:val="28"/>
          <w:szCs w:val="28"/>
          <w:highlight w:val="yellow"/>
          <w:lang w:val="en-GB"/>
        </w:rPr>
      </w:pPr>
      <w:r w:rsidRPr="00F3749A">
        <w:rPr>
          <w:rFonts w:ascii="Californian FB" w:hAnsi="Californian FB"/>
          <w:highlight w:val="yellow"/>
        </w:rPr>
        <w:br w:type="page"/>
      </w:r>
    </w:p>
    <w:p w14:paraId="1718278C" w14:textId="77777777" w:rsidR="00C23CD2" w:rsidRPr="00F3749A" w:rsidRDefault="00E765E5" w:rsidP="00F3749A">
      <w:pPr>
        <w:pStyle w:val="Heading1"/>
        <w:spacing w:before="0"/>
        <w:rPr>
          <w:rFonts w:ascii="Californian FB" w:hAnsi="Californian FB"/>
        </w:rPr>
      </w:pPr>
      <w:bookmarkStart w:id="71" w:name="_Toc520793144"/>
      <w:r w:rsidRPr="00F3749A">
        <w:rPr>
          <w:rFonts w:ascii="Californian FB" w:hAnsi="Californian FB"/>
          <w:highlight w:val="yellow"/>
        </w:rPr>
        <w:lastRenderedPageBreak/>
        <w:t>Appendix 2</w:t>
      </w:r>
      <w:r w:rsidR="00C23CD2" w:rsidRPr="00F3749A">
        <w:rPr>
          <w:rFonts w:ascii="Californian FB" w:hAnsi="Californian FB"/>
          <w:highlight w:val="yellow"/>
        </w:rPr>
        <w:t>: Format for policy briefs</w:t>
      </w:r>
      <w:bookmarkEnd w:id="71"/>
    </w:p>
    <w:tbl>
      <w:tblPr>
        <w:tblW w:w="9900" w:type="dxa"/>
        <w:tblInd w:w="-342" w:type="dxa"/>
        <w:tblLook w:val="04A0" w:firstRow="1" w:lastRow="0" w:firstColumn="1" w:lastColumn="0" w:noHBand="0" w:noVBand="1"/>
      </w:tblPr>
      <w:tblGrid>
        <w:gridCol w:w="9900"/>
      </w:tblGrid>
      <w:tr w:rsidR="00AD24E4" w:rsidRPr="00F3749A" w14:paraId="0786976D" w14:textId="77777777" w:rsidTr="00415B52">
        <w:tc>
          <w:tcPr>
            <w:tcW w:w="9900" w:type="dxa"/>
          </w:tcPr>
          <w:p w14:paraId="14B1E40E" w14:textId="77777777" w:rsidR="00AD24E4" w:rsidRPr="00F3749A" w:rsidRDefault="00AD24E4" w:rsidP="00F3749A">
            <w:pPr>
              <w:jc w:val="both"/>
              <w:rPr>
                <w:rFonts w:ascii="Californian FB" w:hAnsi="Californian FB"/>
                <w:szCs w:val="24"/>
              </w:rPr>
            </w:pPr>
            <w:r w:rsidRPr="00F3749A">
              <w:rPr>
                <w:rFonts w:ascii="Californian FB" w:hAnsi="Californian FB"/>
                <w:szCs w:val="24"/>
              </w:rPr>
              <w:t xml:space="preserve">GUIDANCE NOTE NUMBER: </w:t>
            </w:r>
          </w:p>
        </w:tc>
      </w:tr>
      <w:tr w:rsidR="00AD24E4" w:rsidRPr="00F3749A" w14:paraId="30F47747" w14:textId="77777777" w:rsidTr="00415B52">
        <w:tc>
          <w:tcPr>
            <w:tcW w:w="9900" w:type="dxa"/>
          </w:tcPr>
          <w:p w14:paraId="516BD5C3" w14:textId="77777777" w:rsidR="00AD24E4" w:rsidRPr="00F3749A" w:rsidRDefault="00AD24E4" w:rsidP="00F3749A">
            <w:pPr>
              <w:jc w:val="both"/>
              <w:rPr>
                <w:rFonts w:ascii="Californian FB" w:hAnsi="Californian FB"/>
                <w:szCs w:val="24"/>
              </w:rPr>
            </w:pPr>
            <w:r w:rsidRPr="00F3749A">
              <w:rPr>
                <w:rFonts w:ascii="Californian FB" w:hAnsi="Californian FB"/>
                <w:szCs w:val="24"/>
              </w:rPr>
              <w:t xml:space="preserve">SUBJECT: </w:t>
            </w:r>
          </w:p>
        </w:tc>
      </w:tr>
      <w:tr w:rsidR="00AD24E4" w:rsidRPr="00F3749A" w14:paraId="2130B13F" w14:textId="77777777" w:rsidTr="00415B52">
        <w:tc>
          <w:tcPr>
            <w:tcW w:w="9900" w:type="dxa"/>
          </w:tcPr>
          <w:p w14:paraId="2D90A5AD" w14:textId="77777777" w:rsidR="00AD24E4" w:rsidRPr="00F3749A" w:rsidRDefault="00AD24E4" w:rsidP="00F3749A">
            <w:pPr>
              <w:jc w:val="both"/>
              <w:rPr>
                <w:rFonts w:ascii="Californian FB" w:hAnsi="Californian FB"/>
                <w:szCs w:val="24"/>
              </w:rPr>
            </w:pPr>
            <w:r w:rsidRPr="00F3749A">
              <w:rPr>
                <w:rFonts w:ascii="Californian FB" w:hAnsi="Californian FB"/>
                <w:szCs w:val="24"/>
              </w:rPr>
              <w:t>DATE:</w:t>
            </w:r>
          </w:p>
        </w:tc>
      </w:tr>
      <w:tr w:rsidR="00AD24E4" w:rsidRPr="00F3749A" w14:paraId="4D5A2377" w14:textId="77777777" w:rsidTr="00415B52">
        <w:tc>
          <w:tcPr>
            <w:tcW w:w="9900" w:type="dxa"/>
          </w:tcPr>
          <w:p w14:paraId="640C77BB" w14:textId="77777777" w:rsidR="00AD24E4" w:rsidRPr="00F3749A" w:rsidRDefault="00AD24E4" w:rsidP="00F3749A">
            <w:pPr>
              <w:jc w:val="both"/>
              <w:rPr>
                <w:rFonts w:ascii="Californian FB" w:hAnsi="Californian FB"/>
                <w:szCs w:val="24"/>
              </w:rPr>
            </w:pPr>
            <w:r w:rsidRPr="00F3749A">
              <w:rPr>
                <w:rFonts w:ascii="Californian FB" w:hAnsi="Californian FB"/>
                <w:szCs w:val="24"/>
              </w:rPr>
              <w:t>BACKGROUND</w:t>
            </w:r>
          </w:p>
        </w:tc>
      </w:tr>
      <w:tr w:rsidR="00AD24E4" w:rsidRPr="00F3749A" w14:paraId="544B6B26" w14:textId="77777777" w:rsidTr="00415B52">
        <w:tc>
          <w:tcPr>
            <w:tcW w:w="9900" w:type="dxa"/>
          </w:tcPr>
          <w:p w14:paraId="160F609A" w14:textId="77777777" w:rsidR="00AD24E4" w:rsidRPr="00F3749A" w:rsidRDefault="00AD24E4" w:rsidP="00F3749A">
            <w:pPr>
              <w:jc w:val="both"/>
              <w:rPr>
                <w:rFonts w:ascii="Californian FB" w:hAnsi="Californian FB"/>
                <w:szCs w:val="24"/>
              </w:rPr>
            </w:pPr>
          </w:p>
          <w:p w14:paraId="66F9BBA6" w14:textId="77777777" w:rsidR="00AD24E4" w:rsidRPr="00F3749A" w:rsidRDefault="00AD24E4" w:rsidP="00F3749A">
            <w:pPr>
              <w:jc w:val="both"/>
              <w:rPr>
                <w:rFonts w:ascii="Californian FB" w:hAnsi="Californian FB"/>
                <w:szCs w:val="24"/>
              </w:rPr>
            </w:pPr>
          </w:p>
          <w:p w14:paraId="15A0C8FE" w14:textId="77777777" w:rsidR="00AD24E4" w:rsidRPr="00F3749A" w:rsidRDefault="00AD24E4" w:rsidP="00F3749A">
            <w:pPr>
              <w:jc w:val="both"/>
              <w:rPr>
                <w:rFonts w:ascii="Californian FB" w:hAnsi="Californian FB"/>
                <w:szCs w:val="24"/>
              </w:rPr>
            </w:pPr>
          </w:p>
        </w:tc>
      </w:tr>
      <w:tr w:rsidR="00AD24E4" w:rsidRPr="00F3749A" w14:paraId="65A5977F" w14:textId="77777777" w:rsidTr="00415B52">
        <w:tc>
          <w:tcPr>
            <w:tcW w:w="9900" w:type="dxa"/>
          </w:tcPr>
          <w:p w14:paraId="6C5A7774" w14:textId="77777777" w:rsidR="00AD24E4" w:rsidRPr="00F3749A" w:rsidRDefault="00AD24E4" w:rsidP="00F3749A">
            <w:pPr>
              <w:jc w:val="both"/>
              <w:rPr>
                <w:rFonts w:ascii="Californian FB" w:hAnsi="Californian FB"/>
                <w:szCs w:val="24"/>
              </w:rPr>
            </w:pPr>
            <w:r w:rsidRPr="00F3749A">
              <w:rPr>
                <w:rFonts w:ascii="Californian FB" w:hAnsi="Californian FB"/>
                <w:szCs w:val="24"/>
              </w:rPr>
              <w:t>SUMMARY OF GLOBALLY PUBLISHED LITERATURE RELATED TO SUBJECT</w:t>
            </w:r>
          </w:p>
        </w:tc>
      </w:tr>
      <w:tr w:rsidR="00AD24E4" w:rsidRPr="00F3749A" w14:paraId="7C9C1BA2" w14:textId="77777777" w:rsidTr="00415B52">
        <w:tc>
          <w:tcPr>
            <w:tcW w:w="9900" w:type="dxa"/>
          </w:tcPr>
          <w:p w14:paraId="1CB1D4CE" w14:textId="77777777" w:rsidR="00AD24E4" w:rsidRPr="00F3749A" w:rsidRDefault="00AD24E4" w:rsidP="00F3749A">
            <w:pPr>
              <w:jc w:val="both"/>
              <w:rPr>
                <w:rFonts w:ascii="Californian FB" w:hAnsi="Californian FB"/>
                <w:szCs w:val="24"/>
              </w:rPr>
            </w:pPr>
          </w:p>
          <w:p w14:paraId="6D3DAB5D" w14:textId="77777777" w:rsidR="00AD24E4" w:rsidRPr="00F3749A" w:rsidRDefault="00AD24E4" w:rsidP="00F3749A">
            <w:pPr>
              <w:jc w:val="both"/>
              <w:rPr>
                <w:rFonts w:ascii="Californian FB" w:hAnsi="Californian FB"/>
                <w:szCs w:val="24"/>
              </w:rPr>
            </w:pPr>
          </w:p>
          <w:p w14:paraId="71E40864" w14:textId="77777777" w:rsidR="00AD24E4" w:rsidRPr="00F3749A" w:rsidRDefault="00AD24E4" w:rsidP="00F3749A">
            <w:pPr>
              <w:jc w:val="both"/>
              <w:rPr>
                <w:rFonts w:ascii="Californian FB" w:hAnsi="Californian FB"/>
                <w:szCs w:val="24"/>
              </w:rPr>
            </w:pPr>
          </w:p>
          <w:p w14:paraId="5422DD09" w14:textId="77777777" w:rsidR="00AD24E4" w:rsidRPr="00F3749A" w:rsidRDefault="00AD24E4" w:rsidP="00F3749A">
            <w:pPr>
              <w:jc w:val="both"/>
              <w:rPr>
                <w:rFonts w:ascii="Californian FB" w:hAnsi="Californian FB"/>
                <w:szCs w:val="24"/>
              </w:rPr>
            </w:pPr>
          </w:p>
          <w:p w14:paraId="58869416" w14:textId="77777777" w:rsidR="00AD24E4" w:rsidRPr="00F3749A" w:rsidRDefault="00AD24E4" w:rsidP="00F3749A">
            <w:pPr>
              <w:jc w:val="both"/>
              <w:rPr>
                <w:rFonts w:ascii="Californian FB" w:hAnsi="Californian FB"/>
                <w:szCs w:val="24"/>
              </w:rPr>
            </w:pPr>
          </w:p>
          <w:p w14:paraId="3DEBE676" w14:textId="77777777" w:rsidR="00AD24E4" w:rsidRPr="00F3749A" w:rsidRDefault="00AD24E4" w:rsidP="00F3749A">
            <w:pPr>
              <w:jc w:val="both"/>
              <w:rPr>
                <w:rFonts w:ascii="Californian FB" w:hAnsi="Californian FB"/>
                <w:szCs w:val="24"/>
              </w:rPr>
            </w:pPr>
          </w:p>
          <w:p w14:paraId="1DF507DF" w14:textId="77777777" w:rsidR="00AD24E4" w:rsidRPr="00F3749A" w:rsidRDefault="00AD24E4" w:rsidP="00F3749A">
            <w:pPr>
              <w:jc w:val="both"/>
              <w:rPr>
                <w:rFonts w:ascii="Californian FB" w:hAnsi="Californian FB"/>
                <w:szCs w:val="24"/>
              </w:rPr>
            </w:pPr>
          </w:p>
          <w:p w14:paraId="5C3BC908" w14:textId="77777777" w:rsidR="00AD24E4" w:rsidRPr="00F3749A" w:rsidRDefault="00AD24E4" w:rsidP="00F3749A">
            <w:pPr>
              <w:jc w:val="both"/>
              <w:rPr>
                <w:rFonts w:ascii="Californian FB" w:hAnsi="Californian FB"/>
                <w:szCs w:val="24"/>
              </w:rPr>
            </w:pPr>
          </w:p>
        </w:tc>
      </w:tr>
      <w:tr w:rsidR="00AD24E4" w:rsidRPr="00F3749A" w14:paraId="3A48188F" w14:textId="77777777" w:rsidTr="00415B52">
        <w:tc>
          <w:tcPr>
            <w:tcW w:w="9900" w:type="dxa"/>
          </w:tcPr>
          <w:p w14:paraId="0BDD0CFE" w14:textId="77777777" w:rsidR="00AD24E4" w:rsidRPr="00F3749A" w:rsidRDefault="00AD24E4" w:rsidP="00F3749A">
            <w:pPr>
              <w:jc w:val="both"/>
              <w:rPr>
                <w:rFonts w:ascii="Californian FB" w:hAnsi="Californian FB"/>
                <w:szCs w:val="24"/>
              </w:rPr>
            </w:pPr>
            <w:r w:rsidRPr="00F3749A">
              <w:rPr>
                <w:rFonts w:ascii="Californian FB" w:hAnsi="Californian FB"/>
                <w:szCs w:val="24"/>
              </w:rPr>
              <w:t>SUMMARY OF CONCHRANE REVIEWS ON SUBJECT</w:t>
            </w:r>
          </w:p>
        </w:tc>
      </w:tr>
      <w:tr w:rsidR="00AD24E4" w:rsidRPr="00F3749A" w14:paraId="6621A9DB" w14:textId="77777777" w:rsidTr="00415B52">
        <w:tc>
          <w:tcPr>
            <w:tcW w:w="9900" w:type="dxa"/>
          </w:tcPr>
          <w:p w14:paraId="7AE2E6D5" w14:textId="77777777" w:rsidR="00AD24E4" w:rsidRPr="00F3749A" w:rsidRDefault="00AD24E4" w:rsidP="00F3749A">
            <w:pPr>
              <w:jc w:val="both"/>
              <w:rPr>
                <w:rFonts w:ascii="Californian FB" w:hAnsi="Californian FB"/>
                <w:szCs w:val="24"/>
              </w:rPr>
            </w:pPr>
          </w:p>
          <w:p w14:paraId="6DBE851E" w14:textId="77777777" w:rsidR="00AD24E4" w:rsidRPr="00F3749A" w:rsidRDefault="00AD24E4" w:rsidP="00F3749A">
            <w:pPr>
              <w:jc w:val="both"/>
              <w:rPr>
                <w:rFonts w:ascii="Californian FB" w:hAnsi="Californian FB"/>
                <w:szCs w:val="24"/>
              </w:rPr>
            </w:pPr>
          </w:p>
          <w:p w14:paraId="4105C6F6" w14:textId="77777777" w:rsidR="00AD24E4" w:rsidRPr="00F3749A" w:rsidRDefault="00AD24E4" w:rsidP="00F3749A">
            <w:pPr>
              <w:jc w:val="both"/>
              <w:rPr>
                <w:rFonts w:ascii="Californian FB" w:hAnsi="Californian FB"/>
                <w:szCs w:val="24"/>
              </w:rPr>
            </w:pPr>
          </w:p>
          <w:p w14:paraId="15AE96F9" w14:textId="77777777" w:rsidR="00AD24E4" w:rsidRPr="00F3749A" w:rsidRDefault="00AD24E4" w:rsidP="00F3749A">
            <w:pPr>
              <w:jc w:val="both"/>
              <w:rPr>
                <w:rFonts w:ascii="Californian FB" w:hAnsi="Californian FB"/>
                <w:szCs w:val="24"/>
              </w:rPr>
            </w:pPr>
          </w:p>
          <w:p w14:paraId="65E28C7F" w14:textId="77777777" w:rsidR="00AD24E4" w:rsidRPr="00F3749A" w:rsidRDefault="00AD24E4" w:rsidP="00F3749A">
            <w:pPr>
              <w:jc w:val="both"/>
              <w:rPr>
                <w:rFonts w:ascii="Californian FB" w:hAnsi="Californian FB"/>
                <w:szCs w:val="24"/>
              </w:rPr>
            </w:pPr>
          </w:p>
          <w:p w14:paraId="3F34CD43" w14:textId="77777777" w:rsidR="00AD24E4" w:rsidRPr="00F3749A" w:rsidRDefault="00AD24E4" w:rsidP="00F3749A">
            <w:pPr>
              <w:jc w:val="both"/>
              <w:rPr>
                <w:rFonts w:ascii="Californian FB" w:hAnsi="Californian FB"/>
                <w:szCs w:val="24"/>
              </w:rPr>
            </w:pPr>
          </w:p>
          <w:p w14:paraId="67B3571C" w14:textId="77777777" w:rsidR="00AD24E4" w:rsidRPr="00F3749A" w:rsidRDefault="00AD24E4" w:rsidP="00F3749A">
            <w:pPr>
              <w:jc w:val="both"/>
              <w:rPr>
                <w:rFonts w:ascii="Californian FB" w:hAnsi="Californian FB"/>
                <w:szCs w:val="24"/>
              </w:rPr>
            </w:pPr>
          </w:p>
        </w:tc>
      </w:tr>
      <w:tr w:rsidR="00AD24E4" w:rsidRPr="00F3749A" w14:paraId="673E9D13" w14:textId="77777777" w:rsidTr="00415B52">
        <w:tc>
          <w:tcPr>
            <w:tcW w:w="9900" w:type="dxa"/>
          </w:tcPr>
          <w:p w14:paraId="347E2AD9" w14:textId="77777777" w:rsidR="00AD24E4" w:rsidRPr="00F3749A" w:rsidRDefault="00AD24E4" w:rsidP="00F3749A">
            <w:pPr>
              <w:jc w:val="both"/>
              <w:rPr>
                <w:rFonts w:ascii="Californian FB" w:hAnsi="Californian FB"/>
                <w:szCs w:val="24"/>
              </w:rPr>
            </w:pPr>
            <w:r w:rsidRPr="00F3749A">
              <w:rPr>
                <w:rFonts w:ascii="Californian FB" w:hAnsi="Californian FB"/>
                <w:szCs w:val="24"/>
              </w:rPr>
              <w:t>SUMMARY OF COUNTRY-SPECIFIC LITERATURE ON SUBJECT</w:t>
            </w:r>
          </w:p>
        </w:tc>
      </w:tr>
      <w:tr w:rsidR="00AD24E4" w:rsidRPr="00F3749A" w14:paraId="18F471A2" w14:textId="77777777" w:rsidTr="00415B52">
        <w:tc>
          <w:tcPr>
            <w:tcW w:w="9900" w:type="dxa"/>
          </w:tcPr>
          <w:p w14:paraId="681CBE5D" w14:textId="77777777" w:rsidR="00AD24E4" w:rsidRPr="00F3749A" w:rsidRDefault="00AD24E4" w:rsidP="00F3749A">
            <w:pPr>
              <w:jc w:val="both"/>
              <w:rPr>
                <w:rFonts w:ascii="Californian FB" w:hAnsi="Californian FB"/>
                <w:szCs w:val="24"/>
              </w:rPr>
            </w:pPr>
          </w:p>
          <w:p w14:paraId="31BFD52C" w14:textId="77777777" w:rsidR="00AD24E4" w:rsidRPr="00F3749A" w:rsidRDefault="00AD24E4" w:rsidP="00F3749A">
            <w:pPr>
              <w:jc w:val="both"/>
              <w:rPr>
                <w:rFonts w:ascii="Californian FB" w:hAnsi="Californian FB"/>
                <w:szCs w:val="24"/>
              </w:rPr>
            </w:pPr>
          </w:p>
          <w:p w14:paraId="2761B53B" w14:textId="77777777" w:rsidR="00AD24E4" w:rsidRPr="00F3749A" w:rsidRDefault="00AD24E4" w:rsidP="00F3749A">
            <w:pPr>
              <w:jc w:val="both"/>
              <w:rPr>
                <w:rFonts w:ascii="Californian FB" w:hAnsi="Californian FB"/>
                <w:szCs w:val="24"/>
              </w:rPr>
            </w:pPr>
          </w:p>
          <w:p w14:paraId="6A724D68" w14:textId="77777777" w:rsidR="00AD24E4" w:rsidRPr="00F3749A" w:rsidRDefault="00AD24E4" w:rsidP="00F3749A">
            <w:pPr>
              <w:jc w:val="both"/>
              <w:rPr>
                <w:rFonts w:ascii="Californian FB" w:hAnsi="Californian FB"/>
                <w:szCs w:val="24"/>
              </w:rPr>
            </w:pPr>
          </w:p>
          <w:p w14:paraId="3E1078BB" w14:textId="77777777" w:rsidR="00AD24E4" w:rsidRPr="00F3749A" w:rsidRDefault="00AD24E4" w:rsidP="00F3749A">
            <w:pPr>
              <w:jc w:val="both"/>
              <w:rPr>
                <w:rFonts w:ascii="Californian FB" w:hAnsi="Californian FB"/>
                <w:szCs w:val="24"/>
              </w:rPr>
            </w:pPr>
          </w:p>
        </w:tc>
      </w:tr>
      <w:tr w:rsidR="00AD24E4" w:rsidRPr="00F3749A" w14:paraId="525FDA4D" w14:textId="77777777" w:rsidTr="00415B52">
        <w:tc>
          <w:tcPr>
            <w:tcW w:w="9900" w:type="dxa"/>
          </w:tcPr>
          <w:p w14:paraId="74B80334" w14:textId="77777777" w:rsidR="00AD24E4" w:rsidRPr="00F3749A" w:rsidRDefault="00AD24E4" w:rsidP="00F3749A">
            <w:pPr>
              <w:jc w:val="both"/>
              <w:rPr>
                <w:rFonts w:ascii="Californian FB" w:hAnsi="Californian FB"/>
                <w:szCs w:val="24"/>
              </w:rPr>
            </w:pPr>
            <w:r w:rsidRPr="00F3749A">
              <w:rPr>
                <w:rFonts w:ascii="Californian FB" w:hAnsi="Californian FB"/>
                <w:szCs w:val="24"/>
              </w:rPr>
              <w:t>AFRO SUMMARY GUIDANCE</w:t>
            </w:r>
          </w:p>
        </w:tc>
      </w:tr>
      <w:tr w:rsidR="00AD24E4" w:rsidRPr="00F3749A" w14:paraId="55885E1E" w14:textId="77777777" w:rsidTr="00415B52">
        <w:tc>
          <w:tcPr>
            <w:tcW w:w="9900" w:type="dxa"/>
          </w:tcPr>
          <w:p w14:paraId="424691EA" w14:textId="77777777" w:rsidR="00AD24E4" w:rsidRPr="00F3749A" w:rsidRDefault="00AD24E4" w:rsidP="00F3749A">
            <w:pPr>
              <w:jc w:val="both"/>
              <w:rPr>
                <w:rFonts w:ascii="Californian FB" w:hAnsi="Californian FB"/>
                <w:szCs w:val="24"/>
              </w:rPr>
            </w:pPr>
          </w:p>
          <w:p w14:paraId="2858A4F6" w14:textId="77777777" w:rsidR="00AD24E4" w:rsidRPr="00F3749A" w:rsidRDefault="00AD24E4" w:rsidP="00F3749A">
            <w:pPr>
              <w:jc w:val="both"/>
              <w:rPr>
                <w:rFonts w:ascii="Californian FB" w:hAnsi="Californian FB"/>
                <w:szCs w:val="24"/>
              </w:rPr>
            </w:pPr>
          </w:p>
          <w:p w14:paraId="6BBD3ADF" w14:textId="77777777" w:rsidR="00AD24E4" w:rsidRPr="00F3749A" w:rsidRDefault="00AD24E4" w:rsidP="00F3749A">
            <w:pPr>
              <w:jc w:val="both"/>
              <w:rPr>
                <w:rFonts w:ascii="Californian FB" w:hAnsi="Californian FB"/>
                <w:szCs w:val="24"/>
              </w:rPr>
            </w:pPr>
          </w:p>
        </w:tc>
      </w:tr>
      <w:tr w:rsidR="00AD24E4" w:rsidRPr="00F3749A" w14:paraId="7D53CF6E" w14:textId="77777777" w:rsidTr="00415B52">
        <w:tc>
          <w:tcPr>
            <w:tcW w:w="9900" w:type="dxa"/>
          </w:tcPr>
          <w:p w14:paraId="6B8F8E52" w14:textId="77777777" w:rsidR="00AD24E4" w:rsidRPr="00F3749A" w:rsidRDefault="00AD24E4" w:rsidP="00F3749A">
            <w:pPr>
              <w:jc w:val="both"/>
              <w:rPr>
                <w:rFonts w:ascii="Californian FB" w:hAnsi="Californian FB"/>
                <w:szCs w:val="24"/>
              </w:rPr>
            </w:pPr>
            <w:r w:rsidRPr="00F3749A">
              <w:rPr>
                <w:rFonts w:ascii="Californian FB" w:hAnsi="Californian FB"/>
                <w:szCs w:val="24"/>
              </w:rPr>
              <w:t>AFRO RECOMMENDATIONS FOR FURTHER RESEARCH</w:t>
            </w:r>
          </w:p>
        </w:tc>
      </w:tr>
      <w:tr w:rsidR="00AD24E4" w:rsidRPr="00F3749A" w14:paraId="2C7BC319" w14:textId="77777777" w:rsidTr="00415B52">
        <w:tc>
          <w:tcPr>
            <w:tcW w:w="9900" w:type="dxa"/>
          </w:tcPr>
          <w:p w14:paraId="1349A1AE" w14:textId="77777777" w:rsidR="00AD24E4" w:rsidRPr="00F3749A" w:rsidRDefault="00AD24E4" w:rsidP="00F3749A">
            <w:pPr>
              <w:jc w:val="both"/>
              <w:rPr>
                <w:rFonts w:ascii="Californian FB" w:hAnsi="Californian FB"/>
                <w:szCs w:val="24"/>
              </w:rPr>
            </w:pPr>
          </w:p>
          <w:p w14:paraId="0ACC4749" w14:textId="77777777" w:rsidR="00AD24E4" w:rsidRPr="00F3749A" w:rsidRDefault="00AD24E4" w:rsidP="00F3749A">
            <w:pPr>
              <w:jc w:val="both"/>
              <w:rPr>
                <w:rFonts w:ascii="Californian FB" w:hAnsi="Californian FB"/>
                <w:szCs w:val="24"/>
              </w:rPr>
            </w:pPr>
          </w:p>
          <w:p w14:paraId="59D78267" w14:textId="77777777" w:rsidR="00AD24E4" w:rsidRPr="00F3749A" w:rsidRDefault="00AD24E4" w:rsidP="00F3749A">
            <w:pPr>
              <w:jc w:val="both"/>
              <w:rPr>
                <w:rFonts w:ascii="Californian FB" w:hAnsi="Californian FB"/>
                <w:szCs w:val="24"/>
              </w:rPr>
            </w:pPr>
          </w:p>
          <w:p w14:paraId="3BB27CD0" w14:textId="77777777" w:rsidR="00AD24E4" w:rsidRPr="00F3749A" w:rsidRDefault="00AD24E4" w:rsidP="00F3749A">
            <w:pPr>
              <w:jc w:val="both"/>
              <w:rPr>
                <w:rFonts w:ascii="Californian FB" w:hAnsi="Californian FB"/>
                <w:szCs w:val="24"/>
              </w:rPr>
            </w:pPr>
          </w:p>
          <w:p w14:paraId="496B17C5" w14:textId="77777777" w:rsidR="00AD24E4" w:rsidRPr="00F3749A" w:rsidRDefault="00AD24E4" w:rsidP="00F3749A">
            <w:pPr>
              <w:jc w:val="both"/>
              <w:rPr>
                <w:rFonts w:ascii="Californian FB" w:hAnsi="Californian FB"/>
                <w:szCs w:val="24"/>
              </w:rPr>
            </w:pPr>
          </w:p>
        </w:tc>
      </w:tr>
      <w:tr w:rsidR="00AD24E4" w:rsidRPr="00F3749A" w14:paraId="2F18ABD9" w14:textId="77777777" w:rsidTr="00415B52">
        <w:tc>
          <w:tcPr>
            <w:tcW w:w="9900" w:type="dxa"/>
          </w:tcPr>
          <w:p w14:paraId="22F86A74" w14:textId="77777777" w:rsidR="00AD24E4" w:rsidRPr="00F3749A" w:rsidRDefault="00AD24E4" w:rsidP="00F3749A">
            <w:pPr>
              <w:jc w:val="both"/>
              <w:rPr>
                <w:rFonts w:ascii="Californian FB" w:hAnsi="Californian FB"/>
                <w:szCs w:val="24"/>
              </w:rPr>
            </w:pPr>
            <w:r w:rsidRPr="00F3749A">
              <w:rPr>
                <w:rFonts w:ascii="Californian FB" w:hAnsi="Californian FB"/>
                <w:szCs w:val="24"/>
              </w:rPr>
              <w:t>LINKS TO INFORMATION ON SUBJECT</w:t>
            </w:r>
          </w:p>
        </w:tc>
      </w:tr>
      <w:tr w:rsidR="00AD24E4" w:rsidRPr="00F3749A" w14:paraId="08CBCE79" w14:textId="77777777" w:rsidTr="00415B52">
        <w:tc>
          <w:tcPr>
            <w:tcW w:w="9900" w:type="dxa"/>
          </w:tcPr>
          <w:p w14:paraId="60857727" w14:textId="77777777" w:rsidR="00AD24E4" w:rsidRPr="00F3749A" w:rsidRDefault="00AD24E4" w:rsidP="00F3749A">
            <w:pPr>
              <w:jc w:val="both"/>
              <w:rPr>
                <w:rFonts w:ascii="Californian FB" w:hAnsi="Californian FB"/>
                <w:szCs w:val="24"/>
              </w:rPr>
            </w:pPr>
          </w:p>
          <w:p w14:paraId="7B38EC67" w14:textId="77777777" w:rsidR="00AD24E4" w:rsidRPr="00F3749A" w:rsidRDefault="00AD24E4" w:rsidP="00F3749A">
            <w:pPr>
              <w:jc w:val="both"/>
              <w:rPr>
                <w:rFonts w:ascii="Californian FB" w:hAnsi="Californian FB"/>
                <w:szCs w:val="24"/>
              </w:rPr>
            </w:pPr>
          </w:p>
          <w:p w14:paraId="51D2386F" w14:textId="77777777" w:rsidR="00AD24E4" w:rsidRPr="00F3749A" w:rsidRDefault="00AD24E4" w:rsidP="00F3749A">
            <w:pPr>
              <w:jc w:val="both"/>
              <w:rPr>
                <w:rFonts w:ascii="Californian FB" w:hAnsi="Californian FB"/>
                <w:szCs w:val="24"/>
              </w:rPr>
            </w:pPr>
          </w:p>
        </w:tc>
      </w:tr>
    </w:tbl>
    <w:p w14:paraId="0DBCAAC3" w14:textId="77777777" w:rsidR="00C23CD2" w:rsidRPr="00F3749A" w:rsidRDefault="00C23CD2" w:rsidP="00F3749A">
      <w:pPr>
        <w:spacing w:after="0"/>
        <w:rPr>
          <w:rFonts w:ascii="Californian FB" w:hAnsi="Californian FB"/>
        </w:rPr>
      </w:pPr>
    </w:p>
    <w:sectPr w:rsidR="00C23CD2" w:rsidRPr="00F3749A" w:rsidSect="005A786A">
      <w:pgSz w:w="12240" w:h="15840"/>
      <w:pgMar w:top="1440" w:right="1440" w:bottom="1440" w:left="1440" w:header="720" w:footer="720" w:gutter="0"/>
      <w:pgNumType w:start="1"/>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41" w:author="Isabel Maina [3]" w:date="2018-07-29T23:24:00Z" w:initials="I.M">
    <w:p w14:paraId="13ED6312" w14:textId="77777777" w:rsidR="00D20DC2" w:rsidRDefault="00D20DC2" w:rsidP="00B24B98">
      <w:pPr>
        <w:pStyle w:val="CommentText"/>
      </w:pPr>
      <w:r>
        <w:rPr>
          <w:rStyle w:val="CommentReference"/>
        </w:rPr>
        <w:annotationRef/>
      </w:r>
      <w:r>
        <w:t>Have tried to insert this======pepela you can make it more digital (anyway—it demonstrates the chain. (we could even go further and add (Knowledge to action)</w:t>
      </w:r>
    </w:p>
  </w:comment>
  <w:comment w:id="50" w:author="Helen" w:date="2018-07-29T23:35:00Z" w:initials="HK">
    <w:p w14:paraId="035E605C" w14:textId="77777777" w:rsidR="00D20DC2" w:rsidRDefault="00D20DC2" w:rsidP="00FA0203">
      <w:pPr>
        <w:pStyle w:val="CommentText"/>
      </w:pPr>
      <w:r>
        <w:rPr>
          <w:rStyle w:val="CommentReference"/>
        </w:rPr>
        <w:annotationRef/>
      </w:r>
      <w:r>
        <w:t>Moved from generation of data ……</w:t>
      </w:r>
    </w:p>
  </w:comment>
  <w:comment w:id="51" w:author="Helen" w:date="2018-07-29T23:35:00Z" w:initials="HK">
    <w:p w14:paraId="56A34C30" w14:textId="77777777" w:rsidR="00D20DC2" w:rsidRDefault="00D20DC2" w:rsidP="00FA0203">
      <w:pPr>
        <w:pStyle w:val="CommentText"/>
      </w:pPr>
      <w:r>
        <w:rPr>
          <w:rStyle w:val="CommentReference"/>
        </w:rPr>
        <w:annotationRef/>
      </w:r>
      <w:r>
        <w:t>This section should go to the indicators section as part of the introduction</w:t>
      </w:r>
    </w:p>
  </w:comment>
  <w:comment w:id="52" w:author="Helen" w:date="2018-07-29T23:35:00Z" w:initials="HK">
    <w:p w14:paraId="51AEB211" w14:textId="77777777" w:rsidR="00D20DC2" w:rsidRDefault="00D20DC2" w:rsidP="00FA0203">
      <w:pPr>
        <w:pStyle w:val="CommentText"/>
      </w:pPr>
      <w:r>
        <w:rPr>
          <w:rStyle w:val="CommentReference"/>
        </w:rPr>
        <w:annotationRef/>
      </w:r>
      <w:r>
        <w:t>This section should go to the indicators section as part of the introduction</w:t>
      </w:r>
    </w:p>
  </w:comment>
  <w:comment w:id="53" w:author="Chiaji, Achim" w:date="2018-07-29T23:35:00Z" w:initials="CA">
    <w:p w14:paraId="35F20DD8" w14:textId="77777777" w:rsidR="00D20DC2" w:rsidRDefault="00D20DC2" w:rsidP="00FA0203">
      <w:pPr>
        <w:pStyle w:val="CommentText"/>
      </w:pPr>
      <w:r>
        <w:rPr>
          <w:rStyle w:val="CommentReference"/>
        </w:rPr>
        <w:annotationRef/>
      </w:r>
      <w:r>
        <w:t xml:space="preserve">Is it fair to assume that much of this content can be derived from the Second Generation Indicators Manual. </w:t>
      </w:r>
    </w:p>
  </w:comment>
  <w:comment w:id="62" w:author="Kipruto, Dr. Hillary" w:date="2018-07-26T07:34:00Z" w:initials="KDH">
    <w:p w14:paraId="545EDC94" w14:textId="77777777" w:rsidR="00D20DC2" w:rsidRDefault="00D20DC2">
      <w:pPr>
        <w:pStyle w:val="CommentText"/>
      </w:pPr>
      <w:r>
        <w:rPr>
          <w:rStyle w:val="CommentReference"/>
        </w:rPr>
        <w:annotationRef/>
      </w:r>
      <w:r>
        <w:t>Format this to have indicators across the results chain</w:t>
      </w:r>
    </w:p>
  </w:comment>
  <w:comment w:id="66" w:author="Nzyoka, Rose" w:date="2018-07-12T11:23:00Z" w:initials="NR">
    <w:p w14:paraId="5640F2EE" w14:textId="77777777" w:rsidR="00D20DC2" w:rsidRDefault="00D20DC2">
      <w:pPr>
        <w:pStyle w:val="CommentText"/>
      </w:pPr>
      <w:r>
        <w:rPr>
          <w:rStyle w:val="CommentReference"/>
        </w:rPr>
        <w:annotationRef/>
      </w:r>
      <w:r>
        <w:rPr>
          <w:noProof/>
        </w:rPr>
        <w:t>I see a rol for COG here as a focal point for facilitating the inter county peer to peer learning in line with their mandate</w:t>
      </w:r>
    </w:p>
  </w:comment>
  <w:comment w:id="67" w:author="Nzyoka, Rose" w:date="2018-07-12T11:25:00Z" w:initials="NR">
    <w:p w14:paraId="14B47426" w14:textId="77777777" w:rsidR="00D20DC2" w:rsidRDefault="00D20DC2">
      <w:pPr>
        <w:pStyle w:val="CommentText"/>
      </w:pPr>
      <w:r>
        <w:rPr>
          <w:rStyle w:val="CommentReference"/>
        </w:rPr>
        <w:annotationRef/>
      </w:r>
      <w:r>
        <w:rPr>
          <w:noProof/>
        </w:rPr>
        <w:t>How about non routine data e.g on NCD risk factors,social determinants e.t.c from surveillance and population surveys?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3ED6312" w15:done="0"/>
  <w15:commentEx w15:paraId="035E605C" w15:done="0"/>
  <w15:commentEx w15:paraId="56A34C30" w15:done="0"/>
  <w15:commentEx w15:paraId="51AEB211" w15:done="0"/>
  <w15:commentEx w15:paraId="35F20DD8" w15:done="0"/>
  <w15:commentEx w15:paraId="545EDC94" w15:done="0"/>
  <w15:commentEx w15:paraId="5640F2EE" w15:done="0"/>
  <w15:commentEx w15:paraId="14B4742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47C65E9" w16cid:durableId="1F0ADC7E"/>
  <w16cid:commentId w16cid:paraId="035E605C" w16cid:durableId="1F0ADC7F"/>
  <w16cid:commentId w16cid:paraId="56A34C30" w16cid:durableId="1F0ADC80"/>
  <w16cid:commentId w16cid:paraId="51AEB211" w16cid:durableId="1F0ADC81"/>
  <w16cid:commentId w16cid:paraId="35F20DD8" w16cid:durableId="1F0ADC82"/>
  <w16cid:commentId w16cid:paraId="545EDC94" w16cid:durableId="1F0ADC83"/>
  <w16cid:commentId w16cid:paraId="5640F2EE" w16cid:durableId="1F0ADC84"/>
  <w16cid:commentId w16cid:paraId="14B47426" w16cid:durableId="1F0ADC8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AEF14" w14:textId="77777777" w:rsidR="00C366BF" w:rsidRDefault="00C366BF" w:rsidP="00F23B2E">
      <w:pPr>
        <w:spacing w:after="0" w:line="240" w:lineRule="auto"/>
      </w:pPr>
      <w:r>
        <w:separator/>
      </w:r>
    </w:p>
  </w:endnote>
  <w:endnote w:type="continuationSeparator" w:id="0">
    <w:p w14:paraId="5A203976" w14:textId="77777777" w:rsidR="00C366BF" w:rsidRDefault="00C366BF" w:rsidP="00F23B2E">
      <w:pPr>
        <w:spacing w:after="0" w:line="240" w:lineRule="auto"/>
      </w:pPr>
      <w:r>
        <w:continuationSeparator/>
      </w:r>
    </w:p>
  </w:endnote>
  <w:endnote w:id="1">
    <w:p w14:paraId="1173AE11" w14:textId="77777777" w:rsidR="00D20DC2" w:rsidRPr="00E84FC5" w:rsidRDefault="00D20DC2" w:rsidP="00D20DC2">
      <w:pPr>
        <w:pStyle w:val="EndnoteText"/>
        <w:rPr>
          <w:lang w:val="en-ZW"/>
        </w:rPr>
      </w:pPr>
      <w:r>
        <w:rPr>
          <w:rStyle w:val="EndnoteReference"/>
        </w:rPr>
        <w:endnoteRef/>
      </w:r>
      <w:r>
        <w:t xml:space="preserve"> </w:t>
      </w:r>
      <w:r>
        <w:rPr>
          <w:lang w:val="en-ZW"/>
        </w:rPr>
        <w:t xml:space="preserve">iHP+ &amp; WHO; (2011); </w:t>
      </w:r>
      <w:r w:rsidRPr="00E84FC5">
        <w:rPr>
          <w:lang w:val="en-ZW"/>
        </w:rPr>
        <w:t>Monitoring, evaluation</w:t>
      </w:r>
      <w:r>
        <w:rPr>
          <w:lang w:val="en-ZW"/>
        </w:rPr>
        <w:t xml:space="preserve"> </w:t>
      </w:r>
      <w:r w:rsidRPr="00E84FC5">
        <w:rPr>
          <w:lang w:val="en-ZW"/>
        </w:rPr>
        <w:t>and review of national</w:t>
      </w:r>
      <w:r>
        <w:rPr>
          <w:lang w:val="en-ZW"/>
        </w:rPr>
        <w:t xml:space="preserve"> </w:t>
      </w:r>
      <w:r w:rsidRPr="00E84FC5">
        <w:rPr>
          <w:lang w:val="en-ZW"/>
        </w:rPr>
        <w:t>health strategies</w:t>
      </w:r>
      <w:r>
        <w:rPr>
          <w:lang w:val="en-ZW"/>
        </w:rPr>
        <w:t xml:space="preserve">; </w:t>
      </w:r>
      <w:r w:rsidRPr="00E84FC5">
        <w:rPr>
          <w:lang w:val="en-ZW"/>
        </w:rPr>
        <w:t>A country-led platform for information</w:t>
      </w:r>
      <w:r>
        <w:rPr>
          <w:lang w:val="en-ZW"/>
        </w:rPr>
        <w:t xml:space="preserve"> </w:t>
      </w:r>
      <w:r w:rsidRPr="00E84FC5">
        <w:rPr>
          <w:lang w:val="en-ZW"/>
        </w:rPr>
        <w:t>and accountability</w:t>
      </w:r>
      <w:r>
        <w:rPr>
          <w:lang w:val="en-ZW"/>
        </w:rPr>
        <w:t>.</w:t>
      </w:r>
    </w:p>
  </w:endnote>
  <w:endnote w:id="2">
    <w:p w14:paraId="0860DE42" w14:textId="77777777" w:rsidR="00D20DC2" w:rsidRPr="00E84FC5" w:rsidRDefault="00D20DC2" w:rsidP="006702A5">
      <w:pPr>
        <w:pStyle w:val="EndnoteText"/>
        <w:rPr>
          <w:lang w:val="en-ZW"/>
        </w:rPr>
      </w:pPr>
      <w:r>
        <w:rPr>
          <w:rStyle w:val="EndnoteReference"/>
        </w:rPr>
        <w:endnoteRef/>
      </w:r>
      <w:r>
        <w:t xml:space="preserve"> </w:t>
      </w:r>
      <w:r>
        <w:rPr>
          <w:lang w:val="en-ZW"/>
        </w:rPr>
        <w:t xml:space="preserve">iHP+ &amp; WHO; (2011); </w:t>
      </w:r>
      <w:r w:rsidRPr="00E84FC5">
        <w:rPr>
          <w:lang w:val="en-ZW"/>
        </w:rPr>
        <w:t>Monitoring, evaluation</w:t>
      </w:r>
      <w:r>
        <w:rPr>
          <w:lang w:val="en-ZW"/>
        </w:rPr>
        <w:t xml:space="preserve"> </w:t>
      </w:r>
      <w:r w:rsidRPr="00E84FC5">
        <w:rPr>
          <w:lang w:val="en-ZW"/>
        </w:rPr>
        <w:t>and review of national</w:t>
      </w:r>
      <w:r>
        <w:rPr>
          <w:lang w:val="en-ZW"/>
        </w:rPr>
        <w:t xml:space="preserve"> </w:t>
      </w:r>
      <w:r w:rsidRPr="00E84FC5">
        <w:rPr>
          <w:lang w:val="en-ZW"/>
        </w:rPr>
        <w:t>health strategies</w:t>
      </w:r>
      <w:r>
        <w:rPr>
          <w:lang w:val="en-ZW"/>
        </w:rPr>
        <w:t xml:space="preserve">; </w:t>
      </w:r>
      <w:r w:rsidRPr="00E84FC5">
        <w:rPr>
          <w:lang w:val="en-ZW"/>
        </w:rPr>
        <w:t>A country-led platform for information</w:t>
      </w:r>
      <w:r>
        <w:rPr>
          <w:lang w:val="en-ZW"/>
        </w:rPr>
        <w:t xml:space="preserve"> </w:t>
      </w:r>
      <w:r w:rsidRPr="00E84FC5">
        <w:rPr>
          <w:lang w:val="en-ZW"/>
        </w:rPr>
        <w:t>and accountability</w:t>
      </w:r>
      <w:r>
        <w:rPr>
          <w:lang w:val="en-ZW"/>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fornian FB">
    <w:panose1 w:val="0207040306080B03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A5C84F" w14:textId="77777777" w:rsidR="00817359" w:rsidRDefault="008173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8343536"/>
      <w:docPartObj>
        <w:docPartGallery w:val="Page Numbers (Bottom of Page)"/>
        <w:docPartUnique/>
      </w:docPartObj>
    </w:sdtPr>
    <w:sdtEndPr>
      <w:rPr>
        <w:color w:val="7F7F7F" w:themeColor="background1" w:themeShade="7F"/>
        <w:spacing w:val="60"/>
      </w:rPr>
    </w:sdtEndPr>
    <w:sdtContent>
      <w:p w14:paraId="764191AD" w14:textId="150C69DE" w:rsidR="00D20DC2" w:rsidRDefault="00D20DC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B038BB" w:rsidRPr="00B038BB">
          <w:rPr>
            <w:b/>
            <w:bCs/>
            <w:noProof/>
          </w:rPr>
          <w:t>2</w:t>
        </w:r>
        <w:r>
          <w:rPr>
            <w:b/>
            <w:bCs/>
            <w:noProof/>
          </w:rPr>
          <w:fldChar w:fldCharType="end"/>
        </w:r>
        <w:r>
          <w:rPr>
            <w:b/>
            <w:bCs/>
          </w:rPr>
          <w:t xml:space="preserve"> | </w:t>
        </w:r>
        <w:r>
          <w:rPr>
            <w:color w:val="7F7F7F" w:themeColor="background1" w:themeShade="7F"/>
            <w:spacing w:val="60"/>
          </w:rPr>
          <w:t>Page</w:t>
        </w:r>
      </w:p>
    </w:sdtContent>
  </w:sdt>
  <w:p w14:paraId="4C7E92B5" w14:textId="77777777" w:rsidR="00D20DC2" w:rsidRDefault="00D20D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0477387"/>
      <w:docPartObj>
        <w:docPartGallery w:val="Page Numbers (Bottom of Page)"/>
        <w:docPartUnique/>
      </w:docPartObj>
    </w:sdtPr>
    <w:sdtEndPr>
      <w:rPr>
        <w:color w:val="7F7F7F" w:themeColor="background1" w:themeShade="7F"/>
        <w:spacing w:val="60"/>
      </w:rPr>
    </w:sdtEndPr>
    <w:sdtContent>
      <w:p w14:paraId="56B870AA" w14:textId="435096B5" w:rsidR="00D20DC2" w:rsidRDefault="00D20DC2">
        <w:pPr>
          <w:pStyle w:val="Footer"/>
          <w:pBdr>
            <w:top w:val="single" w:sz="4" w:space="1" w:color="D9D9D9" w:themeColor="background1" w:themeShade="D9"/>
          </w:pBdr>
          <w:jc w:val="right"/>
        </w:pPr>
        <w:r>
          <w:fldChar w:fldCharType="begin"/>
        </w:r>
        <w:r>
          <w:instrText xml:space="preserve"> PAGE   \* MERGEFORMAT </w:instrText>
        </w:r>
        <w:r>
          <w:fldChar w:fldCharType="separate"/>
        </w:r>
        <w:r w:rsidR="00B038BB">
          <w:rPr>
            <w:noProof/>
          </w:rPr>
          <w:t>0</w:t>
        </w:r>
        <w:r>
          <w:rPr>
            <w:noProof/>
          </w:rPr>
          <w:fldChar w:fldCharType="end"/>
        </w:r>
        <w:r>
          <w:t xml:space="preserve"> | </w:t>
        </w:r>
        <w:r>
          <w:rPr>
            <w:color w:val="7F7F7F" w:themeColor="background1" w:themeShade="7F"/>
            <w:spacing w:val="60"/>
          </w:rPr>
          <w:t>Page</w:t>
        </w:r>
      </w:p>
    </w:sdtContent>
  </w:sdt>
  <w:p w14:paraId="7CC71BDF" w14:textId="77777777" w:rsidR="00D20DC2" w:rsidRDefault="00D20D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120D9" w14:textId="77777777" w:rsidR="00D20DC2" w:rsidRDefault="00D20D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7E353D" w14:textId="77777777" w:rsidR="00D20DC2" w:rsidRDefault="00D20DC2">
    <w:pPr>
      <w:pStyle w:val="Footer"/>
    </w:pPr>
    <w:r>
      <w:rPr>
        <w:rFonts w:ascii="Arial Narrow" w:hAnsi="Arial Narrow"/>
        <w:b/>
        <w:caps/>
        <w:color w:val="808080" w:themeColor="background1" w:themeShade="80"/>
        <w:sz w:val="15"/>
        <w:szCs w:val="15"/>
      </w:rPr>
      <w:t>Draft UHC M&amp;E PLan</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075313"/>
      <w:docPartObj>
        <w:docPartGallery w:val="Page Numbers (Bottom of Page)"/>
        <w:docPartUnique/>
      </w:docPartObj>
    </w:sdtPr>
    <w:sdtEndPr>
      <w:rPr>
        <w:color w:val="7F7F7F" w:themeColor="background1" w:themeShade="7F"/>
        <w:spacing w:val="60"/>
      </w:rPr>
    </w:sdtEndPr>
    <w:sdtContent>
      <w:p w14:paraId="790359B9" w14:textId="58795243" w:rsidR="00D20DC2" w:rsidRDefault="00D20DC2">
        <w:pPr>
          <w:pStyle w:val="Footer"/>
          <w:pBdr>
            <w:top w:val="single" w:sz="4" w:space="1" w:color="D9D9D9" w:themeColor="background1" w:themeShade="D9"/>
          </w:pBdr>
          <w:jc w:val="right"/>
        </w:pPr>
        <w:r>
          <w:fldChar w:fldCharType="begin"/>
        </w:r>
        <w:r>
          <w:instrText xml:space="preserve"> PAGE   \* MERGEFORMAT </w:instrText>
        </w:r>
        <w:r>
          <w:fldChar w:fldCharType="separate"/>
        </w:r>
        <w:r w:rsidR="00B038BB">
          <w:rPr>
            <w:noProof/>
          </w:rPr>
          <w:t>1</w:t>
        </w:r>
        <w:r>
          <w:rPr>
            <w:noProof/>
          </w:rPr>
          <w:fldChar w:fldCharType="end"/>
        </w:r>
        <w:r>
          <w:t xml:space="preserve"> | </w:t>
        </w:r>
        <w:r>
          <w:rPr>
            <w:color w:val="7F7F7F" w:themeColor="background1" w:themeShade="7F"/>
            <w:spacing w:val="60"/>
          </w:rPr>
          <w:t>Page</w:t>
        </w:r>
      </w:p>
    </w:sdtContent>
  </w:sdt>
  <w:p w14:paraId="1096171B" w14:textId="77777777" w:rsidR="00D20DC2" w:rsidRDefault="00D20DC2">
    <w:pPr>
      <w:pStyle w:val="Footer"/>
    </w:pPr>
  </w:p>
  <w:p w14:paraId="35BD3672" w14:textId="77777777" w:rsidR="00D20DC2" w:rsidRDefault="00D20DC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289A0" w14:textId="77777777" w:rsidR="00C366BF" w:rsidRDefault="00C366BF" w:rsidP="00F23B2E">
      <w:pPr>
        <w:spacing w:after="0" w:line="240" w:lineRule="auto"/>
      </w:pPr>
      <w:r>
        <w:separator/>
      </w:r>
    </w:p>
  </w:footnote>
  <w:footnote w:type="continuationSeparator" w:id="0">
    <w:p w14:paraId="7875A6EB" w14:textId="77777777" w:rsidR="00C366BF" w:rsidRDefault="00C366BF" w:rsidP="00F23B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9884B" w14:textId="7079EF9D" w:rsidR="00817359" w:rsidRDefault="008173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859C1" w14:textId="10EA590B" w:rsidR="00D20DC2" w:rsidRDefault="00D20DC2" w:rsidP="00C559FB">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B56C5" w14:textId="5C562944" w:rsidR="00817359" w:rsidRDefault="008173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769302" w14:textId="4293B163" w:rsidR="00817359" w:rsidRDefault="008173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61902" w14:textId="37090D70" w:rsidR="00817359" w:rsidRDefault="0081735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38028" w14:textId="0966A9FB" w:rsidR="00817359" w:rsidRDefault="008173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8FE00" w14:textId="7348F457" w:rsidR="00817359" w:rsidRDefault="0081735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76202" w14:textId="50D2A8B6" w:rsidR="00817359" w:rsidRDefault="0081735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6208D3" w14:textId="71555FCB" w:rsidR="00817359" w:rsidRDefault="008173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43A1"/>
    <w:multiLevelType w:val="hybridMultilevel"/>
    <w:tmpl w:val="767CF61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12E8B"/>
    <w:multiLevelType w:val="hybridMultilevel"/>
    <w:tmpl w:val="6B007BF2"/>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029F3A78"/>
    <w:multiLevelType w:val="hybridMultilevel"/>
    <w:tmpl w:val="94A2821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03D0621D"/>
    <w:multiLevelType w:val="hybridMultilevel"/>
    <w:tmpl w:val="D9262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69061F"/>
    <w:multiLevelType w:val="hybridMultilevel"/>
    <w:tmpl w:val="8996B08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6A2AB3"/>
    <w:multiLevelType w:val="hybridMultilevel"/>
    <w:tmpl w:val="7C7622FE"/>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0B21282B"/>
    <w:multiLevelType w:val="hybridMultilevel"/>
    <w:tmpl w:val="55E22C5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751E31"/>
    <w:multiLevelType w:val="hybridMultilevel"/>
    <w:tmpl w:val="0980F2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772737"/>
    <w:multiLevelType w:val="hybridMultilevel"/>
    <w:tmpl w:val="3510FB2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2685AF2"/>
    <w:multiLevelType w:val="hybridMultilevel"/>
    <w:tmpl w:val="68202884"/>
    <w:lvl w:ilvl="0" w:tplc="BAC48B1A">
      <w:start w:val="1"/>
      <w:numFmt w:val="decimal"/>
      <w:lvlText w:val="%1."/>
      <w:lvlJc w:val="left"/>
      <w:pPr>
        <w:ind w:left="720" w:hanging="360"/>
      </w:pPr>
      <w:rPr>
        <w:rFonts w:ascii="Arial" w:eastAsia="MS Mincho" w:hAnsi="Arial" w:cs="Arial"/>
      </w:rPr>
    </w:lvl>
    <w:lvl w:ilvl="1" w:tplc="B3007352">
      <w:start w:val="1"/>
      <w:numFmt w:val="decimal"/>
      <w:lvlText w:val="%2."/>
      <w:lvlJc w:val="left"/>
      <w:pPr>
        <w:ind w:left="1440" w:hanging="360"/>
      </w:pPr>
      <w:rPr>
        <w:rFonts w:asciiTheme="minorHAnsi" w:eastAsia="MS Mincho" w:hAnsiTheme="minorHAnsi" w:cstheme="minorBidi"/>
      </w:rPr>
    </w:lvl>
    <w:lvl w:ilvl="2" w:tplc="4EBC1542">
      <w:start w:val="1"/>
      <w:numFmt w:val="decimal"/>
      <w:lvlText w:val="%3."/>
      <w:lvlJc w:val="left"/>
      <w:pPr>
        <w:ind w:left="2160" w:hanging="360"/>
      </w:pPr>
      <w:rPr>
        <w:rFonts w:ascii="Arial" w:eastAsia="MS Mincho" w:hAnsi="Arial" w:cs="Arial"/>
      </w:rPr>
    </w:lvl>
    <w:lvl w:ilvl="3" w:tplc="04090001">
      <w:start w:val="1"/>
      <w:numFmt w:val="bullet"/>
      <w:lvlText w:val=""/>
      <w:lvlJc w:val="left"/>
      <w:pPr>
        <w:ind w:left="2880" w:hanging="360"/>
      </w:pPr>
      <w:rPr>
        <w:rFonts w:ascii="Symbol" w:hAnsi="Symbol" w:hint="default"/>
      </w:rPr>
    </w:lvl>
    <w:lvl w:ilvl="4" w:tplc="04090005">
      <w:start w:val="1"/>
      <w:numFmt w:val="bullet"/>
      <w:lvlText w:val=""/>
      <w:lvlJc w:val="left"/>
      <w:pPr>
        <w:ind w:left="3600" w:hanging="360"/>
      </w:pPr>
      <w:rPr>
        <w:rFonts w:ascii="Wingdings" w:hAnsi="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3BE218C"/>
    <w:multiLevelType w:val="multilevel"/>
    <w:tmpl w:val="727A39C8"/>
    <w:lvl w:ilvl="0">
      <w:start w:val="6"/>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48C7023"/>
    <w:multiLevelType w:val="hybridMultilevel"/>
    <w:tmpl w:val="5E1E32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6271798"/>
    <w:multiLevelType w:val="hybridMultilevel"/>
    <w:tmpl w:val="D4A6600C"/>
    <w:lvl w:ilvl="0" w:tplc="0409000F">
      <w:start w:val="1"/>
      <w:numFmt w:val="decimal"/>
      <w:lvlText w:val="%1."/>
      <w:lvlJc w:val="left"/>
      <w:pPr>
        <w:tabs>
          <w:tab w:val="num" w:pos="720"/>
        </w:tabs>
        <w:ind w:left="720" w:hanging="360"/>
      </w:pPr>
      <w:rPr>
        <w:rFonts w:hint="default"/>
      </w:rPr>
    </w:lvl>
    <w:lvl w:ilvl="1" w:tplc="0456ADDC" w:tentative="1">
      <w:start w:val="1"/>
      <w:numFmt w:val="bullet"/>
      <w:lvlText w:val="•"/>
      <w:lvlJc w:val="left"/>
      <w:pPr>
        <w:tabs>
          <w:tab w:val="num" w:pos="1440"/>
        </w:tabs>
        <w:ind w:left="1440" w:hanging="360"/>
      </w:pPr>
      <w:rPr>
        <w:rFonts w:ascii="Times New Roman" w:hAnsi="Times New Roman" w:hint="default"/>
      </w:rPr>
    </w:lvl>
    <w:lvl w:ilvl="2" w:tplc="6E30837A" w:tentative="1">
      <w:start w:val="1"/>
      <w:numFmt w:val="bullet"/>
      <w:lvlText w:val="•"/>
      <w:lvlJc w:val="left"/>
      <w:pPr>
        <w:tabs>
          <w:tab w:val="num" w:pos="2160"/>
        </w:tabs>
        <w:ind w:left="2160" w:hanging="360"/>
      </w:pPr>
      <w:rPr>
        <w:rFonts w:ascii="Times New Roman" w:hAnsi="Times New Roman" w:hint="default"/>
      </w:rPr>
    </w:lvl>
    <w:lvl w:ilvl="3" w:tplc="429CBA0C" w:tentative="1">
      <w:start w:val="1"/>
      <w:numFmt w:val="bullet"/>
      <w:lvlText w:val="•"/>
      <w:lvlJc w:val="left"/>
      <w:pPr>
        <w:tabs>
          <w:tab w:val="num" w:pos="2880"/>
        </w:tabs>
        <w:ind w:left="2880" w:hanging="360"/>
      </w:pPr>
      <w:rPr>
        <w:rFonts w:ascii="Times New Roman" w:hAnsi="Times New Roman" w:hint="default"/>
      </w:rPr>
    </w:lvl>
    <w:lvl w:ilvl="4" w:tplc="E346A006" w:tentative="1">
      <w:start w:val="1"/>
      <w:numFmt w:val="bullet"/>
      <w:lvlText w:val="•"/>
      <w:lvlJc w:val="left"/>
      <w:pPr>
        <w:tabs>
          <w:tab w:val="num" w:pos="3600"/>
        </w:tabs>
        <w:ind w:left="3600" w:hanging="360"/>
      </w:pPr>
      <w:rPr>
        <w:rFonts w:ascii="Times New Roman" w:hAnsi="Times New Roman" w:hint="default"/>
      </w:rPr>
    </w:lvl>
    <w:lvl w:ilvl="5" w:tplc="A61278F4" w:tentative="1">
      <w:start w:val="1"/>
      <w:numFmt w:val="bullet"/>
      <w:lvlText w:val="•"/>
      <w:lvlJc w:val="left"/>
      <w:pPr>
        <w:tabs>
          <w:tab w:val="num" w:pos="4320"/>
        </w:tabs>
        <w:ind w:left="4320" w:hanging="360"/>
      </w:pPr>
      <w:rPr>
        <w:rFonts w:ascii="Times New Roman" w:hAnsi="Times New Roman" w:hint="default"/>
      </w:rPr>
    </w:lvl>
    <w:lvl w:ilvl="6" w:tplc="CB8EB2F6" w:tentative="1">
      <w:start w:val="1"/>
      <w:numFmt w:val="bullet"/>
      <w:lvlText w:val="•"/>
      <w:lvlJc w:val="left"/>
      <w:pPr>
        <w:tabs>
          <w:tab w:val="num" w:pos="5040"/>
        </w:tabs>
        <w:ind w:left="5040" w:hanging="360"/>
      </w:pPr>
      <w:rPr>
        <w:rFonts w:ascii="Times New Roman" w:hAnsi="Times New Roman" w:hint="default"/>
      </w:rPr>
    </w:lvl>
    <w:lvl w:ilvl="7" w:tplc="0D3621A4" w:tentative="1">
      <w:start w:val="1"/>
      <w:numFmt w:val="bullet"/>
      <w:lvlText w:val="•"/>
      <w:lvlJc w:val="left"/>
      <w:pPr>
        <w:tabs>
          <w:tab w:val="num" w:pos="5760"/>
        </w:tabs>
        <w:ind w:left="5760" w:hanging="360"/>
      </w:pPr>
      <w:rPr>
        <w:rFonts w:ascii="Times New Roman" w:hAnsi="Times New Roman" w:hint="default"/>
      </w:rPr>
    </w:lvl>
    <w:lvl w:ilvl="8" w:tplc="DB9EE49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1A5D0599"/>
    <w:multiLevelType w:val="multilevel"/>
    <w:tmpl w:val="D9A8B23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AB65E3B"/>
    <w:multiLevelType w:val="hybridMultilevel"/>
    <w:tmpl w:val="08609962"/>
    <w:lvl w:ilvl="0" w:tplc="715447A6">
      <w:numFmt w:val="bullet"/>
      <w:lvlText w:val="•"/>
      <w:lvlJc w:val="left"/>
      <w:pPr>
        <w:ind w:left="360" w:hanging="360"/>
      </w:pPr>
      <w:rPr>
        <w:rFonts w:ascii="Arial" w:eastAsiaTheme="minorHAnsi"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B9B3C8E"/>
    <w:multiLevelType w:val="hybridMultilevel"/>
    <w:tmpl w:val="E6E0CA22"/>
    <w:lvl w:ilvl="0" w:tplc="04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D03259E"/>
    <w:multiLevelType w:val="hybridMultilevel"/>
    <w:tmpl w:val="D0C6EBC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09A74AB"/>
    <w:multiLevelType w:val="hybridMultilevel"/>
    <w:tmpl w:val="45F41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16C6E5F"/>
    <w:multiLevelType w:val="hybridMultilevel"/>
    <w:tmpl w:val="00646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4414A7"/>
    <w:multiLevelType w:val="hybridMultilevel"/>
    <w:tmpl w:val="E4C60E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562055"/>
    <w:multiLevelType w:val="multilevel"/>
    <w:tmpl w:val="0EC61938"/>
    <w:lvl w:ilvl="0">
      <w:start w:val="6"/>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1" w15:restartNumberingAfterBreak="0">
    <w:nsid w:val="294A3612"/>
    <w:multiLevelType w:val="hybridMultilevel"/>
    <w:tmpl w:val="2948309C"/>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22" w15:restartNumberingAfterBreak="0">
    <w:nsid w:val="2C4764F8"/>
    <w:multiLevelType w:val="hybridMultilevel"/>
    <w:tmpl w:val="7A069D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C5F71BB"/>
    <w:multiLevelType w:val="hybridMultilevel"/>
    <w:tmpl w:val="00E0D6EE"/>
    <w:lvl w:ilvl="0" w:tplc="E51CF134">
      <w:start w:val="2"/>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2D4E4C1B"/>
    <w:multiLevelType w:val="hybridMultilevel"/>
    <w:tmpl w:val="F6966714"/>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2F23055E"/>
    <w:multiLevelType w:val="hybridMultilevel"/>
    <w:tmpl w:val="3A4275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F2B4639"/>
    <w:multiLevelType w:val="hybridMultilevel"/>
    <w:tmpl w:val="771E1DFC"/>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339D5086"/>
    <w:multiLevelType w:val="hybridMultilevel"/>
    <w:tmpl w:val="B82021CC"/>
    <w:lvl w:ilvl="0" w:tplc="0441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43B048C"/>
    <w:multiLevelType w:val="hybridMultilevel"/>
    <w:tmpl w:val="FE6ABA8C"/>
    <w:lvl w:ilvl="0" w:tplc="0BE234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4864142"/>
    <w:multiLevelType w:val="hybridMultilevel"/>
    <w:tmpl w:val="A24253D8"/>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3CA849E5"/>
    <w:multiLevelType w:val="hybridMultilevel"/>
    <w:tmpl w:val="373ED73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D720ABA"/>
    <w:multiLevelType w:val="hybridMultilevel"/>
    <w:tmpl w:val="6C1E260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409421A1"/>
    <w:multiLevelType w:val="hybridMultilevel"/>
    <w:tmpl w:val="C0E830E4"/>
    <w:lvl w:ilvl="0" w:tplc="30090011">
      <w:start w:val="1"/>
      <w:numFmt w:val="decimal"/>
      <w:lvlText w:val="%1)"/>
      <w:lvlJc w:val="left"/>
      <w:pPr>
        <w:ind w:left="360" w:hanging="360"/>
      </w:p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33" w15:restartNumberingAfterBreak="0">
    <w:nsid w:val="48065F3F"/>
    <w:multiLevelType w:val="hybridMultilevel"/>
    <w:tmpl w:val="43C8D3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353E5F"/>
    <w:multiLevelType w:val="hybridMultilevel"/>
    <w:tmpl w:val="01B03D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1F564E7"/>
    <w:multiLevelType w:val="hybridMultilevel"/>
    <w:tmpl w:val="865A9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28E6820"/>
    <w:multiLevelType w:val="hybridMultilevel"/>
    <w:tmpl w:val="B9A45360"/>
    <w:lvl w:ilvl="0" w:tplc="04090005">
      <w:start w:val="1"/>
      <w:numFmt w:val="bullet"/>
      <w:lvlText w:val=""/>
      <w:lvlJc w:val="left"/>
      <w:pPr>
        <w:ind w:left="720" w:hanging="360"/>
      </w:pPr>
      <w:rPr>
        <w:rFonts w:ascii="Wingdings" w:hAnsi="Wingdings" w:hint="default"/>
      </w:rPr>
    </w:lvl>
    <w:lvl w:ilvl="1" w:tplc="B3007352">
      <w:start w:val="1"/>
      <w:numFmt w:val="decimal"/>
      <w:lvlText w:val="%2."/>
      <w:lvlJc w:val="left"/>
      <w:pPr>
        <w:ind w:left="1440" w:hanging="360"/>
      </w:pPr>
      <w:rPr>
        <w:rFonts w:asciiTheme="minorHAnsi" w:eastAsia="MS Mincho" w:hAnsiTheme="minorHAnsi" w:cstheme="minorBidi"/>
      </w:rPr>
    </w:lvl>
    <w:lvl w:ilvl="2" w:tplc="4EBC1542">
      <w:start w:val="1"/>
      <w:numFmt w:val="decimal"/>
      <w:lvlText w:val="%3."/>
      <w:lvlJc w:val="left"/>
      <w:pPr>
        <w:ind w:left="2160" w:hanging="360"/>
      </w:pPr>
      <w:rPr>
        <w:rFonts w:ascii="Arial" w:eastAsia="MS Mincho" w:hAnsi="Arial" w:cs="Arial"/>
      </w:rPr>
    </w:lvl>
    <w:lvl w:ilvl="3" w:tplc="04090001">
      <w:start w:val="1"/>
      <w:numFmt w:val="bullet"/>
      <w:lvlText w:val=""/>
      <w:lvlJc w:val="left"/>
      <w:pPr>
        <w:ind w:left="2880" w:hanging="360"/>
      </w:pPr>
      <w:rPr>
        <w:rFonts w:ascii="Symbol" w:hAnsi="Symbol" w:hint="default"/>
      </w:rPr>
    </w:lvl>
    <w:lvl w:ilvl="4" w:tplc="04090005">
      <w:start w:val="1"/>
      <w:numFmt w:val="bullet"/>
      <w:lvlText w:val=""/>
      <w:lvlJc w:val="left"/>
      <w:pPr>
        <w:ind w:left="3600" w:hanging="360"/>
      </w:pPr>
      <w:rPr>
        <w:rFonts w:ascii="Wingdings" w:hAnsi="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57C55A0D"/>
    <w:multiLevelType w:val="multilevel"/>
    <w:tmpl w:val="EFAC37F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58685C5A"/>
    <w:multiLevelType w:val="hybridMultilevel"/>
    <w:tmpl w:val="5A24A1A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F71373C"/>
    <w:multiLevelType w:val="hybridMultilevel"/>
    <w:tmpl w:val="C03A259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9F2F16"/>
    <w:multiLevelType w:val="hybridMultilevel"/>
    <w:tmpl w:val="378EB2CC"/>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60834573"/>
    <w:multiLevelType w:val="hybridMultilevel"/>
    <w:tmpl w:val="2974ACC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2214AE1"/>
    <w:multiLevelType w:val="hybridMultilevel"/>
    <w:tmpl w:val="75E42F84"/>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5676EE4"/>
    <w:multiLevelType w:val="hybridMultilevel"/>
    <w:tmpl w:val="FD2E6C12"/>
    <w:lvl w:ilvl="0" w:tplc="04090001">
      <w:start w:val="1"/>
      <w:numFmt w:val="bullet"/>
      <w:lvlText w:val=""/>
      <w:lvlJc w:val="left"/>
      <w:pPr>
        <w:ind w:left="1080" w:hanging="360"/>
      </w:pPr>
      <w:rPr>
        <w:rFonts w:ascii="Symbol" w:hAnsi="Symbol" w:hint="default"/>
      </w:rPr>
    </w:lvl>
    <w:lvl w:ilvl="1" w:tplc="B3007352">
      <w:start w:val="1"/>
      <w:numFmt w:val="decimal"/>
      <w:lvlText w:val="%2."/>
      <w:lvlJc w:val="left"/>
      <w:pPr>
        <w:ind w:left="1800" w:hanging="360"/>
      </w:pPr>
      <w:rPr>
        <w:rFonts w:asciiTheme="minorHAnsi" w:eastAsia="MS Mincho" w:hAnsiTheme="minorHAnsi" w:cstheme="minorBidi"/>
      </w:rPr>
    </w:lvl>
    <w:lvl w:ilvl="2" w:tplc="4EBC1542">
      <w:start w:val="1"/>
      <w:numFmt w:val="decimal"/>
      <w:lvlText w:val="%3."/>
      <w:lvlJc w:val="left"/>
      <w:pPr>
        <w:ind w:left="2520" w:hanging="360"/>
      </w:pPr>
      <w:rPr>
        <w:rFonts w:ascii="Arial" w:eastAsia="MS Mincho" w:hAnsi="Arial" w:cs="Arial"/>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4" w15:restartNumberingAfterBreak="0">
    <w:nsid w:val="66034C12"/>
    <w:multiLevelType w:val="hybridMultilevel"/>
    <w:tmpl w:val="D278D9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6713BF4"/>
    <w:multiLevelType w:val="hybridMultilevel"/>
    <w:tmpl w:val="56184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773D08"/>
    <w:multiLevelType w:val="hybridMultilevel"/>
    <w:tmpl w:val="497C6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9650CC3"/>
    <w:multiLevelType w:val="multilevel"/>
    <w:tmpl w:val="29FC1AA2"/>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81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8" w15:restartNumberingAfterBreak="0">
    <w:nsid w:val="6B5B5FC3"/>
    <w:multiLevelType w:val="hybridMultilevel"/>
    <w:tmpl w:val="2A36AE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EF042CC"/>
    <w:multiLevelType w:val="hybridMultilevel"/>
    <w:tmpl w:val="7F42A64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3BB26C3"/>
    <w:multiLevelType w:val="hybridMultilevel"/>
    <w:tmpl w:val="6F769A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761C5A2B"/>
    <w:multiLevelType w:val="hybridMultilevel"/>
    <w:tmpl w:val="C8F626E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9D77C1A"/>
    <w:multiLevelType w:val="hybridMultilevel"/>
    <w:tmpl w:val="E020D54E"/>
    <w:lvl w:ilvl="0" w:tplc="5CBADE96">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9FE5A10"/>
    <w:multiLevelType w:val="hybridMultilevel"/>
    <w:tmpl w:val="03F6524C"/>
    <w:lvl w:ilvl="0" w:tplc="04090003">
      <w:start w:val="1"/>
      <w:numFmt w:val="bullet"/>
      <w:lvlText w:val="o"/>
      <w:lvlJc w:val="left"/>
      <w:pPr>
        <w:ind w:left="720" w:hanging="360"/>
      </w:pPr>
      <w:rPr>
        <w:rFonts w:ascii="Courier New" w:hAnsi="Courier New" w:cs="Courier New" w:hint="default"/>
      </w:rPr>
    </w:lvl>
    <w:lvl w:ilvl="1" w:tplc="84F093B0">
      <w:numFmt w:val="bullet"/>
      <w:lvlText w:val="-"/>
      <w:lvlJc w:val="left"/>
      <w:pPr>
        <w:ind w:left="1440" w:hanging="360"/>
      </w:pPr>
      <w:rPr>
        <w:rFonts w:ascii="Arial" w:eastAsia="MS Mincho"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7C7857EC"/>
    <w:multiLevelType w:val="hybridMultilevel"/>
    <w:tmpl w:val="90D4AC88"/>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7D904206"/>
    <w:multiLevelType w:val="hybridMultilevel"/>
    <w:tmpl w:val="5BDEDD82"/>
    <w:lvl w:ilvl="0" w:tplc="30090011">
      <w:start w:val="1"/>
      <w:numFmt w:val="decimal"/>
      <w:lvlText w:val="%1)"/>
      <w:lvlJc w:val="left"/>
      <w:pPr>
        <w:ind w:left="360" w:hanging="360"/>
      </w:p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56" w15:restartNumberingAfterBreak="0">
    <w:nsid w:val="7DB42A6F"/>
    <w:multiLevelType w:val="hybridMultilevel"/>
    <w:tmpl w:val="1A24323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7" w15:restartNumberingAfterBreak="0">
    <w:nsid w:val="7F6B7633"/>
    <w:multiLevelType w:val="hybridMultilevel"/>
    <w:tmpl w:val="4112C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28"/>
  </w:num>
  <w:num w:numId="3">
    <w:abstractNumId w:val="52"/>
  </w:num>
  <w:num w:numId="4">
    <w:abstractNumId w:val="6"/>
  </w:num>
  <w:num w:numId="5">
    <w:abstractNumId w:val="42"/>
  </w:num>
  <w:num w:numId="6">
    <w:abstractNumId w:val="15"/>
  </w:num>
  <w:num w:numId="7">
    <w:abstractNumId w:val="47"/>
  </w:num>
  <w:num w:numId="8">
    <w:abstractNumId w:val="3"/>
  </w:num>
  <w:num w:numId="9">
    <w:abstractNumId w:val="37"/>
  </w:num>
  <w:num w:numId="10">
    <w:abstractNumId w:val="20"/>
  </w:num>
  <w:num w:numId="11">
    <w:abstractNumId w:val="46"/>
    <w:lvlOverride w:ilvl="0"/>
    <w:lvlOverride w:ilvl="1"/>
    <w:lvlOverride w:ilvl="2">
      <w:startOverride w:val="1"/>
    </w:lvlOverride>
    <w:lvlOverride w:ilvl="3"/>
    <w:lvlOverride w:ilvl="4"/>
    <w:lvlOverride w:ilvl="5"/>
    <w:lvlOverride w:ilvl="6"/>
    <w:lvlOverride w:ilvl="7"/>
    <w:lvlOverride w:ilvl="8"/>
  </w:num>
  <w:num w:numId="12">
    <w:abstractNumId w:val="9"/>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3">
    <w:abstractNumId w:val="36"/>
    <w:lvlOverride w:ilvl="0"/>
    <w:lvlOverride w:ilvl="1">
      <w:startOverride w:val="1"/>
    </w:lvlOverride>
    <w:lvlOverride w:ilvl="2">
      <w:startOverride w:val="1"/>
    </w:lvlOverride>
    <w:lvlOverride w:ilvl="3"/>
    <w:lvlOverride w:ilvl="4"/>
    <w:lvlOverride w:ilvl="5"/>
    <w:lvlOverride w:ilvl="6"/>
    <w:lvlOverride w:ilvl="7"/>
    <w:lvlOverride w:ilvl="8"/>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3"/>
    <w:lvlOverride w:ilvl="0"/>
    <w:lvlOverride w:ilvl="1">
      <w:startOverride w:val="1"/>
    </w:lvlOverride>
    <w:lvlOverride w:ilvl="2">
      <w:startOverride w:val="1"/>
    </w:lvlOverride>
    <w:lvlOverride w:ilvl="3"/>
    <w:lvlOverride w:ilvl="4"/>
    <w:lvlOverride w:ilvl="5"/>
    <w:lvlOverride w:ilvl="6"/>
    <w:lvlOverride w:ilvl="7"/>
    <w:lvlOverride w:ilvl="8"/>
  </w:num>
  <w:num w:numId="16">
    <w:abstractNumId w:val="1"/>
  </w:num>
  <w:num w:numId="17">
    <w:abstractNumId w:val="2"/>
  </w:num>
  <w:num w:numId="18">
    <w:abstractNumId w:val="5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45"/>
  </w:num>
  <w:num w:numId="22">
    <w:abstractNumId w:val="34"/>
  </w:num>
  <w:num w:numId="23">
    <w:abstractNumId w:val="10"/>
  </w:num>
  <w:num w:numId="24">
    <w:abstractNumId w:val="19"/>
  </w:num>
  <w:num w:numId="25">
    <w:abstractNumId w:val="4"/>
  </w:num>
  <w:num w:numId="26">
    <w:abstractNumId w:val="39"/>
  </w:num>
  <w:num w:numId="27">
    <w:abstractNumId w:val="27"/>
  </w:num>
  <w:num w:numId="28">
    <w:abstractNumId w:val="0"/>
  </w:num>
  <w:num w:numId="29">
    <w:abstractNumId w:val="54"/>
  </w:num>
  <w:num w:numId="30">
    <w:abstractNumId w:val="5"/>
  </w:num>
  <w:num w:numId="31">
    <w:abstractNumId w:val="26"/>
  </w:num>
  <w:num w:numId="32">
    <w:abstractNumId w:val="24"/>
  </w:num>
  <w:num w:numId="33">
    <w:abstractNumId w:val="29"/>
  </w:num>
  <w:num w:numId="34">
    <w:abstractNumId w:val="56"/>
  </w:num>
  <w:num w:numId="35">
    <w:abstractNumId w:val="38"/>
  </w:num>
  <w:num w:numId="36">
    <w:abstractNumId w:val="12"/>
  </w:num>
  <w:num w:numId="37">
    <w:abstractNumId w:val="18"/>
  </w:num>
  <w:num w:numId="38">
    <w:abstractNumId w:val="7"/>
  </w:num>
  <w:num w:numId="39">
    <w:abstractNumId w:val="41"/>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0"/>
  </w:num>
  <w:num w:numId="43">
    <w:abstractNumId w:val="8"/>
  </w:num>
  <w:num w:numId="44">
    <w:abstractNumId w:val="31"/>
  </w:num>
  <w:num w:numId="45">
    <w:abstractNumId w:val="22"/>
  </w:num>
  <w:num w:numId="46">
    <w:abstractNumId w:val="11"/>
  </w:num>
  <w:num w:numId="47">
    <w:abstractNumId w:val="50"/>
  </w:num>
  <w:num w:numId="48">
    <w:abstractNumId w:val="49"/>
  </w:num>
  <w:num w:numId="49">
    <w:abstractNumId w:val="33"/>
  </w:num>
  <w:num w:numId="50">
    <w:abstractNumId w:val="25"/>
  </w:num>
  <w:num w:numId="51">
    <w:abstractNumId w:val="14"/>
  </w:num>
  <w:num w:numId="52">
    <w:abstractNumId w:val="48"/>
  </w:num>
  <w:num w:numId="53">
    <w:abstractNumId w:val="57"/>
  </w:num>
  <w:num w:numId="54">
    <w:abstractNumId w:val="44"/>
  </w:num>
  <w:num w:numId="55">
    <w:abstractNumId w:val="17"/>
  </w:num>
  <w:num w:numId="56">
    <w:abstractNumId w:val="35"/>
  </w:num>
  <w:num w:numId="57">
    <w:abstractNumId w:val="51"/>
  </w:num>
  <w:num w:numId="58">
    <w:abstractNumId w:val="16"/>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iaji, Achim">
    <w15:presenceInfo w15:providerId="AD" w15:userId="S-1-5-21-1857375637-742075990-3740781528-1001"/>
  </w15:person>
  <w15:person w15:author="Nzyoka, Rose">
    <w15:presenceInfo w15:providerId="None" w15:userId="Nzyoka, Ros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3A3"/>
    <w:rsid w:val="0000295C"/>
    <w:rsid w:val="0000495E"/>
    <w:rsid w:val="00023323"/>
    <w:rsid w:val="00050E2D"/>
    <w:rsid w:val="00061333"/>
    <w:rsid w:val="000614A0"/>
    <w:rsid w:val="00066DBB"/>
    <w:rsid w:val="0007019B"/>
    <w:rsid w:val="00071221"/>
    <w:rsid w:val="000720AD"/>
    <w:rsid w:val="00075B03"/>
    <w:rsid w:val="0008265E"/>
    <w:rsid w:val="00085770"/>
    <w:rsid w:val="000B2E6B"/>
    <w:rsid w:val="000B51E3"/>
    <w:rsid w:val="000B6B49"/>
    <w:rsid w:val="000D7B9C"/>
    <w:rsid w:val="000E382C"/>
    <w:rsid w:val="000E787C"/>
    <w:rsid w:val="000F1EB6"/>
    <w:rsid w:val="00110B22"/>
    <w:rsid w:val="00116462"/>
    <w:rsid w:val="0011731C"/>
    <w:rsid w:val="001210EA"/>
    <w:rsid w:val="001228AE"/>
    <w:rsid w:val="00125C4A"/>
    <w:rsid w:val="00136380"/>
    <w:rsid w:val="00150597"/>
    <w:rsid w:val="001615C3"/>
    <w:rsid w:val="00162E83"/>
    <w:rsid w:val="00164153"/>
    <w:rsid w:val="00172987"/>
    <w:rsid w:val="00172B21"/>
    <w:rsid w:val="00187D14"/>
    <w:rsid w:val="0019103C"/>
    <w:rsid w:val="001A5646"/>
    <w:rsid w:val="001B1695"/>
    <w:rsid w:val="001B2E9C"/>
    <w:rsid w:val="001D32F7"/>
    <w:rsid w:val="001E2209"/>
    <w:rsid w:val="001E31F1"/>
    <w:rsid w:val="001E4410"/>
    <w:rsid w:val="001E4881"/>
    <w:rsid w:val="001F049F"/>
    <w:rsid w:val="001F4B65"/>
    <w:rsid w:val="001F6526"/>
    <w:rsid w:val="00203568"/>
    <w:rsid w:val="00204F29"/>
    <w:rsid w:val="00222599"/>
    <w:rsid w:val="00223008"/>
    <w:rsid w:val="00235D8A"/>
    <w:rsid w:val="0024622F"/>
    <w:rsid w:val="002561BF"/>
    <w:rsid w:val="0025792C"/>
    <w:rsid w:val="00270FA6"/>
    <w:rsid w:val="00271233"/>
    <w:rsid w:val="00275DAA"/>
    <w:rsid w:val="00295EF9"/>
    <w:rsid w:val="002A3E76"/>
    <w:rsid w:val="002A64C0"/>
    <w:rsid w:val="002B040C"/>
    <w:rsid w:val="002B77DF"/>
    <w:rsid w:val="002C05FA"/>
    <w:rsid w:val="002C73A3"/>
    <w:rsid w:val="002D3704"/>
    <w:rsid w:val="002F2BA6"/>
    <w:rsid w:val="002F34B6"/>
    <w:rsid w:val="00300B61"/>
    <w:rsid w:val="00312347"/>
    <w:rsid w:val="0031561E"/>
    <w:rsid w:val="00321F2C"/>
    <w:rsid w:val="00333A30"/>
    <w:rsid w:val="0033590C"/>
    <w:rsid w:val="00341050"/>
    <w:rsid w:val="00342E44"/>
    <w:rsid w:val="00346D6C"/>
    <w:rsid w:val="003537D8"/>
    <w:rsid w:val="0035564C"/>
    <w:rsid w:val="00366064"/>
    <w:rsid w:val="00375121"/>
    <w:rsid w:val="003869BC"/>
    <w:rsid w:val="003A2D4B"/>
    <w:rsid w:val="003A725B"/>
    <w:rsid w:val="003B0EA5"/>
    <w:rsid w:val="003B7C93"/>
    <w:rsid w:val="003C6F7D"/>
    <w:rsid w:val="003D4CF9"/>
    <w:rsid w:val="003E49B7"/>
    <w:rsid w:val="00401972"/>
    <w:rsid w:val="00415B52"/>
    <w:rsid w:val="00434D36"/>
    <w:rsid w:val="00435730"/>
    <w:rsid w:val="004368F7"/>
    <w:rsid w:val="0044532E"/>
    <w:rsid w:val="004631B3"/>
    <w:rsid w:val="00463DC2"/>
    <w:rsid w:val="00474006"/>
    <w:rsid w:val="00476460"/>
    <w:rsid w:val="0048027B"/>
    <w:rsid w:val="004805F1"/>
    <w:rsid w:val="004820CB"/>
    <w:rsid w:val="00486932"/>
    <w:rsid w:val="00495EF2"/>
    <w:rsid w:val="004979E0"/>
    <w:rsid w:val="004A33ED"/>
    <w:rsid w:val="004B10E1"/>
    <w:rsid w:val="004B12BC"/>
    <w:rsid w:val="004B4A2E"/>
    <w:rsid w:val="004B7B82"/>
    <w:rsid w:val="004C55BF"/>
    <w:rsid w:val="004C59A4"/>
    <w:rsid w:val="004E28D8"/>
    <w:rsid w:val="004F147E"/>
    <w:rsid w:val="00504962"/>
    <w:rsid w:val="00506632"/>
    <w:rsid w:val="0051072D"/>
    <w:rsid w:val="00513BBA"/>
    <w:rsid w:val="005143BF"/>
    <w:rsid w:val="0051462B"/>
    <w:rsid w:val="005168DC"/>
    <w:rsid w:val="00525598"/>
    <w:rsid w:val="00527C7E"/>
    <w:rsid w:val="00532A33"/>
    <w:rsid w:val="00544C99"/>
    <w:rsid w:val="00545A2B"/>
    <w:rsid w:val="00551175"/>
    <w:rsid w:val="00552622"/>
    <w:rsid w:val="00557CE0"/>
    <w:rsid w:val="00570FF0"/>
    <w:rsid w:val="005731FD"/>
    <w:rsid w:val="0057339C"/>
    <w:rsid w:val="0057586E"/>
    <w:rsid w:val="0058477B"/>
    <w:rsid w:val="00590141"/>
    <w:rsid w:val="005934C6"/>
    <w:rsid w:val="005A09C4"/>
    <w:rsid w:val="005A2F79"/>
    <w:rsid w:val="005A3CF8"/>
    <w:rsid w:val="005A786A"/>
    <w:rsid w:val="005B0133"/>
    <w:rsid w:val="005B76D4"/>
    <w:rsid w:val="005C0085"/>
    <w:rsid w:val="005C1A63"/>
    <w:rsid w:val="005C6BAC"/>
    <w:rsid w:val="005C6CBF"/>
    <w:rsid w:val="005D6F00"/>
    <w:rsid w:val="005E1798"/>
    <w:rsid w:val="005E63AF"/>
    <w:rsid w:val="005F39C9"/>
    <w:rsid w:val="005F5409"/>
    <w:rsid w:val="005F5B75"/>
    <w:rsid w:val="00606FCF"/>
    <w:rsid w:val="00616506"/>
    <w:rsid w:val="00620AD4"/>
    <w:rsid w:val="00632FB9"/>
    <w:rsid w:val="00635918"/>
    <w:rsid w:val="00636323"/>
    <w:rsid w:val="00637F59"/>
    <w:rsid w:val="0064377F"/>
    <w:rsid w:val="006702A5"/>
    <w:rsid w:val="006759D7"/>
    <w:rsid w:val="00680054"/>
    <w:rsid w:val="00685B5F"/>
    <w:rsid w:val="006963DF"/>
    <w:rsid w:val="006A02ED"/>
    <w:rsid w:val="006A6E6F"/>
    <w:rsid w:val="006B6D0F"/>
    <w:rsid w:val="006D0A0E"/>
    <w:rsid w:val="006D0E42"/>
    <w:rsid w:val="006D39A8"/>
    <w:rsid w:val="006D4BD5"/>
    <w:rsid w:val="006D5F01"/>
    <w:rsid w:val="006D654B"/>
    <w:rsid w:val="006E5633"/>
    <w:rsid w:val="006F6B4C"/>
    <w:rsid w:val="006F6DDA"/>
    <w:rsid w:val="006F7C43"/>
    <w:rsid w:val="00706773"/>
    <w:rsid w:val="00706C8E"/>
    <w:rsid w:val="0070727B"/>
    <w:rsid w:val="007148C8"/>
    <w:rsid w:val="00725F78"/>
    <w:rsid w:val="007310E5"/>
    <w:rsid w:val="00747723"/>
    <w:rsid w:val="007565B6"/>
    <w:rsid w:val="007652A6"/>
    <w:rsid w:val="00770749"/>
    <w:rsid w:val="007759FB"/>
    <w:rsid w:val="00780347"/>
    <w:rsid w:val="00780786"/>
    <w:rsid w:val="0078288A"/>
    <w:rsid w:val="00783DFF"/>
    <w:rsid w:val="00793E8F"/>
    <w:rsid w:val="007B34EA"/>
    <w:rsid w:val="007C1C2F"/>
    <w:rsid w:val="007C4496"/>
    <w:rsid w:val="007C5D4F"/>
    <w:rsid w:val="007D14D7"/>
    <w:rsid w:val="007D3C1A"/>
    <w:rsid w:val="007E3322"/>
    <w:rsid w:val="007E346A"/>
    <w:rsid w:val="007F102D"/>
    <w:rsid w:val="008077AC"/>
    <w:rsid w:val="008137A9"/>
    <w:rsid w:val="00814383"/>
    <w:rsid w:val="00815911"/>
    <w:rsid w:val="00817359"/>
    <w:rsid w:val="00822524"/>
    <w:rsid w:val="00824CFB"/>
    <w:rsid w:val="00826AAA"/>
    <w:rsid w:val="0084281E"/>
    <w:rsid w:val="00856E99"/>
    <w:rsid w:val="00860006"/>
    <w:rsid w:val="00863BF5"/>
    <w:rsid w:val="0087634A"/>
    <w:rsid w:val="00883154"/>
    <w:rsid w:val="0088688B"/>
    <w:rsid w:val="0089357F"/>
    <w:rsid w:val="00893B48"/>
    <w:rsid w:val="00896FD5"/>
    <w:rsid w:val="008A31A2"/>
    <w:rsid w:val="008D0EC1"/>
    <w:rsid w:val="008F120A"/>
    <w:rsid w:val="008F2803"/>
    <w:rsid w:val="008F2CDC"/>
    <w:rsid w:val="0090085D"/>
    <w:rsid w:val="00902034"/>
    <w:rsid w:val="009020E0"/>
    <w:rsid w:val="00904D65"/>
    <w:rsid w:val="00907DBC"/>
    <w:rsid w:val="00911244"/>
    <w:rsid w:val="00911D04"/>
    <w:rsid w:val="00916339"/>
    <w:rsid w:val="00917464"/>
    <w:rsid w:val="00923445"/>
    <w:rsid w:val="00924A0D"/>
    <w:rsid w:val="009352B3"/>
    <w:rsid w:val="00942721"/>
    <w:rsid w:val="009536B7"/>
    <w:rsid w:val="009710FF"/>
    <w:rsid w:val="00975B17"/>
    <w:rsid w:val="009A10FC"/>
    <w:rsid w:val="009A2109"/>
    <w:rsid w:val="009C111F"/>
    <w:rsid w:val="009C3903"/>
    <w:rsid w:val="009C41F0"/>
    <w:rsid w:val="009C6D32"/>
    <w:rsid w:val="009D59BC"/>
    <w:rsid w:val="009E5268"/>
    <w:rsid w:val="009E5833"/>
    <w:rsid w:val="009F7763"/>
    <w:rsid w:val="009F7B35"/>
    <w:rsid w:val="00A03597"/>
    <w:rsid w:val="00A16451"/>
    <w:rsid w:val="00A218A2"/>
    <w:rsid w:val="00A263A9"/>
    <w:rsid w:val="00A42203"/>
    <w:rsid w:val="00A53F6F"/>
    <w:rsid w:val="00A55F78"/>
    <w:rsid w:val="00A610B7"/>
    <w:rsid w:val="00A70042"/>
    <w:rsid w:val="00A72BEE"/>
    <w:rsid w:val="00A84459"/>
    <w:rsid w:val="00A9023F"/>
    <w:rsid w:val="00A923F0"/>
    <w:rsid w:val="00A9452B"/>
    <w:rsid w:val="00A97749"/>
    <w:rsid w:val="00A97AA7"/>
    <w:rsid w:val="00AA0078"/>
    <w:rsid w:val="00AB76BF"/>
    <w:rsid w:val="00AC03E9"/>
    <w:rsid w:val="00AC22EF"/>
    <w:rsid w:val="00AC4376"/>
    <w:rsid w:val="00AD0AB8"/>
    <w:rsid w:val="00AD24E4"/>
    <w:rsid w:val="00AD2F71"/>
    <w:rsid w:val="00AD7D49"/>
    <w:rsid w:val="00AE0D72"/>
    <w:rsid w:val="00AF394A"/>
    <w:rsid w:val="00AF5083"/>
    <w:rsid w:val="00B01CD5"/>
    <w:rsid w:val="00B038BB"/>
    <w:rsid w:val="00B07760"/>
    <w:rsid w:val="00B138B6"/>
    <w:rsid w:val="00B14ABF"/>
    <w:rsid w:val="00B14AEA"/>
    <w:rsid w:val="00B24B98"/>
    <w:rsid w:val="00B3352D"/>
    <w:rsid w:val="00B43EA1"/>
    <w:rsid w:val="00B5031E"/>
    <w:rsid w:val="00B530E2"/>
    <w:rsid w:val="00B62A6A"/>
    <w:rsid w:val="00B664F3"/>
    <w:rsid w:val="00B71481"/>
    <w:rsid w:val="00B76FD5"/>
    <w:rsid w:val="00B77172"/>
    <w:rsid w:val="00B94876"/>
    <w:rsid w:val="00BA446C"/>
    <w:rsid w:val="00BB5F90"/>
    <w:rsid w:val="00BB75AF"/>
    <w:rsid w:val="00BC0E2D"/>
    <w:rsid w:val="00BD0105"/>
    <w:rsid w:val="00BD0897"/>
    <w:rsid w:val="00BD5150"/>
    <w:rsid w:val="00BD7393"/>
    <w:rsid w:val="00C015CA"/>
    <w:rsid w:val="00C02833"/>
    <w:rsid w:val="00C11994"/>
    <w:rsid w:val="00C23CD2"/>
    <w:rsid w:val="00C366BF"/>
    <w:rsid w:val="00C37808"/>
    <w:rsid w:val="00C41878"/>
    <w:rsid w:val="00C42D62"/>
    <w:rsid w:val="00C559FB"/>
    <w:rsid w:val="00C57EFC"/>
    <w:rsid w:val="00C702AF"/>
    <w:rsid w:val="00C727AB"/>
    <w:rsid w:val="00C73670"/>
    <w:rsid w:val="00C8205C"/>
    <w:rsid w:val="00C83B16"/>
    <w:rsid w:val="00C86405"/>
    <w:rsid w:val="00C916BB"/>
    <w:rsid w:val="00C964C0"/>
    <w:rsid w:val="00C97F5F"/>
    <w:rsid w:val="00CA2D42"/>
    <w:rsid w:val="00CA7716"/>
    <w:rsid w:val="00CB0647"/>
    <w:rsid w:val="00CC0C8D"/>
    <w:rsid w:val="00CC1402"/>
    <w:rsid w:val="00CC451C"/>
    <w:rsid w:val="00CC4D7C"/>
    <w:rsid w:val="00D10620"/>
    <w:rsid w:val="00D20DC2"/>
    <w:rsid w:val="00D30A76"/>
    <w:rsid w:val="00D6029F"/>
    <w:rsid w:val="00D6153A"/>
    <w:rsid w:val="00D74C11"/>
    <w:rsid w:val="00D76131"/>
    <w:rsid w:val="00D82B89"/>
    <w:rsid w:val="00D846F8"/>
    <w:rsid w:val="00D859E1"/>
    <w:rsid w:val="00DA0CF5"/>
    <w:rsid w:val="00DA39A7"/>
    <w:rsid w:val="00DB0348"/>
    <w:rsid w:val="00DB0BD9"/>
    <w:rsid w:val="00DB25F9"/>
    <w:rsid w:val="00DB4A47"/>
    <w:rsid w:val="00DC23C9"/>
    <w:rsid w:val="00DC24B3"/>
    <w:rsid w:val="00DC46D6"/>
    <w:rsid w:val="00DD37F4"/>
    <w:rsid w:val="00DE7F8A"/>
    <w:rsid w:val="00DF17FD"/>
    <w:rsid w:val="00DF2C38"/>
    <w:rsid w:val="00DF4333"/>
    <w:rsid w:val="00DF5BF0"/>
    <w:rsid w:val="00E05AEB"/>
    <w:rsid w:val="00E147BB"/>
    <w:rsid w:val="00E1567D"/>
    <w:rsid w:val="00E43B04"/>
    <w:rsid w:val="00E43BB4"/>
    <w:rsid w:val="00E47C3E"/>
    <w:rsid w:val="00E50A2D"/>
    <w:rsid w:val="00E519D0"/>
    <w:rsid w:val="00E624CC"/>
    <w:rsid w:val="00E634D0"/>
    <w:rsid w:val="00E765E5"/>
    <w:rsid w:val="00E80ABC"/>
    <w:rsid w:val="00E840D1"/>
    <w:rsid w:val="00E92EBD"/>
    <w:rsid w:val="00E95CEF"/>
    <w:rsid w:val="00E96D0C"/>
    <w:rsid w:val="00EA02A7"/>
    <w:rsid w:val="00EA6958"/>
    <w:rsid w:val="00EB541D"/>
    <w:rsid w:val="00EC276F"/>
    <w:rsid w:val="00EC66B2"/>
    <w:rsid w:val="00ED746C"/>
    <w:rsid w:val="00EE1E2E"/>
    <w:rsid w:val="00EF031C"/>
    <w:rsid w:val="00EF3FF4"/>
    <w:rsid w:val="00EF7D67"/>
    <w:rsid w:val="00F11732"/>
    <w:rsid w:val="00F16A78"/>
    <w:rsid w:val="00F20B22"/>
    <w:rsid w:val="00F23B2E"/>
    <w:rsid w:val="00F35451"/>
    <w:rsid w:val="00F3749A"/>
    <w:rsid w:val="00F376DC"/>
    <w:rsid w:val="00F46DAD"/>
    <w:rsid w:val="00F56A45"/>
    <w:rsid w:val="00F71D4C"/>
    <w:rsid w:val="00F80E2D"/>
    <w:rsid w:val="00F871F0"/>
    <w:rsid w:val="00F90AED"/>
    <w:rsid w:val="00F937FE"/>
    <w:rsid w:val="00F93907"/>
    <w:rsid w:val="00F96291"/>
    <w:rsid w:val="00F97660"/>
    <w:rsid w:val="00FA0203"/>
    <w:rsid w:val="00FB1239"/>
    <w:rsid w:val="00FB3334"/>
    <w:rsid w:val="00FC03A7"/>
    <w:rsid w:val="00FD238B"/>
    <w:rsid w:val="00FD2B1C"/>
    <w:rsid w:val="00FE0B22"/>
    <w:rsid w:val="00FE2F81"/>
    <w:rsid w:val="00FE7BA5"/>
    <w:rsid w:val="00FF0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84163"/>
  <w15:docId w15:val="{D353ECFC-AE5E-402E-BC92-A3AE2AA58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23B2E"/>
    <w:pPr>
      <w:keepNext/>
      <w:keepLines/>
      <w:spacing w:before="480" w:after="0"/>
      <w:outlineLvl w:val="0"/>
    </w:pPr>
    <w:rPr>
      <w:rFonts w:asciiTheme="majorHAnsi" w:eastAsiaTheme="majorEastAsia" w:hAnsiTheme="majorHAnsi" w:cstheme="majorBidi"/>
      <w:b/>
      <w:bCs/>
      <w:color w:val="365F91" w:themeColor="accent1" w:themeShade="BF"/>
      <w:sz w:val="28"/>
      <w:szCs w:val="28"/>
      <w:lang w:val="en-GB"/>
    </w:rPr>
  </w:style>
  <w:style w:type="paragraph" w:styleId="Heading2">
    <w:name w:val="heading 2"/>
    <w:basedOn w:val="Normal"/>
    <w:next w:val="Normal"/>
    <w:link w:val="Heading2Char"/>
    <w:uiPriority w:val="9"/>
    <w:unhideWhenUsed/>
    <w:qFormat/>
    <w:rsid w:val="00F23B2E"/>
    <w:pPr>
      <w:keepNext/>
      <w:keepLines/>
      <w:numPr>
        <w:ilvl w:val="1"/>
        <w:numId w:val="7"/>
      </w:numPr>
      <w:spacing w:before="200" w:after="0"/>
      <w:outlineLvl w:val="1"/>
    </w:pPr>
    <w:rPr>
      <w:rFonts w:asciiTheme="majorHAnsi" w:eastAsiaTheme="majorEastAsia" w:hAnsiTheme="majorHAnsi" w:cstheme="majorBidi"/>
      <w:b/>
      <w:bCs/>
      <w:color w:val="4F81BD" w:themeColor="accent1"/>
      <w:sz w:val="26"/>
      <w:szCs w:val="26"/>
      <w:lang w:val="en-GB"/>
    </w:rPr>
  </w:style>
  <w:style w:type="paragraph" w:styleId="Heading3">
    <w:name w:val="heading 3"/>
    <w:basedOn w:val="Normal"/>
    <w:next w:val="Normal"/>
    <w:link w:val="Heading3Char"/>
    <w:uiPriority w:val="9"/>
    <w:unhideWhenUsed/>
    <w:qFormat/>
    <w:rsid w:val="00D859E1"/>
    <w:pPr>
      <w:keepNext/>
      <w:keepLines/>
      <w:numPr>
        <w:ilvl w:val="2"/>
        <w:numId w:val="7"/>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qFormat/>
    <w:rsid w:val="006702A5"/>
    <w:pPr>
      <w:keepNext/>
      <w:numPr>
        <w:ilvl w:val="3"/>
        <w:numId w:val="7"/>
      </w:numPr>
      <w:spacing w:before="240" w:after="60" w:line="240" w:lineRule="auto"/>
      <w:outlineLvl w:val="3"/>
    </w:pPr>
    <w:rPr>
      <w:rFonts w:ascii="Calibri" w:eastAsia="Times New Roman" w:hAnsi="Calibri" w:cs="Times New Roman"/>
      <w:b/>
      <w:bCs/>
      <w:sz w:val="28"/>
      <w:szCs w:val="28"/>
      <w:lang w:val="x-none" w:eastAsia="x-none"/>
    </w:rPr>
  </w:style>
  <w:style w:type="paragraph" w:styleId="Heading5">
    <w:name w:val="heading 5"/>
    <w:basedOn w:val="Normal"/>
    <w:next w:val="Normal"/>
    <w:link w:val="Heading5Char"/>
    <w:uiPriority w:val="9"/>
    <w:qFormat/>
    <w:rsid w:val="006702A5"/>
    <w:pPr>
      <w:numPr>
        <w:ilvl w:val="4"/>
        <w:numId w:val="7"/>
      </w:numPr>
      <w:spacing w:before="240" w:after="60" w:line="240" w:lineRule="auto"/>
      <w:outlineLvl w:val="4"/>
    </w:pPr>
    <w:rPr>
      <w:rFonts w:ascii="Calibri" w:eastAsia="Times New Roman" w:hAnsi="Calibri" w:cs="Times New Roman"/>
      <w:b/>
      <w:bCs/>
      <w:i/>
      <w:iCs/>
      <w:sz w:val="26"/>
      <w:szCs w:val="26"/>
      <w:lang w:val="x-none" w:eastAsia="x-none"/>
    </w:rPr>
  </w:style>
  <w:style w:type="paragraph" w:styleId="Heading6">
    <w:name w:val="heading 6"/>
    <w:basedOn w:val="Normal"/>
    <w:next w:val="Normal"/>
    <w:link w:val="Heading6Char"/>
    <w:uiPriority w:val="9"/>
    <w:qFormat/>
    <w:rsid w:val="006702A5"/>
    <w:pPr>
      <w:numPr>
        <w:ilvl w:val="5"/>
        <w:numId w:val="7"/>
      </w:numPr>
      <w:spacing w:before="240" w:after="60" w:line="240" w:lineRule="auto"/>
      <w:outlineLvl w:val="5"/>
    </w:pPr>
    <w:rPr>
      <w:rFonts w:ascii="Calibri" w:eastAsia="Times New Roman" w:hAnsi="Calibri" w:cs="Times New Roman"/>
      <w:b/>
      <w:bCs/>
      <w:lang w:val="x-none" w:eastAsia="x-none"/>
    </w:rPr>
  </w:style>
  <w:style w:type="paragraph" w:styleId="Heading7">
    <w:name w:val="heading 7"/>
    <w:basedOn w:val="Normal"/>
    <w:next w:val="Normal"/>
    <w:link w:val="Heading7Char"/>
    <w:uiPriority w:val="9"/>
    <w:qFormat/>
    <w:rsid w:val="006702A5"/>
    <w:pPr>
      <w:numPr>
        <w:ilvl w:val="6"/>
        <w:numId w:val="7"/>
      </w:numPr>
      <w:spacing w:before="240" w:after="60" w:line="240" w:lineRule="auto"/>
      <w:outlineLvl w:val="6"/>
    </w:pPr>
    <w:rPr>
      <w:rFonts w:ascii="Calibri" w:eastAsia="Times New Roman" w:hAnsi="Calibri" w:cs="Times New Roman"/>
      <w:sz w:val="24"/>
      <w:szCs w:val="24"/>
      <w:lang w:val="x-none" w:eastAsia="x-none"/>
    </w:rPr>
  </w:style>
  <w:style w:type="paragraph" w:styleId="Heading8">
    <w:name w:val="heading 8"/>
    <w:basedOn w:val="Normal"/>
    <w:next w:val="Normal"/>
    <w:link w:val="Heading8Char"/>
    <w:uiPriority w:val="9"/>
    <w:qFormat/>
    <w:rsid w:val="006702A5"/>
    <w:pPr>
      <w:numPr>
        <w:ilvl w:val="7"/>
        <w:numId w:val="7"/>
      </w:numPr>
      <w:spacing w:before="240" w:after="60" w:line="240" w:lineRule="auto"/>
      <w:outlineLvl w:val="7"/>
    </w:pPr>
    <w:rPr>
      <w:rFonts w:ascii="Calibri" w:eastAsia="Times New Roman" w:hAnsi="Calibri" w:cs="Times New Roman"/>
      <w:i/>
      <w:iCs/>
      <w:sz w:val="24"/>
      <w:szCs w:val="24"/>
      <w:lang w:val="x-none" w:eastAsia="x-none"/>
    </w:rPr>
  </w:style>
  <w:style w:type="paragraph" w:styleId="Heading9">
    <w:name w:val="heading 9"/>
    <w:basedOn w:val="Normal"/>
    <w:next w:val="Normal"/>
    <w:link w:val="Heading9Char"/>
    <w:uiPriority w:val="9"/>
    <w:qFormat/>
    <w:rsid w:val="006702A5"/>
    <w:pPr>
      <w:numPr>
        <w:ilvl w:val="8"/>
        <w:numId w:val="7"/>
      </w:numPr>
      <w:spacing w:before="240" w:after="60" w:line="240" w:lineRule="auto"/>
      <w:outlineLvl w:val="8"/>
    </w:pPr>
    <w:rPr>
      <w:rFonts w:ascii="Cambria" w:eastAsia="Times New Roman" w:hAnsi="Cambria" w:cs="Times New Roman"/>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B2E"/>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F23B2E"/>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rsid w:val="00D859E1"/>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6702A5"/>
    <w:rPr>
      <w:rFonts w:ascii="Calibri" w:eastAsia="Times New Roman" w:hAnsi="Calibri" w:cs="Times New Roman"/>
      <w:b/>
      <w:bCs/>
      <w:sz w:val="28"/>
      <w:szCs w:val="28"/>
      <w:lang w:val="x-none" w:eastAsia="x-none"/>
    </w:rPr>
  </w:style>
  <w:style w:type="character" w:customStyle="1" w:styleId="Heading5Char">
    <w:name w:val="Heading 5 Char"/>
    <w:basedOn w:val="DefaultParagraphFont"/>
    <w:link w:val="Heading5"/>
    <w:rsid w:val="006702A5"/>
    <w:rPr>
      <w:rFonts w:ascii="Calibri" w:eastAsia="Times New Roman" w:hAnsi="Calibri" w:cs="Times New Roman"/>
      <w:b/>
      <w:bCs/>
      <w:i/>
      <w:iCs/>
      <w:sz w:val="26"/>
      <w:szCs w:val="26"/>
      <w:lang w:val="x-none" w:eastAsia="x-none"/>
    </w:rPr>
  </w:style>
  <w:style w:type="character" w:customStyle="1" w:styleId="Heading6Char">
    <w:name w:val="Heading 6 Char"/>
    <w:basedOn w:val="DefaultParagraphFont"/>
    <w:link w:val="Heading6"/>
    <w:uiPriority w:val="9"/>
    <w:rsid w:val="006702A5"/>
    <w:rPr>
      <w:rFonts w:ascii="Calibri" w:eastAsia="Times New Roman" w:hAnsi="Calibri" w:cs="Times New Roman"/>
      <w:b/>
      <w:bCs/>
      <w:lang w:val="x-none" w:eastAsia="x-none"/>
    </w:rPr>
  </w:style>
  <w:style w:type="character" w:customStyle="1" w:styleId="Heading7Char">
    <w:name w:val="Heading 7 Char"/>
    <w:basedOn w:val="DefaultParagraphFont"/>
    <w:link w:val="Heading7"/>
    <w:rsid w:val="006702A5"/>
    <w:rPr>
      <w:rFonts w:ascii="Calibri" w:eastAsia="Times New Roman" w:hAnsi="Calibri" w:cs="Times New Roman"/>
      <w:sz w:val="24"/>
      <w:szCs w:val="24"/>
      <w:lang w:val="x-none" w:eastAsia="x-none"/>
    </w:rPr>
  </w:style>
  <w:style w:type="character" w:customStyle="1" w:styleId="Heading8Char">
    <w:name w:val="Heading 8 Char"/>
    <w:basedOn w:val="DefaultParagraphFont"/>
    <w:link w:val="Heading8"/>
    <w:uiPriority w:val="9"/>
    <w:rsid w:val="006702A5"/>
    <w:rPr>
      <w:rFonts w:ascii="Calibri" w:eastAsia="Times New Roman" w:hAnsi="Calibri" w:cs="Times New Roman"/>
      <w:i/>
      <w:iCs/>
      <w:sz w:val="24"/>
      <w:szCs w:val="24"/>
      <w:lang w:val="x-none" w:eastAsia="x-none"/>
    </w:rPr>
  </w:style>
  <w:style w:type="character" w:customStyle="1" w:styleId="Heading9Char">
    <w:name w:val="Heading 9 Char"/>
    <w:basedOn w:val="DefaultParagraphFont"/>
    <w:link w:val="Heading9"/>
    <w:rsid w:val="006702A5"/>
    <w:rPr>
      <w:rFonts w:ascii="Cambria" w:eastAsia="Times New Roman" w:hAnsi="Cambria" w:cs="Times New Roman"/>
      <w:lang w:val="x-none" w:eastAsia="x-none"/>
    </w:rPr>
  </w:style>
  <w:style w:type="paragraph" w:styleId="NoSpacing">
    <w:name w:val="No Spacing"/>
    <w:link w:val="NoSpacingChar"/>
    <w:uiPriority w:val="1"/>
    <w:qFormat/>
    <w:rsid w:val="002C73A3"/>
    <w:pPr>
      <w:spacing w:after="0" w:line="240" w:lineRule="auto"/>
    </w:pPr>
    <w:rPr>
      <w:rFonts w:eastAsiaTheme="minorEastAsia"/>
    </w:rPr>
  </w:style>
  <w:style w:type="character" w:customStyle="1" w:styleId="NoSpacingChar">
    <w:name w:val="No Spacing Char"/>
    <w:basedOn w:val="DefaultParagraphFont"/>
    <w:link w:val="NoSpacing"/>
    <w:uiPriority w:val="1"/>
    <w:rsid w:val="002C73A3"/>
    <w:rPr>
      <w:rFonts w:eastAsiaTheme="minorEastAsia"/>
    </w:rPr>
  </w:style>
  <w:style w:type="paragraph" w:customStyle="1" w:styleId="Default">
    <w:name w:val="Default"/>
    <w:rsid w:val="002C73A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aliases w:val="MCHIP_list paragraph,List Paragraph1,Recommendation,Bullet List,FooterText,Heading3,Bullets,List Paragraph (numbered (a)),Numbered List Paragraph,LIST OF TABLES.,Colorful List Accent 1,numbered,Paragraphe de liste1,????,????1,?????1"/>
    <w:basedOn w:val="Normal"/>
    <w:link w:val="ListParagraphChar"/>
    <w:uiPriority w:val="34"/>
    <w:qFormat/>
    <w:rsid w:val="00F23B2E"/>
    <w:pPr>
      <w:ind w:left="720"/>
      <w:contextualSpacing/>
    </w:pPr>
    <w:rPr>
      <w:lang w:val="en-GB"/>
    </w:rPr>
  </w:style>
  <w:style w:type="character" w:customStyle="1" w:styleId="ListParagraphChar">
    <w:name w:val="List Paragraph Char"/>
    <w:aliases w:val="MCHIP_list paragraph Char,List Paragraph1 Char,Recommendation Char,Bullet List Char,FooterText Char,Heading3 Char,Bullets Char,List Paragraph (numbered (a)) Char,Numbered List Paragraph Char,LIST OF TABLES. Char,numbered Char"/>
    <w:link w:val="ListParagraph"/>
    <w:uiPriority w:val="34"/>
    <w:qFormat/>
    <w:locked/>
    <w:rsid w:val="00F23B2E"/>
    <w:rPr>
      <w:lang w:val="en-GB"/>
    </w:rPr>
  </w:style>
  <w:style w:type="character" w:styleId="Hyperlink">
    <w:name w:val="Hyperlink"/>
    <w:basedOn w:val="DefaultParagraphFont"/>
    <w:uiPriority w:val="99"/>
    <w:unhideWhenUsed/>
    <w:rsid w:val="00F23B2E"/>
    <w:rPr>
      <w:color w:val="0000FF" w:themeColor="hyperlink"/>
      <w:u w:val="single"/>
    </w:rPr>
  </w:style>
  <w:style w:type="table" w:customStyle="1" w:styleId="GridTable1Light1">
    <w:name w:val="Grid Table 1 Light1"/>
    <w:basedOn w:val="TableNormal"/>
    <w:uiPriority w:val="46"/>
    <w:rsid w:val="00F23B2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aliases w:val="fn,single space,footnote text,Fußnotentext arial,FOOTNOTES,Footnote Text Char1,Footnote Text Char Char,footnote text Char,ft, Char2,Char Char,Char Char1,single space Char Char Char,single space Char Char,Footnote ak,Текст сноски Знак,Char2"/>
    <w:basedOn w:val="Normal"/>
    <w:link w:val="FootnoteTextChar"/>
    <w:uiPriority w:val="99"/>
    <w:unhideWhenUsed/>
    <w:qFormat/>
    <w:rsid w:val="00F23B2E"/>
    <w:pPr>
      <w:spacing w:after="0" w:line="240" w:lineRule="auto"/>
    </w:pPr>
    <w:rPr>
      <w:sz w:val="20"/>
      <w:szCs w:val="20"/>
      <w:lang w:val="en-GB"/>
    </w:rPr>
  </w:style>
  <w:style w:type="character" w:customStyle="1" w:styleId="FootnoteTextChar">
    <w:name w:val="Footnote Text Char"/>
    <w:aliases w:val="fn Char,single space Char,footnote text Char1,Fußnotentext arial Char,FOOTNOTES Char,Footnote Text Char1 Char,Footnote Text Char Char Char,footnote text Char Char,ft Char, Char2 Char,Char Char Char,Char Char1 Char,Footnote ak Char"/>
    <w:basedOn w:val="DefaultParagraphFont"/>
    <w:link w:val="FootnoteText"/>
    <w:uiPriority w:val="99"/>
    <w:rsid w:val="00F23B2E"/>
    <w:rPr>
      <w:sz w:val="20"/>
      <w:szCs w:val="20"/>
      <w:lang w:val="en-GB"/>
    </w:rPr>
  </w:style>
  <w:style w:type="character" w:styleId="FootnoteReference">
    <w:name w:val="footnote reference"/>
    <w:aliases w:val="Знак сноски 1,ftref,16 Point,Superscript 6 Point,Знак сноски-FN,Ciae niinee-FN,Footnotes refss,Footnote Reference1,样式程脚注引用,Footnote text,fr,(NECG) Footnote Reference,Footnote + Arial,10 pt,Black"/>
    <w:basedOn w:val="DefaultParagraphFont"/>
    <w:uiPriority w:val="99"/>
    <w:unhideWhenUsed/>
    <w:rsid w:val="00F23B2E"/>
    <w:rPr>
      <w:vertAlign w:val="superscript"/>
    </w:rPr>
  </w:style>
  <w:style w:type="paragraph" w:styleId="Caption">
    <w:name w:val="caption"/>
    <w:aliases w:val="quarterly chart caption,AICD,list of Figures"/>
    <w:basedOn w:val="Normal"/>
    <w:next w:val="Normal"/>
    <w:link w:val="CaptionChar"/>
    <w:uiPriority w:val="99"/>
    <w:unhideWhenUsed/>
    <w:qFormat/>
    <w:rsid w:val="00F23B2E"/>
    <w:pPr>
      <w:spacing w:line="240" w:lineRule="auto"/>
    </w:pPr>
    <w:rPr>
      <w:i/>
      <w:iCs/>
      <w:color w:val="1F497D" w:themeColor="text2"/>
      <w:sz w:val="18"/>
      <w:szCs w:val="18"/>
      <w:lang w:val="en-GB"/>
    </w:rPr>
  </w:style>
  <w:style w:type="character" w:customStyle="1" w:styleId="CaptionChar">
    <w:name w:val="Caption Char"/>
    <w:aliases w:val="quarterly chart caption Char,AICD Char,list of Figures Char"/>
    <w:link w:val="Caption"/>
    <w:uiPriority w:val="99"/>
    <w:locked/>
    <w:rsid w:val="00F23B2E"/>
    <w:rPr>
      <w:i/>
      <w:iCs/>
      <w:color w:val="1F497D" w:themeColor="text2"/>
      <w:sz w:val="18"/>
      <w:szCs w:val="18"/>
      <w:lang w:val="en-GB"/>
    </w:rPr>
  </w:style>
  <w:style w:type="paragraph" w:styleId="Header">
    <w:name w:val="header"/>
    <w:basedOn w:val="Normal"/>
    <w:link w:val="HeaderChar"/>
    <w:uiPriority w:val="99"/>
    <w:unhideWhenUsed/>
    <w:rsid w:val="000614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14A0"/>
  </w:style>
  <w:style w:type="paragraph" w:styleId="Footer">
    <w:name w:val="footer"/>
    <w:basedOn w:val="Normal"/>
    <w:link w:val="FooterChar"/>
    <w:uiPriority w:val="99"/>
    <w:unhideWhenUsed/>
    <w:rsid w:val="000614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4A0"/>
  </w:style>
  <w:style w:type="paragraph" w:styleId="TOCHeading">
    <w:name w:val="TOC Heading"/>
    <w:basedOn w:val="Heading1"/>
    <w:next w:val="Normal"/>
    <w:uiPriority w:val="39"/>
    <w:unhideWhenUsed/>
    <w:qFormat/>
    <w:rsid w:val="00A9452B"/>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A9452B"/>
    <w:pPr>
      <w:spacing w:after="100"/>
    </w:pPr>
  </w:style>
  <w:style w:type="paragraph" w:styleId="TOC2">
    <w:name w:val="toc 2"/>
    <w:basedOn w:val="Normal"/>
    <w:next w:val="Normal"/>
    <w:autoRedefine/>
    <w:uiPriority w:val="39"/>
    <w:unhideWhenUsed/>
    <w:rsid w:val="00780786"/>
    <w:pPr>
      <w:tabs>
        <w:tab w:val="left" w:pos="900"/>
        <w:tab w:val="right" w:leader="dot" w:pos="9350"/>
      </w:tabs>
      <w:spacing w:after="100"/>
      <w:ind w:left="220"/>
    </w:pPr>
  </w:style>
  <w:style w:type="table" w:styleId="TableGrid">
    <w:name w:val="Table Grid"/>
    <w:basedOn w:val="TableNormal"/>
    <w:uiPriority w:val="59"/>
    <w:unhideWhenUsed/>
    <w:rsid w:val="00E96D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2">
    <w:name w:val="Grid Table 1 Light2"/>
    <w:basedOn w:val="TableNormal"/>
    <w:uiPriority w:val="46"/>
    <w:rsid w:val="0088688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3">
    <w:name w:val="toc 3"/>
    <w:basedOn w:val="Normal"/>
    <w:next w:val="Normal"/>
    <w:autoRedefine/>
    <w:uiPriority w:val="39"/>
    <w:unhideWhenUsed/>
    <w:rsid w:val="000B6B49"/>
    <w:pPr>
      <w:spacing w:after="100"/>
      <w:ind w:left="440"/>
    </w:pPr>
  </w:style>
  <w:style w:type="paragraph" w:styleId="BalloonText">
    <w:name w:val="Balloon Text"/>
    <w:basedOn w:val="Normal"/>
    <w:link w:val="BalloonTextChar"/>
    <w:uiPriority w:val="99"/>
    <w:semiHidden/>
    <w:unhideWhenUsed/>
    <w:rsid w:val="00C864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405"/>
    <w:rPr>
      <w:rFonts w:ascii="Segoe UI" w:hAnsi="Segoe UI" w:cs="Segoe UI"/>
      <w:sz w:val="18"/>
      <w:szCs w:val="18"/>
    </w:rPr>
  </w:style>
  <w:style w:type="paragraph" w:styleId="Quote">
    <w:name w:val="Quote"/>
    <w:basedOn w:val="Normal"/>
    <w:next w:val="Normal"/>
    <w:link w:val="QuoteChar"/>
    <w:uiPriority w:val="29"/>
    <w:qFormat/>
    <w:rsid w:val="00EC276F"/>
    <w:pPr>
      <w:spacing w:before="200" w:after="160"/>
      <w:ind w:left="864" w:right="864"/>
      <w:jc w:val="center"/>
    </w:pPr>
    <w:rPr>
      <w:rFonts w:eastAsiaTheme="minorEastAsia"/>
      <w:i/>
      <w:iCs/>
      <w:color w:val="404040" w:themeColor="text1" w:themeTint="BF"/>
      <w:lang w:val="en-GB" w:eastAsia="zh-CN"/>
    </w:rPr>
  </w:style>
  <w:style w:type="character" w:customStyle="1" w:styleId="QuoteChar">
    <w:name w:val="Quote Char"/>
    <w:basedOn w:val="DefaultParagraphFont"/>
    <w:link w:val="Quote"/>
    <w:uiPriority w:val="29"/>
    <w:rsid w:val="00EC276F"/>
    <w:rPr>
      <w:rFonts w:eastAsiaTheme="minorEastAsia"/>
      <w:i/>
      <w:iCs/>
      <w:color w:val="404040" w:themeColor="text1" w:themeTint="BF"/>
      <w:lang w:val="en-GB" w:eastAsia="zh-CN"/>
    </w:rPr>
  </w:style>
  <w:style w:type="paragraph" w:styleId="Title">
    <w:name w:val="Title"/>
    <w:basedOn w:val="Normal"/>
    <w:next w:val="Normal"/>
    <w:link w:val="TitleChar"/>
    <w:qFormat/>
    <w:rsid w:val="00EC276F"/>
    <w:pPr>
      <w:spacing w:after="0" w:line="240" w:lineRule="auto"/>
      <w:contextualSpacing/>
    </w:pPr>
    <w:rPr>
      <w:rFonts w:asciiTheme="majorHAnsi" w:eastAsiaTheme="majorEastAsia" w:hAnsiTheme="majorHAnsi" w:cstheme="majorBidi"/>
      <w:spacing w:val="-10"/>
      <w:kern w:val="28"/>
      <w:sz w:val="56"/>
      <w:szCs w:val="56"/>
      <w:lang w:val="en-GB" w:eastAsia="zh-CN"/>
    </w:rPr>
  </w:style>
  <w:style w:type="character" w:customStyle="1" w:styleId="TitleChar">
    <w:name w:val="Title Char"/>
    <w:basedOn w:val="DefaultParagraphFont"/>
    <w:link w:val="Title"/>
    <w:rsid w:val="00EC276F"/>
    <w:rPr>
      <w:rFonts w:asciiTheme="majorHAnsi" w:eastAsiaTheme="majorEastAsia" w:hAnsiTheme="majorHAnsi" w:cstheme="majorBidi"/>
      <w:spacing w:val="-10"/>
      <w:kern w:val="28"/>
      <w:sz w:val="56"/>
      <w:szCs w:val="56"/>
      <w:lang w:val="en-GB" w:eastAsia="zh-CN"/>
    </w:rPr>
  </w:style>
  <w:style w:type="paragraph" w:customStyle="1" w:styleId="MediumGrid21">
    <w:name w:val="Medium Grid 21"/>
    <w:link w:val="MediumGrid2Char"/>
    <w:uiPriority w:val="1"/>
    <w:qFormat/>
    <w:rsid w:val="006702A5"/>
    <w:pPr>
      <w:spacing w:after="0" w:line="240" w:lineRule="auto"/>
    </w:pPr>
    <w:rPr>
      <w:rFonts w:ascii="Calibri" w:eastAsia="Times New Roman" w:hAnsi="Calibri" w:cs="Times New Roman"/>
    </w:rPr>
  </w:style>
  <w:style w:type="character" w:customStyle="1" w:styleId="MediumGrid2Char">
    <w:name w:val="Medium Grid 2 Char"/>
    <w:link w:val="MediumGrid21"/>
    <w:uiPriority w:val="1"/>
    <w:rsid w:val="006702A5"/>
    <w:rPr>
      <w:rFonts w:ascii="Calibri" w:eastAsia="Times New Roman" w:hAnsi="Calibri" w:cs="Times New Roman"/>
    </w:rPr>
  </w:style>
  <w:style w:type="character" w:customStyle="1" w:styleId="MediumGrid1-Accent2Char">
    <w:name w:val="Medium Grid 1 - Accent 2 Char"/>
    <w:link w:val="MediumGrid1-Accent2"/>
    <w:uiPriority w:val="34"/>
    <w:locked/>
    <w:rsid w:val="006702A5"/>
    <w:rPr>
      <w:rFonts w:cs="Calibri"/>
      <w:sz w:val="22"/>
      <w:szCs w:val="22"/>
      <w:lang w:val="en-US" w:eastAsia="en-US"/>
    </w:rPr>
  </w:style>
  <w:style w:type="table" w:styleId="MediumGrid1-Accent2">
    <w:name w:val="Medium Grid 1 Accent 2"/>
    <w:basedOn w:val="TableNormal"/>
    <w:link w:val="MediumGrid1-Accent2Char"/>
    <w:uiPriority w:val="34"/>
    <w:rsid w:val="006702A5"/>
    <w:pPr>
      <w:spacing w:after="0" w:line="240" w:lineRule="auto"/>
    </w:pPr>
    <w:rPr>
      <w:rFonts w:cs="Calibri"/>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BodyText">
    <w:name w:val="Body Text"/>
    <w:basedOn w:val="Normal"/>
    <w:link w:val="BodyTextChar"/>
    <w:unhideWhenUsed/>
    <w:rsid w:val="006702A5"/>
    <w:pPr>
      <w:spacing w:after="120" w:line="240" w:lineRule="auto"/>
    </w:pPr>
    <w:rPr>
      <w:rFonts w:ascii="Calibri" w:eastAsia="Calibri" w:hAnsi="Calibri" w:cs="Times New Roman"/>
      <w:lang w:val="en-GB" w:eastAsia="x-none"/>
    </w:rPr>
  </w:style>
  <w:style w:type="character" w:customStyle="1" w:styleId="BodyTextChar">
    <w:name w:val="Body Text Char"/>
    <w:basedOn w:val="DefaultParagraphFont"/>
    <w:link w:val="BodyText"/>
    <w:rsid w:val="006702A5"/>
    <w:rPr>
      <w:rFonts w:ascii="Calibri" w:eastAsia="Calibri" w:hAnsi="Calibri" w:cs="Times New Roman"/>
      <w:lang w:val="en-GB" w:eastAsia="x-none"/>
    </w:rPr>
  </w:style>
  <w:style w:type="character" w:styleId="Emphasis">
    <w:name w:val="Emphasis"/>
    <w:uiPriority w:val="20"/>
    <w:qFormat/>
    <w:rsid w:val="006702A5"/>
    <w:rPr>
      <w:i/>
      <w:iCs/>
    </w:rPr>
  </w:style>
  <w:style w:type="paragraph" w:styleId="EndnoteText">
    <w:name w:val="endnote text"/>
    <w:basedOn w:val="Normal"/>
    <w:link w:val="EndnoteTextChar"/>
    <w:uiPriority w:val="99"/>
    <w:semiHidden/>
    <w:unhideWhenUsed/>
    <w:rsid w:val="006702A5"/>
    <w:pPr>
      <w:spacing w:after="0" w:line="240" w:lineRule="auto"/>
    </w:pPr>
    <w:rPr>
      <w:rFonts w:ascii="Calibri" w:eastAsia="Calibri" w:hAnsi="Calibri" w:cs="Times New Roman"/>
      <w:sz w:val="20"/>
      <w:szCs w:val="20"/>
      <w:lang w:val="en-GB"/>
    </w:rPr>
  </w:style>
  <w:style w:type="character" w:customStyle="1" w:styleId="EndnoteTextChar">
    <w:name w:val="Endnote Text Char"/>
    <w:basedOn w:val="DefaultParagraphFont"/>
    <w:link w:val="EndnoteText"/>
    <w:uiPriority w:val="99"/>
    <w:semiHidden/>
    <w:rsid w:val="006702A5"/>
    <w:rPr>
      <w:rFonts w:ascii="Calibri" w:eastAsia="Calibri" w:hAnsi="Calibri" w:cs="Times New Roman"/>
      <w:sz w:val="20"/>
      <w:szCs w:val="20"/>
      <w:lang w:val="en-GB"/>
    </w:rPr>
  </w:style>
  <w:style w:type="character" w:styleId="EndnoteReference">
    <w:name w:val="endnote reference"/>
    <w:uiPriority w:val="99"/>
    <w:semiHidden/>
    <w:unhideWhenUsed/>
    <w:rsid w:val="006702A5"/>
    <w:rPr>
      <w:vertAlign w:val="superscript"/>
    </w:rPr>
  </w:style>
  <w:style w:type="paragraph" w:styleId="NormalWeb">
    <w:name w:val="Normal (Web)"/>
    <w:basedOn w:val="Normal"/>
    <w:uiPriority w:val="99"/>
    <w:semiHidden/>
    <w:unhideWhenUsed/>
    <w:rsid w:val="00DF4333"/>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font5">
    <w:name w:val="font5"/>
    <w:basedOn w:val="Normal"/>
    <w:rsid w:val="001210EA"/>
    <w:pPr>
      <w:spacing w:before="100" w:beforeAutospacing="1" w:after="100" w:afterAutospacing="1" w:line="240" w:lineRule="auto"/>
    </w:pPr>
    <w:rPr>
      <w:rFonts w:ascii="Calibri" w:eastAsia="Times New Roman" w:hAnsi="Calibri" w:cs="Calibri"/>
      <w:b/>
      <w:bCs/>
      <w:color w:val="000000"/>
      <w:sz w:val="18"/>
      <w:szCs w:val="18"/>
    </w:rPr>
  </w:style>
  <w:style w:type="paragraph" w:customStyle="1" w:styleId="font6">
    <w:name w:val="font6"/>
    <w:basedOn w:val="Normal"/>
    <w:rsid w:val="001210EA"/>
    <w:pPr>
      <w:spacing w:before="100" w:beforeAutospacing="1" w:after="100" w:afterAutospacing="1" w:line="240" w:lineRule="auto"/>
    </w:pPr>
    <w:rPr>
      <w:rFonts w:ascii="Calibri" w:eastAsia="Times New Roman" w:hAnsi="Calibri" w:cs="Calibri"/>
      <w:b/>
      <w:bCs/>
      <w:color w:val="000000"/>
      <w:sz w:val="16"/>
      <w:szCs w:val="16"/>
    </w:rPr>
  </w:style>
  <w:style w:type="paragraph" w:customStyle="1" w:styleId="font7">
    <w:name w:val="font7"/>
    <w:basedOn w:val="Normal"/>
    <w:rsid w:val="001210EA"/>
    <w:pPr>
      <w:spacing w:before="100" w:beforeAutospacing="1" w:after="100" w:afterAutospacing="1" w:line="240" w:lineRule="auto"/>
    </w:pPr>
    <w:rPr>
      <w:rFonts w:ascii="Calibri" w:eastAsia="Times New Roman" w:hAnsi="Calibri" w:cs="Calibri"/>
      <w:color w:val="000000"/>
      <w:sz w:val="16"/>
      <w:szCs w:val="16"/>
    </w:rPr>
  </w:style>
  <w:style w:type="paragraph" w:customStyle="1" w:styleId="xl65">
    <w:name w:val="xl65"/>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67">
    <w:name w:val="xl67"/>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rPr>
  </w:style>
  <w:style w:type="paragraph" w:customStyle="1" w:styleId="xl68">
    <w:name w:val="xl68"/>
    <w:basedOn w:val="Normal"/>
    <w:rsid w:val="001210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69">
    <w:name w:val="xl69"/>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0">
    <w:name w:val="xl70"/>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71">
    <w:name w:val="xl71"/>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2">
    <w:name w:val="xl72"/>
    <w:basedOn w:val="Normal"/>
    <w:rsid w:val="001210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3">
    <w:name w:val="xl73"/>
    <w:basedOn w:val="Normal"/>
    <w:rsid w:val="001210EA"/>
    <w:pPr>
      <w:pBdr>
        <w:top w:val="single" w:sz="4" w:space="0" w:color="auto"/>
        <w:left w:val="single" w:sz="4" w:space="27" w:color="auto"/>
        <w:bottom w:val="single" w:sz="4" w:space="0" w:color="auto"/>
        <w:right w:val="single" w:sz="4" w:space="0" w:color="auto"/>
      </w:pBdr>
      <w:spacing w:before="100" w:beforeAutospacing="1" w:after="100" w:afterAutospacing="1" w:line="240" w:lineRule="auto"/>
      <w:ind w:firstLineChars="400" w:firstLine="400"/>
      <w:textAlignment w:val="center"/>
    </w:pPr>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BC0E2D"/>
    <w:rPr>
      <w:sz w:val="16"/>
      <w:szCs w:val="16"/>
    </w:rPr>
  </w:style>
  <w:style w:type="paragraph" w:styleId="CommentText">
    <w:name w:val="annotation text"/>
    <w:basedOn w:val="Normal"/>
    <w:link w:val="CommentTextChar"/>
    <w:uiPriority w:val="99"/>
    <w:unhideWhenUsed/>
    <w:rsid w:val="00BC0E2D"/>
    <w:pPr>
      <w:spacing w:line="240" w:lineRule="auto"/>
    </w:pPr>
    <w:rPr>
      <w:sz w:val="20"/>
      <w:szCs w:val="20"/>
    </w:rPr>
  </w:style>
  <w:style w:type="character" w:customStyle="1" w:styleId="CommentTextChar">
    <w:name w:val="Comment Text Char"/>
    <w:basedOn w:val="DefaultParagraphFont"/>
    <w:link w:val="CommentText"/>
    <w:uiPriority w:val="99"/>
    <w:rsid w:val="00BC0E2D"/>
    <w:rPr>
      <w:sz w:val="20"/>
      <w:szCs w:val="20"/>
    </w:rPr>
  </w:style>
  <w:style w:type="paragraph" w:styleId="CommentSubject">
    <w:name w:val="annotation subject"/>
    <w:basedOn w:val="CommentText"/>
    <w:next w:val="CommentText"/>
    <w:link w:val="CommentSubjectChar"/>
    <w:uiPriority w:val="99"/>
    <w:semiHidden/>
    <w:unhideWhenUsed/>
    <w:rsid w:val="00BC0E2D"/>
    <w:rPr>
      <w:b/>
      <w:bCs/>
    </w:rPr>
  </w:style>
  <w:style w:type="character" w:customStyle="1" w:styleId="CommentSubjectChar">
    <w:name w:val="Comment Subject Char"/>
    <w:basedOn w:val="CommentTextChar"/>
    <w:link w:val="CommentSubject"/>
    <w:uiPriority w:val="99"/>
    <w:semiHidden/>
    <w:rsid w:val="00BC0E2D"/>
    <w:rPr>
      <w:b/>
      <w:bCs/>
      <w:sz w:val="20"/>
      <w:szCs w:val="20"/>
    </w:rPr>
  </w:style>
  <w:style w:type="paragraph" w:styleId="Revision">
    <w:name w:val="Revision"/>
    <w:hidden/>
    <w:uiPriority w:val="99"/>
    <w:semiHidden/>
    <w:rsid w:val="00BC0E2D"/>
    <w:pPr>
      <w:spacing w:after="0" w:line="240" w:lineRule="auto"/>
    </w:pPr>
  </w:style>
  <w:style w:type="character" w:customStyle="1" w:styleId="a">
    <w:name w:val="_"/>
    <w:basedOn w:val="DefaultParagraphFont"/>
    <w:rsid w:val="00E1567D"/>
  </w:style>
  <w:style w:type="paragraph" w:customStyle="1" w:styleId="xl74">
    <w:name w:val="xl74"/>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5">
    <w:name w:val="xl75"/>
    <w:basedOn w:val="Normal"/>
    <w:rsid w:val="00FA0203"/>
    <w:pPr>
      <w:pBdr>
        <w:top w:val="single" w:sz="4" w:space="0" w:color="auto"/>
        <w:left w:val="single" w:sz="4" w:space="0" w:color="auto"/>
        <w:bottom w:val="single" w:sz="4" w:space="0" w:color="auto"/>
        <w:right w:val="single" w:sz="4" w:space="0" w:color="auto"/>
      </w:pBdr>
      <w:shd w:val="clear" w:color="000000" w:fill="538DD5"/>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77">
    <w:name w:val="xl77"/>
    <w:basedOn w:val="Normal"/>
    <w:rsid w:val="00FA0203"/>
    <w:pPr>
      <w:pBdr>
        <w:top w:val="single" w:sz="4" w:space="0" w:color="auto"/>
        <w:left w:val="single" w:sz="4" w:space="0" w:color="auto"/>
        <w:bottom w:val="single" w:sz="4" w:space="0" w:color="auto"/>
        <w:right w:val="single" w:sz="4" w:space="0" w:color="auto"/>
      </w:pBdr>
      <w:shd w:val="clear" w:color="000000" w:fill="974706"/>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8">
    <w:name w:val="xl78"/>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9">
    <w:name w:val="xl79"/>
    <w:basedOn w:val="Normal"/>
    <w:rsid w:val="00FA020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0">
    <w:name w:val="xl80"/>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81">
    <w:name w:val="xl81"/>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s="Times New Roman"/>
      <w:i/>
      <w:iCs/>
      <w:sz w:val="24"/>
      <w:szCs w:val="24"/>
    </w:rPr>
  </w:style>
  <w:style w:type="paragraph" w:customStyle="1" w:styleId="xl82">
    <w:name w:val="xl82"/>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Garamond" w:eastAsia="Times New Roman" w:hAnsi="Garamond" w:cs="Times New Roman"/>
      <w:sz w:val="24"/>
      <w:szCs w:val="24"/>
    </w:rPr>
  </w:style>
  <w:style w:type="paragraph" w:customStyle="1" w:styleId="xl83">
    <w:name w:val="xl83"/>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84">
    <w:name w:val="xl84"/>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85">
    <w:name w:val="xl85"/>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s="Times New Roman"/>
      <w:sz w:val="24"/>
      <w:szCs w:val="24"/>
    </w:rPr>
  </w:style>
  <w:style w:type="paragraph" w:customStyle="1" w:styleId="xl86">
    <w:name w:val="xl86"/>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87">
    <w:name w:val="xl87"/>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88">
    <w:name w:val="xl88"/>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Garamond" w:eastAsia="Times New Roman" w:hAnsi="Garamond" w:cs="Times New Roman"/>
      <w:sz w:val="24"/>
      <w:szCs w:val="24"/>
    </w:rPr>
  </w:style>
  <w:style w:type="paragraph" w:customStyle="1" w:styleId="xl89">
    <w:name w:val="xl89"/>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Garamond" w:eastAsia="Times New Roman" w:hAnsi="Garamond" w:cs="Times New Roman"/>
      <w:color w:val="000000"/>
      <w:sz w:val="16"/>
      <w:szCs w:val="16"/>
    </w:rPr>
  </w:style>
  <w:style w:type="paragraph" w:customStyle="1" w:styleId="xl90">
    <w:name w:val="xl90"/>
    <w:basedOn w:val="Normal"/>
    <w:rsid w:val="00FA020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Garamond" w:eastAsia="Times New Roman" w:hAnsi="Garamond" w:cs="Times New Roman"/>
      <w:color w:val="000000"/>
      <w:sz w:val="16"/>
      <w:szCs w:val="16"/>
    </w:rPr>
  </w:style>
  <w:style w:type="paragraph" w:customStyle="1" w:styleId="xl91">
    <w:name w:val="xl91"/>
    <w:basedOn w:val="Normal"/>
    <w:rsid w:val="00FA020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Garamond" w:eastAsia="Times New Roman" w:hAnsi="Garamond" w:cs="Times New Roman"/>
      <w:sz w:val="24"/>
      <w:szCs w:val="24"/>
    </w:rPr>
  </w:style>
  <w:style w:type="paragraph" w:customStyle="1" w:styleId="xl92">
    <w:name w:val="xl92"/>
    <w:basedOn w:val="Normal"/>
    <w:rsid w:val="00FA020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Garamond" w:eastAsia="Times New Roman" w:hAnsi="Garamond" w:cs="Times New Roman"/>
      <w:sz w:val="24"/>
      <w:szCs w:val="24"/>
    </w:rPr>
  </w:style>
  <w:style w:type="paragraph" w:customStyle="1" w:styleId="xl93">
    <w:name w:val="xl93"/>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Garamond" w:eastAsia="Times New Roman" w:hAnsi="Garamond" w:cs="Times New Roman"/>
      <w:sz w:val="24"/>
      <w:szCs w:val="24"/>
    </w:rPr>
  </w:style>
  <w:style w:type="paragraph" w:customStyle="1" w:styleId="xl94">
    <w:name w:val="xl94"/>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95">
    <w:name w:val="xl95"/>
    <w:basedOn w:val="Normal"/>
    <w:rsid w:val="00FA020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96">
    <w:name w:val="xl96"/>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7">
    <w:name w:val="xl97"/>
    <w:basedOn w:val="Normal"/>
    <w:rsid w:val="00FA02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6Colorful1">
    <w:name w:val="Grid Table 6 Colorful1"/>
    <w:basedOn w:val="TableNormal"/>
    <w:uiPriority w:val="51"/>
    <w:rsid w:val="0036606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3">
    <w:name w:val="A3"/>
    <w:uiPriority w:val="99"/>
    <w:rsid w:val="00BD7393"/>
    <w:rPr>
      <w:color w:val="000000"/>
      <w:sz w:val="20"/>
      <w:szCs w:val="20"/>
    </w:rPr>
  </w:style>
  <w:style w:type="character" w:customStyle="1" w:styleId="BodyText2Char">
    <w:name w:val="Body Text 2 Char"/>
    <w:basedOn w:val="DefaultParagraphFont"/>
    <w:link w:val="BodyText2"/>
    <w:uiPriority w:val="99"/>
    <w:semiHidden/>
    <w:rsid w:val="00FB3334"/>
    <w:rPr>
      <w:rFonts w:ascii="Times New Roman" w:eastAsia="MS Mincho" w:hAnsi="Times New Roman" w:cs="Times New Roman"/>
      <w:sz w:val="24"/>
      <w:szCs w:val="24"/>
      <w:lang w:eastAsia="ja-JP"/>
    </w:rPr>
  </w:style>
  <w:style w:type="paragraph" w:styleId="BodyText2">
    <w:name w:val="Body Text 2"/>
    <w:basedOn w:val="Normal"/>
    <w:link w:val="BodyText2Char"/>
    <w:uiPriority w:val="99"/>
    <w:semiHidden/>
    <w:unhideWhenUsed/>
    <w:rsid w:val="00FB3334"/>
    <w:pPr>
      <w:spacing w:after="120" w:line="480" w:lineRule="auto"/>
    </w:pPr>
    <w:rPr>
      <w:rFonts w:ascii="Times New Roman" w:eastAsia="MS Mincho" w:hAnsi="Times New Roman" w:cs="Times New Roman"/>
      <w:sz w:val="24"/>
      <w:szCs w:val="24"/>
      <w:lang w:eastAsia="ja-JP"/>
    </w:rPr>
  </w:style>
  <w:style w:type="paragraph" w:customStyle="1" w:styleId="xl137">
    <w:name w:val="xl137"/>
    <w:basedOn w:val="Normal"/>
    <w:rsid w:val="00FB333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rPr>
  </w:style>
  <w:style w:type="paragraph" w:customStyle="1" w:styleId="xl140">
    <w:name w:val="xl140"/>
    <w:basedOn w:val="Normal"/>
    <w:rsid w:val="00FB33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character" w:styleId="SubtleEmphasis">
    <w:name w:val="Subtle Emphasis"/>
    <w:basedOn w:val="DefaultParagraphFont"/>
    <w:uiPriority w:val="19"/>
    <w:qFormat/>
    <w:rsid w:val="0008265E"/>
    <w:rPr>
      <w:i/>
      <w:iCs/>
      <w:color w:val="808080" w:themeColor="text1" w:themeTint="7F"/>
    </w:rPr>
  </w:style>
  <w:style w:type="table" w:styleId="GridTable6Colorful">
    <w:name w:val="Grid Table 6 Colorful"/>
    <w:basedOn w:val="TableNormal"/>
    <w:uiPriority w:val="51"/>
    <w:rsid w:val="00D20DC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62039">
      <w:bodyDiv w:val="1"/>
      <w:marLeft w:val="0"/>
      <w:marRight w:val="0"/>
      <w:marTop w:val="0"/>
      <w:marBottom w:val="0"/>
      <w:divBdr>
        <w:top w:val="none" w:sz="0" w:space="0" w:color="auto"/>
        <w:left w:val="none" w:sz="0" w:space="0" w:color="auto"/>
        <w:bottom w:val="none" w:sz="0" w:space="0" w:color="auto"/>
        <w:right w:val="none" w:sz="0" w:space="0" w:color="auto"/>
      </w:divBdr>
      <w:divsChild>
        <w:div w:id="1954701699">
          <w:marLeft w:val="446"/>
          <w:marRight w:val="0"/>
          <w:marTop w:val="0"/>
          <w:marBottom w:val="0"/>
          <w:divBdr>
            <w:top w:val="none" w:sz="0" w:space="0" w:color="auto"/>
            <w:left w:val="none" w:sz="0" w:space="0" w:color="auto"/>
            <w:bottom w:val="none" w:sz="0" w:space="0" w:color="auto"/>
            <w:right w:val="none" w:sz="0" w:space="0" w:color="auto"/>
          </w:divBdr>
        </w:div>
        <w:div w:id="539439808">
          <w:marLeft w:val="446"/>
          <w:marRight w:val="0"/>
          <w:marTop w:val="0"/>
          <w:marBottom w:val="0"/>
          <w:divBdr>
            <w:top w:val="none" w:sz="0" w:space="0" w:color="auto"/>
            <w:left w:val="none" w:sz="0" w:space="0" w:color="auto"/>
            <w:bottom w:val="none" w:sz="0" w:space="0" w:color="auto"/>
            <w:right w:val="none" w:sz="0" w:space="0" w:color="auto"/>
          </w:divBdr>
        </w:div>
        <w:div w:id="1227497535">
          <w:marLeft w:val="446"/>
          <w:marRight w:val="0"/>
          <w:marTop w:val="0"/>
          <w:marBottom w:val="0"/>
          <w:divBdr>
            <w:top w:val="none" w:sz="0" w:space="0" w:color="auto"/>
            <w:left w:val="none" w:sz="0" w:space="0" w:color="auto"/>
            <w:bottom w:val="none" w:sz="0" w:space="0" w:color="auto"/>
            <w:right w:val="none" w:sz="0" w:space="0" w:color="auto"/>
          </w:divBdr>
        </w:div>
        <w:div w:id="610671329">
          <w:marLeft w:val="446"/>
          <w:marRight w:val="0"/>
          <w:marTop w:val="0"/>
          <w:marBottom w:val="0"/>
          <w:divBdr>
            <w:top w:val="none" w:sz="0" w:space="0" w:color="auto"/>
            <w:left w:val="none" w:sz="0" w:space="0" w:color="auto"/>
            <w:bottom w:val="none" w:sz="0" w:space="0" w:color="auto"/>
            <w:right w:val="none" w:sz="0" w:space="0" w:color="auto"/>
          </w:divBdr>
        </w:div>
        <w:div w:id="1998335316">
          <w:marLeft w:val="446"/>
          <w:marRight w:val="0"/>
          <w:marTop w:val="0"/>
          <w:marBottom w:val="0"/>
          <w:divBdr>
            <w:top w:val="none" w:sz="0" w:space="0" w:color="auto"/>
            <w:left w:val="none" w:sz="0" w:space="0" w:color="auto"/>
            <w:bottom w:val="none" w:sz="0" w:space="0" w:color="auto"/>
            <w:right w:val="none" w:sz="0" w:space="0" w:color="auto"/>
          </w:divBdr>
        </w:div>
      </w:divsChild>
    </w:div>
    <w:div w:id="122045796">
      <w:bodyDiv w:val="1"/>
      <w:marLeft w:val="0"/>
      <w:marRight w:val="0"/>
      <w:marTop w:val="0"/>
      <w:marBottom w:val="0"/>
      <w:divBdr>
        <w:top w:val="none" w:sz="0" w:space="0" w:color="auto"/>
        <w:left w:val="none" w:sz="0" w:space="0" w:color="auto"/>
        <w:bottom w:val="none" w:sz="0" w:space="0" w:color="auto"/>
        <w:right w:val="none" w:sz="0" w:space="0" w:color="auto"/>
      </w:divBdr>
    </w:div>
    <w:div w:id="398676420">
      <w:bodyDiv w:val="1"/>
      <w:marLeft w:val="0"/>
      <w:marRight w:val="0"/>
      <w:marTop w:val="0"/>
      <w:marBottom w:val="0"/>
      <w:divBdr>
        <w:top w:val="none" w:sz="0" w:space="0" w:color="auto"/>
        <w:left w:val="none" w:sz="0" w:space="0" w:color="auto"/>
        <w:bottom w:val="none" w:sz="0" w:space="0" w:color="auto"/>
        <w:right w:val="none" w:sz="0" w:space="0" w:color="auto"/>
      </w:divBdr>
      <w:divsChild>
        <w:div w:id="2100981699">
          <w:marLeft w:val="0"/>
          <w:marRight w:val="0"/>
          <w:marTop w:val="0"/>
          <w:marBottom w:val="0"/>
          <w:divBdr>
            <w:top w:val="none" w:sz="0" w:space="0" w:color="auto"/>
            <w:left w:val="none" w:sz="0" w:space="0" w:color="auto"/>
            <w:bottom w:val="none" w:sz="0" w:space="0" w:color="auto"/>
            <w:right w:val="none" w:sz="0" w:space="0" w:color="auto"/>
          </w:divBdr>
        </w:div>
        <w:div w:id="872501457">
          <w:marLeft w:val="0"/>
          <w:marRight w:val="0"/>
          <w:marTop w:val="0"/>
          <w:marBottom w:val="0"/>
          <w:divBdr>
            <w:top w:val="none" w:sz="0" w:space="0" w:color="auto"/>
            <w:left w:val="none" w:sz="0" w:space="0" w:color="auto"/>
            <w:bottom w:val="none" w:sz="0" w:space="0" w:color="auto"/>
            <w:right w:val="none" w:sz="0" w:space="0" w:color="auto"/>
          </w:divBdr>
        </w:div>
        <w:div w:id="1932081070">
          <w:marLeft w:val="0"/>
          <w:marRight w:val="0"/>
          <w:marTop w:val="0"/>
          <w:marBottom w:val="0"/>
          <w:divBdr>
            <w:top w:val="none" w:sz="0" w:space="0" w:color="auto"/>
            <w:left w:val="none" w:sz="0" w:space="0" w:color="auto"/>
            <w:bottom w:val="none" w:sz="0" w:space="0" w:color="auto"/>
            <w:right w:val="none" w:sz="0" w:space="0" w:color="auto"/>
          </w:divBdr>
        </w:div>
        <w:div w:id="834732727">
          <w:marLeft w:val="0"/>
          <w:marRight w:val="0"/>
          <w:marTop w:val="0"/>
          <w:marBottom w:val="0"/>
          <w:divBdr>
            <w:top w:val="none" w:sz="0" w:space="0" w:color="auto"/>
            <w:left w:val="none" w:sz="0" w:space="0" w:color="auto"/>
            <w:bottom w:val="none" w:sz="0" w:space="0" w:color="auto"/>
            <w:right w:val="none" w:sz="0" w:space="0" w:color="auto"/>
          </w:divBdr>
        </w:div>
        <w:div w:id="587619247">
          <w:marLeft w:val="0"/>
          <w:marRight w:val="0"/>
          <w:marTop w:val="0"/>
          <w:marBottom w:val="0"/>
          <w:divBdr>
            <w:top w:val="none" w:sz="0" w:space="0" w:color="auto"/>
            <w:left w:val="none" w:sz="0" w:space="0" w:color="auto"/>
            <w:bottom w:val="none" w:sz="0" w:space="0" w:color="auto"/>
            <w:right w:val="none" w:sz="0" w:space="0" w:color="auto"/>
          </w:divBdr>
        </w:div>
        <w:div w:id="1537041185">
          <w:marLeft w:val="0"/>
          <w:marRight w:val="0"/>
          <w:marTop w:val="0"/>
          <w:marBottom w:val="0"/>
          <w:divBdr>
            <w:top w:val="none" w:sz="0" w:space="0" w:color="auto"/>
            <w:left w:val="none" w:sz="0" w:space="0" w:color="auto"/>
            <w:bottom w:val="none" w:sz="0" w:space="0" w:color="auto"/>
            <w:right w:val="none" w:sz="0" w:space="0" w:color="auto"/>
          </w:divBdr>
        </w:div>
        <w:div w:id="391344263">
          <w:marLeft w:val="0"/>
          <w:marRight w:val="0"/>
          <w:marTop w:val="0"/>
          <w:marBottom w:val="0"/>
          <w:divBdr>
            <w:top w:val="none" w:sz="0" w:space="0" w:color="auto"/>
            <w:left w:val="none" w:sz="0" w:space="0" w:color="auto"/>
            <w:bottom w:val="none" w:sz="0" w:space="0" w:color="auto"/>
            <w:right w:val="none" w:sz="0" w:space="0" w:color="auto"/>
          </w:divBdr>
        </w:div>
        <w:div w:id="607079301">
          <w:marLeft w:val="0"/>
          <w:marRight w:val="0"/>
          <w:marTop w:val="0"/>
          <w:marBottom w:val="0"/>
          <w:divBdr>
            <w:top w:val="none" w:sz="0" w:space="0" w:color="auto"/>
            <w:left w:val="none" w:sz="0" w:space="0" w:color="auto"/>
            <w:bottom w:val="none" w:sz="0" w:space="0" w:color="auto"/>
            <w:right w:val="none" w:sz="0" w:space="0" w:color="auto"/>
          </w:divBdr>
        </w:div>
        <w:div w:id="1287392251">
          <w:marLeft w:val="0"/>
          <w:marRight w:val="0"/>
          <w:marTop w:val="0"/>
          <w:marBottom w:val="0"/>
          <w:divBdr>
            <w:top w:val="none" w:sz="0" w:space="0" w:color="auto"/>
            <w:left w:val="none" w:sz="0" w:space="0" w:color="auto"/>
            <w:bottom w:val="none" w:sz="0" w:space="0" w:color="auto"/>
            <w:right w:val="none" w:sz="0" w:space="0" w:color="auto"/>
          </w:divBdr>
        </w:div>
        <w:div w:id="442111877">
          <w:marLeft w:val="0"/>
          <w:marRight w:val="0"/>
          <w:marTop w:val="0"/>
          <w:marBottom w:val="0"/>
          <w:divBdr>
            <w:top w:val="none" w:sz="0" w:space="0" w:color="auto"/>
            <w:left w:val="none" w:sz="0" w:space="0" w:color="auto"/>
            <w:bottom w:val="none" w:sz="0" w:space="0" w:color="auto"/>
            <w:right w:val="none" w:sz="0" w:space="0" w:color="auto"/>
          </w:divBdr>
        </w:div>
        <w:div w:id="1605067566">
          <w:marLeft w:val="0"/>
          <w:marRight w:val="0"/>
          <w:marTop w:val="0"/>
          <w:marBottom w:val="0"/>
          <w:divBdr>
            <w:top w:val="none" w:sz="0" w:space="0" w:color="auto"/>
            <w:left w:val="none" w:sz="0" w:space="0" w:color="auto"/>
            <w:bottom w:val="none" w:sz="0" w:space="0" w:color="auto"/>
            <w:right w:val="none" w:sz="0" w:space="0" w:color="auto"/>
          </w:divBdr>
        </w:div>
        <w:div w:id="1957175536">
          <w:marLeft w:val="0"/>
          <w:marRight w:val="0"/>
          <w:marTop w:val="0"/>
          <w:marBottom w:val="0"/>
          <w:divBdr>
            <w:top w:val="none" w:sz="0" w:space="0" w:color="auto"/>
            <w:left w:val="none" w:sz="0" w:space="0" w:color="auto"/>
            <w:bottom w:val="none" w:sz="0" w:space="0" w:color="auto"/>
            <w:right w:val="none" w:sz="0" w:space="0" w:color="auto"/>
          </w:divBdr>
        </w:div>
        <w:div w:id="792211796">
          <w:marLeft w:val="0"/>
          <w:marRight w:val="0"/>
          <w:marTop w:val="0"/>
          <w:marBottom w:val="0"/>
          <w:divBdr>
            <w:top w:val="none" w:sz="0" w:space="0" w:color="auto"/>
            <w:left w:val="none" w:sz="0" w:space="0" w:color="auto"/>
            <w:bottom w:val="none" w:sz="0" w:space="0" w:color="auto"/>
            <w:right w:val="none" w:sz="0" w:space="0" w:color="auto"/>
          </w:divBdr>
        </w:div>
        <w:div w:id="1747261515">
          <w:marLeft w:val="0"/>
          <w:marRight w:val="0"/>
          <w:marTop w:val="0"/>
          <w:marBottom w:val="0"/>
          <w:divBdr>
            <w:top w:val="none" w:sz="0" w:space="0" w:color="auto"/>
            <w:left w:val="none" w:sz="0" w:space="0" w:color="auto"/>
            <w:bottom w:val="none" w:sz="0" w:space="0" w:color="auto"/>
            <w:right w:val="none" w:sz="0" w:space="0" w:color="auto"/>
          </w:divBdr>
        </w:div>
        <w:div w:id="77334577">
          <w:marLeft w:val="0"/>
          <w:marRight w:val="0"/>
          <w:marTop w:val="0"/>
          <w:marBottom w:val="0"/>
          <w:divBdr>
            <w:top w:val="none" w:sz="0" w:space="0" w:color="auto"/>
            <w:left w:val="none" w:sz="0" w:space="0" w:color="auto"/>
            <w:bottom w:val="none" w:sz="0" w:space="0" w:color="auto"/>
            <w:right w:val="none" w:sz="0" w:space="0" w:color="auto"/>
          </w:divBdr>
        </w:div>
        <w:div w:id="1002968558">
          <w:marLeft w:val="0"/>
          <w:marRight w:val="0"/>
          <w:marTop w:val="0"/>
          <w:marBottom w:val="0"/>
          <w:divBdr>
            <w:top w:val="none" w:sz="0" w:space="0" w:color="auto"/>
            <w:left w:val="none" w:sz="0" w:space="0" w:color="auto"/>
            <w:bottom w:val="none" w:sz="0" w:space="0" w:color="auto"/>
            <w:right w:val="none" w:sz="0" w:space="0" w:color="auto"/>
          </w:divBdr>
        </w:div>
        <w:div w:id="1439720859">
          <w:marLeft w:val="0"/>
          <w:marRight w:val="0"/>
          <w:marTop w:val="0"/>
          <w:marBottom w:val="0"/>
          <w:divBdr>
            <w:top w:val="none" w:sz="0" w:space="0" w:color="auto"/>
            <w:left w:val="none" w:sz="0" w:space="0" w:color="auto"/>
            <w:bottom w:val="none" w:sz="0" w:space="0" w:color="auto"/>
            <w:right w:val="none" w:sz="0" w:space="0" w:color="auto"/>
          </w:divBdr>
        </w:div>
      </w:divsChild>
    </w:div>
    <w:div w:id="413279250">
      <w:bodyDiv w:val="1"/>
      <w:marLeft w:val="0"/>
      <w:marRight w:val="0"/>
      <w:marTop w:val="0"/>
      <w:marBottom w:val="0"/>
      <w:divBdr>
        <w:top w:val="none" w:sz="0" w:space="0" w:color="auto"/>
        <w:left w:val="none" w:sz="0" w:space="0" w:color="auto"/>
        <w:bottom w:val="none" w:sz="0" w:space="0" w:color="auto"/>
        <w:right w:val="none" w:sz="0" w:space="0" w:color="auto"/>
      </w:divBdr>
      <w:divsChild>
        <w:div w:id="1327436478">
          <w:marLeft w:val="0"/>
          <w:marRight w:val="0"/>
          <w:marTop w:val="0"/>
          <w:marBottom w:val="0"/>
          <w:divBdr>
            <w:top w:val="none" w:sz="0" w:space="0" w:color="auto"/>
            <w:left w:val="none" w:sz="0" w:space="0" w:color="auto"/>
            <w:bottom w:val="none" w:sz="0" w:space="0" w:color="auto"/>
            <w:right w:val="none" w:sz="0" w:space="0" w:color="auto"/>
          </w:divBdr>
        </w:div>
        <w:div w:id="95950233">
          <w:marLeft w:val="0"/>
          <w:marRight w:val="0"/>
          <w:marTop w:val="0"/>
          <w:marBottom w:val="0"/>
          <w:divBdr>
            <w:top w:val="none" w:sz="0" w:space="0" w:color="auto"/>
            <w:left w:val="none" w:sz="0" w:space="0" w:color="auto"/>
            <w:bottom w:val="none" w:sz="0" w:space="0" w:color="auto"/>
            <w:right w:val="none" w:sz="0" w:space="0" w:color="auto"/>
          </w:divBdr>
        </w:div>
        <w:div w:id="934946356">
          <w:marLeft w:val="0"/>
          <w:marRight w:val="0"/>
          <w:marTop w:val="0"/>
          <w:marBottom w:val="0"/>
          <w:divBdr>
            <w:top w:val="none" w:sz="0" w:space="0" w:color="auto"/>
            <w:left w:val="none" w:sz="0" w:space="0" w:color="auto"/>
            <w:bottom w:val="none" w:sz="0" w:space="0" w:color="auto"/>
            <w:right w:val="none" w:sz="0" w:space="0" w:color="auto"/>
          </w:divBdr>
        </w:div>
        <w:div w:id="1230119856">
          <w:marLeft w:val="0"/>
          <w:marRight w:val="0"/>
          <w:marTop w:val="0"/>
          <w:marBottom w:val="0"/>
          <w:divBdr>
            <w:top w:val="none" w:sz="0" w:space="0" w:color="auto"/>
            <w:left w:val="none" w:sz="0" w:space="0" w:color="auto"/>
            <w:bottom w:val="none" w:sz="0" w:space="0" w:color="auto"/>
            <w:right w:val="none" w:sz="0" w:space="0" w:color="auto"/>
          </w:divBdr>
        </w:div>
      </w:divsChild>
    </w:div>
    <w:div w:id="589436521">
      <w:bodyDiv w:val="1"/>
      <w:marLeft w:val="0"/>
      <w:marRight w:val="0"/>
      <w:marTop w:val="0"/>
      <w:marBottom w:val="0"/>
      <w:divBdr>
        <w:top w:val="none" w:sz="0" w:space="0" w:color="auto"/>
        <w:left w:val="none" w:sz="0" w:space="0" w:color="auto"/>
        <w:bottom w:val="none" w:sz="0" w:space="0" w:color="auto"/>
        <w:right w:val="none" w:sz="0" w:space="0" w:color="auto"/>
      </w:divBdr>
      <w:divsChild>
        <w:div w:id="1680348462">
          <w:marLeft w:val="0"/>
          <w:marRight w:val="0"/>
          <w:marTop w:val="0"/>
          <w:marBottom w:val="0"/>
          <w:divBdr>
            <w:top w:val="none" w:sz="0" w:space="0" w:color="auto"/>
            <w:left w:val="none" w:sz="0" w:space="0" w:color="auto"/>
            <w:bottom w:val="none" w:sz="0" w:space="0" w:color="auto"/>
            <w:right w:val="none" w:sz="0" w:space="0" w:color="auto"/>
          </w:divBdr>
        </w:div>
        <w:div w:id="362364855">
          <w:marLeft w:val="0"/>
          <w:marRight w:val="0"/>
          <w:marTop w:val="0"/>
          <w:marBottom w:val="0"/>
          <w:divBdr>
            <w:top w:val="none" w:sz="0" w:space="0" w:color="auto"/>
            <w:left w:val="none" w:sz="0" w:space="0" w:color="auto"/>
            <w:bottom w:val="none" w:sz="0" w:space="0" w:color="auto"/>
            <w:right w:val="none" w:sz="0" w:space="0" w:color="auto"/>
          </w:divBdr>
        </w:div>
        <w:div w:id="1474519511">
          <w:marLeft w:val="0"/>
          <w:marRight w:val="0"/>
          <w:marTop w:val="0"/>
          <w:marBottom w:val="0"/>
          <w:divBdr>
            <w:top w:val="none" w:sz="0" w:space="0" w:color="auto"/>
            <w:left w:val="none" w:sz="0" w:space="0" w:color="auto"/>
            <w:bottom w:val="none" w:sz="0" w:space="0" w:color="auto"/>
            <w:right w:val="none" w:sz="0" w:space="0" w:color="auto"/>
          </w:divBdr>
        </w:div>
        <w:div w:id="122582204">
          <w:marLeft w:val="0"/>
          <w:marRight w:val="0"/>
          <w:marTop w:val="0"/>
          <w:marBottom w:val="0"/>
          <w:divBdr>
            <w:top w:val="none" w:sz="0" w:space="0" w:color="auto"/>
            <w:left w:val="none" w:sz="0" w:space="0" w:color="auto"/>
            <w:bottom w:val="none" w:sz="0" w:space="0" w:color="auto"/>
            <w:right w:val="none" w:sz="0" w:space="0" w:color="auto"/>
          </w:divBdr>
        </w:div>
        <w:div w:id="202333487">
          <w:marLeft w:val="0"/>
          <w:marRight w:val="0"/>
          <w:marTop w:val="0"/>
          <w:marBottom w:val="0"/>
          <w:divBdr>
            <w:top w:val="none" w:sz="0" w:space="0" w:color="auto"/>
            <w:left w:val="none" w:sz="0" w:space="0" w:color="auto"/>
            <w:bottom w:val="none" w:sz="0" w:space="0" w:color="auto"/>
            <w:right w:val="none" w:sz="0" w:space="0" w:color="auto"/>
          </w:divBdr>
        </w:div>
        <w:div w:id="127404362">
          <w:marLeft w:val="0"/>
          <w:marRight w:val="0"/>
          <w:marTop w:val="0"/>
          <w:marBottom w:val="0"/>
          <w:divBdr>
            <w:top w:val="none" w:sz="0" w:space="0" w:color="auto"/>
            <w:left w:val="none" w:sz="0" w:space="0" w:color="auto"/>
            <w:bottom w:val="none" w:sz="0" w:space="0" w:color="auto"/>
            <w:right w:val="none" w:sz="0" w:space="0" w:color="auto"/>
          </w:divBdr>
        </w:div>
        <w:div w:id="1411388781">
          <w:marLeft w:val="0"/>
          <w:marRight w:val="0"/>
          <w:marTop w:val="0"/>
          <w:marBottom w:val="0"/>
          <w:divBdr>
            <w:top w:val="none" w:sz="0" w:space="0" w:color="auto"/>
            <w:left w:val="none" w:sz="0" w:space="0" w:color="auto"/>
            <w:bottom w:val="none" w:sz="0" w:space="0" w:color="auto"/>
            <w:right w:val="none" w:sz="0" w:space="0" w:color="auto"/>
          </w:divBdr>
        </w:div>
        <w:div w:id="398283794">
          <w:marLeft w:val="0"/>
          <w:marRight w:val="0"/>
          <w:marTop w:val="0"/>
          <w:marBottom w:val="0"/>
          <w:divBdr>
            <w:top w:val="none" w:sz="0" w:space="0" w:color="auto"/>
            <w:left w:val="none" w:sz="0" w:space="0" w:color="auto"/>
            <w:bottom w:val="none" w:sz="0" w:space="0" w:color="auto"/>
            <w:right w:val="none" w:sz="0" w:space="0" w:color="auto"/>
          </w:divBdr>
        </w:div>
        <w:div w:id="1465389696">
          <w:marLeft w:val="0"/>
          <w:marRight w:val="0"/>
          <w:marTop w:val="0"/>
          <w:marBottom w:val="0"/>
          <w:divBdr>
            <w:top w:val="none" w:sz="0" w:space="0" w:color="auto"/>
            <w:left w:val="none" w:sz="0" w:space="0" w:color="auto"/>
            <w:bottom w:val="none" w:sz="0" w:space="0" w:color="auto"/>
            <w:right w:val="none" w:sz="0" w:space="0" w:color="auto"/>
          </w:divBdr>
        </w:div>
        <w:div w:id="1302342099">
          <w:marLeft w:val="0"/>
          <w:marRight w:val="0"/>
          <w:marTop w:val="0"/>
          <w:marBottom w:val="0"/>
          <w:divBdr>
            <w:top w:val="none" w:sz="0" w:space="0" w:color="auto"/>
            <w:left w:val="none" w:sz="0" w:space="0" w:color="auto"/>
            <w:bottom w:val="none" w:sz="0" w:space="0" w:color="auto"/>
            <w:right w:val="none" w:sz="0" w:space="0" w:color="auto"/>
          </w:divBdr>
        </w:div>
        <w:div w:id="565839431">
          <w:marLeft w:val="0"/>
          <w:marRight w:val="0"/>
          <w:marTop w:val="0"/>
          <w:marBottom w:val="0"/>
          <w:divBdr>
            <w:top w:val="none" w:sz="0" w:space="0" w:color="auto"/>
            <w:left w:val="none" w:sz="0" w:space="0" w:color="auto"/>
            <w:bottom w:val="none" w:sz="0" w:space="0" w:color="auto"/>
            <w:right w:val="none" w:sz="0" w:space="0" w:color="auto"/>
          </w:divBdr>
        </w:div>
        <w:div w:id="1284269798">
          <w:marLeft w:val="0"/>
          <w:marRight w:val="0"/>
          <w:marTop w:val="0"/>
          <w:marBottom w:val="0"/>
          <w:divBdr>
            <w:top w:val="none" w:sz="0" w:space="0" w:color="auto"/>
            <w:left w:val="none" w:sz="0" w:space="0" w:color="auto"/>
            <w:bottom w:val="none" w:sz="0" w:space="0" w:color="auto"/>
            <w:right w:val="none" w:sz="0" w:space="0" w:color="auto"/>
          </w:divBdr>
        </w:div>
        <w:div w:id="954412284">
          <w:marLeft w:val="0"/>
          <w:marRight w:val="0"/>
          <w:marTop w:val="0"/>
          <w:marBottom w:val="0"/>
          <w:divBdr>
            <w:top w:val="none" w:sz="0" w:space="0" w:color="auto"/>
            <w:left w:val="none" w:sz="0" w:space="0" w:color="auto"/>
            <w:bottom w:val="none" w:sz="0" w:space="0" w:color="auto"/>
            <w:right w:val="none" w:sz="0" w:space="0" w:color="auto"/>
          </w:divBdr>
        </w:div>
        <w:div w:id="1549142864">
          <w:marLeft w:val="0"/>
          <w:marRight w:val="0"/>
          <w:marTop w:val="0"/>
          <w:marBottom w:val="0"/>
          <w:divBdr>
            <w:top w:val="none" w:sz="0" w:space="0" w:color="auto"/>
            <w:left w:val="none" w:sz="0" w:space="0" w:color="auto"/>
            <w:bottom w:val="none" w:sz="0" w:space="0" w:color="auto"/>
            <w:right w:val="none" w:sz="0" w:space="0" w:color="auto"/>
          </w:divBdr>
        </w:div>
        <w:div w:id="23792265">
          <w:marLeft w:val="0"/>
          <w:marRight w:val="0"/>
          <w:marTop w:val="0"/>
          <w:marBottom w:val="0"/>
          <w:divBdr>
            <w:top w:val="none" w:sz="0" w:space="0" w:color="auto"/>
            <w:left w:val="none" w:sz="0" w:space="0" w:color="auto"/>
            <w:bottom w:val="none" w:sz="0" w:space="0" w:color="auto"/>
            <w:right w:val="none" w:sz="0" w:space="0" w:color="auto"/>
          </w:divBdr>
        </w:div>
        <w:div w:id="822088060">
          <w:marLeft w:val="0"/>
          <w:marRight w:val="0"/>
          <w:marTop w:val="0"/>
          <w:marBottom w:val="0"/>
          <w:divBdr>
            <w:top w:val="none" w:sz="0" w:space="0" w:color="auto"/>
            <w:left w:val="none" w:sz="0" w:space="0" w:color="auto"/>
            <w:bottom w:val="none" w:sz="0" w:space="0" w:color="auto"/>
            <w:right w:val="none" w:sz="0" w:space="0" w:color="auto"/>
          </w:divBdr>
        </w:div>
        <w:div w:id="1155729546">
          <w:marLeft w:val="0"/>
          <w:marRight w:val="0"/>
          <w:marTop w:val="0"/>
          <w:marBottom w:val="0"/>
          <w:divBdr>
            <w:top w:val="none" w:sz="0" w:space="0" w:color="auto"/>
            <w:left w:val="none" w:sz="0" w:space="0" w:color="auto"/>
            <w:bottom w:val="none" w:sz="0" w:space="0" w:color="auto"/>
            <w:right w:val="none" w:sz="0" w:space="0" w:color="auto"/>
          </w:divBdr>
        </w:div>
      </w:divsChild>
    </w:div>
    <w:div w:id="750463666">
      <w:bodyDiv w:val="1"/>
      <w:marLeft w:val="0"/>
      <w:marRight w:val="0"/>
      <w:marTop w:val="0"/>
      <w:marBottom w:val="0"/>
      <w:divBdr>
        <w:top w:val="none" w:sz="0" w:space="0" w:color="auto"/>
        <w:left w:val="none" w:sz="0" w:space="0" w:color="auto"/>
        <w:bottom w:val="none" w:sz="0" w:space="0" w:color="auto"/>
        <w:right w:val="none" w:sz="0" w:space="0" w:color="auto"/>
      </w:divBdr>
      <w:divsChild>
        <w:div w:id="1601911140">
          <w:marLeft w:val="720"/>
          <w:marRight w:val="0"/>
          <w:marTop w:val="77"/>
          <w:marBottom w:val="0"/>
          <w:divBdr>
            <w:top w:val="none" w:sz="0" w:space="0" w:color="auto"/>
            <w:left w:val="none" w:sz="0" w:space="0" w:color="auto"/>
            <w:bottom w:val="none" w:sz="0" w:space="0" w:color="auto"/>
            <w:right w:val="none" w:sz="0" w:space="0" w:color="auto"/>
          </w:divBdr>
        </w:div>
        <w:div w:id="1837843994">
          <w:marLeft w:val="720"/>
          <w:marRight w:val="0"/>
          <w:marTop w:val="77"/>
          <w:marBottom w:val="0"/>
          <w:divBdr>
            <w:top w:val="none" w:sz="0" w:space="0" w:color="auto"/>
            <w:left w:val="none" w:sz="0" w:space="0" w:color="auto"/>
            <w:bottom w:val="none" w:sz="0" w:space="0" w:color="auto"/>
            <w:right w:val="none" w:sz="0" w:space="0" w:color="auto"/>
          </w:divBdr>
        </w:div>
        <w:div w:id="1650935763">
          <w:marLeft w:val="720"/>
          <w:marRight w:val="0"/>
          <w:marTop w:val="77"/>
          <w:marBottom w:val="0"/>
          <w:divBdr>
            <w:top w:val="none" w:sz="0" w:space="0" w:color="auto"/>
            <w:left w:val="none" w:sz="0" w:space="0" w:color="auto"/>
            <w:bottom w:val="none" w:sz="0" w:space="0" w:color="auto"/>
            <w:right w:val="none" w:sz="0" w:space="0" w:color="auto"/>
          </w:divBdr>
        </w:div>
        <w:div w:id="59639801">
          <w:marLeft w:val="720"/>
          <w:marRight w:val="0"/>
          <w:marTop w:val="77"/>
          <w:marBottom w:val="0"/>
          <w:divBdr>
            <w:top w:val="none" w:sz="0" w:space="0" w:color="auto"/>
            <w:left w:val="none" w:sz="0" w:space="0" w:color="auto"/>
            <w:bottom w:val="none" w:sz="0" w:space="0" w:color="auto"/>
            <w:right w:val="none" w:sz="0" w:space="0" w:color="auto"/>
          </w:divBdr>
        </w:div>
        <w:div w:id="129633310">
          <w:marLeft w:val="720"/>
          <w:marRight w:val="0"/>
          <w:marTop w:val="77"/>
          <w:marBottom w:val="0"/>
          <w:divBdr>
            <w:top w:val="none" w:sz="0" w:space="0" w:color="auto"/>
            <w:left w:val="none" w:sz="0" w:space="0" w:color="auto"/>
            <w:bottom w:val="none" w:sz="0" w:space="0" w:color="auto"/>
            <w:right w:val="none" w:sz="0" w:space="0" w:color="auto"/>
          </w:divBdr>
        </w:div>
        <w:div w:id="1928348261">
          <w:marLeft w:val="720"/>
          <w:marRight w:val="0"/>
          <w:marTop w:val="77"/>
          <w:marBottom w:val="0"/>
          <w:divBdr>
            <w:top w:val="none" w:sz="0" w:space="0" w:color="auto"/>
            <w:left w:val="none" w:sz="0" w:space="0" w:color="auto"/>
            <w:bottom w:val="none" w:sz="0" w:space="0" w:color="auto"/>
            <w:right w:val="none" w:sz="0" w:space="0" w:color="auto"/>
          </w:divBdr>
        </w:div>
      </w:divsChild>
    </w:div>
    <w:div w:id="790124507">
      <w:bodyDiv w:val="1"/>
      <w:marLeft w:val="0"/>
      <w:marRight w:val="0"/>
      <w:marTop w:val="0"/>
      <w:marBottom w:val="0"/>
      <w:divBdr>
        <w:top w:val="none" w:sz="0" w:space="0" w:color="auto"/>
        <w:left w:val="none" w:sz="0" w:space="0" w:color="auto"/>
        <w:bottom w:val="none" w:sz="0" w:space="0" w:color="auto"/>
        <w:right w:val="none" w:sz="0" w:space="0" w:color="auto"/>
      </w:divBdr>
      <w:divsChild>
        <w:div w:id="267009658">
          <w:marLeft w:val="547"/>
          <w:marRight w:val="0"/>
          <w:marTop w:val="154"/>
          <w:marBottom w:val="0"/>
          <w:divBdr>
            <w:top w:val="none" w:sz="0" w:space="0" w:color="auto"/>
            <w:left w:val="none" w:sz="0" w:space="0" w:color="auto"/>
            <w:bottom w:val="none" w:sz="0" w:space="0" w:color="auto"/>
            <w:right w:val="none" w:sz="0" w:space="0" w:color="auto"/>
          </w:divBdr>
        </w:div>
        <w:div w:id="2128428695">
          <w:marLeft w:val="547"/>
          <w:marRight w:val="0"/>
          <w:marTop w:val="154"/>
          <w:marBottom w:val="0"/>
          <w:divBdr>
            <w:top w:val="none" w:sz="0" w:space="0" w:color="auto"/>
            <w:left w:val="none" w:sz="0" w:space="0" w:color="auto"/>
            <w:bottom w:val="none" w:sz="0" w:space="0" w:color="auto"/>
            <w:right w:val="none" w:sz="0" w:space="0" w:color="auto"/>
          </w:divBdr>
        </w:div>
        <w:div w:id="1968467219">
          <w:marLeft w:val="547"/>
          <w:marRight w:val="0"/>
          <w:marTop w:val="154"/>
          <w:marBottom w:val="0"/>
          <w:divBdr>
            <w:top w:val="none" w:sz="0" w:space="0" w:color="auto"/>
            <w:left w:val="none" w:sz="0" w:space="0" w:color="auto"/>
            <w:bottom w:val="none" w:sz="0" w:space="0" w:color="auto"/>
            <w:right w:val="none" w:sz="0" w:space="0" w:color="auto"/>
          </w:divBdr>
        </w:div>
        <w:div w:id="59209704">
          <w:marLeft w:val="547"/>
          <w:marRight w:val="0"/>
          <w:marTop w:val="154"/>
          <w:marBottom w:val="0"/>
          <w:divBdr>
            <w:top w:val="none" w:sz="0" w:space="0" w:color="auto"/>
            <w:left w:val="none" w:sz="0" w:space="0" w:color="auto"/>
            <w:bottom w:val="none" w:sz="0" w:space="0" w:color="auto"/>
            <w:right w:val="none" w:sz="0" w:space="0" w:color="auto"/>
          </w:divBdr>
        </w:div>
        <w:div w:id="749500566">
          <w:marLeft w:val="547"/>
          <w:marRight w:val="0"/>
          <w:marTop w:val="154"/>
          <w:marBottom w:val="0"/>
          <w:divBdr>
            <w:top w:val="none" w:sz="0" w:space="0" w:color="auto"/>
            <w:left w:val="none" w:sz="0" w:space="0" w:color="auto"/>
            <w:bottom w:val="none" w:sz="0" w:space="0" w:color="auto"/>
            <w:right w:val="none" w:sz="0" w:space="0" w:color="auto"/>
          </w:divBdr>
        </w:div>
      </w:divsChild>
    </w:div>
    <w:div w:id="794251478">
      <w:bodyDiv w:val="1"/>
      <w:marLeft w:val="0"/>
      <w:marRight w:val="0"/>
      <w:marTop w:val="0"/>
      <w:marBottom w:val="0"/>
      <w:divBdr>
        <w:top w:val="none" w:sz="0" w:space="0" w:color="auto"/>
        <w:left w:val="none" w:sz="0" w:space="0" w:color="auto"/>
        <w:bottom w:val="none" w:sz="0" w:space="0" w:color="auto"/>
        <w:right w:val="none" w:sz="0" w:space="0" w:color="auto"/>
      </w:divBdr>
    </w:div>
    <w:div w:id="1127696146">
      <w:bodyDiv w:val="1"/>
      <w:marLeft w:val="0"/>
      <w:marRight w:val="0"/>
      <w:marTop w:val="0"/>
      <w:marBottom w:val="0"/>
      <w:divBdr>
        <w:top w:val="none" w:sz="0" w:space="0" w:color="auto"/>
        <w:left w:val="none" w:sz="0" w:space="0" w:color="auto"/>
        <w:bottom w:val="none" w:sz="0" w:space="0" w:color="auto"/>
        <w:right w:val="none" w:sz="0" w:space="0" w:color="auto"/>
      </w:divBdr>
      <w:divsChild>
        <w:div w:id="754866922">
          <w:marLeft w:val="0"/>
          <w:marRight w:val="0"/>
          <w:marTop w:val="0"/>
          <w:marBottom w:val="0"/>
          <w:divBdr>
            <w:top w:val="none" w:sz="0" w:space="0" w:color="auto"/>
            <w:left w:val="none" w:sz="0" w:space="0" w:color="auto"/>
            <w:bottom w:val="none" w:sz="0" w:space="0" w:color="auto"/>
            <w:right w:val="none" w:sz="0" w:space="0" w:color="auto"/>
          </w:divBdr>
        </w:div>
        <w:div w:id="1834174687">
          <w:marLeft w:val="0"/>
          <w:marRight w:val="0"/>
          <w:marTop w:val="0"/>
          <w:marBottom w:val="0"/>
          <w:divBdr>
            <w:top w:val="none" w:sz="0" w:space="0" w:color="auto"/>
            <w:left w:val="none" w:sz="0" w:space="0" w:color="auto"/>
            <w:bottom w:val="none" w:sz="0" w:space="0" w:color="auto"/>
            <w:right w:val="none" w:sz="0" w:space="0" w:color="auto"/>
          </w:divBdr>
        </w:div>
        <w:div w:id="546600036">
          <w:marLeft w:val="0"/>
          <w:marRight w:val="0"/>
          <w:marTop w:val="0"/>
          <w:marBottom w:val="0"/>
          <w:divBdr>
            <w:top w:val="none" w:sz="0" w:space="0" w:color="auto"/>
            <w:left w:val="none" w:sz="0" w:space="0" w:color="auto"/>
            <w:bottom w:val="none" w:sz="0" w:space="0" w:color="auto"/>
            <w:right w:val="none" w:sz="0" w:space="0" w:color="auto"/>
          </w:divBdr>
        </w:div>
        <w:div w:id="1464618429">
          <w:marLeft w:val="0"/>
          <w:marRight w:val="0"/>
          <w:marTop w:val="0"/>
          <w:marBottom w:val="0"/>
          <w:divBdr>
            <w:top w:val="none" w:sz="0" w:space="0" w:color="auto"/>
            <w:left w:val="none" w:sz="0" w:space="0" w:color="auto"/>
            <w:bottom w:val="none" w:sz="0" w:space="0" w:color="auto"/>
            <w:right w:val="none" w:sz="0" w:space="0" w:color="auto"/>
          </w:divBdr>
        </w:div>
        <w:div w:id="1614752906">
          <w:marLeft w:val="0"/>
          <w:marRight w:val="0"/>
          <w:marTop w:val="0"/>
          <w:marBottom w:val="0"/>
          <w:divBdr>
            <w:top w:val="none" w:sz="0" w:space="0" w:color="auto"/>
            <w:left w:val="none" w:sz="0" w:space="0" w:color="auto"/>
            <w:bottom w:val="none" w:sz="0" w:space="0" w:color="auto"/>
            <w:right w:val="none" w:sz="0" w:space="0" w:color="auto"/>
          </w:divBdr>
        </w:div>
        <w:div w:id="905577528">
          <w:marLeft w:val="0"/>
          <w:marRight w:val="0"/>
          <w:marTop w:val="0"/>
          <w:marBottom w:val="0"/>
          <w:divBdr>
            <w:top w:val="none" w:sz="0" w:space="0" w:color="auto"/>
            <w:left w:val="none" w:sz="0" w:space="0" w:color="auto"/>
            <w:bottom w:val="none" w:sz="0" w:space="0" w:color="auto"/>
            <w:right w:val="none" w:sz="0" w:space="0" w:color="auto"/>
          </w:divBdr>
        </w:div>
        <w:div w:id="1818455406">
          <w:marLeft w:val="0"/>
          <w:marRight w:val="0"/>
          <w:marTop w:val="0"/>
          <w:marBottom w:val="0"/>
          <w:divBdr>
            <w:top w:val="none" w:sz="0" w:space="0" w:color="auto"/>
            <w:left w:val="none" w:sz="0" w:space="0" w:color="auto"/>
            <w:bottom w:val="none" w:sz="0" w:space="0" w:color="auto"/>
            <w:right w:val="none" w:sz="0" w:space="0" w:color="auto"/>
          </w:divBdr>
        </w:div>
        <w:div w:id="821850463">
          <w:marLeft w:val="0"/>
          <w:marRight w:val="0"/>
          <w:marTop w:val="0"/>
          <w:marBottom w:val="0"/>
          <w:divBdr>
            <w:top w:val="none" w:sz="0" w:space="0" w:color="auto"/>
            <w:left w:val="none" w:sz="0" w:space="0" w:color="auto"/>
            <w:bottom w:val="none" w:sz="0" w:space="0" w:color="auto"/>
            <w:right w:val="none" w:sz="0" w:space="0" w:color="auto"/>
          </w:divBdr>
        </w:div>
        <w:div w:id="38940833">
          <w:marLeft w:val="0"/>
          <w:marRight w:val="0"/>
          <w:marTop w:val="0"/>
          <w:marBottom w:val="0"/>
          <w:divBdr>
            <w:top w:val="none" w:sz="0" w:space="0" w:color="auto"/>
            <w:left w:val="none" w:sz="0" w:space="0" w:color="auto"/>
            <w:bottom w:val="none" w:sz="0" w:space="0" w:color="auto"/>
            <w:right w:val="none" w:sz="0" w:space="0" w:color="auto"/>
          </w:divBdr>
        </w:div>
        <w:div w:id="605432726">
          <w:marLeft w:val="0"/>
          <w:marRight w:val="0"/>
          <w:marTop w:val="0"/>
          <w:marBottom w:val="0"/>
          <w:divBdr>
            <w:top w:val="none" w:sz="0" w:space="0" w:color="auto"/>
            <w:left w:val="none" w:sz="0" w:space="0" w:color="auto"/>
            <w:bottom w:val="none" w:sz="0" w:space="0" w:color="auto"/>
            <w:right w:val="none" w:sz="0" w:space="0" w:color="auto"/>
          </w:divBdr>
        </w:div>
        <w:div w:id="780341740">
          <w:marLeft w:val="0"/>
          <w:marRight w:val="0"/>
          <w:marTop w:val="0"/>
          <w:marBottom w:val="0"/>
          <w:divBdr>
            <w:top w:val="none" w:sz="0" w:space="0" w:color="auto"/>
            <w:left w:val="none" w:sz="0" w:space="0" w:color="auto"/>
            <w:bottom w:val="none" w:sz="0" w:space="0" w:color="auto"/>
            <w:right w:val="none" w:sz="0" w:space="0" w:color="auto"/>
          </w:divBdr>
        </w:div>
        <w:div w:id="81924481">
          <w:marLeft w:val="0"/>
          <w:marRight w:val="0"/>
          <w:marTop w:val="0"/>
          <w:marBottom w:val="0"/>
          <w:divBdr>
            <w:top w:val="none" w:sz="0" w:space="0" w:color="auto"/>
            <w:left w:val="none" w:sz="0" w:space="0" w:color="auto"/>
            <w:bottom w:val="none" w:sz="0" w:space="0" w:color="auto"/>
            <w:right w:val="none" w:sz="0" w:space="0" w:color="auto"/>
          </w:divBdr>
        </w:div>
        <w:div w:id="347365845">
          <w:marLeft w:val="0"/>
          <w:marRight w:val="0"/>
          <w:marTop w:val="0"/>
          <w:marBottom w:val="0"/>
          <w:divBdr>
            <w:top w:val="none" w:sz="0" w:space="0" w:color="auto"/>
            <w:left w:val="none" w:sz="0" w:space="0" w:color="auto"/>
            <w:bottom w:val="none" w:sz="0" w:space="0" w:color="auto"/>
            <w:right w:val="none" w:sz="0" w:space="0" w:color="auto"/>
          </w:divBdr>
        </w:div>
        <w:div w:id="1602641929">
          <w:marLeft w:val="0"/>
          <w:marRight w:val="0"/>
          <w:marTop w:val="0"/>
          <w:marBottom w:val="0"/>
          <w:divBdr>
            <w:top w:val="none" w:sz="0" w:space="0" w:color="auto"/>
            <w:left w:val="none" w:sz="0" w:space="0" w:color="auto"/>
            <w:bottom w:val="none" w:sz="0" w:space="0" w:color="auto"/>
            <w:right w:val="none" w:sz="0" w:space="0" w:color="auto"/>
          </w:divBdr>
        </w:div>
        <w:div w:id="1714621071">
          <w:marLeft w:val="0"/>
          <w:marRight w:val="0"/>
          <w:marTop w:val="0"/>
          <w:marBottom w:val="0"/>
          <w:divBdr>
            <w:top w:val="none" w:sz="0" w:space="0" w:color="auto"/>
            <w:left w:val="none" w:sz="0" w:space="0" w:color="auto"/>
            <w:bottom w:val="none" w:sz="0" w:space="0" w:color="auto"/>
            <w:right w:val="none" w:sz="0" w:space="0" w:color="auto"/>
          </w:divBdr>
        </w:div>
        <w:div w:id="714159177">
          <w:marLeft w:val="0"/>
          <w:marRight w:val="0"/>
          <w:marTop w:val="0"/>
          <w:marBottom w:val="0"/>
          <w:divBdr>
            <w:top w:val="none" w:sz="0" w:space="0" w:color="auto"/>
            <w:left w:val="none" w:sz="0" w:space="0" w:color="auto"/>
            <w:bottom w:val="none" w:sz="0" w:space="0" w:color="auto"/>
            <w:right w:val="none" w:sz="0" w:space="0" w:color="auto"/>
          </w:divBdr>
        </w:div>
        <w:div w:id="1655252936">
          <w:marLeft w:val="0"/>
          <w:marRight w:val="0"/>
          <w:marTop w:val="0"/>
          <w:marBottom w:val="0"/>
          <w:divBdr>
            <w:top w:val="none" w:sz="0" w:space="0" w:color="auto"/>
            <w:left w:val="none" w:sz="0" w:space="0" w:color="auto"/>
            <w:bottom w:val="none" w:sz="0" w:space="0" w:color="auto"/>
            <w:right w:val="none" w:sz="0" w:space="0" w:color="auto"/>
          </w:divBdr>
        </w:div>
      </w:divsChild>
    </w:div>
    <w:div w:id="1129201558">
      <w:bodyDiv w:val="1"/>
      <w:marLeft w:val="0"/>
      <w:marRight w:val="0"/>
      <w:marTop w:val="0"/>
      <w:marBottom w:val="0"/>
      <w:divBdr>
        <w:top w:val="none" w:sz="0" w:space="0" w:color="auto"/>
        <w:left w:val="none" w:sz="0" w:space="0" w:color="auto"/>
        <w:bottom w:val="none" w:sz="0" w:space="0" w:color="auto"/>
        <w:right w:val="none" w:sz="0" w:space="0" w:color="auto"/>
      </w:divBdr>
      <w:divsChild>
        <w:div w:id="1783108726">
          <w:marLeft w:val="547"/>
          <w:marRight w:val="0"/>
          <w:marTop w:val="154"/>
          <w:marBottom w:val="0"/>
          <w:divBdr>
            <w:top w:val="none" w:sz="0" w:space="0" w:color="auto"/>
            <w:left w:val="none" w:sz="0" w:space="0" w:color="auto"/>
            <w:bottom w:val="none" w:sz="0" w:space="0" w:color="auto"/>
            <w:right w:val="none" w:sz="0" w:space="0" w:color="auto"/>
          </w:divBdr>
        </w:div>
        <w:div w:id="499855591">
          <w:marLeft w:val="547"/>
          <w:marRight w:val="0"/>
          <w:marTop w:val="154"/>
          <w:marBottom w:val="0"/>
          <w:divBdr>
            <w:top w:val="none" w:sz="0" w:space="0" w:color="auto"/>
            <w:left w:val="none" w:sz="0" w:space="0" w:color="auto"/>
            <w:bottom w:val="none" w:sz="0" w:space="0" w:color="auto"/>
            <w:right w:val="none" w:sz="0" w:space="0" w:color="auto"/>
          </w:divBdr>
        </w:div>
        <w:div w:id="783426688">
          <w:marLeft w:val="547"/>
          <w:marRight w:val="0"/>
          <w:marTop w:val="154"/>
          <w:marBottom w:val="0"/>
          <w:divBdr>
            <w:top w:val="none" w:sz="0" w:space="0" w:color="auto"/>
            <w:left w:val="none" w:sz="0" w:space="0" w:color="auto"/>
            <w:bottom w:val="none" w:sz="0" w:space="0" w:color="auto"/>
            <w:right w:val="none" w:sz="0" w:space="0" w:color="auto"/>
          </w:divBdr>
        </w:div>
      </w:divsChild>
    </w:div>
    <w:div w:id="1192956630">
      <w:bodyDiv w:val="1"/>
      <w:marLeft w:val="0"/>
      <w:marRight w:val="0"/>
      <w:marTop w:val="0"/>
      <w:marBottom w:val="0"/>
      <w:divBdr>
        <w:top w:val="none" w:sz="0" w:space="0" w:color="auto"/>
        <w:left w:val="none" w:sz="0" w:space="0" w:color="auto"/>
        <w:bottom w:val="none" w:sz="0" w:space="0" w:color="auto"/>
        <w:right w:val="none" w:sz="0" w:space="0" w:color="auto"/>
      </w:divBdr>
    </w:div>
    <w:div w:id="1213738199">
      <w:bodyDiv w:val="1"/>
      <w:marLeft w:val="0"/>
      <w:marRight w:val="0"/>
      <w:marTop w:val="0"/>
      <w:marBottom w:val="0"/>
      <w:divBdr>
        <w:top w:val="none" w:sz="0" w:space="0" w:color="auto"/>
        <w:left w:val="none" w:sz="0" w:space="0" w:color="auto"/>
        <w:bottom w:val="none" w:sz="0" w:space="0" w:color="auto"/>
        <w:right w:val="none" w:sz="0" w:space="0" w:color="auto"/>
      </w:divBdr>
    </w:div>
    <w:div w:id="1245334788">
      <w:bodyDiv w:val="1"/>
      <w:marLeft w:val="0"/>
      <w:marRight w:val="0"/>
      <w:marTop w:val="0"/>
      <w:marBottom w:val="0"/>
      <w:divBdr>
        <w:top w:val="none" w:sz="0" w:space="0" w:color="auto"/>
        <w:left w:val="none" w:sz="0" w:space="0" w:color="auto"/>
        <w:bottom w:val="none" w:sz="0" w:space="0" w:color="auto"/>
        <w:right w:val="none" w:sz="0" w:space="0" w:color="auto"/>
      </w:divBdr>
      <w:divsChild>
        <w:div w:id="1922175430">
          <w:marLeft w:val="533"/>
          <w:marRight w:val="0"/>
          <w:marTop w:val="384"/>
          <w:marBottom w:val="0"/>
          <w:divBdr>
            <w:top w:val="none" w:sz="0" w:space="0" w:color="auto"/>
            <w:left w:val="none" w:sz="0" w:space="0" w:color="auto"/>
            <w:bottom w:val="none" w:sz="0" w:space="0" w:color="auto"/>
            <w:right w:val="none" w:sz="0" w:space="0" w:color="auto"/>
          </w:divBdr>
        </w:div>
        <w:div w:id="1947082382">
          <w:marLeft w:val="533"/>
          <w:marRight w:val="0"/>
          <w:marTop w:val="384"/>
          <w:marBottom w:val="0"/>
          <w:divBdr>
            <w:top w:val="none" w:sz="0" w:space="0" w:color="auto"/>
            <w:left w:val="none" w:sz="0" w:space="0" w:color="auto"/>
            <w:bottom w:val="none" w:sz="0" w:space="0" w:color="auto"/>
            <w:right w:val="none" w:sz="0" w:space="0" w:color="auto"/>
          </w:divBdr>
        </w:div>
        <w:div w:id="1268389971">
          <w:marLeft w:val="533"/>
          <w:marRight w:val="0"/>
          <w:marTop w:val="384"/>
          <w:marBottom w:val="0"/>
          <w:divBdr>
            <w:top w:val="none" w:sz="0" w:space="0" w:color="auto"/>
            <w:left w:val="none" w:sz="0" w:space="0" w:color="auto"/>
            <w:bottom w:val="none" w:sz="0" w:space="0" w:color="auto"/>
            <w:right w:val="none" w:sz="0" w:space="0" w:color="auto"/>
          </w:divBdr>
        </w:div>
        <w:div w:id="11762435">
          <w:marLeft w:val="533"/>
          <w:marRight w:val="0"/>
          <w:marTop w:val="384"/>
          <w:marBottom w:val="0"/>
          <w:divBdr>
            <w:top w:val="none" w:sz="0" w:space="0" w:color="auto"/>
            <w:left w:val="none" w:sz="0" w:space="0" w:color="auto"/>
            <w:bottom w:val="none" w:sz="0" w:space="0" w:color="auto"/>
            <w:right w:val="none" w:sz="0" w:space="0" w:color="auto"/>
          </w:divBdr>
        </w:div>
        <w:div w:id="394280661">
          <w:marLeft w:val="533"/>
          <w:marRight w:val="0"/>
          <w:marTop w:val="384"/>
          <w:marBottom w:val="0"/>
          <w:divBdr>
            <w:top w:val="none" w:sz="0" w:space="0" w:color="auto"/>
            <w:left w:val="none" w:sz="0" w:space="0" w:color="auto"/>
            <w:bottom w:val="none" w:sz="0" w:space="0" w:color="auto"/>
            <w:right w:val="none" w:sz="0" w:space="0" w:color="auto"/>
          </w:divBdr>
        </w:div>
        <w:div w:id="1585532390">
          <w:marLeft w:val="533"/>
          <w:marRight w:val="0"/>
          <w:marTop w:val="384"/>
          <w:marBottom w:val="0"/>
          <w:divBdr>
            <w:top w:val="none" w:sz="0" w:space="0" w:color="auto"/>
            <w:left w:val="none" w:sz="0" w:space="0" w:color="auto"/>
            <w:bottom w:val="none" w:sz="0" w:space="0" w:color="auto"/>
            <w:right w:val="none" w:sz="0" w:space="0" w:color="auto"/>
          </w:divBdr>
        </w:div>
        <w:div w:id="520819335">
          <w:marLeft w:val="533"/>
          <w:marRight w:val="0"/>
          <w:marTop w:val="384"/>
          <w:marBottom w:val="0"/>
          <w:divBdr>
            <w:top w:val="none" w:sz="0" w:space="0" w:color="auto"/>
            <w:left w:val="none" w:sz="0" w:space="0" w:color="auto"/>
            <w:bottom w:val="none" w:sz="0" w:space="0" w:color="auto"/>
            <w:right w:val="none" w:sz="0" w:space="0" w:color="auto"/>
          </w:divBdr>
        </w:div>
        <w:div w:id="1567492038">
          <w:marLeft w:val="533"/>
          <w:marRight w:val="0"/>
          <w:marTop w:val="384"/>
          <w:marBottom w:val="0"/>
          <w:divBdr>
            <w:top w:val="none" w:sz="0" w:space="0" w:color="auto"/>
            <w:left w:val="none" w:sz="0" w:space="0" w:color="auto"/>
            <w:bottom w:val="none" w:sz="0" w:space="0" w:color="auto"/>
            <w:right w:val="none" w:sz="0" w:space="0" w:color="auto"/>
          </w:divBdr>
        </w:div>
      </w:divsChild>
    </w:div>
    <w:div w:id="1335374487">
      <w:bodyDiv w:val="1"/>
      <w:marLeft w:val="0"/>
      <w:marRight w:val="0"/>
      <w:marTop w:val="0"/>
      <w:marBottom w:val="0"/>
      <w:divBdr>
        <w:top w:val="none" w:sz="0" w:space="0" w:color="auto"/>
        <w:left w:val="none" w:sz="0" w:space="0" w:color="auto"/>
        <w:bottom w:val="none" w:sz="0" w:space="0" w:color="auto"/>
        <w:right w:val="none" w:sz="0" w:space="0" w:color="auto"/>
      </w:divBdr>
    </w:div>
    <w:div w:id="148134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microsoft.com/office/2007/relationships/diagramDrawing" Target="diagrams/drawing1.xml"/><Relationship Id="rId42" Type="http://schemas.openxmlformats.org/officeDocument/2006/relationships/diagramLayout" Target="diagrams/layout2.xml"/><Relationship Id="rId47" Type="http://schemas.openxmlformats.org/officeDocument/2006/relationships/image" Target="media/image14.png"/><Relationship Id="rId63" Type="http://schemas.openxmlformats.org/officeDocument/2006/relationships/diagramLayout" Target="diagrams/layout5.xml"/><Relationship Id="rId68" Type="http://schemas.openxmlformats.org/officeDocument/2006/relationships/diagramLayout" Target="diagrams/layout6.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image" Target="media/image10.png"/><Relationship Id="rId11" Type="http://schemas.openxmlformats.org/officeDocument/2006/relationships/header" Target="header1.xml"/><Relationship Id="rId24" Type="http://schemas.openxmlformats.org/officeDocument/2006/relationships/image" Target="media/image5.png"/><Relationship Id="rId32" Type="http://schemas.openxmlformats.org/officeDocument/2006/relationships/footer" Target="footer4.xml"/><Relationship Id="rId37" Type="http://schemas.openxmlformats.org/officeDocument/2006/relationships/header" Target="header7.xml"/><Relationship Id="rId40" Type="http://schemas.openxmlformats.org/officeDocument/2006/relationships/footer" Target="footer6.xml"/><Relationship Id="rId45" Type="http://schemas.microsoft.com/office/2007/relationships/diagramDrawing" Target="diagrams/drawing2.xml"/><Relationship Id="rId53" Type="http://schemas.openxmlformats.org/officeDocument/2006/relationships/diagramLayout" Target="diagrams/layout3.xml"/><Relationship Id="rId58" Type="http://schemas.openxmlformats.org/officeDocument/2006/relationships/diagramLayout" Target="diagrams/layout4.xml"/><Relationship Id="rId66" Type="http://schemas.microsoft.com/office/2007/relationships/diagramDrawing" Target="diagrams/drawing5.xml"/><Relationship Id="rId74" Type="http://schemas.microsoft.com/office/2011/relationships/people" Target="people.xml"/><Relationship Id="rId5" Type="http://schemas.openxmlformats.org/officeDocument/2006/relationships/settings" Target="settings.xml"/><Relationship Id="rId61" Type="http://schemas.microsoft.com/office/2007/relationships/diagramDrawing" Target="diagrams/drawing4.xml"/><Relationship Id="rId19" Type="http://schemas.openxmlformats.org/officeDocument/2006/relationships/diagramQuickStyle" Target="diagrams/quickStyle1.xml"/><Relationship Id="rId14" Type="http://schemas.openxmlformats.org/officeDocument/2006/relationships/footer" Target="footer2.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eader" Target="header4.xml"/><Relationship Id="rId35" Type="http://schemas.openxmlformats.org/officeDocument/2006/relationships/image" Target="media/image11.png"/><Relationship Id="rId43" Type="http://schemas.openxmlformats.org/officeDocument/2006/relationships/diagramQuickStyle" Target="diagrams/quickStyle2.xml"/><Relationship Id="rId48" Type="http://schemas.openxmlformats.org/officeDocument/2006/relationships/image" Target="media/image15.png"/><Relationship Id="rId56" Type="http://schemas.microsoft.com/office/2007/relationships/diagramDrawing" Target="diagrams/drawing3.xml"/><Relationship Id="rId64" Type="http://schemas.openxmlformats.org/officeDocument/2006/relationships/diagramQuickStyle" Target="diagrams/quickStyle5.xml"/><Relationship Id="rId69" Type="http://schemas.openxmlformats.org/officeDocument/2006/relationships/diagramQuickStyle" Target="diagrams/quickStyle6.xml"/><Relationship Id="rId8" Type="http://schemas.openxmlformats.org/officeDocument/2006/relationships/endnotes" Target="endnotes.xml"/><Relationship Id="rId51" Type="http://schemas.openxmlformats.org/officeDocument/2006/relationships/image" Target="media/image16.png"/><Relationship Id="rId72" Type="http://schemas.openxmlformats.org/officeDocument/2006/relationships/image" Target="media/image17.png"/><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diagramData" Target="diagrams/data1.xml"/><Relationship Id="rId25" Type="http://schemas.openxmlformats.org/officeDocument/2006/relationships/image" Target="media/image6.png"/><Relationship Id="rId33" Type="http://schemas.openxmlformats.org/officeDocument/2006/relationships/header" Target="header6.xml"/><Relationship Id="rId38" Type="http://schemas.openxmlformats.org/officeDocument/2006/relationships/header" Target="header8.xml"/><Relationship Id="rId46" Type="http://schemas.openxmlformats.org/officeDocument/2006/relationships/image" Target="media/image13.png"/><Relationship Id="rId59" Type="http://schemas.openxmlformats.org/officeDocument/2006/relationships/diagramQuickStyle" Target="diagrams/quickStyle4.xml"/><Relationship Id="rId67" Type="http://schemas.openxmlformats.org/officeDocument/2006/relationships/diagramData" Target="diagrams/data6.xml"/><Relationship Id="rId20" Type="http://schemas.openxmlformats.org/officeDocument/2006/relationships/diagramColors" Target="diagrams/colors1.xml"/><Relationship Id="rId41" Type="http://schemas.openxmlformats.org/officeDocument/2006/relationships/diagramData" Target="diagrams/data2.xml"/><Relationship Id="rId54" Type="http://schemas.openxmlformats.org/officeDocument/2006/relationships/diagramQuickStyle" Target="diagrams/quickStyle3.xml"/><Relationship Id="rId62" Type="http://schemas.openxmlformats.org/officeDocument/2006/relationships/diagramData" Target="diagrams/data5.xml"/><Relationship Id="rId70" Type="http://schemas.openxmlformats.org/officeDocument/2006/relationships/diagramColors" Target="diagrams/colors6.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4.jpeg"/><Relationship Id="rId28" Type="http://schemas.openxmlformats.org/officeDocument/2006/relationships/image" Target="media/image9.png"/><Relationship Id="rId36" Type="http://schemas.openxmlformats.org/officeDocument/2006/relationships/image" Target="media/image12.png"/><Relationship Id="rId49" Type="http://schemas.openxmlformats.org/officeDocument/2006/relationships/comments" Target="comments.xml"/><Relationship Id="rId57" Type="http://schemas.openxmlformats.org/officeDocument/2006/relationships/diagramData" Target="diagrams/data4.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diagramColors" Target="diagrams/colors2.xml"/><Relationship Id="rId52" Type="http://schemas.openxmlformats.org/officeDocument/2006/relationships/diagramData" Target="diagrams/data3.xml"/><Relationship Id="rId60" Type="http://schemas.openxmlformats.org/officeDocument/2006/relationships/diagramColors" Target="diagrams/colors4.xml"/><Relationship Id="rId65" Type="http://schemas.openxmlformats.org/officeDocument/2006/relationships/diagramColors" Target="diagrams/colors5.xml"/><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diagramLayout" Target="diagrams/layout1.xml"/><Relationship Id="rId39" Type="http://schemas.openxmlformats.org/officeDocument/2006/relationships/header" Target="header9.xml"/><Relationship Id="rId34" Type="http://schemas.openxmlformats.org/officeDocument/2006/relationships/footer" Target="footer5.xml"/><Relationship Id="rId50" Type="http://schemas.microsoft.com/office/2011/relationships/commentsExtended" Target="commentsExtended.xml"/><Relationship Id="rId55" Type="http://schemas.openxmlformats.org/officeDocument/2006/relationships/diagramColors" Target="diagrams/colors3.xml"/><Relationship Id="rId76" Type="http://schemas.microsoft.com/office/2016/09/relationships/commentsIds" Target="commentsIds.xml"/><Relationship Id="rId7" Type="http://schemas.openxmlformats.org/officeDocument/2006/relationships/footnotes" Target="footnotes.xml"/><Relationship Id="rId71" Type="http://schemas.microsoft.com/office/2007/relationships/diagramDrawing" Target="diagrams/drawing6.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5A052FC-145A-4DB9-9990-D89A323122FA}" type="doc">
      <dgm:prSet loTypeId="urn:microsoft.com/office/officeart/2005/8/layout/cycle7" loCatId="cycle" qsTypeId="urn:microsoft.com/office/officeart/2005/8/quickstyle/simple1" qsCatId="simple" csTypeId="urn:microsoft.com/office/officeart/2005/8/colors/colorful1" csCatId="colorful" phldr="1"/>
      <dgm:spPr/>
      <dgm:t>
        <a:bodyPr/>
        <a:lstStyle/>
        <a:p>
          <a:endParaRPr lang="en-US"/>
        </a:p>
      </dgm:t>
    </dgm:pt>
    <dgm:pt modelId="{9B691914-6760-4C7B-9EC8-41F96A5E694E}">
      <dgm:prSet phldrT="[Text]"/>
      <dgm:spPr/>
      <dgm:t>
        <a:bodyPr/>
        <a:lstStyle/>
        <a:p>
          <a:pPr algn="ctr"/>
          <a:r>
            <a:rPr lang="en-US"/>
            <a:t>Essential services needed by all age groups are </a:t>
          </a:r>
          <a:r>
            <a:rPr lang="en-US" b="1"/>
            <a:t>available</a:t>
          </a:r>
          <a:r>
            <a:rPr lang="en-US"/>
            <a:t> in the country, and of sufficient quality</a:t>
          </a:r>
        </a:p>
      </dgm:t>
    </dgm:pt>
    <dgm:pt modelId="{CEF98334-BBDC-4E49-9E65-72E311E19857}" type="parTrans" cxnId="{5C19D326-03F4-4368-AA57-3E3E6B9136C5}">
      <dgm:prSet/>
      <dgm:spPr/>
      <dgm:t>
        <a:bodyPr/>
        <a:lstStyle/>
        <a:p>
          <a:pPr algn="ctr"/>
          <a:endParaRPr lang="en-US"/>
        </a:p>
      </dgm:t>
    </dgm:pt>
    <dgm:pt modelId="{CAEE1EBC-D858-4F86-96A4-218F18833F0F}" type="sibTrans" cxnId="{5C19D326-03F4-4368-AA57-3E3E6B9136C5}">
      <dgm:prSet/>
      <dgm:spPr/>
      <dgm:t>
        <a:bodyPr/>
        <a:lstStyle/>
        <a:p>
          <a:pPr algn="ctr"/>
          <a:endParaRPr lang="en-US"/>
        </a:p>
      </dgm:t>
    </dgm:pt>
    <dgm:pt modelId="{C7A025DE-3288-4DE4-B3BC-86F6388B00DC}">
      <dgm:prSet phldrT="[Text]"/>
      <dgm:spPr/>
      <dgm:t>
        <a:bodyPr/>
        <a:lstStyle/>
        <a:p>
          <a:pPr algn="ctr"/>
          <a:r>
            <a:rPr lang="en-US"/>
            <a:t>Utilization of these essential services is </a:t>
          </a:r>
          <a:r>
            <a:rPr lang="en-US" b="1"/>
            <a:t>equitably distributed </a:t>
          </a:r>
          <a:r>
            <a:rPr lang="en-US"/>
            <a:t>for all persons who need them</a:t>
          </a:r>
        </a:p>
      </dgm:t>
    </dgm:pt>
    <dgm:pt modelId="{486CAB5C-C509-4A93-B1E1-28851D3BE92A}" type="parTrans" cxnId="{333B3E57-AA81-43ED-8ECA-71CF6825CCCF}">
      <dgm:prSet/>
      <dgm:spPr/>
      <dgm:t>
        <a:bodyPr/>
        <a:lstStyle/>
        <a:p>
          <a:pPr algn="ctr"/>
          <a:endParaRPr lang="en-US"/>
        </a:p>
      </dgm:t>
    </dgm:pt>
    <dgm:pt modelId="{F0745E42-992C-42D3-858A-53C2A0A99D06}" type="sibTrans" cxnId="{333B3E57-AA81-43ED-8ECA-71CF6825CCCF}">
      <dgm:prSet/>
      <dgm:spPr/>
      <dgm:t>
        <a:bodyPr/>
        <a:lstStyle/>
        <a:p>
          <a:pPr algn="ctr"/>
          <a:endParaRPr lang="en-US"/>
        </a:p>
      </dgm:t>
    </dgm:pt>
    <dgm:pt modelId="{12E3B3A1-EF98-443F-B454-C04652D5D904}">
      <dgm:prSet phldrT="[Text]"/>
      <dgm:spPr/>
      <dgm:t>
        <a:bodyPr/>
        <a:lstStyle/>
        <a:p>
          <a:pPr algn="ctr"/>
          <a:r>
            <a:rPr lang="en-US"/>
            <a:t>The process of utilization of these essential services does not lead to </a:t>
          </a:r>
          <a:r>
            <a:rPr lang="en-US" b="1"/>
            <a:t>financial catastrophe </a:t>
          </a:r>
          <a:r>
            <a:rPr lang="en-US"/>
            <a:t>for the users</a:t>
          </a:r>
        </a:p>
      </dgm:t>
    </dgm:pt>
    <dgm:pt modelId="{7B7A1167-CE33-47A1-AA6F-ED6342D89784}" type="parTrans" cxnId="{16A0FF0B-6437-4CF5-AFF2-7FF817137F37}">
      <dgm:prSet/>
      <dgm:spPr/>
      <dgm:t>
        <a:bodyPr/>
        <a:lstStyle/>
        <a:p>
          <a:pPr algn="ctr"/>
          <a:endParaRPr lang="en-US"/>
        </a:p>
      </dgm:t>
    </dgm:pt>
    <dgm:pt modelId="{7B113D71-029E-4495-8483-B435C5C76FA4}" type="sibTrans" cxnId="{16A0FF0B-6437-4CF5-AFF2-7FF817137F37}">
      <dgm:prSet/>
      <dgm:spPr/>
      <dgm:t>
        <a:bodyPr/>
        <a:lstStyle/>
        <a:p>
          <a:pPr algn="ctr"/>
          <a:endParaRPr lang="en-US"/>
        </a:p>
      </dgm:t>
    </dgm:pt>
    <dgm:pt modelId="{F13D0882-783D-4F1A-A9CF-BAE54C65C404}" type="pres">
      <dgm:prSet presAssocID="{A5A052FC-145A-4DB9-9990-D89A323122FA}" presName="Name0" presStyleCnt="0">
        <dgm:presLayoutVars>
          <dgm:dir/>
          <dgm:resizeHandles val="exact"/>
        </dgm:presLayoutVars>
      </dgm:prSet>
      <dgm:spPr/>
      <dgm:t>
        <a:bodyPr/>
        <a:lstStyle/>
        <a:p>
          <a:endParaRPr lang="en-US"/>
        </a:p>
      </dgm:t>
    </dgm:pt>
    <dgm:pt modelId="{60279231-0886-421A-94B3-A1C9A507B681}" type="pres">
      <dgm:prSet presAssocID="{9B691914-6760-4C7B-9EC8-41F96A5E694E}" presName="node" presStyleLbl="node1" presStyleIdx="0" presStyleCnt="3" custScaleX="123021" custScaleY="124106" custRadScaleRad="87460">
        <dgm:presLayoutVars>
          <dgm:bulletEnabled val="1"/>
        </dgm:presLayoutVars>
      </dgm:prSet>
      <dgm:spPr/>
      <dgm:t>
        <a:bodyPr/>
        <a:lstStyle/>
        <a:p>
          <a:endParaRPr lang="en-US"/>
        </a:p>
      </dgm:t>
    </dgm:pt>
    <dgm:pt modelId="{8F26451F-3BA0-477D-9258-C9AF1E807B05}" type="pres">
      <dgm:prSet presAssocID="{CAEE1EBC-D858-4F86-96A4-218F18833F0F}" presName="sibTrans" presStyleLbl="sibTrans2D1" presStyleIdx="0" presStyleCnt="3"/>
      <dgm:spPr/>
      <dgm:t>
        <a:bodyPr/>
        <a:lstStyle/>
        <a:p>
          <a:endParaRPr lang="en-US"/>
        </a:p>
      </dgm:t>
    </dgm:pt>
    <dgm:pt modelId="{B771F745-4E73-48A9-8ABC-FEBEC9E8556F}" type="pres">
      <dgm:prSet presAssocID="{CAEE1EBC-D858-4F86-96A4-218F18833F0F}" presName="connectorText" presStyleLbl="sibTrans2D1" presStyleIdx="0" presStyleCnt="3"/>
      <dgm:spPr/>
      <dgm:t>
        <a:bodyPr/>
        <a:lstStyle/>
        <a:p>
          <a:endParaRPr lang="en-US"/>
        </a:p>
      </dgm:t>
    </dgm:pt>
    <dgm:pt modelId="{C601F278-A549-4AC6-8F63-D23A963C0381}" type="pres">
      <dgm:prSet presAssocID="{C7A025DE-3288-4DE4-B3BC-86F6388B00DC}" presName="node" presStyleLbl="node1" presStyleIdx="1" presStyleCnt="3" custScaleX="123021" custScaleY="124106" custRadScaleRad="106583" custRadScaleInc="-3372">
        <dgm:presLayoutVars>
          <dgm:bulletEnabled val="1"/>
        </dgm:presLayoutVars>
      </dgm:prSet>
      <dgm:spPr/>
      <dgm:t>
        <a:bodyPr/>
        <a:lstStyle/>
        <a:p>
          <a:endParaRPr lang="en-US"/>
        </a:p>
      </dgm:t>
    </dgm:pt>
    <dgm:pt modelId="{A9B55938-E63C-4526-9E1A-8BF586873D51}" type="pres">
      <dgm:prSet presAssocID="{F0745E42-992C-42D3-858A-53C2A0A99D06}" presName="sibTrans" presStyleLbl="sibTrans2D1" presStyleIdx="1" presStyleCnt="3"/>
      <dgm:spPr/>
      <dgm:t>
        <a:bodyPr/>
        <a:lstStyle/>
        <a:p>
          <a:endParaRPr lang="en-US"/>
        </a:p>
      </dgm:t>
    </dgm:pt>
    <dgm:pt modelId="{45FAFFC4-9909-4CE9-B684-CAA9F8214730}" type="pres">
      <dgm:prSet presAssocID="{F0745E42-992C-42D3-858A-53C2A0A99D06}" presName="connectorText" presStyleLbl="sibTrans2D1" presStyleIdx="1" presStyleCnt="3"/>
      <dgm:spPr/>
      <dgm:t>
        <a:bodyPr/>
        <a:lstStyle/>
        <a:p>
          <a:endParaRPr lang="en-US"/>
        </a:p>
      </dgm:t>
    </dgm:pt>
    <dgm:pt modelId="{D7500B28-F3BE-40BE-9C10-3073C20DD3A2}" type="pres">
      <dgm:prSet presAssocID="{12E3B3A1-EF98-443F-B454-C04652D5D904}" presName="node" presStyleLbl="node1" presStyleIdx="2" presStyleCnt="3" custScaleX="123021" custScaleY="124106" custRadScaleRad="114412" custRadScaleInc="6812">
        <dgm:presLayoutVars>
          <dgm:bulletEnabled val="1"/>
        </dgm:presLayoutVars>
      </dgm:prSet>
      <dgm:spPr/>
      <dgm:t>
        <a:bodyPr/>
        <a:lstStyle/>
        <a:p>
          <a:endParaRPr lang="en-US"/>
        </a:p>
      </dgm:t>
    </dgm:pt>
    <dgm:pt modelId="{2D08E1C2-79FB-4FC2-A261-12EEE8C384C4}" type="pres">
      <dgm:prSet presAssocID="{7B113D71-029E-4495-8483-B435C5C76FA4}" presName="sibTrans" presStyleLbl="sibTrans2D1" presStyleIdx="2" presStyleCnt="3"/>
      <dgm:spPr/>
      <dgm:t>
        <a:bodyPr/>
        <a:lstStyle/>
        <a:p>
          <a:endParaRPr lang="en-US"/>
        </a:p>
      </dgm:t>
    </dgm:pt>
    <dgm:pt modelId="{056459CB-C763-4C9A-A13B-390DFF764BBB}" type="pres">
      <dgm:prSet presAssocID="{7B113D71-029E-4495-8483-B435C5C76FA4}" presName="connectorText" presStyleLbl="sibTrans2D1" presStyleIdx="2" presStyleCnt="3"/>
      <dgm:spPr/>
      <dgm:t>
        <a:bodyPr/>
        <a:lstStyle/>
        <a:p>
          <a:endParaRPr lang="en-US"/>
        </a:p>
      </dgm:t>
    </dgm:pt>
  </dgm:ptLst>
  <dgm:cxnLst>
    <dgm:cxn modelId="{C0E05FE7-3124-4C8B-9490-49AD4987E688}" type="presOf" srcId="{9B691914-6760-4C7B-9EC8-41F96A5E694E}" destId="{60279231-0886-421A-94B3-A1C9A507B681}" srcOrd="0" destOrd="0" presId="urn:microsoft.com/office/officeart/2005/8/layout/cycle7"/>
    <dgm:cxn modelId="{5875A102-BA29-4640-922C-DE09EC376348}" type="presOf" srcId="{F0745E42-992C-42D3-858A-53C2A0A99D06}" destId="{45FAFFC4-9909-4CE9-B684-CAA9F8214730}" srcOrd="1" destOrd="0" presId="urn:microsoft.com/office/officeart/2005/8/layout/cycle7"/>
    <dgm:cxn modelId="{333B3E57-AA81-43ED-8ECA-71CF6825CCCF}" srcId="{A5A052FC-145A-4DB9-9990-D89A323122FA}" destId="{C7A025DE-3288-4DE4-B3BC-86F6388B00DC}" srcOrd="1" destOrd="0" parTransId="{486CAB5C-C509-4A93-B1E1-28851D3BE92A}" sibTransId="{F0745E42-992C-42D3-858A-53C2A0A99D06}"/>
    <dgm:cxn modelId="{E2B77E58-A9A2-4E08-8E49-9F0D532EA48E}" type="presOf" srcId="{12E3B3A1-EF98-443F-B454-C04652D5D904}" destId="{D7500B28-F3BE-40BE-9C10-3073C20DD3A2}" srcOrd="0" destOrd="0" presId="urn:microsoft.com/office/officeart/2005/8/layout/cycle7"/>
    <dgm:cxn modelId="{16A0FF0B-6437-4CF5-AFF2-7FF817137F37}" srcId="{A5A052FC-145A-4DB9-9990-D89A323122FA}" destId="{12E3B3A1-EF98-443F-B454-C04652D5D904}" srcOrd="2" destOrd="0" parTransId="{7B7A1167-CE33-47A1-AA6F-ED6342D89784}" sibTransId="{7B113D71-029E-4495-8483-B435C5C76FA4}"/>
    <dgm:cxn modelId="{E3C51F6D-5F10-4A4B-8A6B-673514569F71}" type="presOf" srcId="{7B113D71-029E-4495-8483-B435C5C76FA4}" destId="{2D08E1C2-79FB-4FC2-A261-12EEE8C384C4}" srcOrd="0" destOrd="0" presId="urn:microsoft.com/office/officeart/2005/8/layout/cycle7"/>
    <dgm:cxn modelId="{65CA9C69-8259-46A0-B4DC-CA819B1FC752}" type="presOf" srcId="{C7A025DE-3288-4DE4-B3BC-86F6388B00DC}" destId="{C601F278-A549-4AC6-8F63-D23A963C0381}" srcOrd="0" destOrd="0" presId="urn:microsoft.com/office/officeart/2005/8/layout/cycle7"/>
    <dgm:cxn modelId="{5C19D326-03F4-4368-AA57-3E3E6B9136C5}" srcId="{A5A052FC-145A-4DB9-9990-D89A323122FA}" destId="{9B691914-6760-4C7B-9EC8-41F96A5E694E}" srcOrd="0" destOrd="0" parTransId="{CEF98334-BBDC-4E49-9E65-72E311E19857}" sibTransId="{CAEE1EBC-D858-4F86-96A4-218F18833F0F}"/>
    <dgm:cxn modelId="{9AD3734F-327A-48E1-BB4F-F2E3F379BC2B}" type="presOf" srcId="{CAEE1EBC-D858-4F86-96A4-218F18833F0F}" destId="{B771F745-4E73-48A9-8ABC-FEBEC9E8556F}" srcOrd="1" destOrd="0" presId="urn:microsoft.com/office/officeart/2005/8/layout/cycle7"/>
    <dgm:cxn modelId="{95F15BDF-FD0C-4DE9-AAC8-205C45FAE0E1}" type="presOf" srcId="{CAEE1EBC-D858-4F86-96A4-218F18833F0F}" destId="{8F26451F-3BA0-477D-9258-C9AF1E807B05}" srcOrd="0" destOrd="0" presId="urn:microsoft.com/office/officeart/2005/8/layout/cycle7"/>
    <dgm:cxn modelId="{F9AC8283-002C-43CB-BA1C-CA7204A46CAF}" type="presOf" srcId="{7B113D71-029E-4495-8483-B435C5C76FA4}" destId="{056459CB-C763-4C9A-A13B-390DFF764BBB}" srcOrd="1" destOrd="0" presId="urn:microsoft.com/office/officeart/2005/8/layout/cycle7"/>
    <dgm:cxn modelId="{CD1BF824-37EB-49E5-BFC8-D35669B09E7B}" type="presOf" srcId="{F0745E42-992C-42D3-858A-53C2A0A99D06}" destId="{A9B55938-E63C-4526-9E1A-8BF586873D51}" srcOrd="0" destOrd="0" presId="urn:microsoft.com/office/officeart/2005/8/layout/cycle7"/>
    <dgm:cxn modelId="{C0A55CE8-6E6E-4846-B026-4E0A3B376478}" type="presOf" srcId="{A5A052FC-145A-4DB9-9990-D89A323122FA}" destId="{F13D0882-783D-4F1A-A9CF-BAE54C65C404}" srcOrd="0" destOrd="0" presId="urn:microsoft.com/office/officeart/2005/8/layout/cycle7"/>
    <dgm:cxn modelId="{85A16444-9743-4A06-9202-2BABA9FEADA4}" type="presParOf" srcId="{F13D0882-783D-4F1A-A9CF-BAE54C65C404}" destId="{60279231-0886-421A-94B3-A1C9A507B681}" srcOrd="0" destOrd="0" presId="urn:microsoft.com/office/officeart/2005/8/layout/cycle7"/>
    <dgm:cxn modelId="{50DB5D4F-2878-4492-906A-7603563667CD}" type="presParOf" srcId="{F13D0882-783D-4F1A-A9CF-BAE54C65C404}" destId="{8F26451F-3BA0-477D-9258-C9AF1E807B05}" srcOrd="1" destOrd="0" presId="urn:microsoft.com/office/officeart/2005/8/layout/cycle7"/>
    <dgm:cxn modelId="{06F3B242-6A92-4A4A-99B2-FFD501148B93}" type="presParOf" srcId="{8F26451F-3BA0-477D-9258-C9AF1E807B05}" destId="{B771F745-4E73-48A9-8ABC-FEBEC9E8556F}" srcOrd="0" destOrd="0" presId="urn:microsoft.com/office/officeart/2005/8/layout/cycle7"/>
    <dgm:cxn modelId="{BC960DF2-88F2-460C-A1B5-7D83A3D324F0}" type="presParOf" srcId="{F13D0882-783D-4F1A-A9CF-BAE54C65C404}" destId="{C601F278-A549-4AC6-8F63-D23A963C0381}" srcOrd="2" destOrd="0" presId="urn:microsoft.com/office/officeart/2005/8/layout/cycle7"/>
    <dgm:cxn modelId="{3ED1867B-2DCE-4220-A320-D04ED85A9F5D}" type="presParOf" srcId="{F13D0882-783D-4F1A-A9CF-BAE54C65C404}" destId="{A9B55938-E63C-4526-9E1A-8BF586873D51}" srcOrd="3" destOrd="0" presId="urn:microsoft.com/office/officeart/2005/8/layout/cycle7"/>
    <dgm:cxn modelId="{02F0E1B5-C05F-483D-A101-9DA322E32483}" type="presParOf" srcId="{A9B55938-E63C-4526-9E1A-8BF586873D51}" destId="{45FAFFC4-9909-4CE9-B684-CAA9F8214730}" srcOrd="0" destOrd="0" presId="urn:microsoft.com/office/officeart/2005/8/layout/cycle7"/>
    <dgm:cxn modelId="{36A03DA8-1427-4EA7-86DA-9CCC93F1732C}" type="presParOf" srcId="{F13D0882-783D-4F1A-A9CF-BAE54C65C404}" destId="{D7500B28-F3BE-40BE-9C10-3073C20DD3A2}" srcOrd="4" destOrd="0" presId="urn:microsoft.com/office/officeart/2005/8/layout/cycle7"/>
    <dgm:cxn modelId="{D0CFF027-44F0-46C9-B00F-3623B7CDC9DB}" type="presParOf" srcId="{F13D0882-783D-4F1A-A9CF-BAE54C65C404}" destId="{2D08E1C2-79FB-4FC2-A261-12EEE8C384C4}" srcOrd="5" destOrd="0" presId="urn:microsoft.com/office/officeart/2005/8/layout/cycle7"/>
    <dgm:cxn modelId="{CFAEFC86-B6A5-4220-ABDF-E2A7EE3D1101}" type="presParOf" srcId="{2D08E1C2-79FB-4FC2-A261-12EEE8C384C4}" destId="{056459CB-C763-4C9A-A13B-390DFF764BBB}" srcOrd="0" destOrd="0" presId="urn:microsoft.com/office/officeart/2005/8/layout/cycle7"/>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D7497C6-A560-44FA-ADC2-3F264666E8AF}" type="doc">
      <dgm:prSet loTypeId="urn:microsoft.com/office/officeart/2005/8/layout/process1" loCatId="process" qsTypeId="urn:microsoft.com/office/officeart/2005/8/quickstyle/simple1" qsCatId="simple" csTypeId="urn:microsoft.com/office/officeart/2005/8/colors/accent1_2" csCatId="accent1" phldr="1"/>
      <dgm:spPr/>
    </dgm:pt>
    <dgm:pt modelId="{7F46A124-F6FC-471A-87C3-EF00C934AE74}">
      <dgm:prSet phldrT="[Text]"/>
      <dgm:spPr/>
      <dgm:t>
        <a:bodyPr/>
        <a:lstStyle/>
        <a:p>
          <a:r>
            <a:rPr lang="en-GB"/>
            <a:t>Team formation</a:t>
          </a:r>
        </a:p>
      </dgm:t>
    </dgm:pt>
    <dgm:pt modelId="{8BDB8A02-D9D8-45CE-9B57-A3D49B3260F3}" type="parTrans" cxnId="{DFF4C1F8-475D-4708-A555-9B7CAF11D8E9}">
      <dgm:prSet/>
      <dgm:spPr/>
      <dgm:t>
        <a:bodyPr/>
        <a:lstStyle/>
        <a:p>
          <a:endParaRPr lang="en-GB"/>
        </a:p>
      </dgm:t>
    </dgm:pt>
    <dgm:pt modelId="{82117EEA-D13E-45AF-839F-248B2A0658E7}" type="sibTrans" cxnId="{DFF4C1F8-475D-4708-A555-9B7CAF11D8E9}">
      <dgm:prSet/>
      <dgm:spPr/>
      <dgm:t>
        <a:bodyPr/>
        <a:lstStyle/>
        <a:p>
          <a:endParaRPr lang="en-GB"/>
        </a:p>
      </dgm:t>
    </dgm:pt>
    <dgm:pt modelId="{DC181073-393C-4CEC-945F-C4204474D467}">
      <dgm:prSet phldrT="[Text]"/>
      <dgm:spPr/>
      <dgm:t>
        <a:bodyPr/>
        <a:lstStyle/>
        <a:p>
          <a:r>
            <a:rPr lang="en-GB"/>
            <a:t>Data sources identification</a:t>
          </a:r>
        </a:p>
      </dgm:t>
    </dgm:pt>
    <dgm:pt modelId="{293DC75B-3A2E-4622-A87A-A5F25072048A}" type="parTrans" cxnId="{66451A8F-4FB9-4205-B194-CD41DFCA2EE9}">
      <dgm:prSet/>
      <dgm:spPr/>
      <dgm:t>
        <a:bodyPr/>
        <a:lstStyle/>
        <a:p>
          <a:endParaRPr lang="en-GB"/>
        </a:p>
      </dgm:t>
    </dgm:pt>
    <dgm:pt modelId="{152128C6-475F-467B-B411-F940CB6118FE}" type="sibTrans" cxnId="{66451A8F-4FB9-4205-B194-CD41DFCA2EE9}">
      <dgm:prSet/>
      <dgm:spPr/>
      <dgm:t>
        <a:bodyPr/>
        <a:lstStyle/>
        <a:p>
          <a:endParaRPr lang="en-GB"/>
        </a:p>
      </dgm:t>
    </dgm:pt>
    <dgm:pt modelId="{FA5F329D-6BAE-4175-A5EC-928722B65DB3}">
      <dgm:prSet phldrT="[Text]"/>
      <dgm:spPr/>
      <dgm:t>
        <a:bodyPr/>
        <a:lstStyle/>
        <a:p>
          <a:r>
            <a:rPr lang="en-GB"/>
            <a:t>Data collation into observatory</a:t>
          </a:r>
        </a:p>
      </dgm:t>
    </dgm:pt>
    <dgm:pt modelId="{EA6648E5-148A-4091-B84C-84AE6356C9C3}" type="parTrans" cxnId="{828DFDE1-ED93-4D41-A41F-681866E6E956}">
      <dgm:prSet/>
      <dgm:spPr/>
      <dgm:t>
        <a:bodyPr/>
        <a:lstStyle/>
        <a:p>
          <a:endParaRPr lang="en-GB"/>
        </a:p>
      </dgm:t>
    </dgm:pt>
    <dgm:pt modelId="{1573EA85-14C3-44EC-BD3A-04394A47763F}" type="sibTrans" cxnId="{828DFDE1-ED93-4D41-A41F-681866E6E956}">
      <dgm:prSet/>
      <dgm:spPr/>
      <dgm:t>
        <a:bodyPr/>
        <a:lstStyle/>
        <a:p>
          <a:endParaRPr lang="en-GB"/>
        </a:p>
      </dgm:t>
    </dgm:pt>
    <dgm:pt modelId="{5ACF95EC-DEA0-4DA4-B0AD-5820E4968D73}">
      <dgm:prSet phldrT="[Text]"/>
      <dgm:spPr/>
      <dgm:t>
        <a:bodyPr/>
        <a:lstStyle/>
        <a:p>
          <a:r>
            <a:rPr lang="en-GB"/>
            <a:t>Data verification</a:t>
          </a:r>
        </a:p>
      </dgm:t>
    </dgm:pt>
    <dgm:pt modelId="{505597F4-D6DE-4BEA-830A-3E4F636C4BD3}" type="parTrans" cxnId="{1552DD4B-9CF1-4008-A824-BB13538757EC}">
      <dgm:prSet/>
      <dgm:spPr/>
      <dgm:t>
        <a:bodyPr/>
        <a:lstStyle/>
        <a:p>
          <a:endParaRPr lang="en-GB"/>
        </a:p>
      </dgm:t>
    </dgm:pt>
    <dgm:pt modelId="{02AA40C3-0817-42F5-8CA8-C00973C3FF28}" type="sibTrans" cxnId="{1552DD4B-9CF1-4008-A824-BB13538757EC}">
      <dgm:prSet/>
      <dgm:spPr/>
      <dgm:t>
        <a:bodyPr/>
        <a:lstStyle/>
        <a:p>
          <a:endParaRPr lang="en-GB"/>
        </a:p>
      </dgm:t>
    </dgm:pt>
    <dgm:pt modelId="{25E896F0-705C-40C7-9BE5-155853C55C23}">
      <dgm:prSet phldrT="[Text]"/>
      <dgm:spPr/>
      <dgm:t>
        <a:bodyPr/>
        <a:lstStyle/>
        <a:p>
          <a:r>
            <a:rPr lang="en-GB"/>
            <a:t>Indicator selection</a:t>
          </a:r>
        </a:p>
      </dgm:t>
    </dgm:pt>
    <dgm:pt modelId="{370F50AE-D4B7-454B-936B-3360475A0613}" type="parTrans" cxnId="{797A8A03-BE30-4EA2-8736-32979538955F}">
      <dgm:prSet/>
      <dgm:spPr/>
      <dgm:t>
        <a:bodyPr/>
        <a:lstStyle/>
        <a:p>
          <a:endParaRPr lang="en-GB"/>
        </a:p>
      </dgm:t>
    </dgm:pt>
    <dgm:pt modelId="{F8DB9245-1BF4-4DB8-8926-434A62726D89}" type="sibTrans" cxnId="{797A8A03-BE30-4EA2-8736-32979538955F}">
      <dgm:prSet/>
      <dgm:spPr/>
      <dgm:t>
        <a:bodyPr/>
        <a:lstStyle/>
        <a:p>
          <a:endParaRPr lang="en-GB"/>
        </a:p>
      </dgm:t>
    </dgm:pt>
    <dgm:pt modelId="{128745D4-A594-49F4-B69B-AEEB5903E804}" type="pres">
      <dgm:prSet presAssocID="{BD7497C6-A560-44FA-ADC2-3F264666E8AF}" presName="Name0" presStyleCnt="0">
        <dgm:presLayoutVars>
          <dgm:dir/>
          <dgm:resizeHandles val="exact"/>
        </dgm:presLayoutVars>
      </dgm:prSet>
      <dgm:spPr/>
    </dgm:pt>
    <dgm:pt modelId="{25289D10-C175-45E6-9DE0-2247304077FA}" type="pres">
      <dgm:prSet presAssocID="{7F46A124-F6FC-471A-87C3-EF00C934AE74}" presName="node" presStyleLbl="node1" presStyleIdx="0" presStyleCnt="5">
        <dgm:presLayoutVars>
          <dgm:bulletEnabled val="1"/>
        </dgm:presLayoutVars>
      </dgm:prSet>
      <dgm:spPr/>
      <dgm:t>
        <a:bodyPr/>
        <a:lstStyle/>
        <a:p>
          <a:endParaRPr lang="en-US"/>
        </a:p>
      </dgm:t>
    </dgm:pt>
    <dgm:pt modelId="{500232B7-805B-4720-89CB-EC235E000011}" type="pres">
      <dgm:prSet presAssocID="{82117EEA-D13E-45AF-839F-248B2A0658E7}" presName="sibTrans" presStyleLbl="sibTrans2D1" presStyleIdx="0" presStyleCnt="4"/>
      <dgm:spPr/>
      <dgm:t>
        <a:bodyPr/>
        <a:lstStyle/>
        <a:p>
          <a:endParaRPr lang="en-US"/>
        </a:p>
      </dgm:t>
    </dgm:pt>
    <dgm:pt modelId="{7634F0DE-C132-4557-8E9B-506B1C9FF686}" type="pres">
      <dgm:prSet presAssocID="{82117EEA-D13E-45AF-839F-248B2A0658E7}" presName="connectorText" presStyleLbl="sibTrans2D1" presStyleIdx="0" presStyleCnt="4"/>
      <dgm:spPr/>
      <dgm:t>
        <a:bodyPr/>
        <a:lstStyle/>
        <a:p>
          <a:endParaRPr lang="en-US"/>
        </a:p>
      </dgm:t>
    </dgm:pt>
    <dgm:pt modelId="{E674EAD3-EEF3-436D-B35E-696AE8208DD5}" type="pres">
      <dgm:prSet presAssocID="{25E896F0-705C-40C7-9BE5-155853C55C23}" presName="node" presStyleLbl="node1" presStyleIdx="1" presStyleCnt="5">
        <dgm:presLayoutVars>
          <dgm:bulletEnabled val="1"/>
        </dgm:presLayoutVars>
      </dgm:prSet>
      <dgm:spPr/>
      <dgm:t>
        <a:bodyPr/>
        <a:lstStyle/>
        <a:p>
          <a:endParaRPr lang="en-US"/>
        </a:p>
      </dgm:t>
    </dgm:pt>
    <dgm:pt modelId="{8B39213E-206A-4E9E-BFD0-1D4CAB520AC7}" type="pres">
      <dgm:prSet presAssocID="{F8DB9245-1BF4-4DB8-8926-434A62726D89}" presName="sibTrans" presStyleLbl="sibTrans2D1" presStyleIdx="1" presStyleCnt="4"/>
      <dgm:spPr/>
      <dgm:t>
        <a:bodyPr/>
        <a:lstStyle/>
        <a:p>
          <a:endParaRPr lang="en-US"/>
        </a:p>
      </dgm:t>
    </dgm:pt>
    <dgm:pt modelId="{F8128624-6F70-4090-84B1-8C51C5ADF2F6}" type="pres">
      <dgm:prSet presAssocID="{F8DB9245-1BF4-4DB8-8926-434A62726D89}" presName="connectorText" presStyleLbl="sibTrans2D1" presStyleIdx="1" presStyleCnt="4"/>
      <dgm:spPr/>
      <dgm:t>
        <a:bodyPr/>
        <a:lstStyle/>
        <a:p>
          <a:endParaRPr lang="en-US"/>
        </a:p>
      </dgm:t>
    </dgm:pt>
    <dgm:pt modelId="{D3C4B54E-35F1-49EB-B82F-3020BAC403A4}" type="pres">
      <dgm:prSet presAssocID="{DC181073-393C-4CEC-945F-C4204474D467}" presName="node" presStyleLbl="node1" presStyleIdx="2" presStyleCnt="5">
        <dgm:presLayoutVars>
          <dgm:bulletEnabled val="1"/>
        </dgm:presLayoutVars>
      </dgm:prSet>
      <dgm:spPr/>
      <dgm:t>
        <a:bodyPr/>
        <a:lstStyle/>
        <a:p>
          <a:endParaRPr lang="en-US"/>
        </a:p>
      </dgm:t>
    </dgm:pt>
    <dgm:pt modelId="{88FB03DF-7648-4432-8594-5F6626C25E74}" type="pres">
      <dgm:prSet presAssocID="{152128C6-475F-467B-B411-F940CB6118FE}" presName="sibTrans" presStyleLbl="sibTrans2D1" presStyleIdx="2" presStyleCnt="4"/>
      <dgm:spPr/>
      <dgm:t>
        <a:bodyPr/>
        <a:lstStyle/>
        <a:p>
          <a:endParaRPr lang="en-US"/>
        </a:p>
      </dgm:t>
    </dgm:pt>
    <dgm:pt modelId="{350A7860-4409-4DE2-9DE6-686CF6C5374C}" type="pres">
      <dgm:prSet presAssocID="{152128C6-475F-467B-B411-F940CB6118FE}" presName="connectorText" presStyleLbl="sibTrans2D1" presStyleIdx="2" presStyleCnt="4"/>
      <dgm:spPr/>
      <dgm:t>
        <a:bodyPr/>
        <a:lstStyle/>
        <a:p>
          <a:endParaRPr lang="en-US"/>
        </a:p>
      </dgm:t>
    </dgm:pt>
    <dgm:pt modelId="{688E7995-D08D-4F52-88AB-E1420E5B6FF5}" type="pres">
      <dgm:prSet presAssocID="{FA5F329D-6BAE-4175-A5EC-928722B65DB3}" presName="node" presStyleLbl="node1" presStyleIdx="3" presStyleCnt="5">
        <dgm:presLayoutVars>
          <dgm:bulletEnabled val="1"/>
        </dgm:presLayoutVars>
      </dgm:prSet>
      <dgm:spPr/>
      <dgm:t>
        <a:bodyPr/>
        <a:lstStyle/>
        <a:p>
          <a:endParaRPr lang="en-US"/>
        </a:p>
      </dgm:t>
    </dgm:pt>
    <dgm:pt modelId="{CE5DDB05-F92B-40BF-BD54-0B1679B2803D}" type="pres">
      <dgm:prSet presAssocID="{1573EA85-14C3-44EC-BD3A-04394A47763F}" presName="sibTrans" presStyleLbl="sibTrans2D1" presStyleIdx="3" presStyleCnt="4"/>
      <dgm:spPr/>
      <dgm:t>
        <a:bodyPr/>
        <a:lstStyle/>
        <a:p>
          <a:endParaRPr lang="en-US"/>
        </a:p>
      </dgm:t>
    </dgm:pt>
    <dgm:pt modelId="{DA0B5920-6147-4303-BB47-E690ABC90E33}" type="pres">
      <dgm:prSet presAssocID="{1573EA85-14C3-44EC-BD3A-04394A47763F}" presName="connectorText" presStyleLbl="sibTrans2D1" presStyleIdx="3" presStyleCnt="4"/>
      <dgm:spPr/>
      <dgm:t>
        <a:bodyPr/>
        <a:lstStyle/>
        <a:p>
          <a:endParaRPr lang="en-US"/>
        </a:p>
      </dgm:t>
    </dgm:pt>
    <dgm:pt modelId="{7BB5419E-D0FE-4AA6-ADDA-0FF2ECCCB965}" type="pres">
      <dgm:prSet presAssocID="{5ACF95EC-DEA0-4DA4-B0AD-5820E4968D73}" presName="node" presStyleLbl="node1" presStyleIdx="4" presStyleCnt="5">
        <dgm:presLayoutVars>
          <dgm:bulletEnabled val="1"/>
        </dgm:presLayoutVars>
      </dgm:prSet>
      <dgm:spPr/>
      <dgm:t>
        <a:bodyPr/>
        <a:lstStyle/>
        <a:p>
          <a:endParaRPr lang="en-US"/>
        </a:p>
      </dgm:t>
    </dgm:pt>
  </dgm:ptLst>
  <dgm:cxnLst>
    <dgm:cxn modelId="{5D51D207-4C7A-437E-8A96-DCFCF7454A57}" type="presOf" srcId="{1573EA85-14C3-44EC-BD3A-04394A47763F}" destId="{CE5DDB05-F92B-40BF-BD54-0B1679B2803D}" srcOrd="0" destOrd="0" presId="urn:microsoft.com/office/officeart/2005/8/layout/process1"/>
    <dgm:cxn modelId="{23F585FC-493F-4AC1-B771-132354817D84}" type="presOf" srcId="{F8DB9245-1BF4-4DB8-8926-434A62726D89}" destId="{8B39213E-206A-4E9E-BFD0-1D4CAB520AC7}" srcOrd="0" destOrd="0" presId="urn:microsoft.com/office/officeart/2005/8/layout/process1"/>
    <dgm:cxn modelId="{3F806723-798A-42EC-A5E2-59534823D12F}" type="presOf" srcId="{25E896F0-705C-40C7-9BE5-155853C55C23}" destId="{E674EAD3-EEF3-436D-B35E-696AE8208DD5}" srcOrd="0" destOrd="0" presId="urn:microsoft.com/office/officeart/2005/8/layout/process1"/>
    <dgm:cxn modelId="{850985BB-A4E6-4978-992F-F2773792AEE9}" type="presOf" srcId="{7F46A124-F6FC-471A-87C3-EF00C934AE74}" destId="{25289D10-C175-45E6-9DE0-2247304077FA}" srcOrd="0" destOrd="0" presId="urn:microsoft.com/office/officeart/2005/8/layout/process1"/>
    <dgm:cxn modelId="{A49D35DC-4417-4115-B8C2-2B04CAD43C70}" type="presOf" srcId="{1573EA85-14C3-44EC-BD3A-04394A47763F}" destId="{DA0B5920-6147-4303-BB47-E690ABC90E33}" srcOrd="1" destOrd="0" presId="urn:microsoft.com/office/officeart/2005/8/layout/process1"/>
    <dgm:cxn modelId="{2E169D3A-30B1-4FF1-82A1-A1AE6822B9DC}" type="presOf" srcId="{82117EEA-D13E-45AF-839F-248B2A0658E7}" destId="{7634F0DE-C132-4557-8E9B-506B1C9FF686}" srcOrd="1" destOrd="0" presId="urn:microsoft.com/office/officeart/2005/8/layout/process1"/>
    <dgm:cxn modelId="{1552DD4B-9CF1-4008-A824-BB13538757EC}" srcId="{BD7497C6-A560-44FA-ADC2-3F264666E8AF}" destId="{5ACF95EC-DEA0-4DA4-B0AD-5820E4968D73}" srcOrd="4" destOrd="0" parTransId="{505597F4-D6DE-4BEA-830A-3E4F636C4BD3}" sibTransId="{02AA40C3-0817-42F5-8CA8-C00973C3FF28}"/>
    <dgm:cxn modelId="{C54F22A7-1543-4C87-8BC1-D59750C0868A}" type="presOf" srcId="{BD7497C6-A560-44FA-ADC2-3F264666E8AF}" destId="{128745D4-A594-49F4-B69B-AEEB5903E804}" srcOrd="0" destOrd="0" presId="urn:microsoft.com/office/officeart/2005/8/layout/process1"/>
    <dgm:cxn modelId="{D6C70136-E7EC-4636-AEEB-E12AF9AD6345}" type="presOf" srcId="{FA5F329D-6BAE-4175-A5EC-928722B65DB3}" destId="{688E7995-D08D-4F52-88AB-E1420E5B6FF5}" srcOrd="0" destOrd="0" presId="urn:microsoft.com/office/officeart/2005/8/layout/process1"/>
    <dgm:cxn modelId="{DFF4C1F8-475D-4708-A555-9B7CAF11D8E9}" srcId="{BD7497C6-A560-44FA-ADC2-3F264666E8AF}" destId="{7F46A124-F6FC-471A-87C3-EF00C934AE74}" srcOrd="0" destOrd="0" parTransId="{8BDB8A02-D9D8-45CE-9B57-A3D49B3260F3}" sibTransId="{82117EEA-D13E-45AF-839F-248B2A0658E7}"/>
    <dgm:cxn modelId="{83E9244A-0D47-4B9F-95EE-749262B8B826}" type="presOf" srcId="{DC181073-393C-4CEC-945F-C4204474D467}" destId="{D3C4B54E-35F1-49EB-B82F-3020BAC403A4}" srcOrd="0" destOrd="0" presId="urn:microsoft.com/office/officeart/2005/8/layout/process1"/>
    <dgm:cxn modelId="{0710414E-E7A3-455F-B463-2DE2510469B1}" type="presOf" srcId="{152128C6-475F-467B-B411-F940CB6118FE}" destId="{350A7860-4409-4DE2-9DE6-686CF6C5374C}" srcOrd="1" destOrd="0" presId="urn:microsoft.com/office/officeart/2005/8/layout/process1"/>
    <dgm:cxn modelId="{501A732B-3FC3-4E41-BF00-87E0092BB139}" type="presOf" srcId="{152128C6-475F-467B-B411-F940CB6118FE}" destId="{88FB03DF-7648-4432-8594-5F6626C25E74}" srcOrd="0" destOrd="0" presId="urn:microsoft.com/office/officeart/2005/8/layout/process1"/>
    <dgm:cxn modelId="{828DFDE1-ED93-4D41-A41F-681866E6E956}" srcId="{BD7497C6-A560-44FA-ADC2-3F264666E8AF}" destId="{FA5F329D-6BAE-4175-A5EC-928722B65DB3}" srcOrd="3" destOrd="0" parTransId="{EA6648E5-148A-4091-B84C-84AE6356C9C3}" sibTransId="{1573EA85-14C3-44EC-BD3A-04394A47763F}"/>
    <dgm:cxn modelId="{B6D2F314-8F45-4494-926A-A8A5F7652DB3}" type="presOf" srcId="{F8DB9245-1BF4-4DB8-8926-434A62726D89}" destId="{F8128624-6F70-4090-84B1-8C51C5ADF2F6}" srcOrd="1" destOrd="0" presId="urn:microsoft.com/office/officeart/2005/8/layout/process1"/>
    <dgm:cxn modelId="{9A2A95A3-6927-448A-A39D-6E8A7DBF7B24}" type="presOf" srcId="{82117EEA-D13E-45AF-839F-248B2A0658E7}" destId="{500232B7-805B-4720-89CB-EC235E000011}" srcOrd="0" destOrd="0" presId="urn:microsoft.com/office/officeart/2005/8/layout/process1"/>
    <dgm:cxn modelId="{04DAEED4-5697-4285-B589-4C2674911ED8}" type="presOf" srcId="{5ACF95EC-DEA0-4DA4-B0AD-5820E4968D73}" destId="{7BB5419E-D0FE-4AA6-ADDA-0FF2ECCCB965}" srcOrd="0" destOrd="0" presId="urn:microsoft.com/office/officeart/2005/8/layout/process1"/>
    <dgm:cxn modelId="{797A8A03-BE30-4EA2-8736-32979538955F}" srcId="{BD7497C6-A560-44FA-ADC2-3F264666E8AF}" destId="{25E896F0-705C-40C7-9BE5-155853C55C23}" srcOrd="1" destOrd="0" parTransId="{370F50AE-D4B7-454B-936B-3360475A0613}" sibTransId="{F8DB9245-1BF4-4DB8-8926-434A62726D89}"/>
    <dgm:cxn modelId="{66451A8F-4FB9-4205-B194-CD41DFCA2EE9}" srcId="{BD7497C6-A560-44FA-ADC2-3F264666E8AF}" destId="{DC181073-393C-4CEC-945F-C4204474D467}" srcOrd="2" destOrd="0" parTransId="{293DC75B-3A2E-4622-A87A-A5F25072048A}" sibTransId="{152128C6-475F-467B-B411-F940CB6118FE}"/>
    <dgm:cxn modelId="{1E273646-09CB-4D2D-976B-BF2738972A16}" type="presParOf" srcId="{128745D4-A594-49F4-B69B-AEEB5903E804}" destId="{25289D10-C175-45E6-9DE0-2247304077FA}" srcOrd="0" destOrd="0" presId="urn:microsoft.com/office/officeart/2005/8/layout/process1"/>
    <dgm:cxn modelId="{33E85AD1-3BD9-4E37-A42E-45A67BCD5665}" type="presParOf" srcId="{128745D4-A594-49F4-B69B-AEEB5903E804}" destId="{500232B7-805B-4720-89CB-EC235E000011}" srcOrd="1" destOrd="0" presId="urn:microsoft.com/office/officeart/2005/8/layout/process1"/>
    <dgm:cxn modelId="{44DE5EC9-7E9A-48F8-BB55-1B56E000B42A}" type="presParOf" srcId="{500232B7-805B-4720-89CB-EC235E000011}" destId="{7634F0DE-C132-4557-8E9B-506B1C9FF686}" srcOrd="0" destOrd="0" presId="urn:microsoft.com/office/officeart/2005/8/layout/process1"/>
    <dgm:cxn modelId="{FEFC50F1-8A64-48EF-A85E-665178594052}" type="presParOf" srcId="{128745D4-A594-49F4-B69B-AEEB5903E804}" destId="{E674EAD3-EEF3-436D-B35E-696AE8208DD5}" srcOrd="2" destOrd="0" presId="urn:microsoft.com/office/officeart/2005/8/layout/process1"/>
    <dgm:cxn modelId="{9BE8E1C3-9664-40CD-B20F-03B0568A19FD}" type="presParOf" srcId="{128745D4-A594-49F4-B69B-AEEB5903E804}" destId="{8B39213E-206A-4E9E-BFD0-1D4CAB520AC7}" srcOrd="3" destOrd="0" presId="urn:microsoft.com/office/officeart/2005/8/layout/process1"/>
    <dgm:cxn modelId="{A138160A-6D65-4461-83DC-FF6E675089FD}" type="presParOf" srcId="{8B39213E-206A-4E9E-BFD0-1D4CAB520AC7}" destId="{F8128624-6F70-4090-84B1-8C51C5ADF2F6}" srcOrd="0" destOrd="0" presId="urn:microsoft.com/office/officeart/2005/8/layout/process1"/>
    <dgm:cxn modelId="{19C37313-CA70-4970-865E-7DA56CD71615}" type="presParOf" srcId="{128745D4-A594-49F4-B69B-AEEB5903E804}" destId="{D3C4B54E-35F1-49EB-B82F-3020BAC403A4}" srcOrd="4" destOrd="0" presId="urn:microsoft.com/office/officeart/2005/8/layout/process1"/>
    <dgm:cxn modelId="{90101CA4-31A1-45E9-B1B4-5ADB8A009EFC}" type="presParOf" srcId="{128745D4-A594-49F4-B69B-AEEB5903E804}" destId="{88FB03DF-7648-4432-8594-5F6626C25E74}" srcOrd="5" destOrd="0" presId="urn:microsoft.com/office/officeart/2005/8/layout/process1"/>
    <dgm:cxn modelId="{3DE97F18-53A4-4CD3-87D2-BD07CA289254}" type="presParOf" srcId="{88FB03DF-7648-4432-8594-5F6626C25E74}" destId="{350A7860-4409-4DE2-9DE6-686CF6C5374C}" srcOrd="0" destOrd="0" presId="urn:microsoft.com/office/officeart/2005/8/layout/process1"/>
    <dgm:cxn modelId="{2B278F9A-0E16-4D3A-B07F-C6D60442519E}" type="presParOf" srcId="{128745D4-A594-49F4-B69B-AEEB5903E804}" destId="{688E7995-D08D-4F52-88AB-E1420E5B6FF5}" srcOrd="6" destOrd="0" presId="urn:microsoft.com/office/officeart/2005/8/layout/process1"/>
    <dgm:cxn modelId="{28C3E7E0-7503-4CB6-A1DE-E1624DD2E121}" type="presParOf" srcId="{128745D4-A594-49F4-B69B-AEEB5903E804}" destId="{CE5DDB05-F92B-40BF-BD54-0B1679B2803D}" srcOrd="7" destOrd="0" presId="urn:microsoft.com/office/officeart/2005/8/layout/process1"/>
    <dgm:cxn modelId="{4CDA4D7C-14BD-41DD-9037-7DB667752EFA}" type="presParOf" srcId="{CE5DDB05-F92B-40BF-BD54-0B1679B2803D}" destId="{DA0B5920-6147-4303-BB47-E690ABC90E33}" srcOrd="0" destOrd="0" presId="urn:microsoft.com/office/officeart/2005/8/layout/process1"/>
    <dgm:cxn modelId="{9F8EED2C-BA75-4406-B0B4-1F5C8FB12A1F}" type="presParOf" srcId="{128745D4-A594-49F4-B69B-AEEB5903E804}" destId="{7BB5419E-D0FE-4AA6-ADDA-0FF2ECCCB965}" srcOrd="8" destOrd="0" presId="urn:microsoft.com/office/officeart/2005/8/layout/process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7CCE2EC-3CC5-4178-BD2C-CE9C487CB569}"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en-GB"/>
        </a:p>
      </dgm:t>
    </dgm:pt>
    <dgm:pt modelId="{478ED922-04ED-41B8-A0D5-5F822A722F22}">
      <dgm:prSet phldrT="[Text]"/>
      <dgm:spPr/>
      <dgm:t>
        <a:bodyPr/>
        <a:lstStyle/>
        <a:p>
          <a:r>
            <a:rPr lang="en-GB"/>
            <a:t>AREA INDEX</a:t>
          </a:r>
        </a:p>
      </dgm:t>
    </dgm:pt>
    <dgm:pt modelId="{7C4E7ABA-7314-4A0D-8D6A-82440BBFBCAF}" type="parTrans" cxnId="{0E1F3E29-1B8A-4F1E-A0D3-BC8C8FFAA568}">
      <dgm:prSet/>
      <dgm:spPr/>
      <dgm:t>
        <a:bodyPr/>
        <a:lstStyle/>
        <a:p>
          <a:endParaRPr lang="en-GB"/>
        </a:p>
      </dgm:t>
    </dgm:pt>
    <dgm:pt modelId="{750B8E3B-FEF6-43EF-821D-1C8EEB284953}" type="sibTrans" cxnId="{0E1F3E29-1B8A-4F1E-A0D3-BC8C8FFAA568}">
      <dgm:prSet/>
      <dgm:spPr/>
      <dgm:t>
        <a:bodyPr/>
        <a:lstStyle/>
        <a:p>
          <a:endParaRPr lang="en-GB"/>
        </a:p>
      </dgm:t>
    </dgm:pt>
    <dgm:pt modelId="{35D51D1F-E67E-421F-9D7D-8B9B843DF1CC}">
      <dgm:prSet phldrT="[Text]"/>
      <dgm:spPr/>
      <dgm:t>
        <a:bodyPr/>
        <a:lstStyle/>
        <a:p>
          <a:r>
            <a:rPr lang="en-GB"/>
            <a:t>Movement</a:t>
          </a:r>
        </a:p>
      </dgm:t>
    </dgm:pt>
    <dgm:pt modelId="{03F6242E-2BD7-4A26-BBE3-9B80531CCAE7}" type="parTrans" cxnId="{CCFEA62F-AAA4-406B-AB00-754CA8D46F5F}">
      <dgm:prSet/>
      <dgm:spPr/>
      <dgm:t>
        <a:bodyPr/>
        <a:lstStyle/>
        <a:p>
          <a:endParaRPr lang="en-GB"/>
        </a:p>
      </dgm:t>
    </dgm:pt>
    <dgm:pt modelId="{66AE66A2-A79B-49A4-93B6-572DA2C9912E}" type="sibTrans" cxnId="{CCFEA62F-AAA4-406B-AB00-754CA8D46F5F}">
      <dgm:prSet/>
      <dgm:spPr/>
      <dgm:t>
        <a:bodyPr/>
        <a:lstStyle/>
        <a:p>
          <a:endParaRPr lang="en-GB"/>
        </a:p>
      </dgm:t>
    </dgm:pt>
    <dgm:pt modelId="{77B0AEE1-733B-486D-BB8E-888144045CC1}">
      <dgm:prSet phldrT="[Text]"/>
      <dgm:spPr/>
      <dgm:t>
        <a:bodyPr/>
        <a:lstStyle/>
        <a:p>
          <a:r>
            <a:rPr lang="en-GB"/>
            <a:t>Distribution</a:t>
          </a:r>
        </a:p>
      </dgm:t>
    </dgm:pt>
    <dgm:pt modelId="{AD818191-9A8F-416F-BCAE-900A3AA87217}" type="parTrans" cxnId="{B6692B30-4FD8-4E89-936C-A4652DA0DD01}">
      <dgm:prSet/>
      <dgm:spPr/>
      <dgm:t>
        <a:bodyPr/>
        <a:lstStyle/>
        <a:p>
          <a:endParaRPr lang="en-GB"/>
        </a:p>
      </dgm:t>
    </dgm:pt>
    <dgm:pt modelId="{D4DE4A73-0EF9-415E-9BC0-8775DF00A4DF}" type="sibTrans" cxnId="{B6692B30-4FD8-4E89-936C-A4652DA0DD01}">
      <dgm:prSet/>
      <dgm:spPr/>
      <dgm:t>
        <a:bodyPr/>
        <a:lstStyle/>
        <a:p>
          <a:endParaRPr lang="en-GB"/>
        </a:p>
      </dgm:t>
    </dgm:pt>
    <dgm:pt modelId="{21FA158C-C12F-4F75-9703-03ECE8C15505}">
      <dgm:prSet phldrT="[Text]"/>
      <dgm:spPr/>
      <dgm:t>
        <a:bodyPr/>
        <a:lstStyle/>
        <a:p>
          <a:r>
            <a:rPr lang="en-GB"/>
            <a:t>Extrapolation</a:t>
          </a:r>
        </a:p>
      </dgm:t>
    </dgm:pt>
    <dgm:pt modelId="{C29A3DD2-E8DD-420C-923A-4781A2C8A6E4}" type="parTrans" cxnId="{C6062E24-9DBC-4967-AC32-AF67D2BE37E0}">
      <dgm:prSet/>
      <dgm:spPr/>
      <dgm:t>
        <a:bodyPr/>
        <a:lstStyle/>
        <a:p>
          <a:endParaRPr lang="en-GB"/>
        </a:p>
      </dgm:t>
    </dgm:pt>
    <dgm:pt modelId="{7BA0090F-2B35-42C8-B63A-8145EB74E354}" type="sibTrans" cxnId="{C6062E24-9DBC-4967-AC32-AF67D2BE37E0}">
      <dgm:prSet/>
      <dgm:spPr/>
      <dgm:t>
        <a:bodyPr/>
        <a:lstStyle/>
        <a:p>
          <a:endParaRPr lang="en-GB"/>
        </a:p>
      </dgm:t>
    </dgm:pt>
    <dgm:pt modelId="{B431D04C-28AB-4E42-BF7B-E1113203BDF2}">
      <dgm:prSet phldrT="[Text]"/>
      <dgm:spPr/>
      <dgm:t>
        <a:bodyPr/>
        <a:lstStyle/>
        <a:p>
          <a:r>
            <a:rPr lang="en-GB"/>
            <a:t>Contextualization</a:t>
          </a:r>
        </a:p>
      </dgm:t>
    </dgm:pt>
    <dgm:pt modelId="{5F8E9243-271F-4C7C-8E5E-1F682F71FE9A}" type="parTrans" cxnId="{D99E7BEC-93A6-4DA1-89FF-8BBD21E2C5C1}">
      <dgm:prSet/>
      <dgm:spPr/>
      <dgm:t>
        <a:bodyPr/>
        <a:lstStyle/>
        <a:p>
          <a:endParaRPr lang="en-GB"/>
        </a:p>
      </dgm:t>
    </dgm:pt>
    <dgm:pt modelId="{DA960276-374E-41C9-9ECB-29D646575436}" type="sibTrans" cxnId="{D99E7BEC-93A6-4DA1-89FF-8BBD21E2C5C1}">
      <dgm:prSet/>
      <dgm:spPr/>
      <dgm:t>
        <a:bodyPr/>
        <a:lstStyle/>
        <a:p>
          <a:endParaRPr lang="en-GB"/>
        </a:p>
      </dgm:t>
    </dgm:pt>
    <dgm:pt modelId="{7177C1E1-B838-458C-8B17-E084FDD1744F}" type="pres">
      <dgm:prSet presAssocID="{F7CCE2EC-3CC5-4178-BD2C-CE9C487CB569}" presName="Name0" presStyleCnt="0">
        <dgm:presLayoutVars>
          <dgm:chMax val="1"/>
          <dgm:dir/>
          <dgm:animLvl val="ctr"/>
          <dgm:resizeHandles val="exact"/>
        </dgm:presLayoutVars>
      </dgm:prSet>
      <dgm:spPr/>
      <dgm:t>
        <a:bodyPr/>
        <a:lstStyle/>
        <a:p>
          <a:endParaRPr lang="en-US"/>
        </a:p>
      </dgm:t>
    </dgm:pt>
    <dgm:pt modelId="{4F2E52E9-DC68-451F-89E4-E05C9196350F}" type="pres">
      <dgm:prSet presAssocID="{478ED922-04ED-41B8-A0D5-5F822A722F22}" presName="centerShape" presStyleLbl="node0" presStyleIdx="0" presStyleCnt="1" custScaleX="106936" custScaleY="108441"/>
      <dgm:spPr/>
      <dgm:t>
        <a:bodyPr/>
        <a:lstStyle/>
        <a:p>
          <a:endParaRPr lang="en-US"/>
        </a:p>
      </dgm:t>
    </dgm:pt>
    <dgm:pt modelId="{373043FA-4908-4E58-9D99-E4E989C8EFE2}" type="pres">
      <dgm:prSet presAssocID="{03F6242E-2BD7-4A26-BBE3-9B80531CCAE7}" presName="parTrans" presStyleLbl="sibTrans2D1" presStyleIdx="0" presStyleCnt="4"/>
      <dgm:spPr/>
      <dgm:t>
        <a:bodyPr/>
        <a:lstStyle/>
        <a:p>
          <a:endParaRPr lang="en-US"/>
        </a:p>
      </dgm:t>
    </dgm:pt>
    <dgm:pt modelId="{A2F36AB8-FC3D-4A7A-BB72-8797C408DE0C}" type="pres">
      <dgm:prSet presAssocID="{03F6242E-2BD7-4A26-BBE3-9B80531CCAE7}" presName="connectorText" presStyleLbl="sibTrans2D1" presStyleIdx="0" presStyleCnt="4"/>
      <dgm:spPr/>
      <dgm:t>
        <a:bodyPr/>
        <a:lstStyle/>
        <a:p>
          <a:endParaRPr lang="en-US"/>
        </a:p>
      </dgm:t>
    </dgm:pt>
    <dgm:pt modelId="{026894B3-7F27-4361-9A0A-FF85E6F1A7DC}" type="pres">
      <dgm:prSet presAssocID="{35D51D1F-E67E-421F-9D7D-8B9B843DF1CC}" presName="node" presStyleLbl="node1" presStyleIdx="0" presStyleCnt="4" custScaleX="151844" custScaleY="84342">
        <dgm:presLayoutVars>
          <dgm:bulletEnabled val="1"/>
        </dgm:presLayoutVars>
      </dgm:prSet>
      <dgm:spPr/>
      <dgm:t>
        <a:bodyPr/>
        <a:lstStyle/>
        <a:p>
          <a:endParaRPr lang="en-US"/>
        </a:p>
      </dgm:t>
    </dgm:pt>
    <dgm:pt modelId="{775BCFD1-CB16-4274-8AC7-46559E2AD53F}" type="pres">
      <dgm:prSet presAssocID="{AD818191-9A8F-416F-BCAE-900A3AA87217}" presName="parTrans" presStyleLbl="sibTrans2D1" presStyleIdx="1" presStyleCnt="4"/>
      <dgm:spPr/>
      <dgm:t>
        <a:bodyPr/>
        <a:lstStyle/>
        <a:p>
          <a:endParaRPr lang="en-US"/>
        </a:p>
      </dgm:t>
    </dgm:pt>
    <dgm:pt modelId="{B31A6E83-33DF-4864-9B9B-60A233A409F1}" type="pres">
      <dgm:prSet presAssocID="{AD818191-9A8F-416F-BCAE-900A3AA87217}" presName="connectorText" presStyleLbl="sibTrans2D1" presStyleIdx="1" presStyleCnt="4"/>
      <dgm:spPr/>
      <dgm:t>
        <a:bodyPr/>
        <a:lstStyle/>
        <a:p>
          <a:endParaRPr lang="en-US"/>
        </a:p>
      </dgm:t>
    </dgm:pt>
    <dgm:pt modelId="{1B0FD4D2-EED4-4C60-85A3-99E49362A0B2}" type="pres">
      <dgm:prSet presAssocID="{77B0AEE1-733B-486D-BB8E-888144045CC1}" presName="node" presStyleLbl="node1" presStyleIdx="1" presStyleCnt="4" custScaleX="151844" custScaleY="84342" custRadScaleRad="126625" custRadScaleInc="-991">
        <dgm:presLayoutVars>
          <dgm:bulletEnabled val="1"/>
        </dgm:presLayoutVars>
      </dgm:prSet>
      <dgm:spPr/>
      <dgm:t>
        <a:bodyPr/>
        <a:lstStyle/>
        <a:p>
          <a:endParaRPr lang="en-US"/>
        </a:p>
      </dgm:t>
    </dgm:pt>
    <dgm:pt modelId="{D3E46397-ECED-4674-81B6-126321DA740C}" type="pres">
      <dgm:prSet presAssocID="{C29A3DD2-E8DD-420C-923A-4781A2C8A6E4}" presName="parTrans" presStyleLbl="sibTrans2D1" presStyleIdx="2" presStyleCnt="4"/>
      <dgm:spPr/>
      <dgm:t>
        <a:bodyPr/>
        <a:lstStyle/>
        <a:p>
          <a:endParaRPr lang="en-US"/>
        </a:p>
      </dgm:t>
    </dgm:pt>
    <dgm:pt modelId="{FCFB46D7-E791-4CFB-A271-AF03E86693BD}" type="pres">
      <dgm:prSet presAssocID="{C29A3DD2-E8DD-420C-923A-4781A2C8A6E4}" presName="connectorText" presStyleLbl="sibTrans2D1" presStyleIdx="2" presStyleCnt="4"/>
      <dgm:spPr/>
      <dgm:t>
        <a:bodyPr/>
        <a:lstStyle/>
        <a:p>
          <a:endParaRPr lang="en-US"/>
        </a:p>
      </dgm:t>
    </dgm:pt>
    <dgm:pt modelId="{F5756778-9666-4470-8835-6ED3792385CC}" type="pres">
      <dgm:prSet presAssocID="{21FA158C-C12F-4F75-9703-03ECE8C15505}" presName="node" presStyleLbl="node1" presStyleIdx="2" presStyleCnt="4" custScaleX="151844" custScaleY="84342" custRadScaleRad="97042">
        <dgm:presLayoutVars>
          <dgm:bulletEnabled val="1"/>
        </dgm:presLayoutVars>
      </dgm:prSet>
      <dgm:spPr/>
      <dgm:t>
        <a:bodyPr/>
        <a:lstStyle/>
        <a:p>
          <a:endParaRPr lang="en-US"/>
        </a:p>
      </dgm:t>
    </dgm:pt>
    <dgm:pt modelId="{C61AC4FB-B279-4D19-B048-628324E57946}" type="pres">
      <dgm:prSet presAssocID="{5F8E9243-271F-4C7C-8E5E-1F682F71FE9A}" presName="parTrans" presStyleLbl="sibTrans2D1" presStyleIdx="3" presStyleCnt="4"/>
      <dgm:spPr/>
      <dgm:t>
        <a:bodyPr/>
        <a:lstStyle/>
        <a:p>
          <a:endParaRPr lang="en-US"/>
        </a:p>
      </dgm:t>
    </dgm:pt>
    <dgm:pt modelId="{0910AE7A-F986-44D5-9F33-8D81C54A4880}" type="pres">
      <dgm:prSet presAssocID="{5F8E9243-271F-4C7C-8E5E-1F682F71FE9A}" presName="connectorText" presStyleLbl="sibTrans2D1" presStyleIdx="3" presStyleCnt="4"/>
      <dgm:spPr/>
      <dgm:t>
        <a:bodyPr/>
        <a:lstStyle/>
        <a:p>
          <a:endParaRPr lang="en-US"/>
        </a:p>
      </dgm:t>
    </dgm:pt>
    <dgm:pt modelId="{007CA02A-4FBC-4068-AFAE-E3E77ACF18D0}" type="pres">
      <dgm:prSet presAssocID="{B431D04C-28AB-4E42-BF7B-E1113203BDF2}" presName="node" presStyleLbl="node1" presStyleIdx="3" presStyleCnt="4" custScaleX="151844" custScaleY="84342" custRadScaleRad="123663">
        <dgm:presLayoutVars>
          <dgm:bulletEnabled val="1"/>
        </dgm:presLayoutVars>
      </dgm:prSet>
      <dgm:spPr/>
      <dgm:t>
        <a:bodyPr/>
        <a:lstStyle/>
        <a:p>
          <a:endParaRPr lang="en-US"/>
        </a:p>
      </dgm:t>
    </dgm:pt>
  </dgm:ptLst>
  <dgm:cxnLst>
    <dgm:cxn modelId="{BD99A774-5653-472E-9384-CB783CE10898}" type="presOf" srcId="{AD818191-9A8F-416F-BCAE-900A3AA87217}" destId="{B31A6E83-33DF-4864-9B9B-60A233A409F1}" srcOrd="1" destOrd="0" presId="urn:microsoft.com/office/officeart/2005/8/layout/radial5"/>
    <dgm:cxn modelId="{B6692B30-4FD8-4E89-936C-A4652DA0DD01}" srcId="{478ED922-04ED-41B8-A0D5-5F822A722F22}" destId="{77B0AEE1-733B-486D-BB8E-888144045CC1}" srcOrd="1" destOrd="0" parTransId="{AD818191-9A8F-416F-BCAE-900A3AA87217}" sibTransId="{D4DE4A73-0EF9-415E-9BC0-8775DF00A4DF}"/>
    <dgm:cxn modelId="{CCFEA62F-AAA4-406B-AB00-754CA8D46F5F}" srcId="{478ED922-04ED-41B8-A0D5-5F822A722F22}" destId="{35D51D1F-E67E-421F-9D7D-8B9B843DF1CC}" srcOrd="0" destOrd="0" parTransId="{03F6242E-2BD7-4A26-BBE3-9B80531CCAE7}" sibTransId="{66AE66A2-A79B-49A4-93B6-572DA2C9912E}"/>
    <dgm:cxn modelId="{D99E7BEC-93A6-4DA1-89FF-8BBD21E2C5C1}" srcId="{478ED922-04ED-41B8-A0D5-5F822A722F22}" destId="{B431D04C-28AB-4E42-BF7B-E1113203BDF2}" srcOrd="3" destOrd="0" parTransId="{5F8E9243-271F-4C7C-8E5E-1F682F71FE9A}" sibTransId="{DA960276-374E-41C9-9ECB-29D646575436}"/>
    <dgm:cxn modelId="{BFF045C5-D164-43F7-BC76-7BB95A0111EF}" type="presOf" srcId="{B431D04C-28AB-4E42-BF7B-E1113203BDF2}" destId="{007CA02A-4FBC-4068-AFAE-E3E77ACF18D0}" srcOrd="0" destOrd="0" presId="urn:microsoft.com/office/officeart/2005/8/layout/radial5"/>
    <dgm:cxn modelId="{14E266F2-F688-46B4-AC70-BA0EAA5DECC3}" type="presOf" srcId="{5F8E9243-271F-4C7C-8E5E-1F682F71FE9A}" destId="{C61AC4FB-B279-4D19-B048-628324E57946}" srcOrd="0" destOrd="0" presId="urn:microsoft.com/office/officeart/2005/8/layout/radial5"/>
    <dgm:cxn modelId="{85981F0D-27A1-40BB-9AFF-91FE4449D028}" type="presOf" srcId="{35D51D1F-E67E-421F-9D7D-8B9B843DF1CC}" destId="{026894B3-7F27-4361-9A0A-FF85E6F1A7DC}" srcOrd="0" destOrd="0" presId="urn:microsoft.com/office/officeart/2005/8/layout/radial5"/>
    <dgm:cxn modelId="{0E1F3E29-1B8A-4F1E-A0D3-BC8C8FFAA568}" srcId="{F7CCE2EC-3CC5-4178-BD2C-CE9C487CB569}" destId="{478ED922-04ED-41B8-A0D5-5F822A722F22}" srcOrd="0" destOrd="0" parTransId="{7C4E7ABA-7314-4A0D-8D6A-82440BBFBCAF}" sibTransId="{750B8E3B-FEF6-43EF-821D-1C8EEB284953}"/>
    <dgm:cxn modelId="{C6062E24-9DBC-4967-AC32-AF67D2BE37E0}" srcId="{478ED922-04ED-41B8-A0D5-5F822A722F22}" destId="{21FA158C-C12F-4F75-9703-03ECE8C15505}" srcOrd="2" destOrd="0" parTransId="{C29A3DD2-E8DD-420C-923A-4781A2C8A6E4}" sibTransId="{7BA0090F-2B35-42C8-B63A-8145EB74E354}"/>
    <dgm:cxn modelId="{D7DF5B53-4C7B-4298-A207-46520F6BC487}" type="presOf" srcId="{F7CCE2EC-3CC5-4178-BD2C-CE9C487CB569}" destId="{7177C1E1-B838-458C-8B17-E084FDD1744F}" srcOrd="0" destOrd="0" presId="urn:microsoft.com/office/officeart/2005/8/layout/radial5"/>
    <dgm:cxn modelId="{FB938F89-5699-44FB-AB05-09C940B676E8}" type="presOf" srcId="{5F8E9243-271F-4C7C-8E5E-1F682F71FE9A}" destId="{0910AE7A-F986-44D5-9F33-8D81C54A4880}" srcOrd="1" destOrd="0" presId="urn:microsoft.com/office/officeart/2005/8/layout/radial5"/>
    <dgm:cxn modelId="{03937B06-FF42-487B-B1DF-FC991EA18E0C}" type="presOf" srcId="{C29A3DD2-E8DD-420C-923A-4781A2C8A6E4}" destId="{FCFB46D7-E791-4CFB-A271-AF03E86693BD}" srcOrd="1" destOrd="0" presId="urn:microsoft.com/office/officeart/2005/8/layout/radial5"/>
    <dgm:cxn modelId="{A96E24EB-128B-4796-B676-F7C512C2A014}" type="presOf" srcId="{77B0AEE1-733B-486D-BB8E-888144045CC1}" destId="{1B0FD4D2-EED4-4C60-85A3-99E49362A0B2}" srcOrd="0" destOrd="0" presId="urn:microsoft.com/office/officeart/2005/8/layout/radial5"/>
    <dgm:cxn modelId="{4AF408AE-D10F-44EF-939B-5034195956BA}" type="presOf" srcId="{03F6242E-2BD7-4A26-BBE3-9B80531CCAE7}" destId="{373043FA-4908-4E58-9D99-E4E989C8EFE2}" srcOrd="0" destOrd="0" presId="urn:microsoft.com/office/officeart/2005/8/layout/radial5"/>
    <dgm:cxn modelId="{D099CA41-FBE2-426E-8BE2-BF63D2CC177B}" type="presOf" srcId="{478ED922-04ED-41B8-A0D5-5F822A722F22}" destId="{4F2E52E9-DC68-451F-89E4-E05C9196350F}" srcOrd="0" destOrd="0" presId="urn:microsoft.com/office/officeart/2005/8/layout/radial5"/>
    <dgm:cxn modelId="{5257E311-BBF0-4D06-A860-6A4857258C02}" type="presOf" srcId="{C29A3DD2-E8DD-420C-923A-4781A2C8A6E4}" destId="{D3E46397-ECED-4674-81B6-126321DA740C}" srcOrd="0" destOrd="0" presId="urn:microsoft.com/office/officeart/2005/8/layout/radial5"/>
    <dgm:cxn modelId="{DF5F9057-39DE-4A31-913B-14C9064E7370}" type="presOf" srcId="{AD818191-9A8F-416F-BCAE-900A3AA87217}" destId="{775BCFD1-CB16-4274-8AC7-46559E2AD53F}" srcOrd="0" destOrd="0" presId="urn:microsoft.com/office/officeart/2005/8/layout/radial5"/>
    <dgm:cxn modelId="{CA8F53FC-D664-4D5A-B2BB-C5078CFF4BC5}" type="presOf" srcId="{03F6242E-2BD7-4A26-BBE3-9B80531CCAE7}" destId="{A2F36AB8-FC3D-4A7A-BB72-8797C408DE0C}" srcOrd="1" destOrd="0" presId="urn:microsoft.com/office/officeart/2005/8/layout/radial5"/>
    <dgm:cxn modelId="{34CF3C5B-3A5B-4EFB-8183-491E8192602F}" type="presOf" srcId="{21FA158C-C12F-4F75-9703-03ECE8C15505}" destId="{F5756778-9666-4470-8835-6ED3792385CC}" srcOrd="0" destOrd="0" presId="urn:microsoft.com/office/officeart/2005/8/layout/radial5"/>
    <dgm:cxn modelId="{3DF9FE69-B90C-44C2-A7AE-12CC3AFCD212}" type="presParOf" srcId="{7177C1E1-B838-458C-8B17-E084FDD1744F}" destId="{4F2E52E9-DC68-451F-89E4-E05C9196350F}" srcOrd="0" destOrd="0" presId="urn:microsoft.com/office/officeart/2005/8/layout/radial5"/>
    <dgm:cxn modelId="{3A3B8B27-BE97-4E3F-B823-78C872558AE5}" type="presParOf" srcId="{7177C1E1-B838-458C-8B17-E084FDD1744F}" destId="{373043FA-4908-4E58-9D99-E4E989C8EFE2}" srcOrd="1" destOrd="0" presId="urn:microsoft.com/office/officeart/2005/8/layout/radial5"/>
    <dgm:cxn modelId="{41AC0699-0CCC-4739-93F2-BD5A9485CB65}" type="presParOf" srcId="{373043FA-4908-4E58-9D99-E4E989C8EFE2}" destId="{A2F36AB8-FC3D-4A7A-BB72-8797C408DE0C}" srcOrd="0" destOrd="0" presId="urn:microsoft.com/office/officeart/2005/8/layout/radial5"/>
    <dgm:cxn modelId="{5E5F00ED-5787-4DF0-962C-3411ADF0BDEB}" type="presParOf" srcId="{7177C1E1-B838-458C-8B17-E084FDD1744F}" destId="{026894B3-7F27-4361-9A0A-FF85E6F1A7DC}" srcOrd="2" destOrd="0" presId="urn:microsoft.com/office/officeart/2005/8/layout/radial5"/>
    <dgm:cxn modelId="{C4BAC041-9415-4A74-BCDF-1F8686D33586}" type="presParOf" srcId="{7177C1E1-B838-458C-8B17-E084FDD1744F}" destId="{775BCFD1-CB16-4274-8AC7-46559E2AD53F}" srcOrd="3" destOrd="0" presId="urn:microsoft.com/office/officeart/2005/8/layout/radial5"/>
    <dgm:cxn modelId="{5E4424C5-675A-4D8F-B7E2-5C2260EBF730}" type="presParOf" srcId="{775BCFD1-CB16-4274-8AC7-46559E2AD53F}" destId="{B31A6E83-33DF-4864-9B9B-60A233A409F1}" srcOrd="0" destOrd="0" presId="urn:microsoft.com/office/officeart/2005/8/layout/radial5"/>
    <dgm:cxn modelId="{E2CEEC94-83A3-4D1E-82E1-2977B8F2324A}" type="presParOf" srcId="{7177C1E1-B838-458C-8B17-E084FDD1744F}" destId="{1B0FD4D2-EED4-4C60-85A3-99E49362A0B2}" srcOrd="4" destOrd="0" presId="urn:microsoft.com/office/officeart/2005/8/layout/radial5"/>
    <dgm:cxn modelId="{301C47BB-9120-4F4F-9A3A-4FB4EB3134B8}" type="presParOf" srcId="{7177C1E1-B838-458C-8B17-E084FDD1744F}" destId="{D3E46397-ECED-4674-81B6-126321DA740C}" srcOrd="5" destOrd="0" presId="urn:microsoft.com/office/officeart/2005/8/layout/radial5"/>
    <dgm:cxn modelId="{5C1D679B-8721-4F21-83DC-3BC5715FBFCC}" type="presParOf" srcId="{D3E46397-ECED-4674-81B6-126321DA740C}" destId="{FCFB46D7-E791-4CFB-A271-AF03E86693BD}" srcOrd="0" destOrd="0" presId="urn:microsoft.com/office/officeart/2005/8/layout/radial5"/>
    <dgm:cxn modelId="{2CB5043E-157E-428F-B90A-87644AA1783A}" type="presParOf" srcId="{7177C1E1-B838-458C-8B17-E084FDD1744F}" destId="{F5756778-9666-4470-8835-6ED3792385CC}" srcOrd="6" destOrd="0" presId="urn:microsoft.com/office/officeart/2005/8/layout/radial5"/>
    <dgm:cxn modelId="{E10595C7-2F55-46CA-B763-C742CD205761}" type="presParOf" srcId="{7177C1E1-B838-458C-8B17-E084FDD1744F}" destId="{C61AC4FB-B279-4D19-B048-628324E57946}" srcOrd="7" destOrd="0" presId="urn:microsoft.com/office/officeart/2005/8/layout/radial5"/>
    <dgm:cxn modelId="{88027E46-192D-4E68-88DF-A4D47DD91D72}" type="presParOf" srcId="{C61AC4FB-B279-4D19-B048-628324E57946}" destId="{0910AE7A-F986-44D5-9F33-8D81C54A4880}" srcOrd="0" destOrd="0" presId="urn:microsoft.com/office/officeart/2005/8/layout/radial5"/>
    <dgm:cxn modelId="{193B7344-2FB4-430B-A31A-0A67B61FE717}" type="presParOf" srcId="{7177C1E1-B838-458C-8B17-E084FDD1744F}" destId="{007CA02A-4FBC-4068-AFAE-E3E77ACF18D0}" srcOrd="8" destOrd="0" presId="urn:microsoft.com/office/officeart/2005/8/layout/radial5"/>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D7497C6-A560-44FA-ADC2-3F264666E8AF}" type="doc">
      <dgm:prSet loTypeId="urn:microsoft.com/office/officeart/2005/8/layout/process1" loCatId="process" qsTypeId="urn:microsoft.com/office/officeart/2005/8/quickstyle/simple1" qsCatId="simple" csTypeId="urn:microsoft.com/office/officeart/2005/8/colors/accent1_2" csCatId="accent1" phldr="1"/>
      <dgm:spPr/>
    </dgm:pt>
    <dgm:pt modelId="{7F46A124-F6FC-471A-87C3-EF00C934AE74}">
      <dgm:prSet phldrT="[Text]"/>
      <dgm:spPr/>
      <dgm:t>
        <a:bodyPr/>
        <a:lstStyle/>
        <a:p>
          <a:r>
            <a:rPr lang="en-GB"/>
            <a:t>Team formation</a:t>
          </a:r>
        </a:p>
      </dgm:t>
    </dgm:pt>
    <dgm:pt modelId="{8BDB8A02-D9D8-45CE-9B57-A3D49B3260F3}" type="parTrans" cxnId="{DFF4C1F8-475D-4708-A555-9B7CAF11D8E9}">
      <dgm:prSet/>
      <dgm:spPr/>
      <dgm:t>
        <a:bodyPr/>
        <a:lstStyle/>
        <a:p>
          <a:endParaRPr lang="en-GB"/>
        </a:p>
      </dgm:t>
    </dgm:pt>
    <dgm:pt modelId="{82117EEA-D13E-45AF-839F-248B2A0658E7}" type="sibTrans" cxnId="{DFF4C1F8-475D-4708-A555-9B7CAF11D8E9}">
      <dgm:prSet/>
      <dgm:spPr/>
      <dgm:t>
        <a:bodyPr/>
        <a:lstStyle/>
        <a:p>
          <a:endParaRPr lang="en-GB"/>
        </a:p>
      </dgm:t>
    </dgm:pt>
    <dgm:pt modelId="{DC181073-393C-4CEC-945F-C4204474D467}">
      <dgm:prSet phldrT="[Text]"/>
      <dgm:spPr/>
      <dgm:t>
        <a:bodyPr/>
        <a:lstStyle/>
        <a:p>
          <a:r>
            <a:rPr lang="en-GB"/>
            <a:t>Information synthesis</a:t>
          </a:r>
        </a:p>
      </dgm:t>
    </dgm:pt>
    <dgm:pt modelId="{293DC75B-3A2E-4622-A87A-A5F25072048A}" type="parTrans" cxnId="{66451A8F-4FB9-4205-B194-CD41DFCA2EE9}">
      <dgm:prSet/>
      <dgm:spPr/>
      <dgm:t>
        <a:bodyPr/>
        <a:lstStyle/>
        <a:p>
          <a:endParaRPr lang="en-GB"/>
        </a:p>
      </dgm:t>
    </dgm:pt>
    <dgm:pt modelId="{152128C6-475F-467B-B411-F940CB6118FE}" type="sibTrans" cxnId="{66451A8F-4FB9-4205-B194-CD41DFCA2EE9}">
      <dgm:prSet/>
      <dgm:spPr/>
      <dgm:t>
        <a:bodyPr/>
        <a:lstStyle/>
        <a:p>
          <a:endParaRPr lang="en-GB"/>
        </a:p>
      </dgm:t>
    </dgm:pt>
    <dgm:pt modelId="{FA5F329D-6BAE-4175-A5EC-928722B65DB3}">
      <dgm:prSet phldrT="[Text]"/>
      <dgm:spPr/>
      <dgm:t>
        <a:bodyPr/>
        <a:lstStyle/>
        <a:p>
          <a:r>
            <a:rPr lang="en-GB"/>
            <a:t>Policy brief elaboration</a:t>
          </a:r>
        </a:p>
      </dgm:t>
    </dgm:pt>
    <dgm:pt modelId="{EA6648E5-148A-4091-B84C-84AE6356C9C3}" type="parTrans" cxnId="{828DFDE1-ED93-4D41-A41F-681866E6E956}">
      <dgm:prSet/>
      <dgm:spPr/>
      <dgm:t>
        <a:bodyPr/>
        <a:lstStyle/>
        <a:p>
          <a:endParaRPr lang="en-GB"/>
        </a:p>
      </dgm:t>
    </dgm:pt>
    <dgm:pt modelId="{1573EA85-14C3-44EC-BD3A-04394A47763F}" type="sibTrans" cxnId="{828DFDE1-ED93-4D41-A41F-681866E6E956}">
      <dgm:prSet/>
      <dgm:spPr/>
      <dgm:t>
        <a:bodyPr/>
        <a:lstStyle/>
        <a:p>
          <a:endParaRPr lang="en-GB"/>
        </a:p>
      </dgm:t>
    </dgm:pt>
    <dgm:pt modelId="{5ACF95EC-DEA0-4DA4-B0AD-5820E4968D73}">
      <dgm:prSet phldrT="[Text]"/>
      <dgm:spPr/>
      <dgm:t>
        <a:bodyPr/>
        <a:lstStyle/>
        <a:p>
          <a:r>
            <a:rPr lang="en-GB"/>
            <a:t>Intelligence sharing</a:t>
          </a:r>
        </a:p>
      </dgm:t>
    </dgm:pt>
    <dgm:pt modelId="{505597F4-D6DE-4BEA-830A-3E4F636C4BD3}" type="parTrans" cxnId="{1552DD4B-9CF1-4008-A824-BB13538757EC}">
      <dgm:prSet/>
      <dgm:spPr/>
      <dgm:t>
        <a:bodyPr/>
        <a:lstStyle/>
        <a:p>
          <a:endParaRPr lang="en-GB"/>
        </a:p>
      </dgm:t>
    </dgm:pt>
    <dgm:pt modelId="{02AA40C3-0817-42F5-8CA8-C00973C3FF28}" type="sibTrans" cxnId="{1552DD4B-9CF1-4008-A824-BB13538757EC}">
      <dgm:prSet/>
      <dgm:spPr/>
      <dgm:t>
        <a:bodyPr/>
        <a:lstStyle/>
        <a:p>
          <a:endParaRPr lang="en-GB"/>
        </a:p>
      </dgm:t>
    </dgm:pt>
    <dgm:pt modelId="{25E896F0-705C-40C7-9BE5-155853C55C23}">
      <dgm:prSet phldrT="[Text]"/>
      <dgm:spPr/>
      <dgm:t>
        <a:bodyPr/>
        <a:lstStyle/>
        <a:p>
          <a:r>
            <a:rPr lang="en-GB"/>
            <a:t>Areas issue identification</a:t>
          </a:r>
        </a:p>
      </dgm:t>
    </dgm:pt>
    <dgm:pt modelId="{370F50AE-D4B7-454B-936B-3360475A0613}" type="parTrans" cxnId="{797A8A03-BE30-4EA2-8736-32979538955F}">
      <dgm:prSet/>
      <dgm:spPr/>
      <dgm:t>
        <a:bodyPr/>
        <a:lstStyle/>
        <a:p>
          <a:endParaRPr lang="en-GB"/>
        </a:p>
      </dgm:t>
    </dgm:pt>
    <dgm:pt modelId="{F8DB9245-1BF4-4DB8-8926-434A62726D89}" type="sibTrans" cxnId="{797A8A03-BE30-4EA2-8736-32979538955F}">
      <dgm:prSet/>
      <dgm:spPr/>
      <dgm:t>
        <a:bodyPr/>
        <a:lstStyle/>
        <a:p>
          <a:endParaRPr lang="en-GB"/>
        </a:p>
      </dgm:t>
    </dgm:pt>
    <dgm:pt modelId="{128745D4-A594-49F4-B69B-AEEB5903E804}" type="pres">
      <dgm:prSet presAssocID="{BD7497C6-A560-44FA-ADC2-3F264666E8AF}" presName="Name0" presStyleCnt="0">
        <dgm:presLayoutVars>
          <dgm:dir/>
          <dgm:resizeHandles val="exact"/>
        </dgm:presLayoutVars>
      </dgm:prSet>
      <dgm:spPr/>
    </dgm:pt>
    <dgm:pt modelId="{25289D10-C175-45E6-9DE0-2247304077FA}" type="pres">
      <dgm:prSet presAssocID="{7F46A124-F6FC-471A-87C3-EF00C934AE74}" presName="node" presStyleLbl="node1" presStyleIdx="0" presStyleCnt="5">
        <dgm:presLayoutVars>
          <dgm:bulletEnabled val="1"/>
        </dgm:presLayoutVars>
      </dgm:prSet>
      <dgm:spPr/>
      <dgm:t>
        <a:bodyPr/>
        <a:lstStyle/>
        <a:p>
          <a:endParaRPr lang="en-US"/>
        </a:p>
      </dgm:t>
    </dgm:pt>
    <dgm:pt modelId="{500232B7-805B-4720-89CB-EC235E000011}" type="pres">
      <dgm:prSet presAssocID="{82117EEA-D13E-45AF-839F-248B2A0658E7}" presName="sibTrans" presStyleLbl="sibTrans2D1" presStyleIdx="0" presStyleCnt="4"/>
      <dgm:spPr/>
      <dgm:t>
        <a:bodyPr/>
        <a:lstStyle/>
        <a:p>
          <a:endParaRPr lang="en-US"/>
        </a:p>
      </dgm:t>
    </dgm:pt>
    <dgm:pt modelId="{7634F0DE-C132-4557-8E9B-506B1C9FF686}" type="pres">
      <dgm:prSet presAssocID="{82117EEA-D13E-45AF-839F-248B2A0658E7}" presName="connectorText" presStyleLbl="sibTrans2D1" presStyleIdx="0" presStyleCnt="4"/>
      <dgm:spPr/>
      <dgm:t>
        <a:bodyPr/>
        <a:lstStyle/>
        <a:p>
          <a:endParaRPr lang="en-US"/>
        </a:p>
      </dgm:t>
    </dgm:pt>
    <dgm:pt modelId="{E674EAD3-EEF3-436D-B35E-696AE8208DD5}" type="pres">
      <dgm:prSet presAssocID="{25E896F0-705C-40C7-9BE5-155853C55C23}" presName="node" presStyleLbl="node1" presStyleIdx="1" presStyleCnt="5">
        <dgm:presLayoutVars>
          <dgm:bulletEnabled val="1"/>
        </dgm:presLayoutVars>
      </dgm:prSet>
      <dgm:spPr/>
      <dgm:t>
        <a:bodyPr/>
        <a:lstStyle/>
        <a:p>
          <a:endParaRPr lang="en-US"/>
        </a:p>
      </dgm:t>
    </dgm:pt>
    <dgm:pt modelId="{8B39213E-206A-4E9E-BFD0-1D4CAB520AC7}" type="pres">
      <dgm:prSet presAssocID="{F8DB9245-1BF4-4DB8-8926-434A62726D89}" presName="sibTrans" presStyleLbl="sibTrans2D1" presStyleIdx="1" presStyleCnt="4"/>
      <dgm:spPr/>
      <dgm:t>
        <a:bodyPr/>
        <a:lstStyle/>
        <a:p>
          <a:endParaRPr lang="en-US"/>
        </a:p>
      </dgm:t>
    </dgm:pt>
    <dgm:pt modelId="{F8128624-6F70-4090-84B1-8C51C5ADF2F6}" type="pres">
      <dgm:prSet presAssocID="{F8DB9245-1BF4-4DB8-8926-434A62726D89}" presName="connectorText" presStyleLbl="sibTrans2D1" presStyleIdx="1" presStyleCnt="4"/>
      <dgm:spPr/>
      <dgm:t>
        <a:bodyPr/>
        <a:lstStyle/>
        <a:p>
          <a:endParaRPr lang="en-US"/>
        </a:p>
      </dgm:t>
    </dgm:pt>
    <dgm:pt modelId="{D3C4B54E-35F1-49EB-B82F-3020BAC403A4}" type="pres">
      <dgm:prSet presAssocID="{DC181073-393C-4CEC-945F-C4204474D467}" presName="node" presStyleLbl="node1" presStyleIdx="2" presStyleCnt="5">
        <dgm:presLayoutVars>
          <dgm:bulletEnabled val="1"/>
        </dgm:presLayoutVars>
      </dgm:prSet>
      <dgm:spPr/>
      <dgm:t>
        <a:bodyPr/>
        <a:lstStyle/>
        <a:p>
          <a:endParaRPr lang="en-US"/>
        </a:p>
      </dgm:t>
    </dgm:pt>
    <dgm:pt modelId="{88FB03DF-7648-4432-8594-5F6626C25E74}" type="pres">
      <dgm:prSet presAssocID="{152128C6-475F-467B-B411-F940CB6118FE}" presName="sibTrans" presStyleLbl="sibTrans2D1" presStyleIdx="2" presStyleCnt="4"/>
      <dgm:spPr/>
      <dgm:t>
        <a:bodyPr/>
        <a:lstStyle/>
        <a:p>
          <a:endParaRPr lang="en-US"/>
        </a:p>
      </dgm:t>
    </dgm:pt>
    <dgm:pt modelId="{350A7860-4409-4DE2-9DE6-686CF6C5374C}" type="pres">
      <dgm:prSet presAssocID="{152128C6-475F-467B-B411-F940CB6118FE}" presName="connectorText" presStyleLbl="sibTrans2D1" presStyleIdx="2" presStyleCnt="4"/>
      <dgm:spPr/>
      <dgm:t>
        <a:bodyPr/>
        <a:lstStyle/>
        <a:p>
          <a:endParaRPr lang="en-US"/>
        </a:p>
      </dgm:t>
    </dgm:pt>
    <dgm:pt modelId="{688E7995-D08D-4F52-88AB-E1420E5B6FF5}" type="pres">
      <dgm:prSet presAssocID="{FA5F329D-6BAE-4175-A5EC-928722B65DB3}" presName="node" presStyleLbl="node1" presStyleIdx="3" presStyleCnt="5">
        <dgm:presLayoutVars>
          <dgm:bulletEnabled val="1"/>
        </dgm:presLayoutVars>
      </dgm:prSet>
      <dgm:spPr/>
      <dgm:t>
        <a:bodyPr/>
        <a:lstStyle/>
        <a:p>
          <a:endParaRPr lang="en-US"/>
        </a:p>
      </dgm:t>
    </dgm:pt>
    <dgm:pt modelId="{CE5DDB05-F92B-40BF-BD54-0B1679B2803D}" type="pres">
      <dgm:prSet presAssocID="{1573EA85-14C3-44EC-BD3A-04394A47763F}" presName="sibTrans" presStyleLbl="sibTrans2D1" presStyleIdx="3" presStyleCnt="4"/>
      <dgm:spPr/>
      <dgm:t>
        <a:bodyPr/>
        <a:lstStyle/>
        <a:p>
          <a:endParaRPr lang="en-US"/>
        </a:p>
      </dgm:t>
    </dgm:pt>
    <dgm:pt modelId="{DA0B5920-6147-4303-BB47-E690ABC90E33}" type="pres">
      <dgm:prSet presAssocID="{1573EA85-14C3-44EC-BD3A-04394A47763F}" presName="connectorText" presStyleLbl="sibTrans2D1" presStyleIdx="3" presStyleCnt="4"/>
      <dgm:spPr/>
      <dgm:t>
        <a:bodyPr/>
        <a:lstStyle/>
        <a:p>
          <a:endParaRPr lang="en-US"/>
        </a:p>
      </dgm:t>
    </dgm:pt>
    <dgm:pt modelId="{7BB5419E-D0FE-4AA6-ADDA-0FF2ECCCB965}" type="pres">
      <dgm:prSet presAssocID="{5ACF95EC-DEA0-4DA4-B0AD-5820E4968D73}" presName="node" presStyleLbl="node1" presStyleIdx="4" presStyleCnt="5">
        <dgm:presLayoutVars>
          <dgm:bulletEnabled val="1"/>
        </dgm:presLayoutVars>
      </dgm:prSet>
      <dgm:spPr/>
      <dgm:t>
        <a:bodyPr/>
        <a:lstStyle/>
        <a:p>
          <a:endParaRPr lang="en-US"/>
        </a:p>
      </dgm:t>
    </dgm:pt>
  </dgm:ptLst>
  <dgm:cxnLst>
    <dgm:cxn modelId="{DFF4C1F8-475D-4708-A555-9B7CAF11D8E9}" srcId="{BD7497C6-A560-44FA-ADC2-3F264666E8AF}" destId="{7F46A124-F6FC-471A-87C3-EF00C934AE74}" srcOrd="0" destOrd="0" parTransId="{8BDB8A02-D9D8-45CE-9B57-A3D49B3260F3}" sibTransId="{82117EEA-D13E-45AF-839F-248B2A0658E7}"/>
    <dgm:cxn modelId="{F0E6F1EC-C1C8-4F90-8896-67269A027082}" type="presOf" srcId="{1573EA85-14C3-44EC-BD3A-04394A47763F}" destId="{CE5DDB05-F92B-40BF-BD54-0B1679B2803D}" srcOrd="0" destOrd="0" presId="urn:microsoft.com/office/officeart/2005/8/layout/process1"/>
    <dgm:cxn modelId="{BB7ABDB8-EA0B-45FC-8860-FD73779757D2}" type="presOf" srcId="{82117EEA-D13E-45AF-839F-248B2A0658E7}" destId="{500232B7-805B-4720-89CB-EC235E000011}" srcOrd="0" destOrd="0" presId="urn:microsoft.com/office/officeart/2005/8/layout/process1"/>
    <dgm:cxn modelId="{A1BC7024-DF9D-49BE-B9DB-195B1B81C2D5}" type="presOf" srcId="{5ACF95EC-DEA0-4DA4-B0AD-5820E4968D73}" destId="{7BB5419E-D0FE-4AA6-ADDA-0FF2ECCCB965}" srcOrd="0" destOrd="0" presId="urn:microsoft.com/office/officeart/2005/8/layout/process1"/>
    <dgm:cxn modelId="{1552DD4B-9CF1-4008-A824-BB13538757EC}" srcId="{BD7497C6-A560-44FA-ADC2-3F264666E8AF}" destId="{5ACF95EC-DEA0-4DA4-B0AD-5820E4968D73}" srcOrd="4" destOrd="0" parTransId="{505597F4-D6DE-4BEA-830A-3E4F636C4BD3}" sibTransId="{02AA40C3-0817-42F5-8CA8-C00973C3FF28}"/>
    <dgm:cxn modelId="{72D89AC0-1710-4119-9C49-B17CB81FF697}" type="presOf" srcId="{F8DB9245-1BF4-4DB8-8926-434A62726D89}" destId="{F8128624-6F70-4090-84B1-8C51C5ADF2F6}" srcOrd="1" destOrd="0" presId="urn:microsoft.com/office/officeart/2005/8/layout/process1"/>
    <dgm:cxn modelId="{0F89512F-96B7-4E46-BD74-2A1D13D3E318}" type="presOf" srcId="{152128C6-475F-467B-B411-F940CB6118FE}" destId="{350A7860-4409-4DE2-9DE6-686CF6C5374C}" srcOrd="1" destOrd="0" presId="urn:microsoft.com/office/officeart/2005/8/layout/process1"/>
    <dgm:cxn modelId="{58CD36DD-AB8E-471A-83CA-8CDCEDAEB931}" type="presOf" srcId="{F8DB9245-1BF4-4DB8-8926-434A62726D89}" destId="{8B39213E-206A-4E9E-BFD0-1D4CAB520AC7}" srcOrd="0" destOrd="0" presId="urn:microsoft.com/office/officeart/2005/8/layout/process1"/>
    <dgm:cxn modelId="{828DFDE1-ED93-4D41-A41F-681866E6E956}" srcId="{BD7497C6-A560-44FA-ADC2-3F264666E8AF}" destId="{FA5F329D-6BAE-4175-A5EC-928722B65DB3}" srcOrd="3" destOrd="0" parTransId="{EA6648E5-148A-4091-B84C-84AE6356C9C3}" sibTransId="{1573EA85-14C3-44EC-BD3A-04394A47763F}"/>
    <dgm:cxn modelId="{68FA47A4-1A88-4739-8F87-91D3D4E10E06}" type="presOf" srcId="{7F46A124-F6FC-471A-87C3-EF00C934AE74}" destId="{25289D10-C175-45E6-9DE0-2247304077FA}" srcOrd="0" destOrd="0" presId="urn:microsoft.com/office/officeart/2005/8/layout/process1"/>
    <dgm:cxn modelId="{C105A0E7-606D-4E60-8DC4-37ADE6E30F92}" type="presOf" srcId="{25E896F0-705C-40C7-9BE5-155853C55C23}" destId="{E674EAD3-EEF3-436D-B35E-696AE8208DD5}" srcOrd="0" destOrd="0" presId="urn:microsoft.com/office/officeart/2005/8/layout/process1"/>
    <dgm:cxn modelId="{797A8A03-BE30-4EA2-8736-32979538955F}" srcId="{BD7497C6-A560-44FA-ADC2-3F264666E8AF}" destId="{25E896F0-705C-40C7-9BE5-155853C55C23}" srcOrd="1" destOrd="0" parTransId="{370F50AE-D4B7-454B-936B-3360475A0613}" sibTransId="{F8DB9245-1BF4-4DB8-8926-434A62726D89}"/>
    <dgm:cxn modelId="{66451A8F-4FB9-4205-B194-CD41DFCA2EE9}" srcId="{BD7497C6-A560-44FA-ADC2-3F264666E8AF}" destId="{DC181073-393C-4CEC-945F-C4204474D467}" srcOrd="2" destOrd="0" parTransId="{293DC75B-3A2E-4622-A87A-A5F25072048A}" sibTransId="{152128C6-475F-467B-B411-F940CB6118FE}"/>
    <dgm:cxn modelId="{DFD8C890-2E91-43F3-A7D1-C3399AC030D1}" type="presOf" srcId="{BD7497C6-A560-44FA-ADC2-3F264666E8AF}" destId="{128745D4-A594-49F4-B69B-AEEB5903E804}" srcOrd="0" destOrd="0" presId="urn:microsoft.com/office/officeart/2005/8/layout/process1"/>
    <dgm:cxn modelId="{5D5E721B-6D50-4161-8935-BB78CE48655D}" type="presOf" srcId="{FA5F329D-6BAE-4175-A5EC-928722B65DB3}" destId="{688E7995-D08D-4F52-88AB-E1420E5B6FF5}" srcOrd="0" destOrd="0" presId="urn:microsoft.com/office/officeart/2005/8/layout/process1"/>
    <dgm:cxn modelId="{053D8A15-A58C-4E5E-BD71-7BCA7693719C}" type="presOf" srcId="{152128C6-475F-467B-B411-F940CB6118FE}" destId="{88FB03DF-7648-4432-8594-5F6626C25E74}" srcOrd="0" destOrd="0" presId="urn:microsoft.com/office/officeart/2005/8/layout/process1"/>
    <dgm:cxn modelId="{2984209E-7644-43EC-AC8A-E2EA6BD19537}" type="presOf" srcId="{DC181073-393C-4CEC-945F-C4204474D467}" destId="{D3C4B54E-35F1-49EB-B82F-3020BAC403A4}" srcOrd="0" destOrd="0" presId="urn:microsoft.com/office/officeart/2005/8/layout/process1"/>
    <dgm:cxn modelId="{0837EEBC-73FF-4934-B157-E0CC543A222D}" type="presOf" srcId="{1573EA85-14C3-44EC-BD3A-04394A47763F}" destId="{DA0B5920-6147-4303-BB47-E690ABC90E33}" srcOrd="1" destOrd="0" presId="urn:microsoft.com/office/officeart/2005/8/layout/process1"/>
    <dgm:cxn modelId="{B0BBAC38-F1EF-49D3-B1B5-D4ED2E55DBC4}" type="presOf" srcId="{82117EEA-D13E-45AF-839F-248B2A0658E7}" destId="{7634F0DE-C132-4557-8E9B-506B1C9FF686}" srcOrd="1" destOrd="0" presId="urn:microsoft.com/office/officeart/2005/8/layout/process1"/>
    <dgm:cxn modelId="{5326940B-3D60-4375-A70E-ECDA55CCE80F}" type="presParOf" srcId="{128745D4-A594-49F4-B69B-AEEB5903E804}" destId="{25289D10-C175-45E6-9DE0-2247304077FA}" srcOrd="0" destOrd="0" presId="urn:microsoft.com/office/officeart/2005/8/layout/process1"/>
    <dgm:cxn modelId="{7F26238F-A318-4D59-ABFB-CA3512865EA8}" type="presParOf" srcId="{128745D4-A594-49F4-B69B-AEEB5903E804}" destId="{500232B7-805B-4720-89CB-EC235E000011}" srcOrd="1" destOrd="0" presId="urn:microsoft.com/office/officeart/2005/8/layout/process1"/>
    <dgm:cxn modelId="{2278BB2B-AFF0-4478-9D83-E45D8EBB2A8D}" type="presParOf" srcId="{500232B7-805B-4720-89CB-EC235E000011}" destId="{7634F0DE-C132-4557-8E9B-506B1C9FF686}" srcOrd="0" destOrd="0" presId="urn:microsoft.com/office/officeart/2005/8/layout/process1"/>
    <dgm:cxn modelId="{ADEE88E5-E1CF-4770-B473-41F70F4FE864}" type="presParOf" srcId="{128745D4-A594-49F4-B69B-AEEB5903E804}" destId="{E674EAD3-EEF3-436D-B35E-696AE8208DD5}" srcOrd="2" destOrd="0" presId="urn:microsoft.com/office/officeart/2005/8/layout/process1"/>
    <dgm:cxn modelId="{342CF0F0-F4B0-4A04-8F68-2F09286CCB7B}" type="presParOf" srcId="{128745D4-A594-49F4-B69B-AEEB5903E804}" destId="{8B39213E-206A-4E9E-BFD0-1D4CAB520AC7}" srcOrd="3" destOrd="0" presId="urn:microsoft.com/office/officeart/2005/8/layout/process1"/>
    <dgm:cxn modelId="{98683422-1A58-4F15-A312-40583D281C8A}" type="presParOf" srcId="{8B39213E-206A-4E9E-BFD0-1D4CAB520AC7}" destId="{F8128624-6F70-4090-84B1-8C51C5ADF2F6}" srcOrd="0" destOrd="0" presId="urn:microsoft.com/office/officeart/2005/8/layout/process1"/>
    <dgm:cxn modelId="{4E2ADD20-1A19-4735-A724-3B1A8B0091C4}" type="presParOf" srcId="{128745D4-A594-49F4-B69B-AEEB5903E804}" destId="{D3C4B54E-35F1-49EB-B82F-3020BAC403A4}" srcOrd="4" destOrd="0" presId="urn:microsoft.com/office/officeart/2005/8/layout/process1"/>
    <dgm:cxn modelId="{06379606-9206-4C9E-8084-CF08800B166A}" type="presParOf" srcId="{128745D4-A594-49F4-B69B-AEEB5903E804}" destId="{88FB03DF-7648-4432-8594-5F6626C25E74}" srcOrd="5" destOrd="0" presId="urn:microsoft.com/office/officeart/2005/8/layout/process1"/>
    <dgm:cxn modelId="{DB51D086-D749-41EC-86D1-0221CA088B7B}" type="presParOf" srcId="{88FB03DF-7648-4432-8594-5F6626C25E74}" destId="{350A7860-4409-4DE2-9DE6-686CF6C5374C}" srcOrd="0" destOrd="0" presId="urn:microsoft.com/office/officeart/2005/8/layout/process1"/>
    <dgm:cxn modelId="{541368AF-7B60-4A71-81B5-F45AA5CF4A7C}" type="presParOf" srcId="{128745D4-A594-49F4-B69B-AEEB5903E804}" destId="{688E7995-D08D-4F52-88AB-E1420E5B6FF5}" srcOrd="6" destOrd="0" presId="urn:microsoft.com/office/officeart/2005/8/layout/process1"/>
    <dgm:cxn modelId="{3D1D835D-57EE-4140-AC5B-935EEEA68A60}" type="presParOf" srcId="{128745D4-A594-49F4-B69B-AEEB5903E804}" destId="{CE5DDB05-F92B-40BF-BD54-0B1679B2803D}" srcOrd="7" destOrd="0" presId="urn:microsoft.com/office/officeart/2005/8/layout/process1"/>
    <dgm:cxn modelId="{84E6E4DC-E24B-4AD4-BC03-1EB9276EDB9B}" type="presParOf" srcId="{CE5DDB05-F92B-40BF-BD54-0B1679B2803D}" destId="{DA0B5920-6147-4303-BB47-E690ABC90E33}" srcOrd="0" destOrd="0" presId="urn:microsoft.com/office/officeart/2005/8/layout/process1"/>
    <dgm:cxn modelId="{1AE47965-E0C7-4351-9C65-B4F34C4FF1A9}" type="presParOf" srcId="{128745D4-A594-49F4-B69B-AEEB5903E804}" destId="{7BB5419E-D0FE-4AA6-ADDA-0FF2ECCCB965}" srcOrd="8" destOrd="0" presId="urn:microsoft.com/office/officeart/2005/8/layout/process1"/>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F968EC20-7E51-4150-B1AF-0F879F1010AD}" type="doc">
      <dgm:prSet loTypeId="urn:microsoft.com/office/officeart/2011/layout/HexagonRadial#1" loCatId="cycle" qsTypeId="urn:microsoft.com/office/officeart/2005/8/quickstyle/simple3" qsCatId="simple" csTypeId="urn:microsoft.com/office/officeart/2005/8/colors/accent0_2" csCatId="mainScheme" phldr="1"/>
      <dgm:spPr/>
      <dgm:t>
        <a:bodyPr/>
        <a:lstStyle/>
        <a:p>
          <a:endParaRPr lang="en-US"/>
        </a:p>
      </dgm:t>
    </dgm:pt>
    <dgm:pt modelId="{584AF260-84C6-4E25-A3A5-9B8ECD6DBF41}">
      <dgm:prSet phldrT="[Text]" custT="1"/>
      <dgm:spPr/>
      <dgm:t>
        <a:bodyPr/>
        <a:lstStyle/>
        <a:p>
          <a:r>
            <a:rPr lang="en-US" sz="1400" b="1" dirty="0">
              <a:solidFill>
                <a:srgbClr val="FF0000"/>
              </a:solidFill>
            </a:rPr>
            <a:t>POPULATION EXPECTATIONS OF HEALTH SERVICES</a:t>
          </a:r>
        </a:p>
      </dgm:t>
    </dgm:pt>
    <dgm:pt modelId="{E4A5AC5F-E37E-4BE9-B33A-CF245539C219}" type="parTrans" cxnId="{4D1FE9AC-A081-4066-AB84-952233ACB358}">
      <dgm:prSet/>
      <dgm:spPr/>
      <dgm:t>
        <a:bodyPr/>
        <a:lstStyle/>
        <a:p>
          <a:endParaRPr lang="en-US"/>
        </a:p>
      </dgm:t>
    </dgm:pt>
    <dgm:pt modelId="{DDB07039-0A8D-4779-8FE6-5EF6206CC301}" type="sibTrans" cxnId="{4D1FE9AC-A081-4066-AB84-952233ACB358}">
      <dgm:prSet/>
      <dgm:spPr/>
      <dgm:t>
        <a:bodyPr/>
        <a:lstStyle/>
        <a:p>
          <a:endParaRPr lang="en-US"/>
        </a:p>
      </dgm:t>
    </dgm:pt>
    <dgm:pt modelId="{4F6F5B5B-C549-459C-9D83-7584A5F34DD0}">
      <dgm:prSet phldrT="[Text]" custT="1"/>
      <dgm:spPr/>
      <dgm:t>
        <a:bodyPr/>
        <a:lstStyle/>
        <a:p>
          <a:r>
            <a:rPr lang="en-US" sz="1500" b="1" dirty="0"/>
            <a:t>Available services</a:t>
          </a:r>
          <a:r>
            <a:rPr lang="en-US" sz="1500" dirty="0"/>
            <a:t/>
          </a:r>
          <a:br>
            <a:rPr lang="en-US" sz="1500" dirty="0"/>
          </a:br>
          <a:r>
            <a:rPr lang="en-US" sz="1100" i="1" dirty="0"/>
            <a:t>By age cohort</a:t>
          </a:r>
          <a:endParaRPr lang="en-US" sz="1500" i="1" dirty="0"/>
        </a:p>
      </dgm:t>
    </dgm:pt>
    <dgm:pt modelId="{129B0D7A-E24F-4D73-AE78-F239833690B7}" type="parTrans" cxnId="{C98E9268-C076-4E97-B389-CE546D3ABEB7}">
      <dgm:prSet/>
      <dgm:spPr/>
      <dgm:t>
        <a:bodyPr/>
        <a:lstStyle/>
        <a:p>
          <a:endParaRPr lang="en-US"/>
        </a:p>
      </dgm:t>
    </dgm:pt>
    <dgm:pt modelId="{26388D72-FDC5-4CF0-9CE2-8E179AD7DE43}" type="sibTrans" cxnId="{C98E9268-C076-4E97-B389-CE546D3ABEB7}">
      <dgm:prSet/>
      <dgm:spPr/>
      <dgm:t>
        <a:bodyPr/>
        <a:lstStyle/>
        <a:p>
          <a:endParaRPr lang="en-US"/>
        </a:p>
      </dgm:t>
    </dgm:pt>
    <dgm:pt modelId="{93802945-DB23-41BB-B88A-097E3C687907}">
      <dgm:prSet phldrT="[Text]" custT="1"/>
      <dgm:spPr/>
      <dgm:t>
        <a:bodyPr/>
        <a:lstStyle/>
        <a:p>
          <a:r>
            <a:rPr lang="en-US" sz="1300" b="1" dirty="0"/>
            <a:t>SDG 3, 2 and 6 services coverage</a:t>
          </a:r>
          <a:r>
            <a:rPr lang="en-US" sz="1300" dirty="0"/>
            <a:t/>
          </a:r>
          <a:br>
            <a:rPr lang="en-US" sz="1300" dirty="0"/>
          </a:br>
          <a:r>
            <a:rPr lang="en-US" sz="1100" i="1" dirty="0"/>
            <a:t>Across public health functions</a:t>
          </a:r>
          <a:endParaRPr lang="en-US" sz="1300" i="1" dirty="0"/>
        </a:p>
      </dgm:t>
    </dgm:pt>
    <dgm:pt modelId="{46F155A9-1774-4859-96BA-2B124FA15666}" type="parTrans" cxnId="{5AB25904-A825-418C-B760-E3ED45A696DA}">
      <dgm:prSet/>
      <dgm:spPr/>
      <dgm:t>
        <a:bodyPr/>
        <a:lstStyle/>
        <a:p>
          <a:endParaRPr lang="en-US"/>
        </a:p>
      </dgm:t>
    </dgm:pt>
    <dgm:pt modelId="{692024B6-A50F-406E-A1FC-D8AA48AF18C5}" type="sibTrans" cxnId="{5AB25904-A825-418C-B760-E3ED45A696DA}">
      <dgm:prSet/>
      <dgm:spPr/>
      <dgm:t>
        <a:bodyPr/>
        <a:lstStyle/>
        <a:p>
          <a:endParaRPr lang="en-US"/>
        </a:p>
      </dgm:t>
    </dgm:pt>
    <dgm:pt modelId="{7C7C7781-23C4-4A30-A71C-6045EA9A9502}">
      <dgm:prSet phldrT="[Text]" custT="1"/>
      <dgm:spPr/>
      <dgm:t>
        <a:bodyPr/>
        <a:lstStyle/>
        <a:p>
          <a:r>
            <a:rPr lang="en-US" sz="1300" b="1" dirty="0"/>
            <a:t>Financial risk protection</a:t>
          </a:r>
          <a:r>
            <a:rPr lang="en-US" sz="1300" dirty="0"/>
            <a:t/>
          </a:r>
          <a:br>
            <a:rPr lang="en-US" sz="1300" dirty="0"/>
          </a:br>
          <a:r>
            <a:rPr lang="en-US" sz="1100" i="1" dirty="0"/>
            <a:t>Against catastrophic expenditure</a:t>
          </a:r>
          <a:endParaRPr lang="en-US" sz="1300" i="1" dirty="0"/>
        </a:p>
      </dgm:t>
    </dgm:pt>
    <dgm:pt modelId="{A9AF7DBB-F0CA-4AEF-98FC-5C45E56D6B8F}" type="parTrans" cxnId="{B573876D-1D45-4652-B163-29137819EF94}">
      <dgm:prSet/>
      <dgm:spPr/>
      <dgm:t>
        <a:bodyPr/>
        <a:lstStyle/>
        <a:p>
          <a:endParaRPr lang="en-US"/>
        </a:p>
      </dgm:t>
    </dgm:pt>
    <dgm:pt modelId="{26FAE802-98E4-4C73-9EF2-C0FB7B1B9922}" type="sibTrans" cxnId="{B573876D-1D45-4652-B163-29137819EF94}">
      <dgm:prSet/>
      <dgm:spPr/>
      <dgm:t>
        <a:bodyPr/>
        <a:lstStyle/>
        <a:p>
          <a:endParaRPr lang="en-US"/>
        </a:p>
      </dgm:t>
    </dgm:pt>
    <dgm:pt modelId="{315284A4-9B2A-4755-96C6-6D989DB44DDF}">
      <dgm:prSet phldrT="[Text]" custT="1"/>
      <dgm:spPr/>
      <dgm:t>
        <a:bodyPr/>
        <a:lstStyle/>
        <a:p>
          <a:r>
            <a:rPr lang="en-US" sz="1400" b="1" dirty="0"/>
            <a:t>Non-SDG services coverage</a:t>
          </a:r>
          <a:r>
            <a:rPr lang="en-US" sz="1100" dirty="0"/>
            <a:t/>
          </a:r>
          <a:br>
            <a:rPr lang="en-US" sz="1100" dirty="0"/>
          </a:br>
          <a:r>
            <a:rPr lang="en-US" sz="1000" i="1" dirty="0"/>
            <a:t>Social, economic, environmental, political</a:t>
          </a:r>
          <a:endParaRPr lang="en-US" sz="1100" i="1" dirty="0"/>
        </a:p>
      </dgm:t>
    </dgm:pt>
    <dgm:pt modelId="{A06DCDF7-219F-4680-AAD5-C0C740F28AD3}" type="parTrans" cxnId="{1FE6AD89-6724-485D-9B66-3F8C5A9AB67B}">
      <dgm:prSet/>
      <dgm:spPr/>
      <dgm:t>
        <a:bodyPr/>
        <a:lstStyle/>
        <a:p>
          <a:endParaRPr lang="en-US"/>
        </a:p>
      </dgm:t>
    </dgm:pt>
    <dgm:pt modelId="{0D47ADFA-804F-4C5F-ABA3-283E798CF46F}" type="sibTrans" cxnId="{1FE6AD89-6724-485D-9B66-3F8C5A9AB67B}">
      <dgm:prSet/>
      <dgm:spPr/>
      <dgm:t>
        <a:bodyPr/>
        <a:lstStyle/>
        <a:p>
          <a:endParaRPr lang="en-US"/>
        </a:p>
      </dgm:t>
    </dgm:pt>
    <dgm:pt modelId="{52CA5708-8F1E-4F79-80F1-88B10466A676}">
      <dgm:prSet phldrT="[Text]" custT="1"/>
      <dgm:spPr/>
      <dgm:t>
        <a:bodyPr/>
        <a:lstStyle/>
        <a:p>
          <a:r>
            <a:rPr lang="en-US" sz="1300" b="1" dirty="0"/>
            <a:t>Appropriate health security</a:t>
          </a:r>
          <a:r>
            <a:rPr lang="en-US" sz="1100" b="1" dirty="0"/>
            <a:t/>
          </a:r>
          <a:br>
            <a:rPr lang="en-US" sz="1100" b="1" dirty="0"/>
          </a:br>
          <a:r>
            <a:rPr lang="en-US" sz="1000" b="0" i="1" dirty="0"/>
            <a:t>Prevention, detection, response capacity</a:t>
          </a:r>
          <a:endParaRPr lang="en-US" sz="1050" b="0" i="1" dirty="0"/>
        </a:p>
      </dgm:t>
    </dgm:pt>
    <dgm:pt modelId="{70FB31DD-5D37-4CD0-837D-78057A3D9AD8}" type="parTrans" cxnId="{67434D44-D6B9-4A38-9304-4358F4EA2D47}">
      <dgm:prSet/>
      <dgm:spPr/>
      <dgm:t>
        <a:bodyPr/>
        <a:lstStyle/>
        <a:p>
          <a:endParaRPr lang="en-US"/>
        </a:p>
      </dgm:t>
    </dgm:pt>
    <dgm:pt modelId="{93D444F6-4E4F-4202-A6BD-76F2290610FE}" type="sibTrans" cxnId="{67434D44-D6B9-4A38-9304-4358F4EA2D47}">
      <dgm:prSet/>
      <dgm:spPr/>
      <dgm:t>
        <a:bodyPr/>
        <a:lstStyle/>
        <a:p>
          <a:endParaRPr lang="en-US"/>
        </a:p>
      </dgm:t>
    </dgm:pt>
    <dgm:pt modelId="{9B430361-D0D3-4B75-BF11-61052054FB45}">
      <dgm:prSet phldrT="[Text]"/>
      <dgm:spPr/>
      <dgm:t>
        <a:bodyPr/>
        <a:lstStyle/>
        <a:p>
          <a:r>
            <a:rPr lang="en-US" b="1" dirty="0"/>
            <a:t>Services satisfaction</a:t>
          </a:r>
        </a:p>
      </dgm:t>
    </dgm:pt>
    <dgm:pt modelId="{7B9909B3-22C2-4AED-AA5F-58E88BEB7E8D}" type="parTrans" cxnId="{79894B17-4A9A-4FB2-8CCA-67C235C76B82}">
      <dgm:prSet/>
      <dgm:spPr/>
      <dgm:t>
        <a:bodyPr/>
        <a:lstStyle/>
        <a:p>
          <a:endParaRPr lang="en-US"/>
        </a:p>
      </dgm:t>
    </dgm:pt>
    <dgm:pt modelId="{E2FBEDDF-EB98-46F5-A16E-F11EB9A32509}" type="sibTrans" cxnId="{79894B17-4A9A-4FB2-8CCA-67C235C76B82}">
      <dgm:prSet/>
      <dgm:spPr/>
      <dgm:t>
        <a:bodyPr/>
        <a:lstStyle/>
        <a:p>
          <a:endParaRPr lang="en-US"/>
        </a:p>
      </dgm:t>
    </dgm:pt>
    <dgm:pt modelId="{D39676B5-3635-49E4-9160-20830A75645D}" type="pres">
      <dgm:prSet presAssocID="{F968EC20-7E51-4150-B1AF-0F879F1010AD}" presName="Name0" presStyleCnt="0">
        <dgm:presLayoutVars>
          <dgm:chMax val="1"/>
          <dgm:chPref val="1"/>
          <dgm:dir/>
          <dgm:animOne val="branch"/>
          <dgm:animLvl val="lvl"/>
        </dgm:presLayoutVars>
      </dgm:prSet>
      <dgm:spPr/>
      <dgm:t>
        <a:bodyPr/>
        <a:lstStyle/>
        <a:p>
          <a:endParaRPr lang="en-US"/>
        </a:p>
      </dgm:t>
    </dgm:pt>
    <dgm:pt modelId="{F0109772-5A9D-4207-A22E-0C45F84411A8}" type="pres">
      <dgm:prSet presAssocID="{584AF260-84C6-4E25-A3A5-9B8ECD6DBF41}" presName="Parent" presStyleLbl="node0" presStyleIdx="0" presStyleCnt="1" custScaleX="106454" custScaleY="96515">
        <dgm:presLayoutVars>
          <dgm:chMax val="6"/>
          <dgm:chPref val="6"/>
        </dgm:presLayoutVars>
      </dgm:prSet>
      <dgm:spPr/>
      <dgm:t>
        <a:bodyPr/>
        <a:lstStyle/>
        <a:p>
          <a:endParaRPr lang="en-US"/>
        </a:p>
      </dgm:t>
    </dgm:pt>
    <dgm:pt modelId="{C26410C3-429B-41A9-ABE7-F30951975943}" type="pres">
      <dgm:prSet presAssocID="{4F6F5B5B-C549-459C-9D83-7584A5F34DD0}" presName="Accent1" presStyleCnt="0"/>
      <dgm:spPr/>
    </dgm:pt>
    <dgm:pt modelId="{B75F1B8A-0C99-40D8-8D51-793482F9C366}" type="pres">
      <dgm:prSet presAssocID="{4F6F5B5B-C549-459C-9D83-7584A5F34DD0}" presName="Accent" presStyleLbl="bgShp" presStyleIdx="0" presStyleCnt="6"/>
      <dgm:spPr/>
    </dgm:pt>
    <dgm:pt modelId="{903BFF0F-C192-4E71-B159-579CC8C22C17}" type="pres">
      <dgm:prSet presAssocID="{4F6F5B5B-C549-459C-9D83-7584A5F34DD0}" presName="Child1" presStyleLbl="node1" presStyleIdx="0" presStyleCnt="6">
        <dgm:presLayoutVars>
          <dgm:chMax val="0"/>
          <dgm:chPref val="0"/>
          <dgm:bulletEnabled val="1"/>
        </dgm:presLayoutVars>
      </dgm:prSet>
      <dgm:spPr/>
      <dgm:t>
        <a:bodyPr/>
        <a:lstStyle/>
        <a:p>
          <a:endParaRPr lang="en-US"/>
        </a:p>
      </dgm:t>
    </dgm:pt>
    <dgm:pt modelId="{23BC8384-3788-4F8C-B1E7-C20E5B1DF110}" type="pres">
      <dgm:prSet presAssocID="{93802945-DB23-41BB-B88A-097E3C687907}" presName="Accent2" presStyleCnt="0"/>
      <dgm:spPr/>
    </dgm:pt>
    <dgm:pt modelId="{98E66143-9105-42A3-B781-F4E24821994A}" type="pres">
      <dgm:prSet presAssocID="{93802945-DB23-41BB-B88A-097E3C687907}" presName="Accent" presStyleLbl="bgShp" presStyleIdx="1" presStyleCnt="6"/>
      <dgm:spPr/>
    </dgm:pt>
    <dgm:pt modelId="{FE8656F6-CD9D-425E-A3DD-5776A1101A6B}" type="pres">
      <dgm:prSet presAssocID="{93802945-DB23-41BB-B88A-097E3C687907}" presName="Child2" presStyleLbl="node1" presStyleIdx="1" presStyleCnt="6" custScaleX="109531" custScaleY="106627" custLinFactNeighborX="5962">
        <dgm:presLayoutVars>
          <dgm:chMax val="0"/>
          <dgm:chPref val="0"/>
          <dgm:bulletEnabled val="1"/>
        </dgm:presLayoutVars>
      </dgm:prSet>
      <dgm:spPr/>
      <dgm:t>
        <a:bodyPr/>
        <a:lstStyle/>
        <a:p>
          <a:endParaRPr lang="en-US"/>
        </a:p>
      </dgm:t>
    </dgm:pt>
    <dgm:pt modelId="{4C3FA099-A4BA-4205-BF04-3C5E4F92789D}" type="pres">
      <dgm:prSet presAssocID="{7C7C7781-23C4-4A30-A71C-6045EA9A9502}" presName="Accent3" presStyleCnt="0"/>
      <dgm:spPr/>
    </dgm:pt>
    <dgm:pt modelId="{3DC8AEBB-C654-46B3-B399-8A6921E4E744}" type="pres">
      <dgm:prSet presAssocID="{7C7C7781-23C4-4A30-A71C-6045EA9A9502}" presName="Accent" presStyleLbl="bgShp" presStyleIdx="2" presStyleCnt="6"/>
      <dgm:spPr/>
    </dgm:pt>
    <dgm:pt modelId="{3B19906A-5F64-4A4A-9FD5-91E041B4B337}" type="pres">
      <dgm:prSet presAssocID="{7C7C7781-23C4-4A30-A71C-6045EA9A9502}" presName="Child3" presStyleLbl="node1" presStyleIdx="2" presStyleCnt="6">
        <dgm:presLayoutVars>
          <dgm:chMax val="0"/>
          <dgm:chPref val="0"/>
          <dgm:bulletEnabled val="1"/>
        </dgm:presLayoutVars>
      </dgm:prSet>
      <dgm:spPr/>
      <dgm:t>
        <a:bodyPr/>
        <a:lstStyle/>
        <a:p>
          <a:endParaRPr lang="en-US"/>
        </a:p>
      </dgm:t>
    </dgm:pt>
    <dgm:pt modelId="{BE744E21-8F07-4907-8742-214DCD6788C1}" type="pres">
      <dgm:prSet presAssocID="{315284A4-9B2A-4755-96C6-6D989DB44DDF}" presName="Accent4" presStyleCnt="0"/>
      <dgm:spPr/>
    </dgm:pt>
    <dgm:pt modelId="{12D38EBD-57E6-4E14-A1CF-BC04337612C9}" type="pres">
      <dgm:prSet presAssocID="{315284A4-9B2A-4755-96C6-6D989DB44DDF}" presName="Accent" presStyleLbl="bgShp" presStyleIdx="3" presStyleCnt="6"/>
      <dgm:spPr/>
    </dgm:pt>
    <dgm:pt modelId="{CC1ED23B-E1CB-4663-814E-38637DE1285D}" type="pres">
      <dgm:prSet presAssocID="{315284A4-9B2A-4755-96C6-6D989DB44DDF}" presName="Child4" presStyleLbl="node1" presStyleIdx="3" presStyleCnt="6" custScaleX="107092" custScaleY="97703">
        <dgm:presLayoutVars>
          <dgm:chMax val="0"/>
          <dgm:chPref val="0"/>
          <dgm:bulletEnabled val="1"/>
        </dgm:presLayoutVars>
      </dgm:prSet>
      <dgm:spPr/>
      <dgm:t>
        <a:bodyPr/>
        <a:lstStyle/>
        <a:p>
          <a:endParaRPr lang="en-US"/>
        </a:p>
      </dgm:t>
    </dgm:pt>
    <dgm:pt modelId="{A246C00A-3AFA-405D-B1E8-51CEE59830B8}" type="pres">
      <dgm:prSet presAssocID="{52CA5708-8F1E-4F79-80F1-88B10466A676}" presName="Accent5" presStyleCnt="0"/>
      <dgm:spPr/>
    </dgm:pt>
    <dgm:pt modelId="{889A6C10-EE56-42F7-9B9D-EB01C1098738}" type="pres">
      <dgm:prSet presAssocID="{52CA5708-8F1E-4F79-80F1-88B10466A676}" presName="Accent" presStyleLbl="bgShp" presStyleIdx="4" presStyleCnt="6"/>
      <dgm:spPr/>
    </dgm:pt>
    <dgm:pt modelId="{4EBCFAF2-EAFB-4410-B956-3CCB9BB8CA41}" type="pres">
      <dgm:prSet presAssocID="{52CA5708-8F1E-4F79-80F1-88B10466A676}" presName="Child5" presStyleLbl="node1" presStyleIdx="4" presStyleCnt="6" custScaleX="111019" custScaleY="104137">
        <dgm:presLayoutVars>
          <dgm:chMax val="0"/>
          <dgm:chPref val="0"/>
          <dgm:bulletEnabled val="1"/>
        </dgm:presLayoutVars>
      </dgm:prSet>
      <dgm:spPr/>
      <dgm:t>
        <a:bodyPr/>
        <a:lstStyle/>
        <a:p>
          <a:endParaRPr lang="en-US"/>
        </a:p>
      </dgm:t>
    </dgm:pt>
    <dgm:pt modelId="{6F2F4EC5-7216-47F4-A6B9-C52188CB2821}" type="pres">
      <dgm:prSet presAssocID="{9B430361-D0D3-4B75-BF11-61052054FB45}" presName="Accent6" presStyleCnt="0"/>
      <dgm:spPr/>
    </dgm:pt>
    <dgm:pt modelId="{F962999A-B5FC-46CB-B713-88E8CE809ADD}" type="pres">
      <dgm:prSet presAssocID="{9B430361-D0D3-4B75-BF11-61052054FB45}" presName="Accent" presStyleLbl="bgShp" presStyleIdx="5" presStyleCnt="6"/>
      <dgm:spPr/>
    </dgm:pt>
    <dgm:pt modelId="{EE09F9FD-13AF-4E5A-B64D-747A78FFD7A9}" type="pres">
      <dgm:prSet presAssocID="{9B430361-D0D3-4B75-BF11-61052054FB45}" presName="Child6" presStyleLbl="node1" presStyleIdx="5" presStyleCnt="6">
        <dgm:presLayoutVars>
          <dgm:chMax val="0"/>
          <dgm:chPref val="0"/>
          <dgm:bulletEnabled val="1"/>
        </dgm:presLayoutVars>
      </dgm:prSet>
      <dgm:spPr/>
      <dgm:t>
        <a:bodyPr/>
        <a:lstStyle/>
        <a:p>
          <a:endParaRPr lang="en-US"/>
        </a:p>
      </dgm:t>
    </dgm:pt>
  </dgm:ptLst>
  <dgm:cxnLst>
    <dgm:cxn modelId="{D9C354A1-F488-4487-9808-A55825AB5EE6}" type="presOf" srcId="{584AF260-84C6-4E25-A3A5-9B8ECD6DBF41}" destId="{F0109772-5A9D-4207-A22E-0C45F84411A8}" srcOrd="0" destOrd="0" presId="urn:microsoft.com/office/officeart/2011/layout/HexagonRadial#1"/>
    <dgm:cxn modelId="{5AB25904-A825-418C-B760-E3ED45A696DA}" srcId="{584AF260-84C6-4E25-A3A5-9B8ECD6DBF41}" destId="{93802945-DB23-41BB-B88A-097E3C687907}" srcOrd="1" destOrd="0" parTransId="{46F155A9-1774-4859-96BA-2B124FA15666}" sibTransId="{692024B6-A50F-406E-A1FC-D8AA48AF18C5}"/>
    <dgm:cxn modelId="{32B40C5E-6396-49E8-8ED7-079532AEDAE7}" type="presOf" srcId="{315284A4-9B2A-4755-96C6-6D989DB44DDF}" destId="{CC1ED23B-E1CB-4663-814E-38637DE1285D}" srcOrd="0" destOrd="0" presId="urn:microsoft.com/office/officeart/2011/layout/HexagonRadial#1"/>
    <dgm:cxn modelId="{84944759-F3C0-41CB-95AC-64496136B6EC}" type="presOf" srcId="{7C7C7781-23C4-4A30-A71C-6045EA9A9502}" destId="{3B19906A-5F64-4A4A-9FD5-91E041B4B337}" srcOrd="0" destOrd="0" presId="urn:microsoft.com/office/officeart/2011/layout/HexagonRadial#1"/>
    <dgm:cxn modelId="{BA9853B4-1554-4221-98D5-A818E82A7E6F}" type="presOf" srcId="{4F6F5B5B-C549-459C-9D83-7584A5F34DD0}" destId="{903BFF0F-C192-4E71-B159-579CC8C22C17}" srcOrd="0" destOrd="0" presId="urn:microsoft.com/office/officeart/2011/layout/HexagonRadial#1"/>
    <dgm:cxn modelId="{B573876D-1D45-4652-B163-29137819EF94}" srcId="{584AF260-84C6-4E25-A3A5-9B8ECD6DBF41}" destId="{7C7C7781-23C4-4A30-A71C-6045EA9A9502}" srcOrd="2" destOrd="0" parTransId="{A9AF7DBB-F0CA-4AEF-98FC-5C45E56D6B8F}" sibTransId="{26FAE802-98E4-4C73-9EF2-C0FB7B1B9922}"/>
    <dgm:cxn modelId="{1FE6AD89-6724-485D-9B66-3F8C5A9AB67B}" srcId="{584AF260-84C6-4E25-A3A5-9B8ECD6DBF41}" destId="{315284A4-9B2A-4755-96C6-6D989DB44DDF}" srcOrd="3" destOrd="0" parTransId="{A06DCDF7-219F-4680-AAD5-C0C740F28AD3}" sibTransId="{0D47ADFA-804F-4C5F-ABA3-283E798CF46F}"/>
    <dgm:cxn modelId="{B06DD2B3-E419-47CA-9129-7D4A2EE26CD8}" type="presOf" srcId="{52CA5708-8F1E-4F79-80F1-88B10466A676}" destId="{4EBCFAF2-EAFB-4410-B956-3CCB9BB8CA41}" srcOrd="0" destOrd="0" presId="urn:microsoft.com/office/officeart/2011/layout/HexagonRadial#1"/>
    <dgm:cxn modelId="{C98E9268-C076-4E97-B389-CE546D3ABEB7}" srcId="{584AF260-84C6-4E25-A3A5-9B8ECD6DBF41}" destId="{4F6F5B5B-C549-459C-9D83-7584A5F34DD0}" srcOrd="0" destOrd="0" parTransId="{129B0D7A-E24F-4D73-AE78-F239833690B7}" sibTransId="{26388D72-FDC5-4CF0-9CE2-8E179AD7DE43}"/>
    <dgm:cxn modelId="{5513415C-CAD9-4C23-8372-897C91877CF3}" type="presOf" srcId="{9B430361-D0D3-4B75-BF11-61052054FB45}" destId="{EE09F9FD-13AF-4E5A-B64D-747A78FFD7A9}" srcOrd="0" destOrd="0" presId="urn:microsoft.com/office/officeart/2011/layout/HexagonRadial#1"/>
    <dgm:cxn modelId="{79894B17-4A9A-4FB2-8CCA-67C235C76B82}" srcId="{584AF260-84C6-4E25-A3A5-9B8ECD6DBF41}" destId="{9B430361-D0D3-4B75-BF11-61052054FB45}" srcOrd="5" destOrd="0" parTransId="{7B9909B3-22C2-4AED-AA5F-58E88BEB7E8D}" sibTransId="{E2FBEDDF-EB98-46F5-A16E-F11EB9A32509}"/>
    <dgm:cxn modelId="{67434D44-D6B9-4A38-9304-4358F4EA2D47}" srcId="{584AF260-84C6-4E25-A3A5-9B8ECD6DBF41}" destId="{52CA5708-8F1E-4F79-80F1-88B10466A676}" srcOrd="4" destOrd="0" parTransId="{70FB31DD-5D37-4CD0-837D-78057A3D9AD8}" sibTransId="{93D444F6-4E4F-4202-A6BD-76F2290610FE}"/>
    <dgm:cxn modelId="{3BA330EE-73D5-4B54-9338-085DB140CF99}" type="presOf" srcId="{F968EC20-7E51-4150-B1AF-0F879F1010AD}" destId="{D39676B5-3635-49E4-9160-20830A75645D}" srcOrd="0" destOrd="0" presId="urn:microsoft.com/office/officeart/2011/layout/HexagonRadial#1"/>
    <dgm:cxn modelId="{BE32EEB0-9CF0-4D19-BA0E-D96BC6EF9C15}" type="presOf" srcId="{93802945-DB23-41BB-B88A-097E3C687907}" destId="{FE8656F6-CD9D-425E-A3DD-5776A1101A6B}" srcOrd="0" destOrd="0" presId="urn:microsoft.com/office/officeart/2011/layout/HexagonRadial#1"/>
    <dgm:cxn modelId="{4D1FE9AC-A081-4066-AB84-952233ACB358}" srcId="{F968EC20-7E51-4150-B1AF-0F879F1010AD}" destId="{584AF260-84C6-4E25-A3A5-9B8ECD6DBF41}" srcOrd="0" destOrd="0" parTransId="{E4A5AC5F-E37E-4BE9-B33A-CF245539C219}" sibTransId="{DDB07039-0A8D-4779-8FE6-5EF6206CC301}"/>
    <dgm:cxn modelId="{EAE9B910-AB22-4508-8798-FF2060E47E2E}" type="presParOf" srcId="{D39676B5-3635-49E4-9160-20830A75645D}" destId="{F0109772-5A9D-4207-A22E-0C45F84411A8}" srcOrd="0" destOrd="0" presId="urn:microsoft.com/office/officeart/2011/layout/HexagonRadial#1"/>
    <dgm:cxn modelId="{D11EDDBC-6445-4455-87FE-6D9E59F42B6A}" type="presParOf" srcId="{D39676B5-3635-49E4-9160-20830A75645D}" destId="{C26410C3-429B-41A9-ABE7-F30951975943}" srcOrd="1" destOrd="0" presId="urn:microsoft.com/office/officeart/2011/layout/HexagonRadial#1"/>
    <dgm:cxn modelId="{798F31B5-F444-47F1-AEB7-E5AD2223112F}" type="presParOf" srcId="{C26410C3-429B-41A9-ABE7-F30951975943}" destId="{B75F1B8A-0C99-40D8-8D51-793482F9C366}" srcOrd="0" destOrd="0" presId="urn:microsoft.com/office/officeart/2011/layout/HexagonRadial#1"/>
    <dgm:cxn modelId="{0D4D4559-9EB3-4269-BB4B-09D8F2CA8A84}" type="presParOf" srcId="{D39676B5-3635-49E4-9160-20830A75645D}" destId="{903BFF0F-C192-4E71-B159-579CC8C22C17}" srcOrd="2" destOrd="0" presId="urn:microsoft.com/office/officeart/2011/layout/HexagonRadial#1"/>
    <dgm:cxn modelId="{6870B099-6EAC-427E-AF28-A9A26CFF66AB}" type="presParOf" srcId="{D39676B5-3635-49E4-9160-20830A75645D}" destId="{23BC8384-3788-4F8C-B1E7-C20E5B1DF110}" srcOrd="3" destOrd="0" presId="urn:microsoft.com/office/officeart/2011/layout/HexagonRadial#1"/>
    <dgm:cxn modelId="{88DDDB1A-A631-4E04-A1CB-ECB40AC2791F}" type="presParOf" srcId="{23BC8384-3788-4F8C-B1E7-C20E5B1DF110}" destId="{98E66143-9105-42A3-B781-F4E24821994A}" srcOrd="0" destOrd="0" presId="urn:microsoft.com/office/officeart/2011/layout/HexagonRadial#1"/>
    <dgm:cxn modelId="{E6F5E985-456F-4F76-B039-79295A14FA4C}" type="presParOf" srcId="{D39676B5-3635-49E4-9160-20830A75645D}" destId="{FE8656F6-CD9D-425E-A3DD-5776A1101A6B}" srcOrd="4" destOrd="0" presId="urn:microsoft.com/office/officeart/2011/layout/HexagonRadial#1"/>
    <dgm:cxn modelId="{5884FF33-01CF-4F6A-BBC1-DF7DA3BE85F1}" type="presParOf" srcId="{D39676B5-3635-49E4-9160-20830A75645D}" destId="{4C3FA099-A4BA-4205-BF04-3C5E4F92789D}" srcOrd="5" destOrd="0" presId="urn:microsoft.com/office/officeart/2011/layout/HexagonRadial#1"/>
    <dgm:cxn modelId="{D2049C40-DF0D-46C1-9C4E-01BD838CB11D}" type="presParOf" srcId="{4C3FA099-A4BA-4205-BF04-3C5E4F92789D}" destId="{3DC8AEBB-C654-46B3-B399-8A6921E4E744}" srcOrd="0" destOrd="0" presId="urn:microsoft.com/office/officeart/2011/layout/HexagonRadial#1"/>
    <dgm:cxn modelId="{D7D7BD9C-5766-48DF-BE8F-632D3D2794CA}" type="presParOf" srcId="{D39676B5-3635-49E4-9160-20830A75645D}" destId="{3B19906A-5F64-4A4A-9FD5-91E041B4B337}" srcOrd="6" destOrd="0" presId="urn:microsoft.com/office/officeart/2011/layout/HexagonRadial#1"/>
    <dgm:cxn modelId="{3A31C5C0-DEEC-4B83-B4A7-3063BD7A1FD8}" type="presParOf" srcId="{D39676B5-3635-49E4-9160-20830A75645D}" destId="{BE744E21-8F07-4907-8742-214DCD6788C1}" srcOrd="7" destOrd="0" presId="urn:microsoft.com/office/officeart/2011/layout/HexagonRadial#1"/>
    <dgm:cxn modelId="{1AA43CEA-1DDB-4D22-B96D-2294C9EF62F7}" type="presParOf" srcId="{BE744E21-8F07-4907-8742-214DCD6788C1}" destId="{12D38EBD-57E6-4E14-A1CF-BC04337612C9}" srcOrd="0" destOrd="0" presId="urn:microsoft.com/office/officeart/2011/layout/HexagonRadial#1"/>
    <dgm:cxn modelId="{5B6146F6-5839-445A-A297-CBB54605F445}" type="presParOf" srcId="{D39676B5-3635-49E4-9160-20830A75645D}" destId="{CC1ED23B-E1CB-4663-814E-38637DE1285D}" srcOrd="8" destOrd="0" presId="urn:microsoft.com/office/officeart/2011/layout/HexagonRadial#1"/>
    <dgm:cxn modelId="{5C3C0C52-2E2A-4B0F-9F8D-1B1E8955EF6A}" type="presParOf" srcId="{D39676B5-3635-49E4-9160-20830A75645D}" destId="{A246C00A-3AFA-405D-B1E8-51CEE59830B8}" srcOrd="9" destOrd="0" presId="urn:microsoft.com/office/officeart/2011/layout/HexagonRadial#1"/>
    <dgm:cxn modelId="{9B0A3CAE-834B-44F8-A795-F2AD7C55604D}" type="presParOf" srcId="{A246C00A-3AFA-405D-B1E8-51CEE59830B8}" destId="{889A6C10-EE56-42F7-9B9D-EB01C1098738}" srcOrd="0" destOrd="0" presId="urn:microsoft.com/office/officeart/2011/layout/HexagonRadial#1"/>
    <dgm:cxn modelId="{F19035F9-31F0-48C3-94AF-B9650A8C347E}" type="presParOf" srcId="{D39676B5-3635-49E4-9160-20830A75645D}" destId="{4EBCFAF2-EAFB-4410-B956-3CCB9BB8CA41}" srcOrd="10" destOrd="0" presId="urn:microsoft.com/office/officeart/2011/layout/HexagonRadial#1"/>
    <dgm:cxn modelId="{9D0F974D-23D6-4FC8-81A4-C592FF96DA49}" type="presParOf" srcId="{D39676B5-3635-49E4-9160-20830A75645D}" destId="{6F2F4EC5-7216-47F4-A6B9-C52188CB2821}" srcOrd="11" destOrd="0" presId="urn:microsoft.com/office/officeart/2011/layout/HexagonRadial#1"/>
    <dgm:cxn modelId="{2906C04C-2C96-4A37-98E6-8AB69971A8B6}" type="presParOf" srcId="{6F2F4EC5-7216-47F4-A6B9-C52188CB2821}" destId="{F962999A-B5FC-46CB-B713-88E8CE809ADD}" srcOrd="0" destOrd="0" presId="urn:microsoft.com/office/officeart/2011/layout/HexagonRadial#1"/>
    <dgm:cxn modelId="{D5322035-BDF8-4413-96FD-DC27EA14415C}" type="presParOf" srcId="{D39676B5-3635-49E4-9160-20830A75645D}" destId="{EE09F9FD-13AF-4E5A-B64D-747A78FFD7A9}" srcOrd="12" destOrd="0" presId="urn:microsoft.com/office/officeart/2011/layout/HexagonRadial#1"/>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6D15C260-D5D3-48AC-86AF-FF9D8459ECDD}"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endParaRPr lang="en-US"/>
        </a:p>
      </dgm:t>
    </dgm:pt>
    <dgm:pt modelId="{46311234-60D1-4D9B-928A-C03F0D7EE9F9}">
      <dgm:prSet phldrT="[Text]" custT="1">
        <dgm:style>
          <a:lnRef idx="2">
            <a:schemeClr val="accent3"/>
          </a:lnRef>
          <a:fillRef idx="1">
            <a:schemeClr val="lt1"/>
          </a:fillRef>
          <a:effectRef idx="0">
            <a:schemeClr val="accent3"/>
          </a:effectRef>
          <a:fontRef idx="minor">
            <a:schemeClr val="dk1"/>
          </a:fontRef>
        </dgm:style>
      </dgm:prSet>
      <dgm:spPr/>
      <dgm:t>
        <a:bodyPr/>
        <a:lstStyle/>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endParaRPr lang="en-US" sz="900" b="1"/>
        </a:p>
        <a:p>
          <a:pPr algn="ctr"/>
          <a:r>
            <a:rPr lang="en-US" sz="1000" b="1"/>
            <a:t>HEALTH WORKFORCE</a:t>
          </a:r>
        </a:p>
        <a:p>
          <a:pPr algn="ctr"/>
          <a:r>
            <a:rPr lang="en-US" sz="1000"/>
            <a:t>Health worker density (a,b)</a:t>
          </a:r>
        </a:p>
        <a:p>
          <a:pPr algn="ctr"/>
          <a:endParaRPr lang="en-US" sz="1000" b="1"/>
        </a:p>
        <a:p>
          <a:pPr algn="ctr"/>
          <a:r>
            <a:rPr lang="en-US" sz="1000" b="1"/>
            <a:t>MEDICINES AND</a:t>
          </a:r>
        </a:p>
        <a:p>
          <a:pPr algn="ctr"/>
          <a:r>
            <a:rPr lang="en-US" sz="1000" b="1"/>
            <a:t>TECHNOLOGIES</a:t>
          </a:r>
        </a:p>
        <a:p>
          <a:pPr algn="l"/>
          <a:r>
            <a:rPr lang="en-US" sz="1000"/>
            <a:t>Availability of essential medicines and commodities (a,b)</a:t>
          </a:r>
        </a:p>
        <a:p>
          <a:pPr algn="ctr"/>
          <a:endParaRPr lang="en-US" sz="1000"/>
        </a:p>
        <a:p>
          <a:pPr algn="ctr"/>
          <a:r>
            <a:rPr lang="en-US" sz="1000" b="1"/>
            <a:t>HEALTH INFORMATION</a:t>
          </a:r>
        </a:p>
        <a:p>
          <a:pPr algn="ctr"/>
          <a:r>
            <a:rPr lang="en-US" sz="1000" b="1"/>
            <a:t>AND SURVEILLANCE</a:t>
          </a:r>
        </a:p>
        <a:p>
          <a:pPr algn="ctr"/>
          <a:r>
            <a:rPr lang="en-US" sz="1000" b="1"/>
            <a:t>SYSTEMS</a:t>
          </a:r>
        </a:p>
        <a:p>
          <a:pPr algn="ctr"/>
          <a:r>
            <a:rPr lang="en-US" sz="1000"/>
            <a:t> Birth registration coverage</a:t>
          </a:r>
        </a:p>
        <a:p>
          <a:pPr algn="ctr"/>
          <a:r>
            <a:rPr lang="en-US" sz="1000"/>
            <a:t>(children&lt;5 ) (a,b)</a:t>
          </a:r>
        </a:p>
        <a:p>
          <a:pPr algn="l"/>
          <a:r>
            <a:rPr lang="en-US" sz="1000"/>
            <a:t>Reporting rate (DHIS-2)</a:t>
          </a:r>
        </a:p>
        <a:p>
          <a:pPr algn="ctr"/>
          <a:endParaRPr lang="en-US" sz="1000"/>
        </a:p>
        <a:p>
          <a:pPr algn="ctr"/>
          <a:r>
            <a:rPr lang="en-US" sz="1000" b="1"/>
            <a:t>HEALTH FINANCING</a:t>
          </a:r>
        </a:p>
        <a:p>
          <a:pPr algn="l"/>
          <a:r>
            <a:rPr lang="en-US" sz="1000"/>
            <a:t>Government health spending Total health expenditure (% of GDP)</a:t>
          </a:r>
        </a:p>
      </dgm:t>
    </dgm:pt>
    <dgm:pt modelId="{CE138CCA-CB03-4EC7-9841-AC9A5B7D38BB}" type="parTrans" cxnId="{6EC91402-22A1-4A08-A165-9B670775AE2A}">
      <dgm:prSet/>
      <dgm:spPr/>
      <dgm:t>
        <a:bodyPr/>
        <a:lstStyle/>
        <a:p>
          <a:endParaRPr lang="en-US"/>
        </a:p>
      </dgm:t>
    </dgm:pt>
    <dgm:pt modelId="{F043EA9A-7331-4152-BF56-1B01642ED67B}" type="sibTrans" cxnId="{6EC91402-22A1-4A08-A165-9B670775AE2A}">
      <dgm:prSet/>
      <dgm:spPr/>
      <dgm:t>
        <a:bodyPr/>
        <a:lstStyle/>
        <a:p>
          <a:endParaRPr lang="en-US"/>
        </a:p>
      </dgm:t>
    </dgm:pt>
    <dgm:pt modelId="{BB1D0A3F-1856-410E-BA4A-ED56690A2CEC}">
      <dgm:prSet phldrT="[Text]" custT="1">
        <dgm:style>
          <a:lnRef idx="2">
            <a:schemeClr val="accent6"/>
          </a:lnRef>
          <a:fillRef idx="1">
            <a:schemeClr val="lt1"/>
          </a:fillRef>
          <a:effectRef idx="0">
            <a:schemeClr val="accent6"/>
          </a:effectRef>
          <a:fontRef idx="minor">
            <a:schemeClr val="dk1"/>
          </a:fontRef>
        </dgm:style>
      </dgm:prSet>
      <dgm:spPr/>
      <dgm:t>
        <a:bodyPr/>
        <a:lstStyle/>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r>
            <a:rPr lang="en-US" sz="1000" b="1"/>
            <a:t>HEALTH SERVICE</a:t>
          </a:r>
        </a:p>
        <a:p>
          <a:pPr algn="ctr"/>
          <a:r>
            <a:rPr lang="en-US" sz="1000" b="1"/>
            <a:t>DELIVERY</a:t>
          </a:r>
        </a:p>
        <a:p>
          <a:pPr algn="ctr"/>
          <a:r>
            <a:rPr lang="en-US" sz="1000"/>
            <a:t>Availability and readiness</a:t>
          </a:r>
        </a:p>
        <a:p>
          <a:pPr algn="l"/>
          <a:r>
            <a:rPr lang="en-US" sz="1000"/>
            <a:t>Meeting and sustaining</a:t>
          </a:r>
        </a:p>
        <a:p>
          <a:pPr algn="l"/>
          <a:r>
            <a:rPr lang="en-US" sz="1000"/>
            <a:t>IHR core capacities</a:t>
          </a:r>
        </a:p>
        <a:p>
          <a:pPr algn="l"/>
          <a:r>
            <a:rPr lang="en-US" sz="1000"/>
            <a:t>Level of knowledge on UHC for both public and healthcare workers</a:t>
          </a:r>
        </a:p>
        <a:p>
          <a:pPr algn="l"/>
          <a:endParaRPr lang="en-US" sz="1000"/>
        </a:p>
        <a:p>
          <a:pPr algn="ctr"/>
          <a:r>
            <a:rPr lang="en-US" sz="1000" b="1"/>
            <a:t>ACCESSIBILITY</a:t>
          </a:r>
        </a:p>
        <a:p>
          <a:pPr algn="l"/>
          <a:r>
            <a:rPr lang="en-US" sz="1000"/>
            <a:t> Median consumer price</a:t>
          </a:r>
        </a:p>
        <a:p>
          <a:pPr algn="l"/>
          <a:r>
            <a:rPr lang="en-US" sz="1000"/>
            <a:t>ratio of selected generic</a:t>
          </a:r>
        </a:p>
        <a:p>
          <a:pPr algn="l"/>
          <a:r>
            <a:rPr lang="en-US" sz="1000"/>
            <a:t>medicines (b)</a:t>
          </a:r>
        </a:p>
        <a:p>
          <a:pPr algn="l"/>
          <a:r>
            <a:rPr lang="en-US" sz="1000"/>
            <a:t>Population accessed Health Benefit Package </a:t>
          </a:r>
        </a:p>
        <a:p>
          <a:pPr algn="l"/>
          <a:endParaRPr lang="en-US" sz="1000"/>
        </a:p>
        <a:p>
          <a:pPr algn="l"/>
          <a:endParaRPr lang="en-US" sz="1000"/>
        </a:p>
        <a:p>
          <a:pPr algn="ctr"/>
          <a:r>
            <a:rPr lang="en-US" sz="1000" b="1"/>
            <a:t>HEALTH-RELATED</a:t>
          </a:r>
        </a:p>
        <a:p>
          <a:pPr algn="ctr"/>
          <a:r>
            <a:rPr lang="en-US" sz="1000" b="1"/>
            <a:t>INTERVENTIONS AND</a:t>
          </a:r>
        </a:p>
        <a:p>
          <a:pPr algn="ctr"/>
          <a:r>
            <a:rPr lang="en-US" sz="1000" b="1"/>
            <a:t>SOCIAL DETERMINANTS</a:t>
          </a:r>
        </a:p>
        <a:p>
          <a:pPr algn="l"/>
          <a:r>
            <a:rPr lang="en-US" sz="1000"/>
            <a:t>Population using improved drinking water sources (a,b)</a:t>
          </a:r>
        </a:p>
        <a:p>
          <a:pPr algn="l"/>
          <a:r>
            <a:rPr lang="en-US" sz="1000"/>
            <a:t>Population using improved sanitation facilities (a,b)</a:t>
          </a:r>
        </a:p>
        <a:p>
          <a:pPr algn="l"/>
          <a:r>
            <a:rPr lang="en-US" sz="1000"/>
            <a:t>Mean urban air pollution</a:t>
          </a:r>
        </a:p>
        <a:p>
          <a:pPr algn="l"/>
          <a:r>
            <a:rPr lang="en-US" sz="1000"/>
            <a:t>of particulate matter (a)</a:t>
          </a:r>
        </a:p>
      </dgm:t>
    </dgm:pt>
    <dgm:pt modelId="{9AC0B42D-4750-42B5-AF87-81BFC7DC86FD}" type="parTrans" cxnId="{22FD704A-0D39-4C93-BE4E-0C6A662728EC}">
      <dgm:prSet/>
      <dgm:spPr/>
      <dgm:t>
        <a:bodyPr/>
        <a:lstStyle/>
        <a:p>
          <a:endParaRPr lang="en-US"/>
        </a:p>
      </dgm:t>
    </dgm:pt>
    <dgm:pt modelId="{30C4A7C2-B34C-42FE-9B3C-71E55E7EF184}" type="sibTrans" cxnId="{22FD704A-0D39-4C93-BE4E-0C6A662728EC}">
      <dgm:prSet/>
      <dgm:spPr/>
      <dgm:t>
        <a:bodyPr/>
        <a:lstStyle/>
        <a:p>
          <a:endParaRPr lang="en-US"/>
        </a:p>
      </dgm:t>
    </dgm:pt>
    <dgm:pt modelId="{410A70AB-92FD-4226-BDA6-409EAFD93FF1}">
      <dgm:prSet phldrT="[Text]" custT="1">
        <dgm:style>
          <a:lnRef idx="2">
            <a:schemeClr val="accent2"/>
          </a:lnRef>
          <a:fillRef idx="1">
            <a:schemeClr val="lt1"/>
          </a:fillRef>
          <a:effectRef idx="0">
            <a:schemeClr val="accent2"/>
          </a:effectRef>
          <a:fontRef idx="minor">
            <a:schemeClr val="dk1"/>
          </a:fontRef>
        </dgm:style>
      </dgm:prSet>
      <dgm:spPr/>
      <dgm:t>
        <a:bodyPr/>
        <a:lstStyle/>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900"/>
        </a:p>
        <a:p>
          <a:pPr algn="ctr"/>
          <a:endParaRPr lang="en-US" sz="1000"/>
        </a:p>
        <a:p>
          <a:pPr algn="ctr"/>
          <a:endParaRPr lang="en-US" sz="1000" b="1"/>
        </a:p>
        <a:p>
          <a:pPr algn="ctr"/>
          <a:r>
            <a:rPr lang="en-US" sz="1000" b="1"/>
            <a:t>HOUSEHOLD</a:t>
          </a:r>
        </a:p>
        <a:p>
          <a:pPr algn="ctr"/>
          <a:r>
            <a:rPr lang="en-US" sz="1000" b="1"/>
            <a:t>HEALTH-RELATED</a:t>
          </a:r>
        </a:p>
        <a:p>
          <a:pPr algn="ctr"/>
          <a:r>
            <a:rPr lang="en-US" sz="1000" b="1"/>
            <a:t>EXPENDITURE</a:t>
          </a:r>
        </a:p>
        <a:p>
          <a:pPr algn="l"/>
          <a:r>
            <a:rPr lang="en-US" sz="1000"/>
            <a:t>Catastrophic health expenditure (a,b)</a:t>
          </a:r>
        </a:p>
        <a:p>
          <a:pPr algn="ctr"/>
          <a:r>
            <a:rPr lang="en-US" sz="1000" b="1"/>
            <a:t>HEALTH SERVICE COVERAGE</a:t>
          </a:r>
        </a:p>
        <a:p>
          <a:pPr algn="l"/>
          <a:r>
            <a:rPr lang="en-US" sz="1000" b="1"/>
            <a:t>Promotive and preventive care</a:t>
          </a:r>
        </a:p>
        <a:p>
          <a:pPr algn="l"/>
          <a:r>
            <a:rPr lang="en-US" sz="1000"/>
            <a:t>Community Dialogues held</a:t>
          </a:r>
        </a:p>
        <a:p>
          <a:pPr algn="l"/>
          <a:r>
            <a:rPr lang="en-US" sz="1000"/>
            <a:t>Family planning coverage (b)</a:t>
          </a:r>
        </a:p>
        <a:p>
          <a:pPr algn="l"/>
          <a:r>
            <a:rPr lang="en-US" sz="1000"/>
            <a:t>Antenatal care coverage</a:t>
          </a:r>
        </a:p>
        <a:p>
          <a:pPr algn="l"/>
          <a:r>
            <a:rPr lang="en-US" sz="1000"/>
            <a:t>(4+ visits) (a,b)</a:t>
          </a:r>
        </a:p>
        <a:p>
          <a:pPr algn="l"/>
          <a:r>
            <a:rPr lang="en-US" sz="1000"/>
            <a:t> Skilled birth attendance (a, b)</a:t>
          </a:r>
        </a:p>
        <a:p>
          <a:pPr algn="l"/>
          <a:r>
            <a:rPr lang="en-US" sz="1000"/>
            <a:t> DTP3-containing vaccine (a,b)</a:t>
          </a:r>
        </a:p>
        <a:p>
          <a:pPr algn="l"/>
          <a:r>
            <a:rPr lang="en-US" sz="1000"/>
            <a:t> Fully immunised children (a,b)</a:t>
          </a:r>
        </a:p>
        <a:p>
          <a:pPr algn="ctr"/>
          <a:r>
            <a:rPr lang="en-US" sz="1000" b="1"/>
            <a:t>Curative care</a:t>
          </a:r>
        </a:p>
        <a:p>
          <a:pPr algn="l"/>
          <a:r>
            <a:rPr lang="en-US" sz="1000"/>
            <a:t> Antiretroviral therapy coverage (a,b)</a:t>
          </a:r>
        </a:p>
        <a:p>
          <a:pPr algn="l"/>
          <a:r>
            <a:rPr lang="en-US" sz="1000"/>
            <a:t>Tuberculosis treatment</a:t>
          </a:r>
        </a:p>
        <a:p>
          <a:pPr algn="l"/>
          <a:r>
            <a:rPr lang="en-US" sz="1000"/>
            <a:t>coverage (a,b)</a:t>
          </a:r>
        </a:p>
        <a:p>
          <a:pPr algn="l"/>
          <a:r>
            <a:rPr lang="en-US" sz="1000"/>
            <a:t>Treatment for substance</a:t>
          </a:r>
        </a:p>
        <a:p>
          <a:pPr algn="l"/>
          <a:r>
            <a:rPr lang="en-US" sz="1000"/>
            <a:t>abuse disorders (b)</a:t>
          </a:r>
        </a:p>
        <a:p>
          <a:pPr algn="l"/>
          <a:r>
            <a:rPr lang="en-US" sz="1000"/>
            <a:t>Hypertension treatment</a:t>
          </a:r>
        </a:p>
        <a:p>
          <a:pPr algn="l"/>
          <a:r>
            <a:rPr lang="en-US" sz="1000"/>
            <a:t>coverage (b)</a:t>
          </a:r>
        </a:p>
        <a:p>
          <a:pPr algn="l"/>
          <a:r>
            <a:rPr lang="en-US" sz="1000"/>
            <a:t>Diabetes treatment coverage (b)</a:t>
          </a:r>
        </a:p>
        <a:p>
          <a:pPr algn="l"/>
          <a:r>
            <a:rPr lang="en-US" sz="1000"/>
            <a:t> Pneumonia treatment coverage (b)</a:t>
          </a:r>
        </a:p>
        <a:p>
          <a:pPr algn="l"/>
          <a:r>
            <a:rPr lang="en-US" sz="1000" b="1"/>
            <a:t>DEMAND AND QUALITY OF CARE</a:t>
          </a:r>
        </a:p>
        <a:p>
          <a:pPr algn="l"/>
          <a:r>
            <a:rPr lang="en-US" sz="1000"/>
            <a:t>Client satisfaction Index</a:t>
          </a:r>
        </a:p>
        <a:p>
          <a:pPr algn="l"/>
          <a:r>
            <a:rPr lang="en-US" sz="1000" b="0" i="0" u="none"/>
            <a:t>Outpatient per capita utilisation Rate</a:t>
          </a:r>
          <a:endParaRPr lang="en-US" sz="1000"/>
        </a:p>
        <a:p>
          <a:pPr algn="l"/>
          <a:r>
            <a:rPr lang="en-US" sz="1000"/>
            <a:t>Maternal  and neonatal deaths Audit</a:t>
          </a:r>
        </a:p>
        <a:p>
          <a:pPr algn="ctr"/>
          <a:r>
            <a:rPr lang="en-US" sz="1000" b="1"/>
            <a:t>LIFESTYLE FACTORS AND</a:t>
          </a:r>
        </a:p>
        <a:p>
          <a:pPr algn="ctr"/>
          <a:r>
            <a:rPr lang="en-US" sz="1000" b="1"/>
            <a:t>PRACTICES</a:t>
          </a:r>
        </a:p>
        <a:p>
          <a:pPr algn="l"/>
          <a:r>
            <a:rPr lang="en-US" sz="1000"/>
            <a:t>Children&lt;5 stunted (a,b)</a:t>
          </a:r>
        </a:p>
        <a:p>
          <a:pPr algn="l"/>
          <a:r>
            <a:rPr lang="en-US" sz="1000"/>
            <a:t>Tobacco use (a,b)</a:t>
          </a:r>
        </a:p>
      </dgm:t>
    </dgm:pt>
    <dgm:pt modelId="{D47DE7B9-063E-4DF2-9E6A-9B28422BD556}" type="parTrans" cxnId="{6F645099-1499-4DD1-9B6F-8BDFCA84BEC2}">
      <dgm:prSet/>
      <dgm:spPr/>
      <dgm:t>
        <a:bodyPr/>
        <a:lstStyle/>
        <a:p>
          <a:endParaRPr lang="en-US"/>
        </a:p>
      </dgm:t>
    </dgm:pt>
    <dgm:pt modelId="{D61581B9-CCD5-4865-B2E7-2D08510A9270}" type="sibTrans" cxnId="{6F645099-1499-4DD1-9B6F-8BDFCA84BEC2}">
      <dgm:prSet/>
      <dgm:spPr/>
      <dgm:t>
        <a:bodyPr/>
        <a:lstStyle/>
        <a:p>
          <a:endParaRPr lang="en-US"/>
        </a:p>
      </dgm:t>
    </dgm:pt>
    <dgm:pt modelId="{2E939C3D-1D89-45E7-B9D1-2B7F2C920574}">
      <dgm:prSet phldrT="[Text]" custT="1">
        <dgm:style>
          <a:lnRef idx="2">
            <a:schemeClr val="accent1"/>
          </a:lnRef>
          <a:fillRef idx="1">
            <a:schemeClr val="lt1"/>
          </a:fillRef>
          <a:effectRef idx="0">
            <a:schemeClr val="accent1"/>
          </a:effectRef>
          <a:fontRef idx="minor">
            <a:schemeClr val="dk1"/>
          </a:fontRef>
        </dgm:style>
      </dgm:prSet>
      <dgm:spPr/>
      <dgm:t>
        <a:bodyPr/>
        <a:lstStyle/>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a:p>
        <a:p>
          <a:pPr algn="ctr"/>
          <a:endParaRPr lang="en-US" sz="1000" b="1"/>
        </a:p>
        <a:p>
          <a:pPr algn="ctr"/>
          <a:r>
            <a:rPr lang="en-US" sz="1000" b="1"/>
            <a:t>HEALTH-RELATED</a:t>
          </a:r>
        </a:p>
        <a:p>
          <a:pPr algn="ctr"/>
          <a:r>
            <a:rPr lang="en-US" sz="1000" b="1"/>
            <a:t>FINANCIAL SECURITY</a:t>
          </a:r>
        </a:p>
        <a:p>
          <a:pPr algn="l"/>
          <a:r>
            <a:rPr lang="en-US" sz="1000"/>
            <a:t> Impoverishing health</a:t>
          </a:r>
        </a:p>
        <a:p>
          <a:pPr algn="ctr"/>
          <a:r>
            <a:rPr lang="en-US" sz="1000"/>
            <a:t>expenditure (a,b)</a:t>
          </a:r>
        </a:p>
        <a:p>
          <a:pPr algn="ctr"/>
          <a:endParaRPr lang="en-US" sz="1000"/>
        </a:p>
        <a:p>
          <a:pPr algn="ctr"/>
          <a:r>
            <a:rPr lang="en-US" sz="1000" b="1"/>
            <a:t>POPULATION HEALTH</a:t>
          </a:r>
        </a:p>
        <a:p>
          <a:pPr algn="l"/>
          <a:r>
            <a:rPr lang="en-US" sz="1000" b="1"/>
            <a:t>Morbidity and mortality</a:t>
          </a:r>
        </a:p>
        <a:p>
          <a:pPr algn="l"/>
          <a:r>
            <a:rPr lang="en-US" sz="1000"/>
            <a:t>Under-5 mortality rate (a,b)</a:t>
          </a:r>
        </a:p>
        <a:p>
          <a:pPr algn="l"/>
          <a:r>
            <a:rPr lang="en-US" sz="1000"/>
            <a:t>Maternal mortality ratio (a,b)</a:t>
          </a:r>
        </a:p>
        <a:p>
          <a:pPr algn="l"/>
          <a:r>
            <a:rPr lang="en-US" sz="1000">
              <a:solidFill>
                <a:srgbClr val="FF0000"/>
              </a:solidFill>
            </a:rPr>
            <a:t>HIV incidence (a,b</a:t>
          </a:r>
          <a:r>
            <a:rPr lang="en-US" sz="1000"/>
            <a:t>)</a:t>
          </a:r>
        </a:p>
        <a:p>
          <a:pPr algn="l"/>
          <a:r>
            <a:rPr lang="en-US" sz="1000"/>
            <a:t>Tuberculosis  cure rate (a,b)</a:t>
          </a:r>
        </a:p>
        <a:p>
          <a:pPr algn="l"/>
          <a:r>
            <a:rPr lang="en-US" sz="1000">
              <a:solidFill>
                <a:schemeClr val="tx1">
                  <a:lumMod val="65000"/>
                  <a:lumOff val="35000"/>
                </a:schemeClr>
              </a:solidFill>
            </a:rPr>
            <a:t>Malaria mortality  rate (a,b)</a:t>
          </a:r>
        </a:p>
        <a:p>
          <a:pPr algn="l"/>
          <a:r>
            <a:rPr lang="en-US" sz="1000"/>
            <a:t>cancer, diabetes, or</a:t>
          </a:r>
        </a:p>
        <a:p>
          <a:pPr algn="ctr"/>
          <a:r>
            <a:rPr lang="en-US" sz="1000"/>
            <a:t>chronic respiratory disease</a:t>
          </a:r>
        </a:p>
        <a:p>
          <a:pPr algn="ctr"/>
          <a:r>
            <a:rPr lang="en-US" sz="1000"/>
            <a:t>between 30 and 70 (a,b)</a:t>
          </a:r>
        </a:p>
        <a:p>
          <a:pPr algn="l"/>
          <a:r>
            <a:rPr lang="en-US" sz="1000"/>
            <a:t>Road traffic deaths (a)</a:t>
          </a:r>
        </a:p>
      </dgm:t>
    </dgm:pt>
    <dgm:pt modelId="{C1787B56-93BE-44C6-B9F3-0ACD9C1D1B82}" type="parTrans" cxnId="{BAB873E9-9C64-4EE0-BA71-273266C24DB7}">
      <dgm:prSet/>
      <dgm:spPr/>
      <dgm:t>
        <a:bodyPr/>
        <a:lstStyle/>
        <a:p>
          <a:endParaRPr lang="en-US"/>
        </a:p>
      </dgm:t>
    </dgm:pt>
    <dgm:pt modelId="{FAABD012-B3D8-4457-9A10-6C66E2D63B0F}" type="sibTrans" cxnId="{BAB873E9-9C64-4EE0-BA71-273266C24DB7}">
      <dgm:prSet/>
      <dgm:spPr/>
      <dgm:t>
        <a:bodyPr/>
        <a:lstStyle/>
        <a:p>
          <a:endParaRPr lang="en-US"/>
        </a:p>
      </dgm:t>
    </dgm:pt>
    <dgm:pt modelId="{9DB80D9D-F8E2-4246-A315-ABACE2DBDB0A}" type="pres">
      <dgm:prSet presAssocID="{6D15C260-D5D3-48AC-86AF-FF9D8459ECDD}" presName="theList" presStyleCnt="0">
        <dgm:presLayoutVars>
          <dgm:dir/>
          <dgm:animLvl val="lvl"/>
          <dgm:resizeHandles val="exact"/>
        </dgm:presLayoutVars>
      </dgm:prSet>
      <dgm:spPr/>
      <dgm:t>
        <a:bodyPr/>
        <a:lstStyle/>
        <a:p>
          <a:endParaRPr lang="en-US"/>
        </a:p>
      </dgm:t>
    </dgm:pt>
    <dgm:pt modelId="{48962DE4-1C36-4280-B320-7AE490B10DBB}" type="pres">
      <dgm:prSet presAssocID="{46311234-60D1-4D9B-928A-C03F0D7EE9F9}" presName="compNode" presStyleCnt="0"/>
      <dgm:spPr/>
    </dgm:pt>
    <dgm:pt modelId="{784D12EA-54A8-492A-A80A-5C0E37396BF1}" type="pres">
      <dgm:prSet presAssocID="{46311234-60D1-4D9B-928A-C03F0D7EE9F9}" presName="aNode" presStyleLbl="bgShp" presStyleIdx="0" presStyleCnt="4"/>
      <dgm:spPr/>
      <dgm:t>
        <a:bodyPr/>
        <a:lstStyle/>
        <a:p>
          <a:endParaRPr lang="en-US"/>
        </a:p>
      </dgm:t>
    </dgm:pt>
    <dgm:pt modelId="{95137FE2-5AEA-4134-B6A0-4C20E7DF1B13}" type="pres">
      <dgm:prSet presAssocID="{46311234-60D1-4D9B-928A-C03F0D7EE9F9}" presName="textNode" presStyleLbl="bgShp" presStyleIdx="0" presStyleCnt="4"/>
      <dgm:spPr/>
      <dgm:t>
        <a:bodyPr/>
        <a:lstStyle/>
        <a:p>
          <a:endParaRPr lang="en-US"/>
        </a:p>
      </dgm:t>
    </dgm:pt>
    <dgm:pt modelId="{C86F1C22-E37C-43D0-9FC4-D617BBB177C8}" type="pres">
      <dgm:prSet presAssocID="{46311234-60D1-4D9B-928A-C03F0D7EE9F9}" presName="compChildNode" presStyleCnt="0"/>
      <dgm:spPr/>
    </dgm:pt>
    <dgm:pt modelId="{FEBE74C0-6C6B-48AF-A58C-27A053F34028}" type="pres">
      <dgm:prSet presAssocID="{46311234-60D1-4D9B-928A-C03F0D7EE9F9}" presName="theInnerList" presStyleCnt="0"/>
      <dgm:spPr/>
    </dgm:pt>
    <dgm:pt modelId="{ADAB7AAB-E71C-4866-9F24-C73D78D1A65A}" type="pres">
      <dgm:prSet presAssocID="{46311234-60D1-4D9B-928A-C03F0D7EE9F9}" presName="aSpace" presStyleCnt="0"/>
      <dgm:spPr/>
    </dgm:pt>
    <dgm:pt modelId="{8A20828B-1838-43DC-9F7B-96789E1F5CF1}" type="pres">
      <dgm:prSet presAssocID="{BB1D0A3F-1856-410E-BA4A-ED56690A2CEC}" presName="compNode" presStyleCnt="0"/>
      <dgm:spPr/>
    </dgm:pt>
    <dgm:pt modelId="{63E92DDE-CBFC-4EB3-8568-C73D2F251299}" type="pres">
      <dgm:prSet presAssocID="{BB1D0A3F-1856-410E-BA4A-ED56690A2CEC}" presName="aNode" presStyleLbl="bgShp" presStyleIdx="1" presStyleCnt="4"/>
      <dgm:spPr/>
      <dgm:t>
        <a:bodyPr/>
        <a:lstStyle/>
        <a:p>
          <a:endParaRPr lang="en-US"/>
        </a:p>
      </dgm:t>
    </dgm:pt>
    <dgm:pt modelId="{B8C59FEA-8D5C-4658-8E64-D06C80B963FD}" type="pres">
      <dgm:prSet presAssocID="{BB1D0A3F-1856-410E-BA4A-ED56690A2CEC}" presName="textNode" presStyleLbl="bgShp" presStyleIdx="1" presStyleCnt="4"/>
      <dgm:spPr/>
      <dgm:t>
        <a:bodyPr/>
        <a:lstStyle/>
        <a:p>
          <a:endParaRPr lang="en-US"/>
        </a:p>
      </dgm:t>
    </dgm:pt>
    <dgm:pt modelId="{A0321872-2650-4497-9E0A-0912032D1E7F}" type="pres">
      <dgm:prSet presAssocID="{BB1D0A3F-1856-410E-BA4A-ED56690A2CEC}" presName="compChildNode" presStyleCnt="0"/>
      <dgm:spPr/>
    </dgm:pt>
    <dgm:pt modelId="{23A873B4-D133-4116-83A8-18F06D600B5F}" type="pres">
      <dgm:prSet presAssocID="{BB1D0A3F-1856-410E-BA4A-ED56690A2CEC}" presName="theInnerList" presStyleCnt="0"/>
      <dgm:spPr/>
    </dgm:pt>
    <dgm:pt modelId="{66B53C72-B816-4E49-A2FF-19087ADA9BD4}" type="pres">
      <dgm:prSet presAssocID="{BB1D0A3F-1856-410E-BA4A-ED56690A2CEC}" presName="aSpace" presStyleCnt="0"/>
      <dgm:spPr/>
    </dgm:pt>
    <dgm:pt modelId="{BF21E9FA-8D29-4E6B-BFFF-B64F1EED7DB4}" type="pres">
      <dgm:prSet presAssocID="{410A70AB-92FD-4226-BDA6-409EAFD93FF1}" presName="compNode" presStyleCnt="0"/>
      <dgm:spPr/>
    </dgm:pt>
    <dgm:pt modelId="{36CE8C19-0E1E-43DC-84E6-963007EB731F}" type="pres">
      <dgm:prSet presAssocID="{410A70AB-92FD-4226-BDA6-409EAFD93FF1}" presName="aNode" presStyleLbl="bgShp" presStyleIdx="2" presStyleCnt="4" custScaleX="110669"/>
      <dgm:spPr/>
      <dgm:t>
        <a:bodyPr/>
        <a:lstStyle/>
        <a:p>
          <a:endParaRPr lang="en-US"/>
        </a:p>
      </dgm:t>
    </dgm:pt>
    <dgm:pt modelId="{3C4E4004-12F6-4994-88B5-4A272D2091C2}" type="pres">
      <dgm:prSet presAssocID="{410A70AB-92FD-4226-BDA6-409EAFD93FF1}" presName="textNode" presStyleLbl="bgShp" presStyleIdx="2" presStyleCnt="4"/>
      <dgm:spPr/>
      <dgm:t>
        <a:bodyPr/>
        <a:lstStyle/>
        <a:p>
          <a:endParaRPr lang="en-US"/>
        </a:p>
      </dgm:t>
    </dgm:pt>
    <dgm:pt modelId="{745ADA31-0885-4C3C-8397-43EB25FD4B92}" type="pres">
      <dgm:prSet presAssocID="{410A70AB-92FD-4226-BDA6-409EAFD93FF1}" presName="compChildNode" presStyleCnt="0"/>
      <dgm:spPr/>
    </dgm:pt>
    <dgm:pt modelId="{B0072FF7-D1BC-4DF0-8B67-E80FAFF85441}" type="pres">
      <dgm:prSet presAssocID="{410A70AB-92FD-4226-BDA6-409EAFD93FF1}" presName="theInnerList" presStyleCnt="0"/>
      <dgm:spPr/>
    </dgm:pt>
    <dgm:pt modelId="{66952B7A-9BC9-43C7-BC23-01FEB88B1F2D}" type="pres">
      <dgm:prSet presAssocID="{410A70AB-92FD-4226-BDA6-409EAFD93FF1}" presName="aSpace" presStyleCnt="0"/>
      <dgm:spPr/>
    </dgm:pt>
    <dgm:pt modelId="{0F007B01-151B-42FC-80E1-3403BA2D722F}" type="pres">
      <dgm:prSet presAssocID="{2E939C3D-1D89-45E7-B9D1-2B7F2C920574}" presName="compNode" presStyleCnt="0"/>
      <dgm:spPr/>
    </dgm:pt>
    <dgm:pt modelId="{63A0576C-183C-400F-94D5-2F40C12E64FB}" type="pres">
      <dgm:prSet presAssocID="{2E939C3D-1D89-45E7-B9D1-2B7F2C920574}" presName="aNode" presStyleLbl="bgShp" presStyleIdx="3" presStyleCnt="4" custScaleX="76834"/>
      <dgm:spPr/>
      <dgm:t>
        <a:bodyPr/>
        <a:lstStyle/>
        <a:p>
          <a:endParaRPr lang="en-US"/>
        </a:p>
      </dgm:t>
    </dgm:pt>
    <dgm:pt modelId="{53E69ADF-B9EF-4C5A-8C0B-C2B1472B5324}" type="pres">
      <dgm:prSet presAssocID="{2E939C3D-1D89-45E7-B9D1-2B7F2C920574}" presName="textNode" presStyleLbl="bgShp" presStyleIdx="3" presStyleCnt="4"/>
      <dgm:spPr/>
      <dgm:t>
        <a:bodyPr/>
        <a:lstStyle/>
        <a:p>
          <a:endParaRPr lang="en-US"/>
        </a:p>
      </dgm:t>
    </dgm:pt>
    <dgm:pt modelId="{6384AD10-8E27-492E-B2D1-7FB5F729DFD5}" type="pres">
      <dgm:prSet presAssocID="{2E939C3D-1D89-45E7-B9D1-2B7F2C920574}" presName="compChildNode" presStyleCnt="0"/>
      <dgm:spPr/>
    </dgm:pt>
    <dgm:pt modelId="{34E4DE19-BAC9-49B8-AFEC-0C4082603707}" type="pres">
      <dgm:prSet presAssocID="{2E939C3D-1D89-45E7-B9D1-2B7F2C920574}" presName="theInnerList" presStyleCnt="0"/>
      <dgm:spPr/>
    </dgm:pt>
  </dgm:ptLst>
  <dgm:cxnLst>
    <dgm:cxn modelId="{AF6AFC69-DDF5-40D7-AD5C-D3BABFE19FF2}" type="presOf" srcId="{BB1D0A3F-1856-410E-BA4A-ED56690A2CEC}" destId="{B8C59FEA-8D5C-4658-8E64-D06C80B963FD}" srcOrd="1" destOrd="0" presId="urn:microsoft.com/office/officeart/2005/8/layout/lProcess2"/>
    <dgm:cxn modelId="{3EC53E87-DCF3-43D9-8672-397371A99F02}" type="presOf" srcId="{46311234-60D1-4D9B-928A-C03F0D7EE9F9}" destId="{95137FE2-5AEA-4134-B6A0-4C20E7DF1B13}" srcOrd="1" destOrd="0" presId="urn:microsoft.com/office/officeart/2005/8/layout/lProcess2"/>
    <dgm:cxn modelId="{58E59126-8DF2-4097-9169-D7F6C8FF0BAF}" type="presOf" srcId="{46311234-60D1-4D9B-928A-C03F0D7EE9F9}" destId="{784D12EA-54A8-492A-A80A-5C0E37396BF1}" srcOrd="0" destOrd="0" presId="urn:microsoft.com/office/officeart/2005/8/layout/lProcess2"/>
    <dgm:cxn modelId="{F58F3A5E-94F7-4F76-947A-DA6A1920887F}" type="presOf" srcId="{2E939C3D-1D89-45E7-B9D1-2B7F2C920574}" destId="{53E69ADF-B9EF-4C5A-8C0B-C2B1472B5324}" srcOrd="1" destOrd="0" presId="urn:microsoft.com/office/officeart/2005/8/layout/lProcess2"/>
    <dgm:cxn modelId="{6EC91402-22A1-4A08-A165-9B670775AE2A}" srcId="{6D15C260-D5D3-48AC-86AF-FF9D8459ECDD}" destId="{46311234-60D1-4D9B-928A-C03F0D7EE9F9}" srcOrd="0" destOrd="0" parTransId="{CE138CCA-CB03-4EC7-9841-AC9A5B7D38BB}" sibTransId="{F043EA9A-7331-4152-BF56-1B01642ED67B}"/>
    <dgm:cxn modelId="{6F645099-1499-4DD1-9B6F-8BDFCA84BEC2}" srcId="{6D15C260-D5D3-48AC-86AF-FF9D8459ECDD}" destId="{410A70AB-92FD-4226-BDA6-409EAFD93FF1}" srcOrd="2" destOrd="0" parTransId="{D47DE7B9-063E-4DF2-9E6A-9B28422BD556}" sibTransId="{D61581B9-CCD5-4865-B2E7-2D08510A9270}"/>
    <dgm:cxn modelId="{C5F7E6A6-E58F-4081-A133-94BBFF86A072}" type="presOf" srcId="{2E939C3D-1D89-45E7-B9D1-2B7F2C920574}" destId="{63A0576C-183C-400F-94D5-2F40C12E64FB}" srcOrd="0" destOrd="0" presId="urn:microsoft.com/office/officeart/2005/8/layout/lProcess2"/>
    <dgm:cxn modelId="{BAB873E9-9C64-4EE0-BA71-273266C24DB7}" srcId="{6D15C260-D5D3-48AC-86AF-FF9D8459ECDD}" destId="{2E939C3D-1D89-45E7-B9D1-2B7F2C920574}" srcOrd="3" destOrd="0" parTransId="{C1787B56-93BE-44C6-B9F3-0ACD9C1D1B82}" sibTransId="{FAABD012-B3D8-4457-9A10-6C66E2D63B0F}"/>
    <dgm:cxn modelId="{3886A489-FA28-40C6-B831-AF7955A80D90}" type="presOf" srcId="{6D15C260-D5D3-48AC-86AF-FF9D8459ECDD}" destId="{9DB80D9D-F8E2-4246-A315-ABACE2DBDB0A}" srcOrd="0" destOrd="0" presId="urn:microsoft.com/office/officeart/2005/8/layout/lProcess2"/>
    <dgm:cxn modelId="{2938DE11-EAB5-4BA1-AAC9-3E7D6CB47CC7}" type="presOf" srcId="{410A70AB-92FD-4226-BDA6-409EAFD93FF1}" destId="{36CE8C19-0E1E-43DC-84E6-963007EB731F}" srcOrd="0" destOrd="0" presId="urn:microsoft.com/office/officeart/2005/8/layout/lProcess2"/>
    <dgm:cxn modelId="{3935255A-3763-4F99-A12F-0DFB08B941DA}" type="presOf" srcId="{BB1D0A3F-1856-410E-BA4A-ED56690A2CEC}" destId="{63E92DDE-CBFC-4EB3-8568-C73D2F251299}" srcOrd="0" destOrd="0" presId="urn:microsoft.com/office/officeart/2005/8/layout/lProcess2"/>
    <dgm:cxn modelId="{22FD704A-0D39-4C93-BE4E-0C6A662728EC}" srcId="{6D15C260-D5D3-48AC-86AF-FF9D8459ECDD}" destId="{BB1D0A3F-1856-410E-BA4A-ED56690A2CEC}" srcOrd="1" destOrd="0" parTransId="{9AC0B42D-4750-42B5-AF87-81BFC7DC86FD}" sibTransId="{30C4A7C2-B34C-42FE-9B3C-71E55E7EF184}"/>
    <dgm:cxn modelId="{80E46408-30D8-4E8D-91A7-CB3CB6768562}" type="presOf" srcId="{410A70AB-92FD-4226-BDA6-409EAFD93FF1}" destId="{3C4E4004-12F6-4994-88B5-4A272D2091C2}" srcOrd="1" destOrd="0" presId="urn:microsoft.com/office/officeart/2005/8/layout/lProcess2"/>
    <dgm:cxn modelId="{AB87216A-85DE-49C2-B7C2-2161F53D0EFA}" type="presParOf" srcId="{9DB80D9D-F8E2-4246-A315-ABACE2DBDB0A}" destId="{48962DE4-1C36-4280-B320-7AE490B10DBB}" srcOrd="0" destOrd="0" presId="urn:microsoft.com/office/officeart/2005/8/layout/lProcess2"/>
    <dgm:cxn modelId="{AD1551AE-6E6D-444F-A001-5E79214BA6D2}" type="presParOf" srcId="{48962DE4-1C36-4280-B320-7AE490B10DBB}" destId="{784D12EA-54A8-492A-A80A-5C0E37396BF1}" srcOrd="0" destOrd="0" presId="urn:microsoft.com/office/officeart/2005/8/layout/lProcess2"/>
    <dgm:cxn modelId="{E3F6A23E-1C52-4E79-A334-C7387B0CC0D0}" type="presParOf" srcId="{48962DE4-1C36-4280-B320-7AE490B10DBB}" destId="{95137FE2-5AEA-4134-B6A0-4C20E7DF1B13}" srcOrd="1" destOrd="0" presId="urn:microsoft.com/office/officeart/2005/8/layout/lProcess2"/>
    <dgm:cxn modelId="{3CB082D3-8E24-40AB-936C-2C47F97C8BE6}" type="presParOf" srcId="{48962DE4-1C36-4280-B320-7AE490B10DBB}" destId="{C86F1C22-E37C-43D0-9FC4-D617BBB177C8}" srcOrd="2" destOrd="0" presId="urn:microsoft.com/office/officeart/2005/8/layout/lProcess2"/>
    <dgm:cxn modelId="{E70E9247-A07B-4CBB-B077-FFC279950BE2}" type="presParOf" srcId="{C86F1C22-E37C-43D0-9FC4-D617BBB177C8}" destId="{FEBE74C0-6C6B-48AF-A58C-27A053F34028}" srcOrd="0" destOrd="0" presId="urn:microsoft.com/office/officeart/2005/8/layout/lProcess2"/>
    <dgm:cxn modelId="{FD343FBB-28B6-4366-8635-6FF0EC832EA6}" type="presParOf" srcId="{9DB80D9D-F8E2-4246-A315-ABACE2DBDB0A}" destId="{ADAB7AAB-E71C-4866-9F24-C73D78D1A65A}" srcOrd="1" destOrd="0" presId="urn:microsoft.com/office/officeart/2005/8/layout/lProcess2"/>
    <dgm:cxn modelId="{DA43C489-28CB-4844-9CFE-85C1625694E3}" type="presParOf" srcId="{9DB80D9D-F8E2-4246-A315-ABACE2DBDB0A}" destId="{8A20828B-1838-43DC-9F7B-96789E1F5CF1}" srcOrd="2" destOrd="0" presId="urn:microsoft.com/office/officeart/2005/8/layout/lProcess2"/>
    <dgm:cxn modelId="{0E169C32-572B-4E82-9AD9-51F094AC6648}" type="presParOf" srcId="{8A20828B-1838-43DC-9F7B-96789E1F5CF1}" destId="{63E92DDE-CBFC-4EB3-8568-C73D2F251299}" srcOrd="0" destOrd="0" presId="urn:microsoft.com/office/officeart/2005/8/layout/lProcess2"/>
    <dgm:cxn modelId="{13B5F94D-F483-4366-87BC-BE539B6F7BC7}" type="presParOf" srcId="{8A20828B-1838-43DC-9F7B-96789E1F5CF1}" destId="{B8C59FEA-8D5C-4658-8E64-D06C80B963FD}" srcOrd="1" destOrd="0" presId="urn:microsoft.com/office/officeart/2005/8/layout/lProcess2"/>
    <dgm:cxn modelId="{DE4C3AB6-AB61-49DD-98C7-61D201E5AB58}" type="presParOf" srcId="{8A20828B-1838-43DC-9F7B-96789E1F5CF1}" destId="{A0321872-2650-4497-9E0A-0912032D1E7F}" srcOrd="2" destOrd="0" presId="urn:microsoft.com/office/officeart/2005/8/layout/lProcess2"/>
    <dgm:cxn modelId="{D8DF5E67-8832-4301-A6BB-B0033DD7CD4D}" type="presParOf" srcId="{A0321872-2650-4497-9E0A-0912032D1E7F}" destId="{23A873B4-D133-4116-83A8-18F06D600B5F}" srcOrd="0" destOrd="0" presId="urn:microsoft.com/office/officeart/2005/8/layout/lProcess2"/>
    <dgm:cxn modelId="{768DEA28-69B3-4F39-9DA6-DA1A518002A3}" type="presParOf" srcId="{9DB80D9D-F8E2-4246-A315-ABACE2DBDB0A}" destId="{66B53C72-B816-4E49-A2FF-19087ADA9BD4}" srcOrd="3" destOrd="0" presId="urn:microsoft.com/office/officeart/2005/8/layout/lProcess2"/>
    <dgm:cxn modelId="{4DC00245-032E-4988-9F97-F6A88C91D3D2}" type="presParOf" srcId="{9DB80D9D-F8E2-4246-A315-ABACE2DBDB0A}" destId="{BF21E9FA-8D29-4E6B-BFFF-B64F1EED7DB4}" srcOrd="4" destOrd="0" presId="urn:microsoft.com/office/officeart/2005/8/layout/lProcess2"/>
    <dgm:cxn modelId="{B61C26DE-D322-491C-A1A3-0052FD6797CD}" type="presParOf" srcId="{BF21E9FA-8D29-4E6B-BFFF-B64F1EED7DB4}" destId="{36CE8C19-0E1E-43DC-84E6-963007EB731F}" srcOrd="0" destOrd="0" presId="urn:microsoft.com/office/officeart/2005/8/layout/lProcess2"/>
    <dgm:cxn modelId="{65E4E630-220A-4CB3-BB8B-CE9C062501E5}" type="presParOf" srcId="{BF21E9FA-8D29-4E6B-BFFF-B64F1EED7DB4}" destId="{3C4E4004-12F6-4994-88B5-4A272D2091C2}" srcOrd="1" destOrd="0" presId="urn:microsoft.com/office/officeart/2005/8/layout/lProcess2"/>
    <dgm:cxn modelId="{9A78A6BB-8F39-4DE5-AECC-59862C5E2E9A}" type="presParOf" srcId="{BF21E9FA-8D29-4E6B-BFFF-B64F1EED7DB4}" destId="{745ADA31-0885-4C3C-8397-43EB25FD4B92}" srcOrd="2" destOrd="0" presId="urn:microsoft.com/office/officeart/2005/8/layout/lProcess2"/>
    <dgm:cxn modelId="{FFDF069D-C9C5-44BA-818E-730A9EBCC9B2}" type="presParOf" srcId="{745ADA31-0885-4C3C-8397-43EB25FD4B92}" destId="{B0072FF7-D1BC-4DF0-8B67-E80FAFF85441}" srcOrd="0" destOrd="0" presId="urn:microsoft.com/office/officeart/2005/8/layout/lProcess2"/>
    <dgm:cxn modelId="{26FD8F3A-452B-446D-9393-B333BAD4CFA7}" type="presParOf" srcId="{9DB80D9D-F8E2-4246-A315-ABACE2DBDB0A}" destId="{66952B7A-9BC9-43C7-BC23-01FEB88B1F2D}" srcOrd="5" destOrd="0" presId="urn:microsoft.com/office/officeart/2005/8/layout/lProcess2"/>
    <dgm:cxn modelId="{90F484C4-3C1E-4EAB-B328-E9E4BEB2032D}" type="presParOf" srcId="{9DB80D9D-F8E2-4246-A315-ABACE2DBDB0A}" destId="{0F007B01-151B-42FC-80E1-3403BA2D722F}" srcOrd="6" destOrd="0" presId="urn:microsoft.com/office/officeart/2005/8/layout/lProcess2"/>
    <dgm:cxn modelId="{EBDBB60D-27FA-46DC-8FEC-64AF67CE605A}" type="presParOf" srcId="{0F007B01-151B-42FC-80E1-3403BA2D722F}" destId="{63A0576C-183C-400F-94D5-2F40C12E64FB}" srcOrd="0" destOrd="0" presId="urn:microsoft.com/office/officeart/2005/8/layout/lProcess2"/>
    <dgm:cxn modelId="{CC4E46BE-CF08-4EF0-B996-0B73EA089C4E}" type="presParOf" srcId="{0F007B01-151B-42FC-80E1-3403BA2D722F}" destId="{53E69ADF-B9EF-4C5A-8C0B-C2B1472B5324}" srcOrd="1" destOrd="0" presId="urn:microsoft.com/office/officeart/2005/8/layout/lProcess2"/>
    <dgm:cxn modelId="{AE8A7A25-9697-42E7-8157-8A44A387E22E}" type="presParOf" srcId="{0F007B01-151B-42FC-80E1-3403BA2D722F}" destId="{6384AD10-8E27-492E-B2D1-7FB5F729DFD5}" srcOrd="2" destOrd="0" presId="urn:microsoft.com/office/officeart/2005/8/layout/lProcess2"/>
    <dgm:cxn modelId="{D35BCA8A-38E6-4FC4-A7C0-AC84BC415196}" type="presParOf" srcId="{6384AD10-8E27-492E-B2D1-7FB5F729DFD5}" destId="{34E4DE19-BAC9-49B8-AFEC-0C4082603707}" srcOrd="0" destOrd="0" presId="urn:microsoft.com/office/officeart/2005/8/layout/lProcess2"/>
  </dgm:cxnLst>
  <dgm:bg/>
  <dgm:whole/>
  <dgm:extLst>
    <a:ext uri="http://schemas.microsoft.com/office/drawing/2008/diagram">
      <dsp:dataModelExt xmlns:dsp="http://schemas.microsoft.com/office/drawing/2008/diagram" relId="rId7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0279231-0886-421A-94B3-A1C9A507B681}">
      <dsp:nvSpPr>
        <dsp:cNvPr id="0" name=""/>
        <dsp:cNvSpPr/>
      </dsp:nvSpPr>
      <dsp:spPr>
        <a:xfrm>
          <a:off x="2091521" y="68022"/>
          <a:ext cx="1397972" cy="705150"/>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Essential services needed by all age groups are </a:t>
          </a:r>
          <a:r>
            <a:rPr lang="en-US" sz="900" b="1" kern="1200"/>
            <a:t>available</a:t>
          </a:r>
          <a:r>
            <a:rPr lang="en-US" sz="900" kern="1200"/>
            <a:t> in the country, and of sufficient quality</a:t>
          </a:r>
        </a:p>
      </dsp:txBody>
      <dsp:txXfrm>
        <a:off x="2112174" y="88675"/>
        <a:ext cx="1356666" cy="663844"/>
      </dsp:txXfrm>
    </dsp:sp>
    <dsp:sp modelId="{8F26451F-3BA0-477D-9258-C9AF1E807B05}">
      <dsp:nvSpPr>
        <dsp:cNvPr id="0" name=""/>
        <dsp:cNvSpPr/>
      </dsp:nvSpPr>
      <dsp:spPr>
        <a:xfrm rot="3335882">
          <a:off x="3005712" y="1065773"/>
          <a:ext cx="589351" cy="198864"/>
        </a:xfrm>
        <a:prstGeom prst="lef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3065371" y="1105546"/>
        <a:ext cx="470033" cy="119318"/>
      </dsp:txXfrm>
    </dsp:sp>
    <dsp:sp modelId="{C601F278-A549-4AC6-8F63-D23A963C0381}">
      <dsp:nvSpPr>
        <dsp:cNvPr id="0" name=""/>
        <dsp:cNvSpPr/>
      </dsp:nvSpPr>
      <dsp:spPr>
        <a:xfrm>
          <a:off x="3111283" y="1557238"/>
          <a:ext cx="1397972" cy="705150"/>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Utilization of these essential services is </a:t>
          </a:r>
          <a:r>
            <a:rPr lang="en-US" sz="900" b="1" kern="1200"/>
            <a:t>equitably distributed </a:t>
          </a:r>
          <a:r>
            <a:rPr lang="en-US" sz="900" kern="1200"/>
            <a:t>for all persons who need them</a:t>
          </a:r>
        </a:p>
      </dsp:txBody>
      <dsp:txXfrm>
        <a:off x="3131936" y="1577891"/>
        <a:ext cx="1356666" cy="663844"/>
      </dsp:txXfrm>
    </dsp:sp>
    <dsp:sp modelId="{A9B55938-E63C-4526-9E1A-8BF586873D51}">
      <dsp:nvSpPr>
        <dsp:cNvPr id="0" name=""/>
        <dsp:cNvSpPr/>
      </dsp:nvSpPr>
      <dsp:spPr>
        <a:xfrm rot="10800021">
          <a:off x="2448262" y="1810374"/>
          <a:ext cx="589351" cy="198864"/>
        </a:xfrm>
        <a:prstGeom prst="lef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rot="10800000">
        <a:off x="2507921" y="1850147"/>
        <a:ext cx="470033" cy="119318"/>
      </dsp:txXfrm>
    </dsp:sp>
    <dsp:sp modelId="{D7500B28-F3BE-40BE-9C10-3073C20DD3A2}">
      <dsp:nvSpPr>
        <dsp:cNvPr id="0" name=""/>
        <dsp:cNvSpPr/>
      </dsp:nvSpPr>
      <dsp:spPr>
        <a:xfrm>
          <a:off x="976621" y="1557224"/>
          <a:ext cx="1397972" cy="705150"/>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The process of utilization of these essential services does not lead to </a:t>
          </a:r>
          <a:r>
            <a:rPr lang="en-US" sz="900" b="1" kern="1200"/>
            <a:t>financial catastrophe </a:t>
          </a:r>
          <a:r>
            <a:rPr lang="en-US" sz="900" kern="1200"/>
            <a:t>for the users</a:t>
          </a:r>
        </a:p>
      </dsp:txBody>
      <dsp:txXfrm>
        <a:off x="997274" y="1577877"/>
        <a:ext cx="1356666" cy="663844"/>
      </dsp:txXfrm>
    </dsp:sp>
    <dsp:sp modelId="{2D08E1C2-79FB-4FC2-A261-12EEE8C384C4}">
      <dsp:nvSpPr>
        <dsp:cNvPr id="0" name=""/>
        <dsp:cNvSpPr/>
      </dsp:nvSpPr>
      <dsp:spPr>
        <a:xfrm rot="18409235">
          <a:off x="1938381" y="1065767"/>
          <a:ext cx="589351" cy="198864"/>
        </a:xfrm>
        <a:prstGeom prst="lef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1998040" y="1105540"/>
        <a:ext cx="470033" cy="1193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289D10-C175-45E6-9DE0-2247304077FA}">
      <dsp:nvSpPr>
        <dsp:cNvPr id="0" name=""/>
        <dsp:cNvSpPr/>
      </dsp:nvSpPr>
      <dsp:spPr>
        <a:xfrm>
          <a:off x="2917"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Team formation</a:t>
          </a:r>
        </a:p>
      </dsp:txBody>
      <dsp:txXfrm>
        <a:off x="20298" y="196914"/>
        <a:ext cx="869517" cy="558671"/>
      </dsp:txXfrm>
    </dsp:sp>
    <dsp:sp modelId="{500232B7-805B-4720-89CB-EC235E000011}">
      <dsp:nvSpPr>
        <dsp:cNvPr id="0" name=""/>
        <dsp:cNvSpPr/>
      </dsp:nvSpPr>
      <dsp:spPr>
        <a:xfrm>
          <a:off x="997624"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997624" y="408971"/>
        <a:ext cx="134195" cy="134557"/>
      </dsp:txXfrm>
    </dsp:sp>
    <dsp:sp modelId="{E674EAD3-EEF3-436D-B35E-696AE8208DD5}">
      <dsp:nvSpPr>
        <dsp:cNvPr id="0" name=""/>
        <dsp:cNvSpPr/>
      </dsp:nvSpPr>
      <dsp:spPr>
        <a:xfrm>
          <a:off x="1268908"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Indicator selection</a:t>
          </a:r>
        </a:p>
      </dsp:txBody>
      <dsp:txXfrm>
        <a:off x="1286289" y="196914"/>
        <a:ext cx="869517" cy="558671"/>
      </dsp:txXfrm>
    </dsp:sp>
    <dsp:sp modelId="{8B39213E-206A-4E9E-BFD0-1D4CAB520AC7}">
      <dsp:nvSpPr>
        <dsp:cNvPr id="0" name=""/>
        <dsp:cNvSpPr/>
      </dsp:nvSpPr>
      <dsp:spPr>
        <a:xfrm>
          <a:off x="2263616"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2263616" y="408971"/>
        <a:ext cx="134195" cy="134557"/>
      </dsp:txXfrm>
    </dsp:sp>
    <dsp:sp modelId="{D3C4B54E-35F1-49EB-B82F-3020BAC403A4}">
      <dsp:nvSpPr>
        <dsp:cNvPr id="0" name=""/>
        <dsp:cNvSpPr/>
      </dsp:nvSpPr>
      <dsp:spPr>
        <a:xfrm>
          <a:off x="2534900"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sources identification</a:t>
          </a:r>
        </a:p>
      </dsp:txBody>
      <dsp:txXfrm>
        <a:off x="2552281" y="196914"/>
        <a:ext cx="869517" cy="558671"/>
      </dsp:txXfrm>
    </dsp:sp>
    <dsp:sp modelId="{88FB03DF-7648-4432-8594-5F6626C25E74}">
      <dsp:nvSpPr>
        <dsp:cNvPr id="0" name=""/>
        <dsp:cNvSpPr/>
      </dsp:nvSpPr>
      <dsp:spPr>
        <a:xfrm>
          <a:off x="3529607"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3529607" y="408971"/>
        <a:ext cx="134195" cy="134557"/>
      </dsp:txXfrm>
    </dsp:sp>
    <dsp:sp modelId="{688E7995-D08D-4F52-88AB-E1420E5B6FF5}">
      <dsp:nvSpPr>
        <dsp:cNvPr id="0" name=""/>
        <dsp:cNvSpPr/>
      </dsp:nvSpPr>
      <dsp:spPr>
        <a:xfrm>
          <a:off x="3800891"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collation into observatory</a:t>
          </a:r>
        </a:p>
      </dsp:txBody>
      <dsp:txXfrm>
        <a:off x="3818272" y="196914"/>
        <a:ext cx="869517" cy="558671"/>
      </dsp:txXfrm>
    </dsp:sp>
    <dsp:sp modelId="{CE5DDB05-F92B-40BF-BD54-0B1679B2803D}">
      <dsp:nvSpPr>
        <dsp:cNvPr id="0" name=""/>
        <dsp:cNvSpPr/>
      </dsp:nvSpPr>
      <dsp:spPr>
        <a:xfrm>
          <a:off x="4795599"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4795599" y="408971"/>
        <a:ext cx="134195" cy="134557"/>
      </dsp:txXfrm>
    </dsp:sp>
    <dsp:sp modelId="{7BB5419E-D0FE-4AA6-ADDA-0FF2ECCCB965}">
      <dsp:nvSpPr>
        <dsp:cNvPr id="0" name=""/>
        <dsp:cNvSpPr/>
      </dsp:nvSpPr>
      <dsp:spPr>
        <a:xfrm>
          <a:off x="5066883"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verification</a:t>
          </a:r>
        </a:p>
      </dsp:txBody>
      <dsp:txXfrm>
        <a:off x="5084264" y="196914"/>
        <a:ext cx="869517" cy="55867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F2E52E9-DC68-451F-89E4-E05C9196350F}">
      <dsp:nvSpPr>
        <dsp:cNvPr id="0" name=""/>
        <dsp:cNvSpPr/>
      </dsp:nvSpPr>
      <dsp:spPr>
        <a:xfrm>
          <a:off x="2026917" y="822960"/>
          <a:ext cx="541024" cy="54863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GB" sz="1000" kern="1200"/>
            <a:t>AREA INDEX</a:t>
          </a:r>
        </a:p>
      </dsp:txBody>
      <dsp:txXfrm>
        <a:off x="2106148" y="903306"/>
        <a:ext cx="382562" cy="387946"/>
      </dsp:txXfrm>
    </dsp:sp>
    <dsp:sp modelId="{373043FA-4908-4E58-9D99-E4E989C8EFE2}">
      <dsp:nvSpPr>
        <dsp:cNvPr id="0" name=""/>
        <dsp:cNvSpPr/>
      </dsp:nvSpPr>
      <dsp:spPr>
        <a:xfrm rot="16200000">
          <a:off x="2235992" y="653090"/>
          <a:ext cx="122875" cy="11485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en-GB" sz="500" kern="1200"/>
        </a:p>
      </dsp:txBody>
      <dsp:txXfrm>
        <a:off x="2253220" y="693289"/>
        <a:ext cx="88419" cy="68911"/>
      </dsp:txXfrm>
    </dsp:sp>
    <dsp:sp modelId="{026894B3-7F27-4361-9A0A-FF85E6F1A7DC}">
      <dsp:nvSpPr>
        <dsp:cNvPr id="0" name=""/>
        <dsp:cNvSpPr/>
      </dsp:nvSpPr>
      <dsp:spPr>
        <a:xfrm>
          <a:off x="1817287" y="57726"/>
          <a:ext cx="960285" cy="533392"/>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n-GB" sz="700" kern="1200"/>
            <a:t>Movement</a:t>
          </a:r>
        </a:p>
      </dsp:txBody>
      <dsp:txXfrm>
        <a:off x="1957917" y="135839"/>
        <a:ext cx="679025" cy="377166"/>
      </dsp:txXfrm>
    </dsp:sp>
    <dsp:sp modelId="{775BCFD1-CB16-4274-8AC7-46559E2AD53F}">
      <dsp:nvSpPr>
        <dsp:cNvPr id="0" name=""/>
        <dsp:cNvSpPr/>
      </dsp:nvSpPr>
      <dsp:spPr>
        <a:xfrm rot="21573243">
          <a:off x="2618092" y="1036887"/>
          <a:ext cx="120843" cy="11485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en-GB" sz="500" kern="1200"/>
        </a:p>
      </dsp:txBody>
      <dsp:txXfrm>
        <a:off x="2618093" y="1059992"/>
        <a:ext cx="86387" cy="68911"/>
      </dsp:txXfrm>
    </dsp:sp>
    <dsp:sp modelId="{1B0FD4D2-EED4-4C60-85A3-99E49362A0B2}">
      <dsp:nvSpPr>
        <dsp:cNvPr id="0" name=""/>
        <dsp:cNvSpPr/>
      </dsp:nvSpPr>
      <dsp:spPr>
        <a:xfrm>
          <a:off x="2795887" y="822966"/>
          <a:ext cx="960285" cy="533392"/>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n-GB" sz="700" kern="1200"/>
            <a:t>Distribution</a:t>
          </a:r>
        </a:p>
      </dsp:txBody>
      <dsp:txXfrm>
        <a:off x="2936517" y="901079"/>
        <a:ext cx="679025" cy="377166"/>
      </dsp:txXfrm>
    </dsp:sp>
    <dsp:sp modelId="{D3E46397-ECED-4674-81B6-126321DA740C}">
      <dsp:nvSpPr>
        <dsp:cNvPr id="0" name=""/>
        <dsp:cNvSpPr/>
      </dsp:nvSpPr>
      <dsp:spPr>
        <a:xfrm rot="5400000">
          <a:off x="2242050" y="1415528"/>
          <a:ext cx="110759" cy="11485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en-GB" sz="500" kern="1200"/>
        </a:p>
      </dsp:txBody>
      <dsp:txXfrm>
        <a:off x="2258664" y="1421885"/>
        <a:ext cx="77531" cy="68911"/>
      </dsp:txXfrm>
    </dsp:sp>
    <dsp:sp modelId="{F5756778-9666-4470-8835-6ED3792385CC}">
      <dsp:nvSpPr>
        <dsp:cNvPr id="0" name=""/>
        <dsp:cNvSpPr/>
      </dsp:nvSpPr>
      <dsp:spPr>
        <a:xfrm>
          <a:off x="1817287" y="1580579"/>
          <a:ext cx="960285" cy="533392"/>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n-GB" sz="700" kern="1200"/>
            <a:t>Extrapolation</a:t>
          </a:r>
        </a:p>
      </dsp:txBody>
      <dsp:txXfrm>
        <a:off x="1957917" y="1658692"/>
        <a:ext cx="679025" cy="377166"/>
      </dsp:txXfrm>
    </dsp:sp>
    <dsp:sp modelId="{C61AC4FB-B279-4D19-B048-628324E57946}">
      <dsp:nvSpPr>
        <dsp:cNvPr id="0" name=""/>
        <dsp:cNvSpPr/>
      </dsp:nvSpPr>
      <dsp:spPr>
        <a:xfrm rot="10800000">
          <a:off x="1873105" y="1039853"/>
          <a:ext cx="108694" cy="11485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en-GB" sz="500" kern="1200"/>
        </a:p>
      </dsp:txBody>
      <dsp:txXfrm rot="10800000">
        <a:off x="1905713" y="1062824"/>
        <a:ext cx="76086" cy="68911"/>
      </dsp:txXfrm>
    </dsp:sp>
    <dsp:sp modelId="{007CA02A-4FBC-4068-AFAE-E3E77ACF18D0}">
      <dsp:nvSpPr>
        <dsp:cNvPr id="0" name=""/>
        <dsp:cNvSpPr/>
      </dsp:nvSpPr>
      <dsp:spPr>
        <a:xfrm>
          <a:off x="861548" y="830583"/>
          <a:ext cx="960285" cy="533392"/>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n-GB" sz="700" kern="1200"/>
            <a:t>Contextualization</a:t>
          </a:r>
        </a:p>
      </dsp:txBody>
      <dsp:txXfrm>
        <a:off x="1002178" y="908696"/>
        <a:ext cx="679025" cy="37716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289D10-C175-45E6-9DE0-2247304077FA}">
      <dsp:nvSpPr>
        <dsp:cNvPr id="0" name=""/>
        <dsp:cNvSpPr/>
      </dsp:nvSpPr>
      <dsp:spPr>
        <a:xfrm>
          <a:off x="2917" y="246876"/>
          <a:ext cx="904279" cy="542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Team formation</a:t>
          </a:r>
        </a:p>
      </dsp:txBody>
      <dsp:txXfrm>
        <a:off x="18808" y="262767"/>
        <a:ext cx="872497" cy="510785"/>
      </dsp:txXfrm>
    </dsp:sp>
    <dsp:sp modelId="{500232B7-805B-4720-89CB-EC235E000011}">
      <dsp:nvSpPr>
        <dsp:cNvPr id="0" name=""/>
        <dsp:cNvSpPr/>
      </dsp:nvSpPr>
      <dsp:spPr>
        <a:xfrm>
          <a:off x="997624" y="40602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997624" y="450881"/>
        <a:ext cx="134195" cy="134557"/>
      </dsp:txXfrm>
    </dsp:sp>
    <dsp:sp modelId="{E674EAD3-EEF3-436D-B35E-696AE8208DD5}">
      <dsp:nvSpPr>
        <dsp:cNvPr id="0" name=""/>
        <dsp:cNvSpPr/>
      </dsp:nvSpPr>
      <dsp:spPr>
        <a:xfrm>
          <a:off x="1268908" y="246876"/>
          <a:ext cx="904279" cy="542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Areas issue identification</a:t>
          </a:r>
        </a:p>
      </dsp:txBody>
      <dsp:txXfrm>
        <a:off x="1284799" y="262767"/>
        <a:ext cx="872497" cy="510785"/>
      </dsp:txXfrm>
    </dsp:sp>
    <dsp:sp modelId="{8B39213E-206A-4E9E-BFD0-1D4CAB520AC7}">
      <dsp:nvSpPr>
        <dsp:cNvPr id="0" name=""/>
        <dsp:cNvSpPr/>
      </dsp:nvSpPr>
      <dsp:spPr>
        <a:xfrm>
          <a:off x="2263616" y="40602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2263616" y="450881"/>
        <a:ext cx="134195" cy="134557"/>
      </dsp:txXfrm>
    </dsp:sp>
    <dsp:sp modelId="{D3C4B54E-35F1-49EB-B82F-3020BAC403A4}">
      <dsp:nvSpPr>
        <dsp:cNvPr id="0" name=""/>
        <dsp:cNvSpPr/>
      </dsp:nvSpPr>
      <dsp:spPr>
        <a:xfrm>
          <a:off x="2534900" y="246876"/>
          <a:ext cx="904279" cy="542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Information synthesis</a:t>
          </a:r>
        </a:p>
      </dsp:txBody>
      <dsp:txXfrm>
        <a:off x="2550791" y="262767"/>
        <a:ext cx="872497" cy="510785"/>
      </dsp:txXfrm>
    </dsp:sp>
    <dsp:sp modelId="{88FB03DF-7648-4432-8594-5F6626C25E74}">
      <dsp:nvSpPr>
        <dsp:cNvPr id="0" name=""/>
        <dsp:cNvSpPr/>
      </dsp:nvSpPr>
      <dsp:spPr>
        <a:xfrm>
          <a:off x="3529607" y="40602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3529607" y="450881"/>
        <a:ext cx="134195" cy="134557"/>
      </dsp:txXfrm>
    </dsp:sp>
    <dsp:sp modelId="{688E7995-D08D-4F52-88AB-E1420E5B6FF5}">
      <dsp:nvSpPr>
        <dsp:cNvPr id="0" name=""/>
        <dsp:cNvSpPr/>
      </dsp:nvSpPr>
      <dsp:spPr>
        <a:xfrm>
          <a:off x="3800891" y="246876"/>
          <a:ext cx="904279" cy="542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Policy brief elaboration</a:t>
          </a:r>
        </a:p>
      </dsp:txBody>
      <dsp:txXfrm>
        <a:off x="3816782" y="262767"/>
        <a:ext cx="872497" cy="510785"/>
      </dsp:txXfrm>
    </dsp:sp>
    <dsp:sp modelId="{CE5DDB05-F92B-40BF-BD54-0B1679B2803D}">
      <dsp:nvSpPr>
        <dsp:cNvPr id="0" name=""/>
        <dsp:cNvSpPr/>
      </dsp:nvSpPr>
      <dsp:spPr>
        <a:xfrm>
          <a:off x="4795599" y="40602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4795599" y="450881"/>
        <a:ext cx="134195" cy="134557"/>
      </dsp:txXfrm>
    </dsp:sp>
    <dsp:sp modelId="{7BB5419E-D0FE-4AA6-ADDA-0FF2ECCCB965}">
      <dsp:nvSpPr>
        <dsp:cNvPr id="0" name=""/>
        <dsp:cNvSpPr/>
      </dsp:nvSpPr>
      <dsp:spPr>
        <a:xfrm>
          <a:off x="5066883" y="246876"/>
          <a:ext cx="904279" cy="542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Intelligence sharing</a:t>
          </a:r>
        </a:p>
      </dsp:txBody>
      <dsp:txXfrm>
        <a:off x="5082774" y="262767"/>
        <a:ext cx="872497" cy="51078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109772-5A9D-4207-A22E-0C45F84411A8}">
      <dsp:nvSpPr>
        <dsp:cNvPr id="0" name=""/>
        <dsp:cNvSpPr/>
      </dsp:nvSpPr>
      <dsp:spPr>
        <a:xfrm>
          <a:off x="2284114" y="1257114"/>
          <a:ext cx="1660564" cy="1302341"/>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b="1" kern="1200" dirty="0">
              <a:solidFill>
                <a:srgbClr val="FF0000"/>
              </a:solidFill>
            </a:rPr>
            <a:t>POPULATION EXPECTATIONS OF HEALTH SERVICES</a:t>
          </a:r>
        </a:p>
      </dsp:txBody>
      <dsp:txXfrm>
        <a:off x="2546521" y="1462913"/>
        <a:ext cx="1135750" cy="890743"/>
      </dsp:txXfrm>
    </dsp:sp>
    <dsp:sp modelId="{98E66143-9105-42A3-B781-F4E24821994A}">
      <dsp:nvSpPr>
        <dsp:cNvPr id="0" name=""/>
        <dsp:cNvSpPr/>
      </dsp:nvSpPr>
      <dsp:spPr>
        <a:xfrm>
          <a:off x="3311242" y="588020"/>
          <a:ext cx="588541" cy="507106"/>
        </a:xfrm>
        <a:prstGeom prst="hexagon">
          <a:avLst>
            <a:gd name="adj" fmla="val 28900"/>
            <a:gd name="vf" fmla="val 115470"/>
          </a:avLst>
        </a:prstGeom>
        <a:solidFill>
          <a:schemeClr val="dk2">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903BFF0F-C192-4E71-B159-579CC8C22C17}">
      <dsp:nvSpPr>
        <dsp:cNvPr id="0" name=""/>
        <dsp:cNvSpPr/>
      </dsp:nvSpPr>
      <dsp:spPr>
        <a:xfrm>
          <a:off x="2478140" y="6350"/>
          <a:ext cx="1278317" cy="1105895"/>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9050" tIns="19050" rIns="19050" bIns="19050" numCol="1" spcCol="1270" anchor="ctr" anchorCtr="0">
          <a:noAutofit/>
        </a:bodyPr>
        <a:lstStyle/>
        <a:p>
          <a:pPr lvl="0" algn="ctr" defTabSz="666750">
            <a:lnSpc>
              <a:spcPct val="90000"/>
            </a:lnSpc>
            <a:spcBef>
              <a:spcPct val="0"/>
            </a:spcBef>
            <a:spcAft>
              <a:spcPct val="35000"/>
            </a:spcAft>
          </a:pPr>
          <a:r>
            <a:rPr lang="en-US" sz="1500" b="1" kern="1200" dirty="0"/>
            <a:t>Available services</a:t>
          </a:r>
          <a:r>
            <a:rPr lang="en-US" sz="1500" kern="1200" dirty="0"/>
            <a:t/>
          </a:r>
          <a:br>
            <a:rPr lang="en-US" sz="1500" kern="1200" dirty="0"/>
          </a:br>
          <a:r>
            <a:rPr lang="en-US" sz="1100" i="1" kern="1200" dirty="0"/>
            <a:t>By age cohort</a:t>
          </a:r>
          <a:endParaRPr lang="en-US" sz="1500" i="1" kern="1200" dirty="0"/>
        </a:p>
      </dsp:txBody>
      <dsp:txXfrm>
        <a:off x="2689984" y="189620"/>
        <a:ext cx="854629" cy="739355"/>
      </dsp:txXfrm>
    </dsp:sp>
    <dsp:sp modelId="{3DC8AEBB-C654-46B3-B399-8A6921E4E744}">
      <dsp:nvSpPr>
        <dsp:cNvPr id="0" name=""/>
        <dsp:cNvSpPr/>
      </dsp:nvSpPr>
      <dsp:spPr>
        <a:xfrm>
          <a:off x="3998115" y="1536039"/>
          <a:ext cx="588541" cy="507106"/>
        </a:xfrm>
        <a:prstGeom prst="hexagon">
          <a:avLst>
            <a:gd name="adj" fmla="val 28900"/>
            <a:gd name="vf" fmla="val 115470"/>
          </a:avLst>
        </a:prstGeom>
        <a:solidFill>
          <a:schemeClr val="dk2">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FE8656F6-CD9D-425E-A3DD-5776A1101A6B}">
      <dsp:nvSpPr>
        <dsp:cNvPr id="0" name=""/>
        <dsp:cNvSpPr/>
      </dsp:nvSpPr>
      <dsp:spPr>
        <a:xfrm>
          <a:off x="3665801" y="649906"/>
          <a:ext cx="1400154" cy="1179182"/>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dirty="0"/>
            <a:t>SDG 3, 2 and 6 services coverage</a:t>
          </a:r>
          <a:r>
            <a:rPr lang="en-US" sz="1300" kern="1200" dirty="0"/>
            <a:t/>
          </a:r>
          <a:br>
            <a:rPr lang="en-US" sz="1300" kern="1200" dirty="0"/>
          </a:br>
          <a:r>
            <a:rPr lang="en-US" sz="1100" i="1" kern="1200" dirty="0"/>
            <a:t>Across public health functions</a:t>
          </a:r>
          <a:endParaRPr lang="en-US" sz="1300" i="1" kern="1200" dirty="0"/>
        </a:p>
      </dsp:txBody>
      <dsp:txXfrm>
        <a:off x="3894778" y="842746"/>
        <a:ext cx="942200" cy="793502"/>
      </dsp:txXfrm>
    </dsp:sp>
    <dsp:sp modelId="{12D38EBD-57E6-4E14-A1CF-BC04337612C9}">
      <dsp:nvSpPr>
        <dsp:cNvPr id="0" name=""/>
        <dsp:cNvSpPr/>
      </dsp:nvSpPr>
      <dsp:spPr>
        <a:xfrm>
          <a:off x="3520969" y="2606174"/>
          <a:ext cx="588541" cy="507106"/>
        </a:xfrm>
        <a:prstGeom prst="hexagon">
          <a:avLst>
            <a:gd name="adj" fmla="val 28900"/>
            <a:gd name="vf" fmla="val 115470"/>
          </a:avLst>
        </a:prstGeom>
        <a:solidFill>
          <a:schemeClr val="dk2">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3B19906A-5F64-4A4A-9FD5-91E041B4B337}">
      <dsp:nvSpPr>
        <dsp:cNvPr id="0" name=""/>
        <dsp:cNvSpPr/>
      </dsp:nvSpPr>
      <dsp:spPr>
        <a:xfrm>
          <a:off x="3650506" y="2023743"/>
          <a:ext cx="1278317" cy="1105895"/>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dirty="0"/>
            <a:t>Financial risk protection</a:t>
          </a:r>
          <a:r>
            <a:rPr lang="en-US" sz="1300" kern="1200" dirty="0"/>
            <a:t/>
          </a:r>
          <a:br>
            <a:rPr lang="en-US" sz="1300" kern="1200" dirty="0"/>
          </a:br>
          <a:r>
            <a:rPr lang="en-US" sz="1100" i="1" kern="1200" dirty="0"/>
            <a:t>Against catastrophic expenditure</a:t>
          </a:r>
          <a:endParaRPr lang="en-US" sz="1300" i="1" kern="1200" dirty="0"/>
        </a:p>
      </dsp:txBody>
      <dsp:txXfrm>
        <a:off x="3862350" y="2207013"/>
        <a:ext cx="854629" cy="739355"/>
      </dsp:txXfrm>
    </dsp:sp>
    <dsp:sp modelId="{889A6C10-EE56-42F7-9B9D-EB01C1098738}">
      <dsp:nvSpPr>
        <dsp:cNvPr id="0" name=""/>
        <dsp:cNvSpPr/>
      </dsp:nvSpPr>
      <dsp:spPr>
        <a:xfrm>
          <a:off x="2337354" y="2717258"/>
          <a:ext cx="588541" cy="507106"/>
        </a:xfrm>
        <a:prstGeom prst="hexagon">
          <a:avLst>
            <a:gd name="adj" fmla="val 28900"/>
            <a:gd name="vf" fmla="val 115470"/>
          </a:avLst>
        </a:prstGeom>
        <a:solidFill>
          <a:schemeClr val="dk2">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CC1ED23B-E1CB-4663-814E-38637DE1285D}">
      <dsp:nvSpPr>
        <dsp:cNvPr id="0" name=""/>
        <dsp:cNvSpPr/>
      </dsp:nvSpPr>
      <dsp:spPr>
        <a:xfrm>
          <a:off x="2432811" y="2717405"/>
          <a:ext cx="1368976" cy="1080492"/>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b="1" kern="1200" dirty="0"/>
            <a:t>Non-SDG services coverage</a:t>
          </a:r>
          <a:r>
            <a:rPr lang="en-US" sz="1100" kern="1200" dirty="0"/>
            <a:t/>
          </a:r>
          <a:br>
            <a:rPr lang="en-US" sz="1100" kern="1200" dirty="0"/>
          </a:br>
          <a:r>
            <a:rPr lang="en-US" sz="1000" i="1" kern="1200" dirty="0"/>
            <a:t>Social, economic, environmental, political</a:t>
          </a:r>
          <a:endParaRPr lang="en-US" sz="1100" i="1" kern="1200" dirty="0"/>
        </a:p>
      </dsp:txBody>
      <dsp:txXfrm>
        <a:off x="2649791" y="2888661"/>
        <a:ext cx="935016" cy="737980"/>
      </dsp:txXfrm>
    </dsp:sp>
    <dsp:sp modelId="{F962999A-B5FC-46CB-B713-88E8CE809ADD}">
      <dsp:nvSpPr>
        <dsp:cNvPr id="0" name=""/>
        <dsp:cNvSpPr/>
      </dsp:nvSpPr>
      <dsp:spPr>
        <a:xfrm>
          <a:off x="1639232" y="1769620"/>
          <a:ext cx="588541" cy="507106"/>
        </a:xfrm>
        <a:prstGeom prst="hexagon">
          <a:avLst>
            <a:gd name="adj" fmla="val 28900"/>
            <a:gd name="vf" fmla="val 115470"/>
          </a:avLst>
        </a:prstGeom>
        <a:solidFill>
          <a:schemeClr val="dk2">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4EBCFAF2-EAFB-4410-B956-3CCB9BB8CA41}">
      <dsp:nvSpPr>
        <dsp:cNvPr id="0" name=""/>
        <dsp:cNvSpPr/>
      </dsp:nvSpPr>
      <dsp:spPr>
        <a:xfrm>
          <a:off x="1229902" y="2001629"/>
          <a:ext cx="1419175" cy="1151646"/>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dirty="0"/>
            <a:t>Appropriate health security</a:t>
          </a:r>
          <a:r>
            <a:rPr lang="en-US" sz="1100" b="1" kern="1200" dirty="0"/>
            <a:t/>
          </a:r>
          <a:br>
            <a:rPr lang="en-US" sz="1100" b="1" kern="1200" dirty="0"/>
          </a:br>
          <a:r>
            <a:rPr lang="en-US" sz="1000" b="0" i="1" kern="1200" dirty="0"/>
            <a:t>Prevention, detection, response capacity</a:t>
          </a:r>
          <a:endParaRPr lang="en-US" sz="1050" b="0" i="1" kern="1200" dirty="0"/>
        </a:p>
      </dsp:txBody>
      <dsp:txXfrm>
        <a:off x="1457842" y="2186600"/>
        <a:ext cx="963295" cy="781704"/>
      </dsp:txXfrm>
    </dsp:sp>
    <dsp:sp modelId="{EE09F9FD-13AF-4E5A-B64D-747A78FFD7A9}">
      <dsp:nvSpPr>
        <dsp:cNvPr id="0" name=""/>
        <dsp:cNvSpPr/>
      </dsp:nvSpPr>
      <dsp:spPr>
        <a:xfrm>
          <a:off x="1300331" y="685028"/>
          <a:ext cx="1278317" cy="1105895"/>
        </a:xfrm>
        <a:prstGeom prst="hexagon">
          <a:avLst>
            <a:gd name="adj" fmla="val 28570"/>
            <a:gd name="vf" fmla="val 11547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en-US" sz="1300" b="1" kern="1200" dirty="0"/>
            <a:t>Services satisfaction</a:t>
          </a:r>
        </a:p>
      </dsp:txBody>
      <dsp:txXfrm>
        <a:off x="1512175" y="868298"/>
        <a:ext cx="854629" cy="739355"/>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84D12EA-54A8-492A-A80A-5C0E37396BF1}">
      <dsp:nvSpPr>
        <dsp:cNvPr id="0" name=""/>
        <dsp:cNvSpPr/>
      </dsp:nvSpPr>
      <dsp:spPr>
        <a:xfrm>
          <a:off x="57" y="0"/>
          <a:ext cx="1637795" cy="7029450"/>
        </a:xfrm>
        <a:prstGeom prst="roundRect">
          <a:avLst>
            <a:gd name="adj" fmla="val 10000"/>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endParaRPr lang="en-US" sz="900" b="1" kern="1200"/>
        </a:p>
        <a:p>
          <a:pPr lvl="0" algn="ctr" defTabSz="400050">
            <a:lnSpc>
              <a:spcPct val="90000"/>
            </a:lnSpc>
            <a:spcBef>
              <a:spcPct val="0"/>
            </a:spcBef>
            <a:spcAft>
              <a:spcPct val="35000"/>
            </a:spcAft>
          </a:pPr>
          <a:r>
            <a:rPr lang="en-US" sz="1000" b="1" kern="1200"/>
            <a:t>HEALTH WORKFORCE</a:t>
          </a:r>
        </a:p>
        <a:p>
          <a:pPr lvl="0" algn="ctr" defTabSz="400050">
            <a:lnSpc>
              <a:spcPct val="90000"/>
            </a:lnSpc>
            <a:spcBef>
              <a:spcPct val="0"/>
            </a:spcBef>
            <a:spcAft>
              <a:spcPct val="35000"/>
            </a:spcAft>
          </a:pPr>
          <a:r>
            <a:rPr lang="en-US" sz="1000" kern="1200"/>
            <a:t>Health worker density (a,b)</a:t>
          </a:r>
        </a:p>
        <a:p>
          <a:pPr lvl="0" algn="ctr" defTabSz="400050">
            <a:lnSpc>
              <a:spcPct val="90000"/>
            </a:lnSpc>
            <a:spcBef>
              <a:spcPct val="0"/>
            </a:spcBef>
            <a:spcAft>
              <a:spcPct val="35000"/>
            </a:spcAft>
          </a:pPr>
          <a:endParaRPr lang="en-US" sz="1000" b="1" kern="1200"/>
        </a:p>
        <a:p>
          <a:pPr lvl="0" algn="ctr" defTabSz="400050">
            <a:lnSpc>
              <a:spcPct val="90000"/>
            </a:lnSpc>
            <a:spcBef>
              <a:spcPct val="0"/>
            </a:spcBef>
            <a:spcAft>
              <a:spcPct val="35000"/>
            </a:spcAft>
          </a:pPr>
          <a:r>
            <a:rPr lang="en-US" sz="1000" b="1" kern="1200"/>
            <a:t>MEDICINES AND</a:t>
          </a:r>
        </a:p>
        <a:p>
          <a:pPr lvl="0" algn="ctr" defTabSz="400050">
            <a:lnSpc>
              <a:spcPct val="90000"/>
            </a:lnSpc>
            <a:spcBef>
              <a:spcPct val="0"/>
            </a:spcBef>
            <a:spcAft>
              <a:spcPct val="35000"/>
            </a:spcAft>
          </a:pPr>
          <a:r>
            <a:rPr lang="en-US" sz="1000" b="1" kern="1200"/>
            <a:t>TECHNOLOGIES</a:t>
          </a:r>
        </a:p>
        <a:p>
          <a:pPr lvl="0" algn="l" defTabSz="400050">
            <a:lnSpc>
              <a:spcPct val="90000"/>
            </a:lnSpc>
            <a:spcBef>
              <a:spcPct val="0"/>
            </a:spcBef>
            <a:spcAft>
              <a:spcPct val="35000"/>
            </a:spcAft>
          </a:pPr>
          <a:r>
            <a:rPr lang="en-US" sz="1000" kern="1200"/>
            <a:t>Availability of essential medicines and commodities (a,b)</a:t>
          </a:r>
        </a:p>
        <a:p>
          <a:pPr lvl="0" algn="ctr" defTabSz="400050">
            <a:lnSpc>
              <a:spcPct val="90000"/>
            </a:lnSpc>
            <a:spcBef>
              <a:spcPct val="0"/>
            </a:spcBef>
            <a:spcAft>
              <a:spcPct val="35000"/>
            </a:spcAft>
          </a:pPr>
          <a:endParaRPr lang="en-US" sz="1000" kern="1200"/>
        </a:p>
        <a:p>
          <a:pPr lvl="0" algn="ctr" defTabSz="400050">
            <a:lnSpc>
              <a:spcPct val="90000"/>
            </a:lnSpc>
            <a:spcBef>
              <a:spcPct val="0"/>
            </a:spcBef>
            <a:spcAft>
              <a:spcPct val="35000"/>
            </a:spcAft>
          </a:pPr>
          <a:r>
            <a:rPr lang="en-US" sz="1000" b="1" kern="1200"/>
            <a:t>HEALTH INFORMATION</a:t>
          </a:r>
        </a:p>
        <a:p>
          <a:pPr lvl="0" algn="ctr" defTabSz="400050">
            <a:lnSpc>
              <a:spcPct val="90000"/>
            </a:lnSpc>
            <a:spcBef>
              <a:spcPct val="0"/>
            </a:spcBef>
            <a:spcAft>
              <a:spcPct val="35000"/>
            </a:spcAft>
          </a:pPr>
          <a:r>
            <a:rPr lang="en-US" sz="1000" b="1" kern="1200"/>
            <a:t>AND SURVEILLANCE</a:t>
          </a:r>
        </a:p>
        <a:p>
          <a:pPr lvl="0" algn="ctr" defTabSz="400050">
            <a:lnSpc>
              <a:spcPct val="90000"/>
            </a:lnSpc>
            <a:spcBef>
              <a:spcPct val="0"/>
            </a:spcBef>
            <a:spcAft>
              <a:spcPct val="35000"/>
            </a:spcAft>
          </a:pPr>
          <a:r>
            <a:rPr lang="en-US" sz="1000" b="1" kern="1200"/>
            <a:t>SYSTEMS</a:t>
          </a:r>
        </a:p>
        <a:p>
          <a:pPr lvl="0" algn="ctr" defTabSz="400050">
            <a:lnSpc>
              <a:spcPct val="90000"/>
            </a:lnSpc>
            <a:spcBef>
              <a:spcPct val="0"/>
            </a:spcBef>
            <a:spcAft>
              <a:spcPct val="35000"/>
            </a:spcAft>
          </a:pPr>
          <a:r>
            <a:rPr lang="en-US" sz="1000" kern="1200"/>
            <a:t> Birth registration coverage</a:t>
          </a:r>
        </a:p>
        <a:p>
          <a:pPr lvl="0" algn="ctr" defTabSz="400050">
            <a:lnSpc>
              <a:spcPct val="90000"/>
            </a:lnSpc>
            <a:spcBef>
              <a:spcPct val="0"/>
            </a:spcBef>
            <a:spcAft>
              <a:spcPct val="35000"/>
            </a:spcAft>
          </a:pPr>
          <a:r>
            <a:rPr lang="en-US" sz="1000" kern="1200"/>
            <a:t>(children&lt;5 ) (a,b)</a:t>
          </a:r>
        </a:p>
        <a:p>
          <a:pPr lvl="0" algn="l" defTabSz="400050">
            <a:lnSpc>
              <a:spcPct val="90000"/>
            </a:lnSpc>
            <a:spcBef>
              <a:spcPct val="0"/>
            </a:spcBef>
            <a:spcAft>
              <a:spcPct val="35000"/>
            </a:spcAft>
          </a:pPr>
          <a:r>
            <a:rPr lang="en-US" sz="1000" kern="1200"/>
            <a:t>Reporting rate (DHIS-2)</a:t>
          </a:r>
        </a:p>
        <a:p>
          <a:pPr lvl="0" algn="ctr" defTabSz="400050">
            <a:lnSpc>
              <a:spcPct val="90000"/>
            </a:lnSpc>
            <a:spcBef>
              <a:spcPct val="0"/>
            </a:spcBef>
            <a:spcAft>
              <a:spcPct val="35000"/>
            </a:spcAft>
          </a:pPr>
          <a:endParaRPr lang="en-US" sz="1000" kern="1200"/>
        </a:p>
        <a:p>
          <a:pPr lvl="0" algn="ctr" defTabSz="400050">
            <a:lnSpc>
              <a:spcPct val="90000"/>
            </a:lnSpc>
            <a:spcBef>
              <a:spcPct val="0"/>
            </a:spcBef>
            <a:spcAft>
              <a:spcPct val="35000"/>
            </a:spcAft>
          </a:pPr>
          <a:r>
            <a:rPr lang="en-US" sz="1000" b="1" kern="1200"/>
            <a:t>HEALTH FINANCING</a:t>
          </a:r>
        </a:p>
        <a:p>
          <a:pPr lvl="0" algn="l" defTabSz="400050">
            <a:lnSpc>
              <a:spcPct val="90000"/>
            </a:lnSpc>
            <a:spcBef>
              <a:spcPct val="0"/>
            </a:spcBef>
            <a:spcAft>
              <a:spcPct val="35000"/>
            </a:spcAft>
          </a:pPr>
          <a:r>
            <a:rPr lang="en-US" sz="1000" kern="1200"/>
            <a:t>Government health spending Total health expenditure (% of GDP)</a:t>
          </a:r>
        </a:p>
      </dsp:txBody>
      <dsp:txXfrm>
        <a:off x="57" y="0"/>
        <a:ext cx="1637795" cy="2108835"/>
      </dsp:txXfrm>
    </dsp:sp>
    <dsp:sp modelId="{63E92DDE-CBFC-4EB3-8568-C73D2F251299}">
      <dsp:nvSpPr>
        <dsp:cNvPr id="0" name=""/>
        <dsp:cNvSpPr/>
      </dsp:nvSpPr>
      <dsp:spPr>
        <a:xfrm>
          <a:off x="1760687" y="0"/>
          <a:ext cx="1637795" cy="7029450"/>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r>
            <a:rPr lang="en-US" sz="1000" b="1" kern="1200"/>
            <a:t>HEALTH SERVICE</a:t>
          </a:r>
        </a:p>
        <a:p>
          <a:pPr lvl="0" algn="ctr" defTabSz="444500">
            <a:lnSpc>
              <a:spcPct val="90000"/>
            </a:lnSpc>
            <a:spcBef>
              <a:spcPct val="0"/>
            </a:spcBef>
            <a:spcAft>
              <a:spcPct val="35000"/>
            </a:spcAft>
          </a:pPr>
          <a:r>
            <a:rPr lang="en-US" sz="1000" b="1" kern="1200"/>
            <a:t>DELIVERY</a:t>
          </a:r>
        </a:p>
        <a:p>
          <a:pPr lvl="0" algn="ctr" defTabSz="444500">
            <a:lnSpc>
              <a:spcPct val="90000"/>
            </a:lnSpc>
            <a:spcBef>
              <a:spcPct val="0"/>
            </a:spcBef>
            <a:spcAft>
              <a:spcPct val="35000"/>
            </a:spcAft>
          </a:pPr>
          <a:r>
            <a:rPr lang="en-US" sz="1000" kern="1200"/>
            <a:t>Availability and readiness</a:t>
          </a:r>
        </a:p>
        <a:p>
          <a:pPr lvl="0" algn="l" defTabSz="444500">
            <a:lnSpc>
              <a:spcPct val="90000"/>
            </a:lnSpc>
            <a:spcBef>
              <a:spcPct val="0"/>
            </a:spcBef>
            <a:spcAft>
              <a:spcPct val="35000"/>
            </a:spcAft>
          </a:pPr>
          <a:r>
            <a:rPr lang="en-US" sz="1000" kern="1200"/>
            <a:t>Meeting and sustaining</a:t>
          </a:r>
        </a:p>
        <a:p>
          <a:pPr lvl="0" algn="l" defTabSz="444500">
            <a:lnSpc>
              <a:spcPct val="90000"/>
            </a:lnSpc>
            <a:spcBef>
              <a:spcPct val="0"/>
            </a:spcBef>
            <a:spcAft>
              <a:spcPct val="35000"/>
            </a:spcAft>
          </a:pPr>
          <a:r>
            <a:rPr lang="en-US" sz="1000" kern="1200"/>
            <a:t>IHR core capacities</a:t>
          </a:r>
        </a:p>
        <a:p>
          <a:pPr lvl="0" algn="l" defTabSz="444500">
            <a:lnSpc>
              <a:spcPct val="90000"/>
            </a:lnSpc>
            <a:spcBef>
              <a:spcPct val="0"/>
            </a:spcBef>
            <a:spcAft>
              <a:spcPct val="35000"/>
            </a:spcAft>
          </a:pPr>
          <a:r>
            <a:rPr lang="en-US" sz="1000" kern="1200"/>
            <a:t>Level of knowledge on UHC for both public and healthcare workers</a:t>
          </a:r>
        </a:p>
        <a:p>
          <a:pPr lvl="0" algn="l"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r>
            <a:rPr lang="en-US" sz="1000" b="1" kern="1200"/>
            <a:t>ACCESSIBILITY</a:t>
          </a:r>
        </a:p>
        <a:p>
          <a:pPr lvl="0" algn="l" defTabSz="444500">
            <a:lnSpc>
              <a:spcPct val="90000"/>
            </a:lnSpc>
            <a:spcBef>
              <a:spcPct val="0"/>
            </a:spcBef>
            <a:spcAft>
              <a:spcPct val="35000"/>
            </a:spcAft>
          </a:pPr>
          <a:r>
            <a:rPr lang="en-US" sz="1000" kern="1200"/>
            <a:t> Median consumer price</a:t>
          </a:r>
        </a:p>
        <a:p>
          <a:pPr lvl="0" algn="l" defTabSz="444500">
            <a:lnSpc>
              <a:spcPct val="90000"/>
            </a:lnSpc>
            <a:spcBef>
              <a:spcPct val="0"/>
            </a:spcBef>
            <a:spcAft>
              <a:spcPct val="35000"/>
            </a:spcAft>
          </a:pPr>
          <a:r>
            <a:rPr lang="en-US" sz="1000" kern="1200"/>
            <a:t>ratio of selected generic</a:t>
          </a:r>
        </a:p>
        <a:p>
          <a:pPr lvl="0" algn="l" defTabSz="444500">
            <a:lnSpc>
              <a:spcPct val="90000"/>
            </a:lnSpc>
            <a:spcBef>
              <a:spcPct val="0"/>
            </a:spcBef>
            <a:spcAft>
              <a:spcPct val="35000"/>
            </a:spcAft>
          </a:pPr>
          <a:r>
            <a:rPr lang="en-US" sz="1000" kern="1200"/>
            <a:t>medicines (b)</a:t>
          </a:r>
        </a:p>
        <a:p>
          <a:pPr lvl="0" algn="l" defTabSz="444500">
            <a:lnSpc>
              <a:spcPct val="90000"/>
            </a:lnSpc>
            <a:spcBef>
              <a:spcPct val="0"/>
            </a:spcBef>
            <a:spcAft>
              <a:spcPct val="35000"/>
            </a:spcAft>
          </a:pPr>
          <a:r>
            <a:rPr lang="en-US" sz="1000" kern="1200"/>
            <a:t>Population accessed Health Benefit Package </a:t>
          </a:r>
        </a:p>
        <a:p>
          <a:pPr lvl="0" algn="l" defTabSz="444500">
            <a:lnSpc>
              <a:spcPct val="90000"/>
            </a:lnSpc>
            <a:spcBef>
              <a:spcPct val="0"/>
            </a:spcBef>
            <a:spcAft>
              <a:spcPct val="35000"/>
            </a:spcAft>
          </a:pPr>
          <a:endParaRPr lang="en-US" sz="1000" kern="1200"/>
        </a:p>
        <a:p>
          <a:pPr lvl="0" algn="l"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r>
            <a:rPr lang="en-US" sz="1000" b="1" kern="1200"/>
            <a:t>HEALTH-RELATED</a:t>
          </a:r>
        </a:p>
        <a:p>
          <a:pPr lvl="0" algn="ctr" defTabSz="444500">
            <a:lnSpc>
              <a:spcPct val="90000"/>
            </a:lnSpc>
            <a:spcBef>
              <a:spcPct val="0"/>
            </a:spcBef>
            <a:spcAft>
              <a:spcPct val="35000"/>
            </a:spcAft>
          </a:pPr>
          <a:r>
            <a:rPr lang="en-US" sz="1000" b="1" kern="1200"/>
            <a:t>INTERVENTIONS AND</a:t>
          </a:r>
        </a:p>
        <a:p>
          <a:pPr lvl="0" algn="ctr" defTabSz="444500">
            <a:lnSpc>
              <a:spcPct val="90000"/>
            </a:lnSpc>
            <a:spcBef>
              <a:spcPct val="0"/>
            </a:spcBef>
            <a:spcAft>
              <a:spcPct val="35000"/>
            </a:spcAft>
          </a:pPr>
          <a:r>
            <a:rPr lang="en-US" sz="1000" b="1" kern="1200"/>
            <a:t>SOCIAL DETERMINANTS</a:t>
          </a:r>
        </a:p>
        <a:p>
          <a:pPr lvl="0" algn="l" defTabSz="444500">
            <a:lnSpc>
              <a:spcPct val="90000"/>
            </a:lnSpc>
            <a:spcBef>
              <a:spcPct val="0"/>
            </a:spcBef>
            <a:spcAft>
              <a:spcPct val="35000"/>
            </a:spcAft>
          </a:pPr>
          <a:r>
            <a:rPr lang="en-US" sz="1000" kern="1200"/>
            <a:t>Population using improved drinking water sources (a,b)</a:t>
          </a:r>
        </a:p>
        <a:p>
          <a:pPr lvl="0" algn="l" defTabSz="444500">
            <a:lnSpc>
              <a:spcPct val="90000"/>
            </a:lnSpc>
            <a:spcBef>
              <a:spcPct val="0"/>
            </a:spcBef>
            <a:spcAft>
              <a:spcPct val="35000"/>
            </a:spcAft>
          </a:pPr>
          <a:r>
            <a:rPr lang="en-US" sz="1000" kern="1200"/>
            <a:t>Population using improved sanitation facilities (a,b)</a:t>
          </a:r>
        </a:p>
        <a:p>
          <a:pPr lvl="0" algn="l" defTabSz="444500">
            <a:lnSpc>
              <a:spcPct val="90000"/>
            </a:lnSpc>
            <a:spcBef>
              <a:spcPct val="0"/>
            </a:spcBef>
            <a:spcAft>
              <a:spcPct val="35000"/>
            </a:spcAft>
          </a:pPr>
          <a:r>
            <a:rPr lang="en-US" sz="1000" kern="1200"/>
            <a:t>Mean urban air pollution</a:t>
          </a:r>
        </a:p>
        <a:p>
          <a:pPr lvl="0" algn="l" defTabSz="444500">
            <a:lnSpc>
              <a:spcPct val="90000"/>
            </a:lnSpc>
            <a:spcBef>
              <a:spcPct val="0"/>
            </a:spcBef>
            <a:spcAft>
              <a:spcPct val="35000"/>
            </a:spcAft>
          </a:pPr>
          <a:r>
            <a:rPr lang="en-US" sz="1000" kern="1200"/>
            <a:t>of particulate matter (a)</a:t>
          </a:r>
        </a:p>
      </dsp:txBody>
      <dsp:txXfrm>
        <a:off x="1760687" y="0"/>
        <a:ext cx="1637795" cy="2108835"/>
      </dsp:txXfrm>
    </dsp:sp>
    <dsp:sp modelId="{36CE8C19-0E1E-43DC-84E6-963007EB731F}">
      <dsp:nvSpPr>
        <dsp:cNvPr id="0" name=""/>
        <dsp:cNvSpPr/>
      </dsp:nvSpPr>
      <dsp:spPr>
        <a:xfrm>
          <a:off x="3521317" y="0"/>
          <a:ext cx="1812531" cy="7029450"/>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900" kern="1200"/>
        </a:p>
        <a:p>
          <a:pPr lvl="0" algn="ctr" defTabSz="400050">
            <a:lnSpc>
              <a:spcPct val="90000"/>
            </a:lnSpc>
            <a:spcBef>
              <a:spcPct val="0"/>
            </a:spcBef>
            <a:spcAft>
              <a:spcPct val="35000"/>
            </a:spcAft>
          </a:pPr>
          <a:endParaRPr lang="en-US" sz="1000" kern="1200"/>
        </a:p>
        <a:p>
          <a:pPr lvl="0" algn="ctr" defTabSz="400050">
            <a:lnSpc>
              <a:spcPct val="90000"/>
            </a:lnSpc>
            <a:spcBef>
              <a:spcPct val="0"/>
            </a:spcBef>
            <a:spcAft>
              <a:spcPct val="35000"/>
            </a:spcAft>
          </a:pPr>
          <a:endParaRPr lang="en-US" sz="1000" b="1" kern="1200"/>
        </a:p>
        <a:p>
          <a:pPr lvl="0" algn="ctr" defTabSz="400050">
            <a:lnSpc>
              <a:spcPct val="90000"/>
            </a:lnSpc>
            <a:spcBef>
              <a:spcPct val="0"/>
            </a:spcBef>
            <a:spcAft>
              <a:spcPct val="35000"/>
            </a:spcAft>
          </a:pPr>
          <a:r>
            <a:rPr lang="en-US" sz="1000" b="1" kern="1200"/>
            <a:t>HOUSEHOLD</a:t>
          </a:r>
        </a:p>
        <a:p>
          <a:pPr lvl="0" algn="ctr" defTabSz="400050">
            <a:lnSpc>
              <a:spcPct val="90000"/>
            </a:lnSpc>
            <a:spcBef>
              <a:spcPct val="0"/>
            </a:spcBef>
            <a:spcAft>
              <a:spcPct val="35000"/>
            </a:spcAft>
          </a:pPr>
          <a:r>
            <a:rPr lang="en-US" sz="1000" b="1" kern="1200"/>
            <a:t>HEALTH-RELATED</a:t>
          </a:r>
        </a:p>
        <a:p>
          <a:pPr lvl="0" algn="ctr" defTabSz="400050">
            <a:lnSpc>
              <a:spcPct val="90000"/>
            </a:lnSpc>
            <a:spcBef>
              <a:spcPct val="0"/>
            </a:spcBef>
            <a:spcAft>
              <a:spcPct val="35000"/>
            </a:spcAft>
          </a:pPr>
          <a:r>
            <a:rPr lang="en-US" sz="1000" b="1" kern="1200"/>
            <a:t>EXPENDITURE</a:t>
          </a:r>
        </a:p>
        <a:p>
          <a:pPr lvl="0" algn="l" defTabSz="400050">
            <a:lnSpc>
              <a:spcPct val="90000"/>
            </a:lnSpc>
            <a:spcBef>
              <a:spcPct val="0"/>
            </a:spcBef>
            <a:spcAft>
              <a:spcPct val="35000"/>
            </a:spcAft>
          </a:pPr>
          <a:r>
            <a:rPr lang="en-US" sz="1000" kern="1200"/>
            <a:t>Catastrophic health expenditure (a,b)</a:t>
          </a:r>
        </a:p>
        <a:p>
          <a:pPr lvl="0" algn="ctr" defTabSz="400050">
            <a:lnSpc>
              <a:spcPct val="90000"/>
            </a:lnSpc>
            <a:spcBef>
              <a:spcPct val="0"/>
            </a:spcBef>
            <a:spcAft>
              <a:spcPct val="35000"/>
            </a:spcAft>
          </a:pPr>
          <a:r>
            <a:rPr lang="en-US" sz="1000" b="1" kern="1200"/>
            <a:t>HEALTH SERVICE COVERAGE</a:t>
          </a:r>
        </a:p>
        <a:p>
          <a:pPr lvl="0" algn="l" defTabSz="400050">
            <a:lnSpc>
              <a:spcPct val="90000"/>
            </a:lnSpc>
            <a:spcBef>
              <a:spcPct val="0"/>
            </a:spcBef>
            <a:spcAft>
              <a:spcPct val="35000"/>
            </a:spcAft>
          </a:pPr>
          <a:r>
            <a:rPr lang="en-US" sz="1000" b="1" kern="1200"/>
            <a:t>Promotive and preventive care</a:t>
          </a:r>
        </a:p>
        <a:p>
          <a:pPr lvl="0" algn="l" defTabSz="400050">
            <a:lnSpc>
              <a:spcPct val="90000"/>
            </a:lnSpc>
            <a:spcBef>
              <a:spcPct val="0"/>
            </a:spcBef>
            <a:spcAft>
              <a:spcPct val="35000"/>
            </a:spcAft>
          </a:pPr>
          <a:r>
            <a:rPr lang="en-US" sz="1000" kern="1200"/>
            <a:t>Community Dialogues held</a:t>
          </a:r>
        </a:p>
        <a:p>
          <a:pPr lvl="0" algn="l" defTabSz="400050">
            <a:lnSpc>
              <a:spcPct val="90000"/>
            </a:lnSpc>
            <a:spcBef>
              <a:spcPct val="0"/>
            </a:spcBef>
            <a:spcAft>
              <a:spcPct val="35000"/>
            </a:spcAft>
          </a:pPr>
          <a:r>
            <a:rPr lang="en-US" sz="1000" kern="1200"/>
            <a:t>Family planning coverage (b)</a:t>
          </a:r>
        </a:p>
        <a:p>
          <a:pPr lvl="0" algn="l" defTabSz="400050">
            <a:lnSpc>
              <a:spcPct val="90000"/>
            </a:lnSpc>
            <a:spcBef>
              <a:spcPct val="0"/>
            </a:spcBef>
            <a:spcAft>
              <a:spcPct val="35000"/>
            </a:spcAft>
          </a:pPr>
          <a:r>
            <a:rPr lang="en-US" sz="1000" kern="1200"/>
            <a:t>Antenatal care coverage</a:t>
          </a:r>
        </a:p>
        <a:p>
          <a:pPr lvl="0" algn="l" defTabSz="400050">
            <a:lnSpc>
              <a:spcPct val="90000"/>
            </a:lnSpc>
            <a:spcBef>
              <a:spcPct val="0"/>
            </a:spcBef>
            <a:spcAft>
              <a:spcPct val="35000"/>
            </a:spcAft>
          </a:pPr>
          <a:r>
            <a:rPr lang="en-US" sz="1000" kern="1200"/>
            <a:t>(4+ visits) (a,b)</a:t>
          </a:r>
        </a:p>
        <a:p>
          <a:pPr lvl="0" algn="l" defTabSz="400050">
            <a:lnSpc>
              <a:spcPct val="90000"/>
            </a:lnSpc>
            <a:spcBef>
              <a:spcPct val="0"/>
            </a:spcBef>
            <a:spcAft>
              <a:spcPct val="35000"/>
            </a:spcAft>
          </a:pPr>
          <a:r>
            <a:rPr lang="en-US" sz="1000" kern="1200"/>
            <a:t> Skilled birth attendance (a, b)</a:t>
          </a:r>
        </a:p>
        <a:p>
          <a:pPr lvl="0" algn="l" defTabSz="400050">
            <a:lnSpc>
              <a:spcPct val="90000"/>
            </a:lnSpc>
            <a:spcBef>
              <a:spcPct val="0"/>
            </a:spcBef>
            <a:spcAft>
              <a:spcPct val="35000"/>
            </a:spcAft>
          </a:pPr>
          <a:r>
            <a:rPr lang="en-US" sz="1000" kern="1200"/>
            <a:t> DTP3-containing vaccine (a,b)</a:t>
          </a:r>
        </a:p>
        <a:p>
          <a:pPr lvl="0" algn="l" defTabSz="400050">
            <a:lnSpc>
              <a:spcPct val="90000"/>
            </a:lnSpc>
            <a:spcBef>
              <a:spcPct val="0"/>
            </a:spcBef>
            <a:spcAft>
              <a:spcPct val="35000"/>
            </a:spcAft>
          </a:pPr>
          <a:r>
            <a:rPr lang="en-US" sz="1000" kern="1200"/>
            <a:t> Fully immunised children (a,b)</a:t>
          </a:r>
        </a:p>
        <a:p>
          <a:pPr lvl="0" algn="ctr" defTabSz="400050">
            <a:lnSpc>
              <a:spcPct val="90000"/>
            </a:lnSpc>
            <a:spcBef>
              <a:spcPct val="0"/>
            </a:spcBef>
            <a:spcAft>
              <a:spcPct val="35000"/>
            </a:spcAft>
          </a:pPr>
          <a:r>
            <a:rPr lang="en-US" sz="1000" b="1" kern="1200"/>
            <a:t>Curative care</a:t>
          </a:r>
        </a:p>
        <a:p>
          <a:pPr lvl="0" algn="l" defTabSz="400050">
            <a:lnSpc>
              <a:spcPct val="90000"/>
            </a:lnSpc>
            <a:spcBef>
              <a:spcPct val="0"/>
            </a:spcBef>
            <a:spcAft>
              <a:spcPct val="35000"/>
            </a:spcAft>
          </a:pPr>
          <a:r>
            <a:rPr lang="en-US" sz="1000" kern="1200"/>
            <a:t> Antiretroviral therapy coverage (a,b)</a:t>
          </a:r>
        </a:p>
        <a:p>
          <a:pPr lvl="0" algn="l" defTabSz="400050">
            <a:lnSpc>
              <a:spcPct val="90000"/>
            </a:lnSpc>
            <a:spcBef>
              <a:spcPct val="0"/>
            </a:spcBef>
            <a:spcAft>
              <a:spcPct val="35000"/>
            </a:spcAft>
          </a:pPr>
          <a:r>
            <a:rPr lang="en-US" sz="1000" kern="1200"/>
            <a:t>Tuberculosis treatment</a:t>
          </a:r>
        </a:p>
        <a:p>
          <a:pPr lvl="0" algn="l" defTabSz="400050">
            <a:lnSpc>
              <a:spcPct val="90000"/>
            </a:lnSpc>
            <a:spcBef>
              <a:spcPct val="0"/>
            </a:spcBef>
            <a:spcAft>
              <a:spcPct val="35000"/>
            </a:spcAft>
          </a:pPr>
          <a:r>
            <a:rPr lang="en-US" sz="1000" kern="1200"/>
            <a:t>coverage (a,b)</a:t>
          </a:r>
        </a:p>
        <a:p>
          <a:pPr lvl="0" algn="l" defTabSz="400050">
            <a:lnSpc>
              <a:spcPct val="90000"/>
            </a:lnSpc>
            <a:spcBef>
              <a:spcPct val="0"/>
            </a:spcBef>
            <a:spcAft>
              <a:spcPct val="35000"/>
            </a:spcAft>
          </a:pPr>
          <a:r>
            <a:rPr lang="en-US" sz="1000" kern="1200"/>
            <a:t>Treatment for substance</a:t>
          </a:r>
        </a:p>
        <a:p>
          <a:pPr lvl="0" algn="l" defTabSz="400050">
            <a:lnSpc>
              <a:spcPct val="90000"/>
            </a:lnSpc>
            <a:spcBef>
              <a:spcPct val="0"/>
            </a:spcBef>
            <a:spcAft>
              <a:spcPct val="35000"/>
            </a:spcAft>
          </a:pPr>
          <a:r>
            <a:rPr lang="en-US" sz="1000" kern="1200"/>
            <a:t>abuse disorders (b)</a:t>
          </a:r>
        </a:p>
        <a:p>
          <a:pPr lvl="0" algn="l" defTabSz="400050">
            <a:lnSpc>
              <a:spcPct val="90000"/>
            </a:lnSpc>
            <a:spcBef>
              <a:spcPct val="0"/>
            </a:spcBef>
            <a:spcAft>
              <a:spcPct val="35000"/>
            </a:spcAft>
          </a:pPr>
          <a:r>
            <a:rPr lang="en-US" sz="1000" kern="1200"/>
            <a:t>Hypertension treatment</a:t>
          </a:r>
        </a:p>
        <a:p>
          <a:pPr lvl="0" algn="l" defTabSz="400050">
            <a:lnSpc>
              <a:spcPct val="90000"/>
            </a:lnSpc>
            <a:spcBef>
              <a:spcPct val="0"/>
            </a:spcBef>
            <a:spcAft>
              <a:spcPct val="35000"/>
            </a:spcAft>
          </a:pPr>
          <a:r>
            <a:rPr lang="en-US" sz="1000" kern="1200"/>
            <a:t>coverage (b)</a:t>
          </a:r>
        </a:p>
        <a:p>
          <a:pPr lvl="0" algn="l" defTabSz="400050">
            <a:lnSpc>
              <a:spcPct val="90000"/>
            </a:lnSpc>
            <a:spcBef>
              <a:spcPct val="0"/>
            </a:spcBef>
            <a:spcAft>
              <a:spcPct val="35000"/>
            </a:spcAft>
          </a:pPr>
          <a:r>
            <a:rPr lang="en-US" sz="1000" kern="1200"/>
            <a:t>Diabetes treatment coverage (b)</a:t>
          </a:r>
        </a:p>
        <a:p>
          <a:pPr lvl="0" algn="l" defTabSz="400050">
            <a:lnSpc>
              <a:spcPct val="90000"/>
            </a:lnSpc>
            <a:spcBef>
              <a:spcPct val="0"/>
            </a:spcBef>
            <a:spcAft>
              <a:spcPct val="35000"/>
            </a:spcAft>
          </a:pPr>
          <a:r>
            <a:rPr lang="en-US" sz="1000" kern="1200"/>
            <a:t> Pneumonia treatment coverage (b)</a:t>
          </a:r>
        </a:p>
        <a:p>
          <a:pPr lvl="0" algn="l" defTabSz="400050">
            <a:lnSpc>
              <a:spcPct val="90000"/>
            </a:lnSpc>
            <a:spcBef>
              <a:spcPct val="0"/>
            </a:spcBef>
            <a:spcAft>
              <a:spcPct val="35000"/>
            </a:spcAft>
          </a:pPr>
          <a:r>
            <a:rPr lang="en-US" sz="1000" b="1" kern="1200"/>
            <a:t>DEMAND AND QUALITY OF CARE</a:t>
          </a:r>
        </a:p>
        <a:p>
          <a:pPr lvl="0" algn="l" defTabSz="400050">
            <a:lnSpc>
              <a:spcPct val="90000"/>
            </a:lnSpc>
            <a:spcBef>
              <a:spcPct val="0"/>
            </a:spcBef>
            <a:spcAft>
              <a:spcPct val="35000"/>
            </a:spcAft>
          </a:pPr>
          <a:r>
            <a:rPr lang="en-US" sz="1000" kern="1200"/>
            <a:t>Client satisfaction Index</a:t>
          </a:r>
        </a:p>
        <a:p>
          <a:pPr lvl="0" algn="l" defTabSz="400050">
            <a:lnSpc>
              <a:spcPct val="90000"/>
            </a:lnSpc>
            <a:spcBef>
              <a:spcPct val="0"/>
            </a:spcBef>
            <a:spcAft>
              <a:spcPct val="35000"/>
            </a:spcAft>
          </a:pPr>
          <a:r>
            <a:rPr lang="en-US" sz="1000" b="0" i="0" u="none" kern="1200"/>
            <a:t>Outpatient per capita utilisation Rate</a:t>
          </a:r>
          <a:endParaRPr lang="en-US" sz="1000" kern="1200"/>
        </a:p>
        <a:p>
          <a:pPr lvl="0" algn="l" defTabSz="400050">
            <a:lnSpc>
              <a:spcPct val="90000"/>
            </a:lnSpc>
            <a:spcBef>
              <a:spcPct val="0"/>
            </a:spcBef>
            <a:spcAft>
              <a:spcPct val="35000"/>
            </a:spcAft>
          </a:pPr>
          <a:r>
            <a:rPr lang="en-US" sz="1000" kern="1200"/>
            <a:t>Maternal  and neonatal deaths Audit</a:t>
          </a:r>
        </a:p>
        <a:p>
          <a:pPr lvl="0" algn="ctr" defTabSz="400050">
            <a:lnSpc>
              <a:spcPct val="90000"/>
            </a:lnSpc>
            <a:spcBef>
              <a:spcPct val="0"/>
            </a:spcBef>
            <a:spcAft>
              <a:spcPct val="35000"/>
            </a:spcAft>
          </a:pPr>
          <a:r>
            <a:rPr lang="en-US" sz="1000" b="1" kern="1200"/>
            <a:t>LIFESTYLE FACTORS AND</a:t>
          </a:r>
        </a:p>
        <a:p>
          <a:pPr lvl="0" algn="ctr" defTabSz="400050">
            <a:lnSpc>
              <a:spcPct val="90000"/>
            </a:lnSpc>
            <a:spcBef>
              <a:spcPct val="0"/>
            </a:spcBef>
            <a:spcAft>
              <a:spcPct val="35000"/>
            </a:spcAft>
          </a:pPr>
          <a:r>
            <a:rPr lang="en-US" sz="1000" b="1" kern="1200"/>
            <a:t>PRACTICES</a:t>
          </a:r>
        </a:p>
        <a:p>
          <a:pPr lvl="0" algn="l" defTabSz="400050">
            <a:lnSpc>
              <a:spcPct val="90000"/>
            </a:lnSpc>
            <a:spcBef>
              <a:spcPct val="0"/>
            </a:spcBef>
            <a:spcAft>
              <a:spcPct val="35000"/>
            </a:spcAft>
          </a:pPr>
          <a:r>
            <a:rPr lang="en-US" sz="1000" kern="1200"/>
            <a:t>Children&lt;5 stunted (a,b)</a:t>
          </a:r>
        </a:p>
        <a:p>
          <a:pPr lvl="0" algn="l" defTabSz="400050">
            <a:lnSpc>
              <a:spcPct val="90000"/>
            </a:lnSpc>
            <a:spcBef>
              <a:spcPct val="0"/>
            </a:spcBef>
            <a:spcAft>
              <a:spcPct val="35000"/>
            </a:spcAft>
          </a:pPr>
          <a:r>
            <a:rPr lang="en-US" sz="1000" kern="1200"/>
            <a:t>Tobacco use (a,b)</a:t>
          </a:r>
        </a:p>
      </dsp:txBody>
      <dsp:txXfrm>
        <a:off x="3521317" y="0"/>
        <a:ext cx="1812531" cy="2108835"/>
      </dsp:txXfrm>
    </dsp:sp>
    <dsp:sp modelId="{63A0576C-183C-400F-94D5-2F40C12E64FB}">
      <dsp:nvSpPr>
        <dsp:cNvPr id="0" name=""/>
        <dsp:cNvSpPr/>
      </dsp:nvSpPr>
      <dsp:spPr>
        <a:xfrm>
          <a:off x="5456683" y="0"/>
          <a:ext cx="1258383" cy="7029450"/>
        </a:xfrm>
        <a:prstGeom prst="roundRect">
          <a:avLst>
            <a:gd name="adj" fmla="val 10000"/>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endParaRPr lang="en-US" sz="1000" b="1" kern="1200"/>
        </a:p>
        <a:p>
          <a:pPr lvl="0" algn="ctr" defTabSz="444500">
            <a:lnSpc>
              <a:spcPct val="90000"/>
            </a:lnSpc>
            <a:spcBef>
              <a:spcPct val="0"/>
            </a:spcBef>
            <a:spcAft>
              <a:spcPct val="35000"/>
            </a:spcAft>
          </a:pPr>
          <a:r>
            <a:rPr lang="en-US" sz="1000" b="1" kern="1200"/>
            <a:t>HEALTH-RELATED</a:t>
          </a:r>
        </a:p>
        <a:p>
          <a:pPr lvl="0" algn="ctr" defTabSz="444500">
            <a:lnSpc>
              <a:spcPct val="90000"/>
            </a:lnSpc>
            <a:spcBef>
              <a:spcPct val="0"/>
            </a:spcBef>
            <a:spcAft>
              <a:spcPct val="35000"/>
            </a:spcAft>
          </a:pPr>
          <a:r>
            <a:rPr lang="en-US" sz="1000" b="1" kern="1200"/>
            <a:t>FINANCIAL SECURITY</a:t>
          </a:r>
        </a:p>
        <a:p>
          <a:pPr lvl="0" algn="l" defTabSz="444500">
            <a:lnSpc>
              <a:spcPct val="90000"/>
            </a:lnSpc>
            <a:spcBef>
              <a:spcPct val="0"/>
            </a:spcBef>
            <a:spcAft>
              <a:spcPct val="35000"/>
            </a:spcAft>
          </a:pPr>
          <a:r>
            <a:rPr lang="en-US" sz="1000" kern="1200"/>
            <a:t> Impoverishing health</a:t>
          </a:r>
        </a:p>
        <a:p>
          <a:pPr lvl="0" algn="ctr" defTabSz="444500">
            <a:lnSpc>
              <a:spcPct val="90000"/>
            </a:lnSpc>
            <a:spcBef>
              <a:spcPct val="0"/>
            </a:spcBef>
            <a:spcAft>
              <a:spcPct val="35000"/>
            </a:spcAft>
          </a:pPr>
          <a:r>
            <a:rPr lang="en-US" sz="1000" kern="1200"/>
            <a:t>expenditure (a,b)</a:t>
          </a:r>
        </a:p>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r>
            <a:rPr lang="en-US" sz="1000" b="1" kern="1200"/>
            <a:t>POPULATION HEALTH</a:t>
          </a:r>
        </a:p>
        <a:p>
          <a:pPr lvl="0" algn="l" defTabSz="444500">
            <a:lnSpc>
              <a:spcPct val="90000"/>
            </a:lnSpc>
            <a:spcBef>
              <a:spcPct val="0"/>
            </a:spcBef>
            <a:spcAft>
              <a:spcPct val="35000"/>
            </a:spcAft>
          </a:pPr>
          <a:r>
            <a:rPr lang="en-US" sz="1000" b="1" kern="1200"/>
            <a:t>Morbidity and mortality</a:t>
          </a:r>
        </a:p>
        <a:p>
          <a:pPr lvl="0" algn="l" defTabSz="444500">
            <a:lnSpc>
              <a:spcPct val="90000"/>
            </a:lnSpc>
            <a:spcBef>
              <a:spcPct val="0"/>
            </a:spcBef>
            <a:spcAft>
              <a:spcPct val="35000"/>
            </a:spcAft>
          </a:pPr>
          <a:r>
            <a:rPr lang="en-US" sz="1000" kern="1200"/>
            <a:t>Under-5 mortality rate (a,b)</a:t>
          </a:r>
        </a:p>
        <a:p>
          <a:pPr lvl="0" algn="l" defTabSz="444500">
            <a:lnSpc>
              <a:spcPct val="90000"/>
            </a:lnSpc>
            <a:spcBef>
              <a:spcPct val="0"/>
            </a:spcBef>
            <a:spcAft>
              <a:spcPct val="35000"/>
            </a:spcAft>
          </a:pPr>
          <a:r>
            <a:rPr lang="en-US" sz="1000" kern="1200"/>
            <a:t>Maternal mortality ratio (a,b)</a:t>
          </a:r>
        </a:p>
        <a:p>
          <a:pPr lvl="0" algn="l" defTabSz="444500">
            <a:lnSpc>
              <a:spcPct val="90000"/>
            </a:lnSpc>
            <a:spcBef>
              <a:spcPct val="0"/>
            </a:spcBef>
            <a:spcAft>
              <a:spcPct val="35000"/>
            </a:spcAft>
          </a:pPr>
          <a:r>
            <a:rPr lang="en-US" sz="1000" kern="1200">
              <a:solidFill>
                <a:srgbClr val="FF0000"/>
              </a:solidFill>
            </a:rPr>
            <a:t>HIV incidence (a,b</a:t>
          </a:r>
          <a:r>
            <a:rPr lang="en-US" sz="1000" kern="1200"/>
            <a:t>)</a:t>
          </a:r>
        </a:p>
        <a:p>
          <a:pPr lvl="0" algn="l" defTabSz="444500">
            <a:lnSpc>
              <a:spcPct val="90000"/>
            </a:lnSpc>
            <a:spcBef>
              <a:spcPct val="0"/>
            </a:spcBef>
            <a:spcAft>
              <a:spcPct val="35000"/>
            </a:spcAft>
          </a:pPr>
          <a:r>
            <a:rPr lang="en-US" sz="1000" kern="1200"/>
            <a:t>Tuberculosis  cure rate (a,b)</a:t>
          </a:r>
        </a:p>
        <a:p>
          <a:pPr lvl="0" algn="l" defTabSz="444500">
            <a:lnSpc>
              <a:spcPct val="90000"/>
            </a:lnSpc>
            <a:spcBef>
              <a:spcPct val="0"/>
            </a:spcBef>
            <a:spcAft>
              <a:spcPct val="35000"/>
            </a:spcAft>
          </a:pPr>
          <a:r>
            <a:rPr lang="en-US" sz="1000" kern="1200">
              <a:solidFill>
                <a:schemeClr val="tx1">
                  <a:lumMod val="65000"/>
                  <a:lumOff val="35000"/>
                </a:schemeClr>
              </a:solidFill>
            </a:rPr>
            <a:t>Malaria mortality  rate (a,b)</a:t>
          </a:r>
        </a:p>
        <a:p>
          <a:pPr lvl="0" algn="l" defTabSz="444500">
            <a:lnSpc>
              <a:spcPct val="90000"/>
            </a:lnSpc>
            <a:spcBef>
              <a:spcPct val="0"/>
            </a:spcBef>
            <a:spcAft>
              <a:spcPct val="35000"/>
            </a:spcAft>
          </a:pPr>
          <a:r>
            <a:rPr lang="en-US" sz="1000" kern="1200"/>
            <a:t>cancer, diabetes, or</a:t>
          </a:r>
        </a:p>
        <a:p>
          <a:pPr lvl="0" algn="ctr" defTabSz="444500">
            <a:lnSpc>
              <a:spcPct val="90000"/>
            </a:lnSpc>
            <a:spcBef>
              <a:spcPct val="0"/>
            </a:spcBef>
            <a:spcAft>
              <a:spcPct val="35000"/>
            </a:spcAft>
          </a:pPr>
          <a:r>
            <a:rPr lang="en-US" sz="1000" kern="1200"/>
            <a:t>chronic respiratory disease</a:t>
          </a:r>
        </a:p>
        <a:p>
          <a:pPr lvl="0" algn="ctr" defTabSz="444500">
            <a:lnSpc>
              <a:spcPct val="90000"/>
            </a:lnSpc>
            <a:spcBef>
              <a:spcPct val="0"/>
            </a:spcBef>
            <a:spcAft>
              <a:spcPct val="35000"/>
            </a:spcAft>
          </a:pPr>
          <a:r>
            <a:rPr lang="en-US" sz="1000" kern="1200"/>
            <a:t>between 30 and 70 (a,b)</a:t>
          </a:r>
        </a:p>
        <a:p>
          <a:pPr lvl="0" algn="l" defTabSz="444500">
            <a:lnSpc>
              <a:spcPct val="90000"/>
            </a:lnSpc>
            <a:spcBef>
              <a:spcPct val="0"/>
            </a:spcBef>
            <a:spcAft>
              <a:spcPct val="35000"/>
            </a:spcAft>
          </a:pPr>
          <a:r>
            <a:rPr lang="en-US" sz="1000" kern="1200"/>
            <a:t>Road traffic deaths (a)</a:t>
          </a:r>
        </a:p>
      </dsp:txBody>
      <dsp:txXfrm>
        <a:off x="5456683" y="0"/>
        <a:ext cx="1258383" cy="2108835"/>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11/layout/HexagonRadial#1">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Translating the WHO Africa Region framework for Action for attaining UHC in the context of the sustainable development goals</Abstract>
  <CompanyAddress>Brazzaville, CONGO</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E4EC182-AEEA-4DB6-9E11-4EB175BCC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82</Pages>
  <Words>19581</Words>
  <Characters>111614</Characters>
  <Application>Microsoft Office Word</Application>
  <DocSecurity>0</DocSecurity>
  <Lines>930</Lines>
  <Paragraphs>261</Paragraphs>
  <ScaleCrop>false</ScaleCrop>
  <HeadingPairs>
    <vt:vector size="2" baseType="variant">
      <vt:variant>
        <vt:lpstr>Title</vt:lpstr>
      </vt:variant>
      <vt:variant>
        <vt:i4>1</vt:i4>
      </vt:variant>
    </vt:vector>
  </HeadingPairs>
  <TitlesOfParts>
    <vt:vector size="1" baseType="lpstr">
      <vt:lpstr>MONITORING AND EVALUATION FRAMEWORK FOR UNIVERSAL HEALTH COVERAGE IN KENYA</vt:lpstr>
    </vt:vector>
  </TitlesOfParts>
  <Company>WHO REGIONAL OFFICE FOR AFRICA</Company>
  <LinksUpToDate>false</LinksUpToDate>
  <CharactersWithSpaces>130934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MONITORING AND EVALUATION FRAMEWORK FOR UNIVERSAL HEALTH COVERAGE IN KENYA</dc:title>
  <dc:creator>WHO REGIONAL OFFICE FOR AFRICA</dc:creator>
  <cp:lastModifiedBy>Hewlett-Packard Company</cp:lastModifiedBy>
  <cp:revision>6</cp:revision>
  <dcterms:created xsi:type="dcterms:W3CDTF">2018-08-06T05:17:00Z</dcterms:created>
  <dcterms:modified xsi:type="dcterms:W3CDTF">2018-08-06T05:54:00Z</dcterms:modified>
</cp:coreProperties>
</file>