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943" w:rsidRDefault="00177943"/>
    <w:tbl>
      <w:tblPr>
        <w:tblW w:w="10125" w:type="dxa"/>
        <w:tblInd w:w="93" w:type="dxa"/>
        <w:tblCellMar>
          <w:left w:w="0" w:type="dxa"/>
          <w:right w:w="0" w:type="dxa"/>
        </w:tblCellMar>
        <w:tblLook w:val="04A0" w:firstRow="1" w:lastRow="0" w:firstColumn="1" w:lastColumn="0" w:noHBand="0" w:noVBand="1"/>
      </w:tblPr>
      <w:tblGrid>
        <w:gridCol w:w="2705"/>
        <w:gridCol w:w="7420"/>
      </w:tblGrid>
      <w:tr w:rsidR="00177943" w:rsidTr="00177943">
        <w:trPr>
          <w:trHeight w:val="374"/>
        </w:trPr>
        <w:tc>
          <w:tcPr>
            <w:tcW w:w="2709" w:type="dxa"/>
            <w:tcBorders>
              <w:top w:val="single" w:sz="8" w:space="0" w:color="31849B"/>
              <w:left w:val="single" w:sz="8" w:space="0" w:color="31849B"/>
              <w:bottom w:val="nil"/>
              <w:right w:val="single" w:sz="8" w:space="0" w:color="31849B"/>
            </w:tcBorders>
            <w:tcMar>
              <w:top w:w="0" w:type="dxa"/>
              <w:left w:w="108" w:type="dxa"/>
              <w:bottom w:w="0" w:type="dxa"/>
              <w:right w:w="108" w:type="dxa"/>
            </w:tcMar>
            <w:hideMark/>
          </w:tcPr>
          <w:p w:rsidR="00177943" w:rsidRDefault="00177943">
            <w:pPr>
              <w:rPr>
                <w:rFonts w:ascii="Times New Roman" w:hAnsi="Times New Roman" w:cs="Times New Roman"/>
                <w:b/>
                <w:bCs/>
                <w:sz w:val="23"/>
                <w:szCs w:val="23"/>
                <w:lang w:val="fr-BE"/>
              </w:rPr>
            </w:pPr>
            <w:r>
              <w:rPr>
                <w:rFonts w:ascii="Times New Roman" w:hAnsi="Times New Roman" w:cs="Times New Roman"/>
                <w:b/>
                <w:bCs/>
                <w:sz w:val="23"/>
                <w:szCs w:val="23"/>
                <w:lang w:val="fr-BE"/>
              </w:rPr>
              <w:t>Cibles</w:t>
            </w:r>
          </w:p>
        </w:tc>
        <w:tc>
          <w:tcPr>
            <w:tcW w:w="7420" w:type="dxa"/>
            <w:tcBorders>
              <w:top w:val="single" w:sz="8" w:space="0" w:color="31849B"/>
              <w:left w:val="nil"/>
              <w:bottom w:val="nil"/>
              <w:right w:val="single" w:sz="8" w:space="0" w:color="31849B"/>
            </w:tcBorders>
            <w:noWrap/>
            <w:tcMar>
              <w:top w:w="0" w:type="dxa"/>
              <w:left w:w="108" w:type="dxa"/>
              <w:bottom w:w="0" w:type="dxa"/>
              <w:right w:w="108" w:type="dxa"/>
            </w:tcMar>
            <w:hideMark/>
          </w:tcPr>
          <w:p w:rsidR="00177943" w:rsidRDefault="00177943">
            <w:pPr>
              <w:spacing w:after="120"/>
              <w:jc w:val="both"/>
              <w:rPr>
                <w:rFonts w:ascii="Times New Roman" w:hAnsi="Times New Roman" w:cs="Times New Roman"/>
                <w:sz w:val="23"/>
                <w:szCs w:val="23"/>
                <w:highlight w:val="yellow"/>
              </w:rPr>
            </w:pPr>
            <w:r>
              <w:rPr>
                <w:rFonts w:ascii="Times New Roman" w:hAnsi="Times New Roman" w:cs="Times New Roman"/>
                <w:sz w:val="23"/>
                <w:szCs w:val="23"/>
                <w:highlight w:val="yellow"/>
              </w:rPr>
              <w:t>Cible 2019 : Un projet de Stratégie nationale de Couverture sanitaire universelle, comprenant notamment l'identification de mécanismes de protection financière pour les usagers des services de santé les plus vulnérables, assortie de son Plan d’action pluriannuel existe et est présenté aux PTF de la santé</w:t>
            </w:r>
          </w:p>
          <w:p w:rsidR="00177943" w:rsidRDefault="00177943">
            <w:pPr>
              <w:spacing w:after="120"/>
              <w:jc w:val="both"/>
              <w:rPr>
                <w:rFonts w:ascii="Times New Roman" w:hAnsi="Times New Roman" w:cs="Times New Roman"/>
                <w:sz w:val="23"/>
                <w:szCs w:val="23"/>
                <w:highlight w:val="yellow"/>
              </w:rPr>
            </w:pPr>
            <w:r>
              <w:rPr>
                <w:rFonts w:ascii="Times New Roman" w:hAnsi="Times New Roman" w:cs="Times New Roman"/>
                <w:sz w:val="23"/>
                <w:szCs w:val="23"/>
                <w:highlight w:val="yellow"/>
              </w:rPr>
              <w:t>Cible 2020 : Validation de la Stratégie nationale de Couverture sanitaire universelle, comprenant notamment l'identification de mécanismes de protection financière pour les usagers des services de santé les plus vulnérables, assortie de son Plan d’action pluriannuel et adoption en conseil des ministres</w:t>
            </w:r>
          </w:p>
          <w:p w:rsidR="00177943" w:rsidRDefault="00177943">
            <w:pPr>
              <w:jc w:val="both"/>
              <w:rPr>
                <w:rFonts w:ascii="Times New Roman" w:hAnsi="Times New Roman" w:cs="Times New Roman"/>
                <w:sz w:val="23"/>
                <w:szCs w:val="23"/>
                <w:lang w:val="fr-BE"/>
              </w:rPr>
            </w:pPr>
            <w:r>
              <w:rPr>
                <w:rFonts w:ascii="Times New Roman" w:hAnsi="Times New Roman" w:cs="Times New Roman"/>
                <w:sz w:val="23"/>
                <w:szCs w:val="23"/>
                <w:highlight w:val="yellow"/>
              </w:rPr>
              <w:t>Cible 2021 :</w:t>
            </w:r>
            <w:r>
              <w:rPr>
                <w:rFonts w:ascii="Times New Roman" w:hAnsi="Times New Roman" w:cs="Times New Roman"/>
                <w:sz w:val="23"/>
                <w:szCs w:val="23"/>
              </w:rPr>
              <w:t xml:space="preserve"> </w:t>
            </w:r>
            <w:r>
              <w:rPr>
                <w:rFonts w:ascii="Times New Roman" w:hAnsi="Times New Roman" w:cs="Times New Roman"/>
                <w:sz w:val="23"/>
                <w:szCs w:val="23"/>
                <w:highlight w:val="yellow"/>
              </w:rPr>
              <w:t xml:space="preserve">Taux d’exécution en 2021 au 30 septembre 2021 d’au moins 60% du Plan d’action issu de la Stratégie nationale de Couverture sanitaire universelle, comprenant notamment l'identification de mécanismes de protection financière pour les usagers des services de santé les plus vulnérables, </w:t>
            </w:r>
            <w:r>
              <w:rPr>
                <w:rFonts w:ascii="Times New Roman" w:hAnsi="Times New Roman" w:cs="Times New Roman"/>
                <w:sz w:val="23"/>
                <w:szCs w:val="23"/>
                <w:highlight w:val="yellow"/>
                <w:lang w:val="fr-BE"/>
              </w:rPr>
              <w:t xml:space="preserve">dont au moins 70% des actions prioritaires </w:t>
            </w:r>
            <w:r>
              <w:rPr>
                <w:rFonts w:ascii="Times New Roman" w:hAnsi="Times New Roman" w:cs="Times New Roman"/>
                <w:b/>
                <w:bCs/>
                <w:sz w:val="23"/>
                <w:szCs w:val="23"/>
                <w:highlight w:val="yellow"/>
                <w:lang w:val="fr-BE"/>
              </w:rPr>
              <w:t>identifiées et formalisées en n-1 entre la DUE et la partie nationale</w:t>
            </w:r>
            <w:r>
              <w:rPr>
                <w:rFonts w:ascii="Times New Roman" w:hAnsi="Times New Roman" w:cs="Times New Roman"/>
                <w:sz w:val="23"/>
                <w:szCs w:val="23"/>
                <w:highlight w:val="yellow"/>
                <w:lang w:val="fr-BE"/>
              </w:rPr>
              <w:t>.</w:t>
            </w:r>
          </w:p>
        </w:tc>
      </w:tr>
    </w:tbl>
    <w:p w:rsidR="00177943" w:rsidRDefault="00177943"/>
    <w:p w:rsidR="00177943" w:rsidRDefault="00177943"/>
    <w:p w:rsidR="00753FCA" w:rsidRDefault="00177943">
      <w:bookmarkStart w:id="0" w:name="_GoBack"/>
      <w:r w:rsidRPr="00177943">
        <w:drawing>
          <wp:inline distT="0" distB="0" distL="0" distR="0" wp14:anchorId="38B74AFC" wp14:editId="6AC4768B">
            <wp:extent cx="5760720" cy="2015429"/>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015429"/>
                    </a:xfrm>
                    <a:prstGeom prst="rect">
                      <a:avLst/>
                    </a:prstGeom>
                    <a:noFill/>
                    <a:ln>
                      <a:noFill/>
                    </a:ln>
                  </pic:spPr>
                </pic:pic>
              </a:graphicData>
            </a:graphic>
          </wp:inline>
        </w:drawing>
      </w:r>
      <w:bookmarkEnd w:id="0"/>
    </w:p>
    <w:sectPr w:rsidR="00753F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943"/>
    <w:rsid w:val="00177943"/>
    <w:rsid w:val="00484E5B"/>
    <w:rsid w:val="00D833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779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779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779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779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996762">
      <w:bodyDiv w:val="1"/>
      <w:marLeft w:val="0"/>
      <w:marRight w:val="0"/>
      <w:marTop w:val="0"/>
      <w:marBottom w:val="0"/>
      <w:divBdr>
        <w:top w:val="none" w:sz="0" w:space="0" w:color="auto"/>
        <w:left w:val="none" w:sz="0" w:space="0" w:color="auto"/>
        <w:bottom w:val="none" w:sz="0" w:space="0" w:color="auto"/>
        <w:right w:val="none" w:sz="0" w:space="0" w:color="auto"/>
      </w:divBdr>
    </w:div>
    <w:div w:id="83449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B3967-BE3C-483E-8CC9-7E4E48EF5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159</Words>
  <Characters>875</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cp:revision>
  <dcterms:created xsi:type="dcterms:W3CDTF">2019-08-29T11:42:00Z</dcterms:created>
  <dcterms:modified xsi:type="dcterms:W3CDTF">2019-08-29T11:43:00Z</dcterms:modified>
</cp:coreProperties>
</file>