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6DCC2" w14:textId="77777777" w:rsidR="008B1B3B" w:rsidRPr="00374DE2" w:rsidRDefault="008A5EE2" w:rsidP="008B1B3B">
      <w:pPr>
        <w:jc w:val="both"/>
        <w:rPr>
          <w:rFonts w:ascii="Arial" w:hAnsi="Arial" w:cs="Arial"/>
        </w:rPr>
      </w:pPr>
      <w:r>
        <w:rPr>
          <w:rFonts w:ascii="Arial" w:hAnsi="Arial" w:cs="Arial"/>
        </w:rPr>
        <w:t xml:space="preserve">            </w:t>
      </w:r>
    </w:p>
    <w:tbl>
      <w:tblPr>
        <w:tblStyle w:val="Grilledutableau"/>
        <w:tblW w:w="9465" w:type="dxa"/>
        <w:tblLook w:val="04A0" w:firstRow="1" w:lastRow="0" w:firstColumn="1" w:lastColumn="0" w:noHBand="0" w:noVBand="1"/>
      </w:tblPr>
      <w:tblGrid>
        <w:gridCol w:w="9465"/>
      </w:tblGrid>
      <w:tr w:rsidR="008B1B3B" w14:paraId="4B319FFC" w14:textId="77777777" w:rsidTr="00230145">
        <w:trPr>
          <w:trHeight w:val="1248"/>
        </w:trPr>
        <w:tc>
          <w:tcPr>
            <w:tcW w:w="9465" w:type="dxa"/>
            <w:tcBorders>
              <w:top w:val="single" w:sz="24" w:space="0" w:color="auto"/>
              <w:left w:val="single" w:sz="24" w:space="0" w:color="auto"/>
              <w:bottom w:val="single" w:sz="24" w:space="0" w:color="auto"/>
              <w:right w:val="single" w:sz="24" w:space="0" w:color="auto"/>
            </w:tcBorders>
          </w:tcPr>
          <w:p w14:paraId="5E6FCD86" w14:textId="77777777" w:rsidR="008B1B3B" w:rsidRDefault="008B1B3B" w:rsidP="00230145">
            <w:pPr>
              <w:jc w:val="center"/>
              <w:outlineLvl w:val="1"/>
              <w:rPr>
                <w:rFonts w:ascii="Arial" w:hAnsi="Arial" w:cs="Arial"/>
                <w:b/>
                <w:smallCaps/>
              </w:rPr>
            </w:pPr>
            <w:r w:rsidRPr="00FF4F0E">
              <w:rPr>
                <w:rFonts w:ascii="Arial" w:hAnsi="Arial" w:cs="Arial"/>
                <w:b/>
                <w:smallCaps/>
              </w:rPr>
              <w:t>TERMES DE REFERENCE</w:t>
            </w:r>
          </w:p>
          <w:p w14:paraId="022C7FBA" w14:textId="77777777" w:rsidR="008B1B3B" w:rsidRDefault="008B1B3B" w:rsidP="00230145">
            <w:pPr>
              <w:jc w:val="center"/>
              <w:outlineLvl w:val="1"/>
              <w:rPr>
                <w:rFonts w:ascii="Arial" w:hAnsi="Arial" w:cs="Arial"/>
                <w:b/>
                <w:smallCaps/>
              </w:rPr>
            </w:pPr>
          </w:p>
          <w:p w14:paraId="002CA138" w14:textId="77777777" w:rsidR="008B1B3B" w:rsidRPr="002B4312" w:rsidRDefault="008B1B3B" w:rsidP="007F4E8E">
            <w:pPr>
              <w:spacing w:line="360" w:lineRule="auto"/>
              <w:jc w:val="center"/>
              <w:outlineLvl w:val="1"/>
              <w:rPr>
                <w:rFonts w:eastAsia="Times New Roman"/>
                <w:b/>
                <w:color w:val="FF0000"/>
                <w:sz w:val="28"/>
                <w:szCs w:val="28"/>
              </w:rPr>
            </w:pPr>
            <w:r w:rsidRPr="008B1B3B">
              <w:rPr>
                <w:rFonts w:ascii="Arial" w:hAnsi="Arial" w:cs="Arial"/>
                <w:b/>
                <w:smallCaps/>
              </w:rPr>
              <w:t>Atelier d’élaboration et de validation de la note d’orientation méthodologique de la mission d’audit des effectifs et de la masse salariale</w:t>
            </w:r>
          </w:p>
        </w:tc>
      </w:tr>
    </w:tbl>
    <w:p w14:paraId="49D371B0" w14:textId="77777777" w:rsidR="008B1B3B" w:rsidRDefault="008B1B3B"/>
    <w:p w14:paraId="4FBD5324" w14:textId="77777777" w:rsidR="008B1B3B" w:rsidRDefault="008B1B3B"/>
    <w:p w14:paraId="2D2B5CA1" w14:textId="77777777" w:rsidR="008B1B3B" w:rsidRPr="00E86459" w:rsidRDefault="008B1B3B" w:rsidP="008B1B3B">
      <w:pPr>
        <w:pStyle w:val="Paragraphedeliste"/>
        <w:numPr>
          <w:ilvl w:val="0"/>
          <w:numId w:val="1"/>
        </w:numPr>
        <w:spacing w:line="360" w:lineRule="auto"/>
        <w:rPr>
          <w:rFonts w:ascii="Arial" w:hAnsi="Arial" w:cs="Arial"/>
          <w:b/>
          <w:smallCaps/>
          <w:sz w:val="24"/>
          <w:szCs w:val="24"/>
          <w:u w:val="single"/>
        </w:rPr>
      </w:pPr>
      <w:r w:rsidRPr="00E86459">
        <w:rPr>
          <w:rFonts w:ascii="Arial" w:hAnsi="Arial" w:cs="Arial"/>
          <w:b/>
          <w:smallCaps/>
          <w:sz w:val="24"/>
          <w:szCs w:val="24"/>
          <w:u w:val="single"/>
        </w:rPr>
        <w:t>CONTEXTE ET JUSTIFICATION</w:t>
      </w:r>
    </w:p>
    <w:p w14:paraId="738D4A14" w14:textId="77777777" w:rsidR="008B1B3B" w:rsidRPr="008A5EE2" w:rsidRDefault="008B1B3B" w:rsidP="008B1B3B">
      <w:pPr>
        <w:spacing w:line="360" w:lineRule="auto"/>
        <w:jc w:val="both"/>
      </w:pPr>
      <w:r w:rsidRPr="008A5EE2">
        <w:rPr>
          <w:highlight w:val="white"/>
        </w:rPr>
        <w:t xml:space="preserve">La Direction générale des Etablissements de Santé (DGES) a pour mission l’élaboration et le suivi de la mise en œuvre de la politique de santé de l’Etat en matière hospitalière et d’établissements de santé. </w:t>
      </w:r>
    </w:p>
    <w:p w14:paraId="0E5FC6F2" w14:textId="77777777" w:rsidR="008B1B3B" w:rsidRPr="008A5EE2" w:rsidRDefault="008B1B3B" w:rsidP="008B1B3B">
      <w:pPr>
        <w:autoSpaceDE w:val="0"/>
        <w:autoSpaceDN w:val="0"/>
        <w:spacing w:after="160" w:line="360" w:lineRule="auto"/>
        <w:jc w:val="both"/>
        <w:rPr>
          <w:rFonts w:eastAsia="Times New Roman"/>
          <w:b/>
        </w:rPr>
      </w:pPr>
      <w:r w:rsidRPr="008A5EE2">
        <w:rPr>
          <w:rFonts w:eastAsia="Times New Roman"/>
        </w:rPr>
        <w:t>Elle a sous sa tutelle</w:t>
      </w:r>
      <w:r w:rsidRPr="008A5EE2">
        <w:t xml:space="preserve"> trente-neuf (41) établissements publics de santé (EPS), dont 37 hospitaliers et 04 non hospitaliers. Les EPS hospitaliers sont structurées en trois niveaux (9 EPS de Niveau 1, 17 EPS de Niveau 2, et 11 EPS de Niveau 3).</w:t>
      </w:r>
    </w:p>
    <w:p w14:paraId="0B5FF820" w14:textId="77777777" w:rsidR="008B1B3B" w:rsidRPr="008A5EE2" w:rsidRDefault="008B1B3B" w:rsidP="008B1B3B">
      <w:pPr>
        <w:spacing w:line="360" w:lineRule="auto"/>
        <w:jc w:val="both"/>
        <w:rPr>
          <w:b/>
          <w:bCs/>
          <w:highlight w:val="white"/>
        </w:rPr>
      </w:pPr>
      <w:r w:rsidRPr="008A5EE2">
        <w:rPr>
          <w:highlight w:val="white"/>
        </w:rPr>
        <w:t>Pour rappel, les résultats de l’analyse situationnelle des RH corrélés à l</w:t>
      </w:r>
      <w:r w:rsidRPr="008A5EE2">
        <w:rPr>
          <w:b/>
          <w:bCs/>
          <w:highlight w:val="white"/>
        </w:rPr>
        <w:t xml:space="preserve">a </w:t>
      </w:r>
      <w:r w:rsidRPr="008A5EE2">
        <w:rPr>
          <w:bCs/>
          <w:highlight w:val="white"/>
        </w:rPr>
        <w:t>problématique de la gestion des Ressources Humaines des Etablissements de Santé : maîtrise de la masse salariale et des recrutements présentés lors de la réunion de coordination de Kaolack avaient permis de cerner les réels problèmes de gestion des RH dans les EPS</w:t>
      </w:r>
      <w:r w:rsidRPr="008A5EE2">
        <w:rPr>
          <w:b/>
          <w:bCs/>
          <w:highlight w:val="white"/>
        </w:rPr>
        <w:t>.</w:t>
      </w:r>
    </w:p>
    <w:p w14:paraId="7BBE9EAA" w14:textId="77777777" w:rsidR="008B1B3B" w:rsidRPr="008A5EE2" w:rsidRDefault="008B1B3B" w:rsidP="008B1B3B">
      <w:pPr>
        <w:spacing w:line="360" w:lineRule="auto"/>
        <w:jc w:val="both"/>
        <w:rPr>
          <w:b/>
          <w:bCs/>
          <w:highlight w:val="white"/>
        </w:rPr>
      </w:pPr>
    </w:p>
    <w:p w14:paraId="5AD9E50E" w14:textId="77777777" w:rsidR="008B1B3B" w:rsidRPr="008A5EE2" w:rsidRDefault="008B1B3B" w:rsidP="008B1B3B">
      <w:pPr>
        <w:spacing w:line="360" w:lineRule="auto"/>
        <w:jc w:val="both"/>
        <w:rPr>
          <w:highlight w:val="white"/>
        </w:rPr>
      </w:pPr>
      <w:r w:rsidRPr="008A5EE2">
        <w:rPr>
          <w:highlight w:val="white"/>
        </w:rPr>
        <w:t xml:space="preserve">La problématique de la gestion des ressources humaines dans les EPS, l’augmentation sans cesse de la masse salariale, la non maitrise de la masse salariale avec le recours à la subvention d’exploitation pour payer les salaires et les motivations constituent des freins majeurs au bon pilotage des EPS. </w:t>
      </w:r>
    </w:p>
    <w:p w14:paraId="74352951" w14:textId="77777777" w:rsidR="008B1B3B" w:rsidRPr="008A5EE2" w:rsidRDefault="008B1B3B" w:rsidP="008B1B3B">
      <w:pPr>
        <w:spacing w:line="360" w:lineRule="auto"/>
        <w:jc w:val="both"/>
      </w:pPr>
      <w:r w:rsidRPr="008A5EE2">
        <w:t>La DEPS ayant</w:t>
      </w:r>
      <w:r w:rsidR="00813054" w:rsidRPr="008A5EE2">
        <w:t xml:space="preserve"> </w:t>
      </w:r>
      <w:r w:rsidRPr="008A5EE2">
        <w:t xml:space="preserve">inscrit la performance de l’outil de production au cœur de sa stratégie, </w:t>
      </w:r>
      <w:r w:rsidR="0075143D" w:rsidRPr="008A5EE2">
        <w:t xml:space="preserve">compte organiser une </w:t>
      </w:r>
      <w:r w:rsidR="007334DA" w:rsidRPr="008A5EE2">
        <w:t xml:space="preserve">mission d’audit organisationnel </w:t>
      </w:r>
      <w:r w:rsidRPr="008A5EE2">
        <w:t>et des ressources humaines dans tous les EPS</w:t>
      </w:r>
      <w:r w:rsidRPr="008A5EE2">
        <w:rPr>
          <w:highlight w:val="white"/>
        </w:rPr>
        <w:t xml:space="preserve"> avec l’appui de la DRH via HRH 2030</w:t>
      </w:r>
      <w:r w:rsidRPr="008A5EE2">
        <w:t xml:space="preserve">. </w:t>
      </w:r>
    </w:p>
    <w:p w14:paraId="367F0375" w14:textId="77777777" w:rsidR="008B1B3B" w:rsidRPr="008A5EE2" w:rsidRDefault="008B1B3B" w:rsidP="008B1B3B">
      <w:pPr>
        <w:spacing w:line="360" w:lineRule="auto"/>
        <w:jc w:val="both"/>
      </w:pPr>
      <w:r w:rsidRPr="008A5EE2">
        <w:t xml:space="preserve">Cependant, il faut rappeler </w:t>
      </w:r>
      <w:r w:rsidR="00813054" w:rsidRPr="008A5EE2">
        <w:t xml:space="preserve">que </w:t>
      </w:r>
      <w:r w:rsidR="00135854" w:rsidRPr="008A5EE2">
        <w:t xml:space="preserve">l’audit organisationnel </w:t>
      </w:r>
      <w:r w:rsidRPr="008A5EE2">
        <w:t>et des ressources humaines est</w:t>
      </w:r>
      <w:r w:rsidR="008A5EE2" w:rsidRPr="008A5EE2">
        <w:t xml:space="preserve"> « un</w:t>
      </w:r>
      <w:r w:rsidRPr="008A5EE2">
        <w:t xml:space="preserve"> </w:t>
      </w:r>
      <w:r w:rsidR="008A5EE2" w:rsidRPr="008A5EE2">
        <w:t>instrument qui vise à donner une opinion professionnelle et indépendante sur la</w:t>
      </w:r>
      <w:r w:rsidRPr="008A5EE2">
        <w:t xml:space="preserve"> situation et/ou la gestion sociale d’une organisation et lorsque </w:t>
      </w:r>
      <w:r w:rsidR="008A5EE2" w:rsidRPr="008A5EE2">
        <w:t>cela est nécessaire</w:t>
      </w:r>
      <w:r w:rsidRPr="008A5EE2">
        <w:t xml:space="preserve"> mettre en relief des </w:t>
      </w:r>
      <w:r w:rsidR="008A5EE2" w:rsidRPr="008A5EE2">
        <w:t>écarts par</w:t>
      </w:r>
      <w:r w:rsidRPr="008A5EE2">
        <w:t xml:space="preserve"> rapport aux </w:t>
      </w:r>
      <w:r w:rsidR="008A5EE2" w:rsidRPr="008A5EE2">
        <w:t>normes »</w:t>
      </w:r>
      <w:r w:rsidRPr="008A5EE2">
        <w:t xml:space="preserve">. </w:t>
      </w:r>
    </w:p>
    <w:p w14:paraId="41B4833C" w14:textId="77777777" w:rsidR="008B1B3B" w:rsidRPr="008A5EE2" w:rsidRDefault="008B1B3B" w:rsidP="008B1B3B">
      <w:pPr>
        <w:shd w:val="clear" w:color="auto" w:fill="FFFFFF"/>
        <w:spacing w:line="360" w:lineRule="auto"/>
        <w:jc w:val="both"/>
      </w:pPr>
      <w:r w:rsidRPr="008A5EE2">
        <w:t xml:space="preserve">C’est un élément d’évaluation de la compétitivité des ressources humaines, acteurs des performances de l’organisation et créatrices de valeurs. </w:t>
      </w:r>
    </w:p>
    <w:p w14:paraId="451B6592" w14:textId="77777777" w:rsidR="008B1B3B" w:rsidRPr="008A5EE2" w:rsidRDefault="008B1B3B" w:rsidP="008B1B3B">
      <w:pPr>
        <w:shd w:val="clear" w:color="auto" w:fill="FFFFFF"/>
        <w:spacing w:line="360" w:lineRule="auto"/>
        <w:jc w:val="both"/>
      </w:pPr>
      <w:r w:rsidRPr="008A5EE2">
        <w:t xml:space="preserve">Cet outil stratégique participe d’une part, à l’amélioration des décisions stratégiques et opérationnelles, et d’autre part, à la conciliation de l’économique, du social et de l’humain. En </w:t>
      </w:r>
      <w:r w:rsidRPr="008A5EE2">
        <w:lastRenderedPageBreak/>
        <w:t>d’autres termes, l’audit organisationnel et des ressources humaines doit permettre à la DGES de façonner une stratégie des ressources humaines cohérentes, c'est-à-dire capable d’utiliser et de développer son potentiel humain afin d’être plus performantes.</w:t>
      </w:r>
    </w:p>
    <w:p w14:paraId="47146489" w14:textId="77777777" w:rsidR="008B1B3B" w:rsidRPr="008A5EE2" w:rsidRDefault="008B1B3B" w:rsidP="008B1B3B">
      <w:pPr>
        <w:shd w:val="clear" w:color="auto" w:fill="FFFFFF"/>
        <w:spacing w:line="360" w:lineRule="auto"/>
      </w:pPr>
    </w:p>
    <w:p w14:paraId="7461B515" w14:textId="77777777" w:rsidR="008B1B3B" w:rsidRPr="008A5EE2" w:rsidRDefault="008B1B3B" w:rsidP="008B1B3B">
      <w:pPr>
        <w:pStyle w:val="Paragraphedeliste"/>
        <w:numPr>
          <w:ilvl w:val="0"/>
          <w:numId w:val="1"/>
        </w:numPr>
        <w:spacing w:line="360" w:lineRule="auto"/>
        <w:jc w:val="both"/>
        <w:rPr>
          <w:rFonts w:ascii="Times New Roman" w:hAnsi="Times New Roman"/>
          <w:b/>
          <w:sz w:val="24"/>
          <w:szCs w:val="24"/>
          <w:u w:val="single"/>
        </w:rPr>
      </w:pPr>
      <w:r w:rsidRPr="008A5EE2">
        <w:rPr>
          <w:rFonts w:ascii="Times New Roman" w:hAnsi="Times New Roman"/>
          <w:b/>
          <w:sz w:val="24"/>
          <w:szCs w:val="24"/>
          <w:u w:val="single"/>
        </w:rPr>
        <w:t>OBJECTIF GENERAL</w:t>
      </w:r>
    </w:p>
    <w:p w14:paraId="636CD43F" w14:textId="77777777" w:rsidR="00CC29EA" w:rsidRPr="008A5EE2" w:rsidRDefault="00CC29EA" w:rsidP="0032031C">
      <w:pPr>
        <w:shd w:val="clear" w:color="auto" w:fill="FFFFFF"/>
        <w:spacing w:line="360" w:lineRule="auto"/>
        <w:rPr>
          <w:rFonts w:eastAsia="Times New Roman"/>
        </w:rPr>
      </w:pPr>
      <w:r w:rsidRPr="008A5EE2">
        <w:rPr>
          <w:rFonts w:eastAsia="Times New Roman"/>
        </w:rPr>
        <w:t xml:space="preserve">Elaborer et valider la note d’orientation méthodologique de la mission d’audit des effectifs et de la masse salariale </w:t>
      </w:r>
    </w:p>
    <w:p w14:paraId="61176B32" w14:textId="77777777" w:rsidR="00CC29EA" w:rsidRPr="008A5EE2" w:rsidRDefault="00CC29EA" w:rsidP="00CC29EA">
      <w:pPr>
        <w:shd w:val="clear" w:color="auto" w:fill="FFFFFF"/>
        <w:rPr>
          <w:rFonts w:eastAsia="Times New Roman"/>
        </w:rPr>
      </w:pPr>
    </w:p>
    <w:p w14:paraId="5A785619" w14:textId="77777777" w:rsidR="008B1B3B" w:rsidRPr="008A5EE2" w:rsidRDefault="008B1B3B" w:rsidP="00CC29EA">
      <w:pPr>
        <w:pStyle w:val="Paragraphedeliste"/>
        <w:numPr>
          <w:ilvl w:val="0"/>
          <w:numId w:val="1"/>
        </w:numPr>
        <w:spacing w:line="360" w:lineRule="auto"/>
        <w:jc w:val="both"/>
        <w:rPr>
          <w:rFonts w:ascii="Times New Roman" w:hAnsi="Times New Roman"/>
          <w:b/>
          <w:sz w:val="24"/>
          <w:szCs w:val="24"/>
          <w:u w:val="single"/>
        </w:rPr>
      </w:pPr>
      <w:r w:rsidRPr="008A5EE2">
        <w:rPr>
          <w:rFonts w:ascii="Times New Roman" w:hAnsi="Times New Roman"/>
          <w:b/>
          <w:sz w:val="24"/>
          <w:szCs w:val="24"/>
          <w:u w:val="single"/>
        </w:rPr>
        <w:t xml:space="preserve">OBJECTIFS SPECIFIQUES </w:t>
      </w:r>
    </w:p>
    <w:p w14:paraId="558BDD5D" w14:textId="77777777" w:rsidR="00CC29EA" w:rsidRPr="008A5EE2" w:rsidRDefault="00CC29EA" w:rsidP="00CC29EA">
      <w:pPr>
        <w:pStyle w:val="Paragraphedeliste"/>
        <w:numPr>
          <w:ilvl w:val="0"/>
          <w:numId w:val="9"/>
        </w:numPr>
        <w:spacing w:line="360" w:lineRule="auto"/>
        <w:ind w:left="709"/>
        <w:jc w:val="both"/>
        <w:rPr>
          <w:rFonts w:ascii="Times New Roman" w:eastAsia="Times New Roman" w:hAnsi="Times New Roman"/>
          <w:sz w:val="24"/>
          <w:szCs w:val="24"/>
        </w:rPr>
      </w:pPr>
      <w:r w:rsidRPr="008A5EE2">
        <w:rPr>
          <w:rFonts w:ascii="Times New Roman" w:eastAsia="Times New Roman" w:hAnsi="Times New Roman"/>
          <w:sz w:val="24"/>
          <w:szCs w:val="24"/>
        </w:rPr>
        <w:t xml:space="preserve">Elaborer </w:t>
      </w:r>
      <w:r w:rsidR="0049709B" w:rsidRPr="008A5EE2">
        <w:rPr>
          <w:rFonts w:ascii="Times New Roman" w:eastAsia="Times New Roman" w:hAnsi="Times New Roman"/>
          <w:sz w:val="24"/>
          <w:szCs w:val="24"/>
        </w:rPr>
        <w:t xml:space="preserve">et valider </w:t>
      </w:r>
      <w:r w:rsidRPr="008A5EE2">
        <w:rPr>
          <w:rFonts w:ascii="Times New Roman" w:eastAsia="Times New Roman" w:hAnsi="Times New Roman"/>
          <w:sz w:val="24"/>
          <w:szCs w:val="24"/>
        </w:rPr>
        <w:t>la note d’orientation méthodologique</w:t>
      </w:r>
    </w:p>
    <w:p w14:paraId="71B82248" w14:textId="77777777" w:rsidR="00CC29EA" w:rsidRPr="008A5EE2" w:rsidRDefault="0049709B" w:rsidP="00CC29EA">
      <w:pPr>
        <w:pStyle w:val="Paragraphedeliste"/>
        <w:numPr>
          <w:ilvl w:val="0"/>
          <w:numId w:val="9"/>
        </w:numPr>
        <w:spacing w:line="360" w:lineRule="auto"/>
        <w:ind w:left="709"/>
        <w:jc w:val="both"/>
        <w:rPr>
          <w:rFonts w:ascii="Times New Roman" w:eastAsia="Times New Roman" w:hAnsi="Times New Roman"/>
          <w:sz w:val="24"/>
          <w:szCs w:val="24"/>
        </w:rPr>
      </w:pPr>
      <w:r w:rsidRPr="008A5EE2">
        <w:rPr>
          <w:rFonts w:ascii="Times New Roman" w:eastAsia="Times New Roman" w:hAnsi="Times New Roman"/>
          <w:sz w:val="24"/>
          <w:szCs w:val="24"/>
        </w:rPr>
        <w:t>Discuter des modalités de la mission d’audit de l’effectif et de la masse salariale</w:t>
      </w:r>
    </w:p>
    <w:p w14:paraId="40081AC5" w14:textId="77777777" w:rsidR="008B1B3B" w:rsidRPr="008A5EE2" w:rsidRDefault="0049709B" w:rsidP="0049709B">
      <w:pPr>
        <w:pStyle w:val="Paragraphedeliste"/>
        <w:numPr>
          <w:ilvl w:val="0"/>
          <w:numId w:val="9"/>
        </w:numPr>
        <w:spacing w:line="360" w:lineRule="auto"/>
        <w:ind w:left="709"/>
        <w:jc w:val="both"/>
        <w:rPr>
          <w:rFonts w:ascii="Times New Roman" w:eastAsia="Times New Roman" w:hAnsi="Times New Roman"/>
          <w:sz w:val="24"/>
          <w:szCs w:val="24"/>
        </w:rPr>
      </w:pPr>
      <w:r w:rsidRPr="008A5EE2">
        <w:rPr>
          <w:rFonts w:ascii="Times New Roman" w:eastAsia="Times New Roman" w:hAnsi="Times New Roman"/>
          <w:sz w:val="24"/>
          <w:szCs w:val="24"/>
        </w:rPr>
        <w:t>Proposer les différentes compositions des comités de pilotage et technique</w:t>
      </w:r>
    </w:p>
    <w:p w14:paraId="11F7BFBA" w14:textId="77777777" w:rsidR="00CC29EA" w:rsidRPr="008A5EE2" w:rsidRDefault="00CC29EA" w:rsidP="008B1B3B">
      <w:pPr>
        <w:pStyle w:val="Paragraphedeliste"/>
        <w:shd w:val="clear" w:color="auto" w:fill="FFFFFF"/>
        <w:rPr>
          <w:rFonts w:ascii="Times New Roman" w:eastAsia="Times New Roman" w:hAnsi="Times New Roman"/>
          <w:sz w:val="24"/>
          <w:szCs w:val="24"/>
        </w:rPr>
      </w:pPr>
    </w:p>
    <w:p w14:paraId="6882F2F9" w14:textId="77777777" w:rsidR="008B1B3B" w:rsidRPr="008A5EE2" w:rsidRDefault="008B1B3B" w:rsidP="008B1B3B">
      <w:pPr>
        <w:pStyle w:val="Paragraphedeliste"/>
        <w:numPr>
          <w:ilvl w:val="0"/>
          <w:numId w:val="1"/>
        </w:numPr>
        <w:jc w:val="both"/>
        <w:rPr>
          <w:rFonts w:ascii="Times New Roman" w:hAnsi="Times New Roman"/>
          <w:sz w:val="24"/>
          <w:szCs w:val="24"/>
        </w:rPr>
      </w:pPr>
      <w:r w:rsidRPr="008A5EE2">
        <w:rPr>
          <w:rFonts w:ascii="Times New Roman" w:hAnsi="Times New Roman"/>
          <w:b/>
          <w:sz w:val="24"/>
          <w:szCs w:val="24"/>
          <w:u w:val="single"/>
        </w:rPr>
        <w:t>RESULTATS ATTENDUS</w:t>
      </w:r>
    </w:p>
    <w:p w14:paraId="02B02156" w14:textId="77777777" w:rsidR="008B1B3B" w:rsidRPr="008A5EE2" w:rsidRDefault="008B1B3B" w:rsidP="008B1B3B">
      <w:pPr>
        <w:pStyle w:val="Paragraphedeliste"/>
        <w:shd w:val="clear" w:color="auto" w:fill="FFFFFF"/>
        <w:ind w:left="644"/>
        <w:rPr>
          <w:rFonts w:ascii="Times New Roman" w:eastAsia="Times New Roman" w:hAnsi="Times New Roman"/>
          <w:sz w:val="24"/>
          <w:szCs w:val="24"/>
        </w:rPr>
      </w:pPr>
    </w:p>
    <w:p w14:paraId="39FBA2C7" w14:textId="77777777" w:rsidR="008B1B3B" w:rsidRPr="008A5EE2" w:rsidRDefault="00CC29EA" w:rsidP="0049709B">
      <w:pPr>
        <w:pStyle w:val="Paragraphedeliste"/>
        <w:numPr>
          <w:ilvl w:val="0"/>
          <w:numId w:val="8"/>
        </w:numPr>
        <w:spacing w:line="360" w:lineRule="auto"/>
        <w:jc w:val="both"/>
        <w:rPr>
          <w:rFonts w:ascii="Times New Roman" w:eastAsia="Times New Roman" w:hAnsi="Times New Roman"/>
          <w:sz w:val="24"/>
          <w:szCs w:val="24"/>
        </w:rPr>
      </w:pPr>
      <w:r w:rsidRPr="008A5EE2">
        <w:rPr>
          <w:rFonts w:ascii="Times New Roman" w:eastAsia="Times New Roman" w:hAnsi="Times New Roman"/>
          <w:sz w:val="24"/>
          <w:szCs w:val="24"/>
        </w:rPr>
        <w:t>la note d’orientation méthodologique est élaborée et validé</w:t>
      </w:r>
      <w:r w:rsidR="0049709B" w:rsidRPr="008A5EE2">
        <w:rPr>
          <w:rFonts w:ascii="Times New Roman" w:eastAsia="Times New Roman" w:hAnsi="Times New Roman"/>
          <w:sz w:val="24"/>
          <w:szCs w:val="24"/>
        </w:rPr>
        <w:t>e</w:t>
      </w:r>
    </w:p>
    <w:p w14:paraId="05A09187" w14:textId="77777777" w:rsidR="0049709B" w:rsidRPr="008A5EE2" w:rsidRDefault="0049709B" w:rsidP="0049709B">
      <w:pPr>
        <w:pStyle w:val="Paragraphedeliste"/>
        <w:numPr>
          <w:ilvl w:val="0"/>
          <w:numId w:val="8"/>
        </w:numPr>
        <w:spacing w:line="360" w:lineRule="auto"/>
        <w:jc w:val="both"/>
        <w:rPr>
          <w:rFonts w:ascii="Times New Roman" w:eastAsia="Times New Roman" w:hAnsi="Times New Roman"/>
          <w:sz w:val="24"/>
          <w:szCs w:val="24"/>
        </w:rPr>
      </w:pPr>
      <w:r w:rsidRPr="008A5EE2">
        <w:rPr>
          <w:rFonts w:ascii="Times New Roman" w:eastAsia="Times New Roman" w:hAnsi="Times New Roman"/>
          <w:sz w:val="24"/>
          <w:szCs w:val="24"/>
        </w:rPr>
        <w:t>les modalités de la mission d’audit sont définies</w:t>
      </w:r>
    </w:p>
    <w:p w14:paraId="7BFB9B5E" w14:textId="77777777" w:rsidR="0049709B" w:rsidRPr="008A5EE2" w:rsidRDefault="0049709B" w:rsidP="0049709B">
      <w:pPr>
        <w:pStyle w:val="Paragraphedeliste"/>
        <w:numPr>
          <w:ilvl w:val="0"/>
          <w:numId w:val="8"/>
        </w:numPr>
        <w:spacing w:line="360" w:lineRule="auto"/>
        <w:jc w:val="both"/>
        <w:rPr>
          <w:rFonts w:ascii="Times New Roman" w:eastAsia="Times New Roman" w:hAnsi="Times New Roman"/>
          <w:sz w:val="24"/>
          <w:szCs w:val="24"/>
        </w:rPr>
      </w:pPr>
      <w:r w:rsidRPr="008A5EE2">
        <w:rPr>
          <w:rFonts w:ascii="Times New Roman" w:eastAsia="Times New Roman" w:hAnsi="Times New Roman"/>
          <w:sz w:val="24"/>
          <w:szCs w:val="24"/>
        </w:rPr>
        <w:t>les compositions des comités sont proposées</w:t>
      </w:r>
    </w:p>
    <w:p w14:paraId="7E844F3E" w14:textId="77777777" w:rsidR="008B1B3B" w:rsidRPr="008A5EE2" w:rsidRDefault="008B1B3B" w:rsidP="008B1B3B">
      <w:pPr>
        <w:pStyle w:val="Paragraphedeliste"/>
        <w:numPr>
          <w:ilvl w:val="0"/>
          <w:numId w:val="1"/>
        </w:numPr>
        <w:jc w:val="both"/>
        <w:rPr>
          <w:rFonts w:ascii="Times New Roman" w:hAnsi="Times New Roman"/>
          <w:b/>
          <w:sz w:val="24"/>
          <w:szCs w:val="24"/>
          <w:u w:val="single"/>
        </w:rPr>
      </w:pPr>
      <w:r w:rsidRPr="008A5EE2">
        <w:rPr>
          <w:rFonts w:ascii="Times New Roman" w:hAnsi="Times New Roman"/>
          <w:b/>
          <w:sz w:val="24"/>
          <w:szCs w:val="24"/>
          <w:u w:val="single"/>
        </w:rPr>
        <w:t>METHODOLOGIE</w:t>
      </w:r>
    </w:p>
    <w:p w14:paraId="34E10585" w14:textId="77777777" w:rsidR="008B1B3B" w:rsidRPr="008A5EE2" w:rsidRDefault="008B1B3B" w:rsidP="008B1B3B">
      <w:pPr>
        <w:pStyle w:val="Paragraphedeliste"/>
        <w:ind w:left="644"/>
        <w:jc w:val="both"/>
        <w:rPr>
          <w:rFonts w:ascii="Times New Roman" w:hAnsi="Times New Roman"/>
          <w:b/>
          <w:sz w:val="24"/>
          <w:szCs w:val="24"/>
          <w:u w:val="single"/>
        </w:rPr>
      </w:pPr>
    </w:p>
    <w:p w14:paraId="379D8CDE" w14:textId="77777777" w:rsidR="008B1B3B" w:rsidRPr="008A5EE2" w:rsidRDefault="00CC29EA" w:rsidP="008B1B3B">
      <w:pPr>
        <w:pStyle w:val="Paragraphedeliste"/>
        <w:numPr>
          <w:ilvl w:val="0"/>
          <w:numId w:val="5"/>
        </w:numPr>
        <w:spacing w:before="100" w:beforeAutospacing="1" w:after="225" w:line="360" w:lineRule="auto"/>
        <w:rPr>
          <w:rFonts w:ascii="Times New Roman" w:hAnsi="Times New Roman"/>
          <w:color w:val="333333"/>
          <w:sz w:val="24"/>
          <w:szCs w:val="24"/>
          <w:lang w:eastAsia="fr-FR"/>
        </w:rPr>
      </w:pPr>
      <w:r w:rsidRPr="008A5EE2">
        <w:rPr>
          <w:rFonts w:ascii="Times New Roman" w:hAnsi="Times New Roman"/>
          <w:color w:val="333333"/>
          <w:sz w:val="24"/>
          <w:szCs w:val="24"/>
          <w:lang w:eastAsia="fr-FR"/>
        </w:rPr>
        <w:t>Partager le draft de la note d’orientation et la valider</w:t>
      </w:r>
    </w:p>
    <w:p w14:paraId="3231FA6A" w14:textId="77777777" w:rsidR="0049709B" w:rsidRPr="008A5EE2" w:rsidRDefault="0049709B" w:rsidP="008B1B3B">
      <w:pPr>
        <w:pStyle w:val="Paragraphedeliste"/>
        <w:numPr>
          <w:ilvl w:val="0"/>
          <w:numId w:val="5"/>
        </w:numPr>
        <w:spacing w:before="100" w:beforeAutospacing="1" w:after="225" w:line="360" w:lineRule="auto"/>
        <w:rPr>
          <w:rFonts w:ascii="Times New Roman" w:hAnsi="Times New Roman"/>
          <w:color w:val="333333"/>
          <w:sz w:val="24"/>
          <w:szCs w:val="24"/>
          <w:lang w:eastAsia="fr-FR"/>
        </w:rPr>
      </w:pPr>
      <w:r w:rsidRPr="008A5EE2">
        <w:rPr>
          <w:rFonts w:ascii="Times New Roman" w:hAnsi="Times New Roman"/>
          <w:color w:val="333333"/>
          <w:sz w:val="24"/>
          <w:szCs w:val="24"/>
          <w:lang w:eastAsia="fr-FR"/>
        </w:rPr>
        <w:t>Des discussions sur les différentes modalités de la mission d’audit</w:t>
      </w:r>
    </w:p>
    <w:p w14:paraId="42607F36" w14:textId="77777777" w:rsidR="008B1B3B" w:rsidRPr="008A5EE2" w:rsidRDefault="008B1B3B" w:rsidP="008B1B3B">
      <w:pPr>
        <w:pStyle w:val="Paragraphedeliste"/>
        <w:numPr>
          <w:ilvl w:val="0"/>
          <w:numId w:val="1"/>
        </w:numPr>
        <w:jc w:val="both"/>
        <w:rPr>
          <w:rFonts w:ascii="Times New Roman" w:hAnsi="Times New Roman"/>
          <w:b/>
          <w:sz w:val="24"/>
          <w:szCs w:val="24"/>
          <w:u w:val="single"/>
        </w:rPr>
      </w:pPr>
      <w:r w:rsidRPr="008A5EE2">
        <w:rPr>
          <w:rFonts w:ascii="Times New Roman" w:hAnsi="Times New Roman"/>
          <w:b/>
          <w:sz w:val="24"/>
          <w:szCs w:val="24"/>
          <w:u w:val="single"/>
        </w:rPr>
        <w:t>DATE ET LIEU</w:t>
      </w:r>
    </w:p>
    <w:p w14:paraId="0AFD1822" w14:textId="77777777" w:rsidR="008B1B3B" w:rsidRPr="008A5EE2" w:rsidRDefault="008B1B3B" w:rsidP="008B1B3B">
      <w:pPr>
        <w:pStyle w:val="Paragraphedeliste"/>
        <w:ind w:left="644"/>
        <w:jc w:val="both"/>
        <w:rPr>
          <w:rFonts w:ascii="Times New Roman" w:hAnsi="Times New Roman"/>
          <w:b/>
          <w:sz w:val="24"/>
          <w:szCs w:val="24"/>
          <w:u w:val="single"/>
        </w:rPr>
      </w:pPr>
    </w:p>
    <w:p w14:paraId="2A9377D7" w14:textId="77777777" w:rsidR="008B1B3B" w:rsidRPr="008A5EE2" w:rsidRDefault="00DD505D" w:rsidP="008B1B3B">
      <w:pPr>
        <w:pStyle w:val="Paragraphedeliste"/>
        <w:numPr>
          <w:ilvl w:val="0"/>
          <w:numId w:val="7"/>
        </w:numPr>
        <w:spacing w:line="360" w:lineRule="auto"/>
        <w:rPr>
          <w:rFonts w:ascii="Times New Roman" w:hAnsi="Times New Roman"/>
          <w:sz w:val="24"/>
          <w:szCs w:val="24"/>
          <w:lang w:val="fr-SN"/>
        </w:rPr>
      </w:pPr>
      <w:r w:rsidRPr="008A5EE2">
        <w:rPr>
          <w:rFonts w:ascii="Times New Roman" w:hAnsi="Times New Roman"/>
          <w:sz w:val="24"/>
          <w:szCs w:val="24"/>
        </w:rPr>
        <w:t xml:space="preserve">L’atelier se tiendra à Thiès du </w:t>
      </w:r>
      <w:r w:rsidR="00AC5996">
        <w:rPr>
          <w:rFonts w:ascii="Times New Roman" w:hAnsi="Times New Roman"/>
          <w:sz w:val="24"/>
          <w:szCs w:val="24"/>
        </w:rPr>
        <w:t>15</w:t>
      </w:r>
      <w:r w:rsidR="008B1B3B" w:rsidRPr="008A5EE2">
        <w:rPr>
          <w:rFonts w:ascii="Times New Roman" w:hAnsi="Times New Roman"/>
          <w:sz w:val="24"/>
          <w:szCs w:val="24"/>
        </w:rPr>
        <w:t xml:space="preserve"> et </w:t>
      </w:r>
      <w:r w:rsidR="00AC5996">
        <w:rPr>
          <w:rFonts w:ascii="Times New Roman" w:hAnsi="Times New Roman"/>
          <w:sz w:val="24"/>
          <w:szCs w:val="24"/>
        </w:rPr>
        <w:t>16</w:t>
      </w:r>
      <w:r w:rsidR="008B1B3B" w:rsidRPr="008A5EE2">
        <w:rPr>
          <w:rFonts w:ascii="Times New Roman" w:hAnsi="Times New Roman"/>
          <w:sz w:val="24"/>
          <w:szCs w:val="24"/>
        </w:rPr>
        <w:t xml:space="preserve"> avril 2021</w:t>
      </w:r>
      <w:r w:rsidRPr="008A5EE2">
        <w:rPr>
          <w:rFonts w:ascii="Times New Roman" w:hAnsi="Times New Roman"/>
          <w:sz w:val="24"/>
          <w:szCs w:val="24"/>
        </w:rPr>
        <w:t>.</w:t>
      </w:r>
    </w:p>
    <w:p w14:paraId="39362850" w14:textId="77777777" w:rsidR="008B1B3B" w:rsidRPr="00F33522" w:rsidRDefault="008B1B3B" w:rsidP="008B1B3B">
      <w:pPr>
        <w:jc w:val="both"/>
        <w:rPr>
          <w:lang w:val="fr-SN"/>
        </w:rPr>
      </w:pPr>
    </w:p>
    <w:p w14:paraId="6DB5674B" w14:textId="77777777" w:rsidR="008B1B3B" w:rsidRPr="008A5EE2" w:rsidRDefault="008B1B3B" w:rsidP="008B1B3B">
      <w:pPr>
        <w:jc w:val="both"/>
      </w:pPr>
    </w:p>
    <w:p w14:paraId="6348871A" w14:textId="77777777" w:rsidR="008B1B3B" w:rsidRPr="008A5EE2" w:rsidRDefault="008B1B3B" w:rsidP="008B1B3B">
      <w:pPr>
        <w:jc w:val="both"/>
      </w:pPr>
    </w:p>
    <w:p w14:paraId="7073EF25" w14:textId="77777777" w:rsidR="008B1B3B" w:rsidRPr="008A5EE2" w:rsidRDefault="008B1B3B" w:rsidP="008B1B3B">
      <w:pPr>
        <w:jc w:val="both"/>
      </w:pPr>
    </w:p>
    <w:p w14:paraId="2AAA6491" w14:textId="77777777" w:rsidR="008B1B3B" w:rsidRPr="008A5EE2" w:rsidRDefault="008B1B3B" w:rsidP="008B1B3B"/>
    <w:p w14:paraId="65E0C78B" w14:textId="77777777" w:rsidR="008B1B3B" w:rsidRPr="008A5EE2" w:rsidRDefault="008B1B3B"/>
    <w:sectPr w:rsidR="008B1B3B" w:rsidRPr="008A5EE2">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8BE13" w14:textId="77777777" w:rsidR="00D70586" w:rsidRDefault="00D70586" w:rsidP="00BB168F">
      <w:r>
        <w:separator/>
      </w:r>
    </w:p>
  </w:endnote>
  <w:endnote w:type="continuationSeparator" w:id="0">
    <w:p w14:paraId="62AA3FD5" w14:textId="77777777" w:rsidR="00D70586" w:rsidRDefault="00D70586" w:rsidP="00BB16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F78C1B" w14:textId="77777777" w:rsidR="00BB168F" w:rsidRDefault="00BB168F">
    <w:pPr>
      <w:pStyle w:val="Pieddepage"/>
      <w:jc w:val="center"/>
      <w:rPr>
        <w:caps/>
        <w:color w:val="5B9BD5" w:themeColor="accent1"/>
      </w:rPr>
    </w:pPr>
    <w:r>
      <w:rPr>
        <w:caps/>
        <w:color w:val="5B9BD5" w:themeColor="accent1"/>
      </w:rPr>
      <w:fldChar w:fldCharType="begin"/>
    </w:r>
    <w:r>
      <w:rPr>
        <w:caps/>
        <w:color w:val="5B9BD5" w:themeColor="accent1"/>
      </w:rPr>
      <w:instrText>PAGE   \* MERGEFORMAT</w:instrText>
    </w:r>
    <w:r>
      <w:rPr>
        <w:caps/>
        <w:color w:val="5B9BD5" w:themeColor="accent1"/>
      </w:rPr>
      <w:fldChar w:fldCharType="separate"/>
    </w:r>
    <w:r w:rsidR="00AC5996">
      <w:rPr>
        <w:caps/>
        <w:noProof/>
        <w:color w:val="5B9BD5" w:themeColor="accent1"/>
      </w:rPr>
      <w:t>3</w:t>
    </w:r>
    <w:r>
      <w:rPr>
        <w:caps/>
        <w:color w:val="5B9BD5" w:themeColor="accent1"/>
      </w:rPr>
      <w:fldChar w:fldCharType="end"/>
    </w:r>
  </w:p>
  <w:p w14:paraId="77C6A745" w14:textId="77777777" w:rsidR="00BB168F" w:rsidRDefault="00BB168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A3DB3" w14:textId="77777777" w:rsidR="00D70586" w:rsidRDefault="00D70586" w:rsidP="00BB168F">
      <w:r>
        <w:separator/>
      </w:r>
    </w:p>
  </w:footnote>
  <w:footnote w:type="continuationSeparator" w:id="0">
    <w:p w14:paraId="29F79B7A" w14:textId="77777777" w:rsidR="00D70586" w:rsidRDefault="00D70586" w:rsidP="00BB16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C384C"/>
    <w:multiLevelType w:val="hybridMultilevel"/>
    <w:tmpl w:val="019C1178"/>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FED3C42"/>
    <w:multiLevelType w:val="hybridMultilevel"/>
    <w:tmpl w:val="ECFE8C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05E0D14"/>
    <w:multiLevelType w:val="hybridMultilevel"/>
    <w:tmpl w:val="B5E49FF4"/>
    <w:lvl w:ilvl="0" w:tplc="040C0001">
      <w:start w:val="1"/>
      <w:numFmt w:val="bullet"/>
      <w:lvlText w:val=""/>
      <w:lvlJc w:val="left"/>
      <w:pPr>
        <w:ind w:left="786" w:hanging="360"/>
      </w:pPr>
      <w:rPr>
        <w:rFonts w:ascii="Symbol" w:hAnsi="Symbol"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3" w15:restartNumberingAfterBreak="0">
    <w:nsid w:val="11406B01"/>
    <w:multiLevelType w:val="hybridMultilevel"/>
    <w:tmpl w:val="B8B45054"/>
    <w:lvl w:ilvl="0" w:tplc="262CD5EA">
      <w:start w:val="1"/>
      <w:numFmt w:val="bullet"/>
      <w:lvlText w:val=""/>
      <w:lvlJc w:val="left"/>
      <w:pPr>
        <w:ind w:left="720" w:hanging="360"/>
      </w:pPr>
      <w:rPr>
        <w:rFonts w:ascii="Symbol" w:hAnsi="Symbol" w:hint="default"/>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46343E1"/>
    <w:multiLevelType w:val="hybridMultilevel"/>
    <w:tmpl w:val="1C86BAB8"/>
    <w:lvl w:ilvl="0" w:tplc="C40EFF50">
      <w:start w:val="1"/>
      <w:numFmt w:val="upperRoman"/>
      <w:lvlText w:val="%1."/>
      <w:lvlJc w:val="right"/>
      <w:pPr>
        <w:ind w:left="644" w:hanging="360"/>
      </w:pPr>
      <w:rPr>
        <w:b/>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A434000"/>
    <w:multiLevelType w:val="hybridMultilevel"/>
    <w:tmpl w:val="F00491EA"/>
    <w:lvl w:ilvl="0" w:tplc="E328F2B6">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D364AC0"/>
    <w:multiLevelType w:val="hybridMultilevel"/>
    <w:tmpl w:val="B92C46F6"/>
    <w:lvl w:ilvl="0" w:tplc="040C0001">
      <w:start w:val="1"/>
      <w:numFmt w:val="bullet"/>
      <w:lvlText w:val=""/>
      <w:lvlJc w:val="left"/>
      <w:pPr>
        <w:ind w:left="1364" w:hanging="360"/>
      </w:pPr>
      <w:rPr>
        <w:rFonts w:ascii="Symbol" w:hAnsi="Symbol" w:hint="default"/>
      </w:rPr>
    </w:lvl>
    <w:lvl w:ilvl="1" w:tplc="040C0003" w:tentative="1">
      <w:start w:val="1"/>
      <w:numFmt w:val="bullet"/>
      <w:lvlText w:val="o"/>
      <w:lvlJc w:val="left"/>
      <w:pPr>
        <w:ind w:left="2084" w:hanging="360"/>
      </w:pPr>
      <w:rPr>
        <w:rFonts w:ascii="Courier New" w:hAnsi="Courier New" w:cs="Courier New" w:hint="default"/>
      </w:rPr>
    </w:lvl>
    <w:lvl w:ilvl="2" w:tplc="040C0005" w:tentative="1">
      <w:start w:val="1"/>
      <w:numFmt w:val="bullet"/>
      <w:lvlText w:val=""/>
      <w:lvlJc w:val="left"/>
      <w:pPr>
        <w:ind w:left="2804" w:hanging="360"/>
      </w:pPr>
      <w:rPr>
        <w:rFonts w:ascii="Wingdings" w:hAnsi="Wingdings" w:hint="default"/>
      </w:rPr>
    </w:lvl>
    <w:lvl w:ilvl="3" w:tplc="040C0001" w:tentative="1">
      <w:start w:val="1"/>
      <w:numFmt w:val="bullet"/>
      <w:lvlText w:val=""/>
      <w:lvlJc w:val="left"/>
      <w:pPr>
        <w:ind w:left="3524" w:hanging="360"/>
      </w:pPr>
      <w:rPr>
        <w:rFonts w:ascii="Symbol" w:hAnsi="Symbol" w:hint="default"/>
      </w:rPr>
    </w:lvl>
    <w:lvl w:ilvl="4" w:tplc="040C0003" w:tentative="1">
      <w:start w:val="1"/>
      <w:numFmt w:val="bullet"/>
      <w:lvlText w:val="o"/>
      <w:lvlJc w:val="left"/>
      <w:pPr>
        <w:ind w:left="4244" w:hanging="360"/>
      </w:pPr>
      <w:rPr>
        <w:rFonts w:ascii="Courier New" w:hAnsi="Courier New" w:cs="Courier New" w:hint="default"/>
      </w:rPr>
    </w:lvl>
    <w:lvl w:ilvl="5" w:tplc="040C0005" w:tentative="1">
      <w:start w:val="1"/>
      <w:numFmt w:val="bullet"/>
      <w:lvlText w:val=""/>
      <w:lvlJc w:val="left"/>
      <w:pPr>
        <w:ind w:left="4964" w:hanging="360"/>
      </w:pPr>
      <w:rPr>
        <w:rFonts w:ascii="Wingdings" w:hAnsi="Wingdings" w:hint="default"/>
      </w:rPr>
    </w:lvl>
    <w:lvl w:ilvl="6" w:tplc="040C0001" w:tentative="1">
      <w:start w:val="1"/>
      <w:numFmt w:val="bullet"/>
      <w:lvlText w:val=""/>
      <w:lvlJc w:val="left"/>
      <w:pPr>
        <w:ind w:left="5684" w:hanging="360"/>
      </w:pPr>
      <w:rPr>
        <w:rFonts w:ascii="Symbol" w:hAnsi="Symbol" w:hint="default"/>
      </w:rPr>
    </w:lvl>
    <w:lvl w:ilvl="7" w:tplc="040C0003" w:tentative="1">
      <w:start w:val="1"/>
      <w:numFmt w:val="bullet"/>
      <w:lvlText w:val="o"/>
      <w:lvlJc w:val="left"/>
      <w:pPr>
        <w:ind w:left="6404" w:hanging="360"/>
      </w:pPr>
      <w:rPr>
        <w:rFonts w:ascii="Courier New" w:hAnsi="Courier New" w:cs="Courier New" w:hint="default"/>
      </w:rPr>
    </w:lvl>
    <w:lvl w:ilvl="8" w:tplc="040C0005" w:tentative="1">
      <w:start w:val="1"/>
      <w:numFmt w:val="bullet"/>
      <w:lvlText w:val=""/>
      <w:lvlJc w:val="left"/>
      <w:pPr>
        <w:ind w:left="7124" w:hanging="360"/>
      </w:pPr>
      <w:rPr>
        <w:rFonts w:ascii="Wingdings" w:hAnsi="Wingdings" w:hint="default"/>
      </w:rPr>
    </w:lvl>
  </w:abstractNum>
  <w:abstractNum w:abstractNumId="7" w15:restartNumberingAfterBreak="0">
    <w:nsid w:val="209D6F94"/>
    <w:multiLevelType w:val="hybridMultilevel"/>
    <w:tmpl w:val="9AC61C3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08768D0"/>
    <w:multiLevelType w:val="hybridMultilevel"/>
    <w:tmpl w:val="830863D6"/>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CB915F4"/>
    <w:multiLevelType w:val="hybridMultilevel"/>
    <w:tmpl w:val="EE1669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15E1A0C"/>
    <w:multiLevelType w:val="hybridMultilevel"/>
    <w:tmpl w:val="D206A884"/>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 w15:restartNumberingAfterBreak="0">
    <w:nsid w:val="6CB36C8A"/>
    <w:multiLevelType w:val="hybridMultilevel"/>
    <w:tmpl w:val="C652DE34"/>
    <w:lvl w:ilvl="0" w:tplc="F0B0297C">
      <w:start w:val="7"/>
      <w:numFmt w:val="upperRoman"/>
      <w:lvlText w:val="%1."/>
      <w:lvlJc w:val="left"/>
      <w:pPr>
        <w:ind w:left="720" w:hanging="720"/>
      </w:pPr>
      <w:rPr>
        <w:rFonts w:hint="default"/>
        <w:sz w:val="24"/>
        <w:szCs w:val="24"/>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2" w15:restartNumberingAfterBreak="0">
    <w:nsid w:val="726F6FC7"/>
    <w:multiLevelType w:val="hybridMultilevel"/>
    <w:tmpl w:val="CE5C4BDE"/>
    <w:lvl w:ilvl="0" w:tplc="040C0001">
      <w:start w:val="1"/>
      <w:numFmt w:val="bullet"/>
      <w:lvlText w:val=""/>
      <w:lvlJc w:val="left"/>
      <w:pPr>
        <w:ind w:left="786" w:hanging="360"/>
      </w:pPr>
      <w:rPr>
        <w:rFonts w:ascii="Symbol" w:hAnsi="Symbol"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3" w15:restartNumberingAfterBreak="0">
    <w:nsid w:val="75C4377D"/>
    <w:multiLevelType w:val="hybridMultilevel"/>
    <w:tmpl w:val="053895F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7782099F"/>
    <w:multiLevelType w:val="hybridMultilevel"/>
    <w:tmpl w:val="7E76FE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3"/>
  </w:num>
  <w:num w:numId="4">
    <w:abstractNumId w:val="2"/>
  </w:num>
  <w:num w:numId="5">
    <w:abstractNumId w:val="12"/>
  </w:num>
  <w:num w:numId="6">
    <w:abstractNumId w:val="9"/>
  </w:num>
  <w:num w:numId="7">
    <w:abstractNumId w:val="1"/>
  </w:num>
  <w:num w:numId="8">
    <w:abstractNumId w:val="14"/>
  </w:num>
  <w:num w:numId="9">
    <w:abstractNumId w:val="6"/>
  </w:num>
  <w:num w:numId="10">
    <w:abstractNumId w:val="5"/>
  </w:num>
  <w:num w:numId="11">
    <w:abstractNumId w:val="0"/>
  </w:num>
  <w:num w:numId="12">
    <w:abstractNumId w:val="7"/>
  </w:num>
  <w:num w:numId="13">
    <w:abstractNumId w:val="8"/>
  </w:num>
  <w:num w:numId="14">
    <w:abstractNumId w:val="13"/>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CF6"/>
    <w:rsid w:val="00036EC3"/>
    <w:rsid w:val="00135854"/>
    <w:rsid w:val="00242823"/>
    <w:rsid w:val="00265F0B"/>
    <w:rsid w:val="003126D6"/>
    <w:rsid w:val="0032031C"/>
    <w:rsid w:val="00342F68"/>
    <w:rsid w:val="004655B8"/>
    <w:rsid w:val="004706DD"/>
    <w:rsid w:val="0049709B"/>
    <w:rsid w:val="00503357"/>
    <w:rsid w:val="006F2976"/>
    <w:rsid w:val="007334DA"/>
    <w:rsid w:val="0075143D"/>
    <w:rsid w:val="007F4E8E"/>
    <w:rsid w:val="00813054"/>
    <w:rsid w:val="008A5EE2"/>
    <w:rsid w:val="008B1B3B"/>
    <w:rsid w:val="00A753FE"/>
    <w:rsid w:val="00AB1547"/>
    <w:rsid w:val="00AC5996"/>
    <w:rsid w:val="00B4476A"/>
    <w:rsid w:val="00B91192"/>
    <w:rsid w:val="00BB168F"/>
    <w:rsid w:val="00C74B0E"/>
    <w:rsid w:val="00C81CF6"/>
    <w:rsid w:val="00CC29EA"/>
    <w:rsid w:val="00D15A06"/>
    <w:rsid w:val="00D313F1"/>
    <w:rsid w:val="00D70586"/>
    <w:rsid w:val="00DD505D"/>
    <w:rsid w:val="00DF45A6"/>
    <w:rsid w:val="00E1664A"/>
    <w:rsid w:val="00F33522"/>
    <w:rsid w:val="00F735A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6E31E"/>
  <w15:chartTrackingRefBased/>
  <w15:docId w15:val="{680A213B-8304-43E0-A0E2-380587A62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1B3B"/>
    <w:pPr>
      <w:widowControl w:val="0"/>
      <w:overflowPunct w:val="0"/>
      <w:adjustRightInd w:val="0"/>
      <w:spacing w:after="0" w:line="240" w:lineRule="auto"/>
    </w:pPr>
    <w:rPr>
      <w:rFonts w:ascii="Times New Roman" w:eastAsia="SimSun" w:hAnsi="Times New Roman" w:cs="Times New Roman"/>
      <w:kern w:val="28"/>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References,Paragraphe de liste1,List Paragraph,Bullets,List Paragraph nowy,Numbered List Paragraph,List Paragraph (numbered (a)),Paragraphe  revu,Liste couleur - Accent 12,WB List Paragraph"/>
    <w:basedOn w:val="Normal"/>
    <w:link w:val="ParagraphedelisteCar"/>
    <w:uiPriority w:val="34"/>
    <w:qFormat/>
    <w:rsid w:val="008B1B3B"/>
    <w:pPr>
      <w:widowControl/>
      <w:overflowPunct/>
      <w:adjustRightInd/>
      <w:spacing w:after="200" w:line="276" w:lineRule="auto"/>
      <w:ind w:left="720"/>
      <w:contextualSpacing/>
    </w:pPr>
    <w:rPr>
      <w:rFonts w:ascii="Calibri" w:eastAsia="Calibri" w:hAnsi="Calibri"/>
      <w:kern w:val="0"/>
      <w:sz w:val="22"/>
      <w:szCs w:val="22"/>
      <w:lang w:eastAsia="en-US"/>
    </w:rPr>
  </w:style>
  <w:style w:type="paragraph" w:styleId="Pieddepage">
    <w:name w:val="footer"/>
    <w:basedOn w:val="Normal"/>
    <w:link w:val="PieddepageCar"/>
    <w:uiPriority w:val="99"/>
    <w:unhideWhenUsed/>
    <w:rsid w:val="008B1B3B"/>
    <w:pPr>
      <w:widowControl/>
      <w:tabs>
        <w:tab w:val="center" w:pos="4536"/>
        <w:tab w:val="right" w:pos="9072"/>
      </w:tabs>
      <w:overflowPunct/>
      <w:adjustRightInd/>
      <w:spacing w:after="200" w:line="276" w:lineRule="auto"/>
      <w:ind w:left="57"/>
    </w:pPr>
    <w:rPr>
      <w:rFonts w:ascii="Calibri" w:eastAsia="Calibri" w:hAnsi="Calibri"/>
      <w:kern w:val="0"/>
      <w:sz w:val="20"/>
      <w:szCs w:val="20"/>
      <w:lang w:eastAsia="en-US"/>
    </w:rPr>
  </w:style>
  <w:style w:type="character" w:customStyle="1" w:styleId="PieddepageCar">
    <w:name w:val="Pied de page Car"/>
    <w:basedOn w:val="Policepardfaut"/>
    <w:link w:val="Pieddepage"/>
    <w:uiPriority w:val="99"/>
    <w:rsid w:val="008B1B3B"/>
    <w:rPr>
      <w:rFonts w:ascii="Calibri" w:eastAsia="Calibri" w:hAnsi="Calibri" w:cs="Times New Roman"/>
      <w:sz w:val="20"/>
      <w:szCs w:val="20"/>
    </w:rPr>
  </w:style>
  <w:style w:type="paragraph" w:styleId="En-tte">
    <w:name w:val="header"/>
    <w:basedOn w:val="Normal"/>
    <w:link w:val="En-tteCar"/>
    <w:rsid w:val="008B1B3B"/>
    <w:pPr>
      <w:widowControl/>
      <w:tabs>
        <w:tab w:val="center" w:pos="4536"/>
        <w:tab w:val="right" w:pos="9072"/>
      </w:tabs>
      <w:overflowPunct/>
      <w:adjustRightInd/>
      <w:ind w:left="57"/>
    </w:pPr>
    <w:rPr>
      <w:rFonts w:eastAsia="Times New Roman"/>
      <w:kern w:val="0"/>
    </w:rPr>
  </w:style>
  <w:style w:type="character" w:customStyle="1" w:styleId="En-tteCar">
    <w:name w:val="En-tête Car"/>
    <w:basedOn w:val="Policepardfaut"/>
    <w:link w:val="En-tte"/>
    <w:rsid w:val="008B1B3B"/>
    <w:rPr>
      <w:rFonts w:ascii="Times New Roman" w:eastAsia="Times New Roman" w:hAnsi="Times New Roman" w:cs="Times New Roman"/>
      <w:sz w:val="24"/>
      <w:szCs w:val="24"/>
      <w:lang w:eastAsia="fr-FR"/>
    </w:rPr>
  </w:style>
  <w:style w:type="table" w:styleId="Grilledutableau">
    <w:name w:val="Table Grid"/>
    <w:basedOn w:val="TableauNormal"/>
    <w:uiPriority w:val="59"/>
    <w:rsid w:val="008B1B3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ParagraphedelisteCar">
    <w:name w:val="Paragraphe de liste Car"/>
    <w:aliases w:val="References Car,Paragraphe de liste1 Car,List Paragraph Car,Bullets Car,List Paragraph nowy Car,Numbered List Paragraph Car,List Paragraph (numbered (a)) Car,Paragraphe  revu Car,Liste couleur - Accent 12 Car,WB List Paragraph Car"/>
    <w:basedOn w:val="Policepardfaut"/>
    <w:link w:val="Paragraphedeliste"/>
    <w:uiPriority w:val="34"/>
    <w:rsid w:val="008B1B3B"/>
    <w:rPr>
      <w:rFonts w:ascii="Calibri" w:eastAsia="Calibri" w:hAnsi="Calibri" w:cs="Times New Roman"/>
    </w:rPr>
  </w:style>
  <w:style w:type="paragraph" w:styleId="Textedebulles">
    <w:name w:val="Balloon Text"/>
    <w:basedOn w:val="Normal"/>
    <w:link w:val="TextedebullesCar"/>
    <w:uiPriority w:val="99"/>
    <w:semiHidden/>
    <w:unhideWhenUsed/>
    <w:rsid w:val="00813054"/>
    <w:rPr>
      <w:rFonts w:ascii="Segoe UI" w:hAnsi="Segoe UI" w:cs="Segoe UI"/>
      <w:sz w:val="18"/>
      <w:szCs w:val="18"/>
    </w:rPr>
  </w:style>
  <w:style w:type="character" w:customStyle="1" w:styleId="TextedebullesCar">
    <w:name w:val="Texte de bulles Car"/>
    <w:basedOn w:val="Policepardfaut"/>
    <w:link w:val="Textedebulles"/>
    <w:uiPriority w:val="99"/>
    <w:semiHidden/>
    <w:rsid w:val="00813054"/>
    <w:rPr>
      <w:rFonts w:ascii="Segoe UI" w:eastAsia="SimSun" w:hAnsi="Segoe UI" w:cs="Segoe UI"/>
      <w:kern w:val="28"/>
      <w:sz w:val="18"/>
      <w:szCs w:val="18"/>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490</Words>
  <Characters>2700</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Entreprise PACK-PRODUCTIONS</cp:lastModifiedBy>
  <cp:revision>2</cp:revision>
  <cp:lastPrinted>2021-03-29T10:27:00Z</cp:lastPrinted>
  <dcterms:created xsi:type="dcterms:W3CDTF">2021-05-10T11:49:00Z</dcterms:created>
  <dcterms:modified xsi:type="dcterms:W3CDTF">2021-05-10T11:49:00Z</dcterms:modified>
</cp:coreProperties>
</file>