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599" w:rsidRDefault="00406B25">
      <w:bookmarkStart w:id="0" w:name="_GoBack"/>
      <w:bookmarkEnd w:id="0"/>
      <w:r>
        <w:t xml:space="preserve">Peer review comments on </w:t>
      </w:r>
    </w:p>
    <w:p w:rsidR="00406B25" w:rsidRPr="00FE5530" w:rsidRDefault="00406B25" w:rsidP="00406B25">
      <w:pPr>
        <w:jc w:val="center"/>
        <w:rPr>
          <w:b/>
        </w:rPr>
      </w:pPr>
      <w:r w:rsidRPr="00FE5530">
        <w:rPr>
          <w:b/>
        </w:rPr>
        <w:t>COLOMBIA</w:t>
      </w:r>
    </w:p>
    <w:p w:rsidR="00406B25" w:rsidRPr="00FE5530" w:rsidRDefault="00406B25" w:rsidP="00406B25">
      <w:pPr>
        <w:jc w:val="center"/>
        <w:rPr>
          <w:b/>
        </w:rPr>
      </w:pPr>
      <w:r>
        <w:rPr>
          <w:b/>
        </w:rPr>
        <w:t xml:space="preserve">World Bank Health Sector </w:t>
      </w:r>
      <w:r w:rsidRPr="00FE5530">
        <w:rPr>
          <w:b/>
        </w:rPr>
        <w:t>Reimbursable Advisory Services - RAS</w:t>
      </w:r>
    </w:p>
    <w:p w:rsidR="00406B25" w:rsidRPr="00FE5530" w:rsidRDefault="00406B25" w:rsidP="00406B25">
      <w:pPr>
        <w:jc w:val="center"/>
        <w:rPr>
          <w:b/>
        </w:rPr>
      </w:pPr>
      <w:r w:rsidRPr="00FE5530">
        <w:rPr>
          <w:b/>
        </w:rPr>
        <w:t xml:space="preserve">Technical Assistance </w:t>
      </w:r>
      <w:r>
        <w:rPr>
          <w:b/>
        </w:rPr>
        <w:t>to Strengthen</w:t>
      </w:r>
      <w:r w:rsidRPr="00FE5530">
        <w:rPr>
          <w:b/>
        </w:rPr>
        <w:t xml:space="preserve"> National Health Insurance System</w:t>
      </w:r>
    </w:p>
    <w:p w:rsidR="00406B25" w:rsidRDefault="00406B25" w:rsidP="00406B25">
      <w:pPr>
        <w:jc w:val="both"/>
        <w:rPr>
          <w:b/>
        </w:rPr>
      </w:pPr>
    </w:p>
    <w:p w:rsidR="00406B25" w:rsidRDefault="00406B25" w:rsidP="00406B25">
      <w:pPr>
        <w:jc w:val="center"/>
        <w:rPr>
          <w:b/>
        </w:rPr>
      </w:pPr>
      <w:r>
        <w:rPr>
          <w:b/>
        </w:rPr>
        <w:t>DRAFT CONCEPT NOTE PAPER</w:t>
      </w:r>
    </w:p>
    <w:p w:rsidR="00406B25" w:rsidRDefault="00406B25" w:rsidP="00406B25">
      <w:pPr>
        <w:jc w:val="center"/>
        <w:rPr>
          <w:b/>
        </w:rPr>
      </w:pPr>
    </w:p>
    <w:p w:rsidR="00406B25" w:rsidRDefault="00406B25" w:rsidP="00406B25">
      <w:pPr>
        <w:jc w:val="center"/>
        <w:rPr>
          <w:b/>
        </w:rPr>
      </w:pPr>
      <w:r>
        <w:rPr>
          <w:b/>
        </w:rPr>
        <w:t>Joe Kutzin, WHO</w:t>
      </w:r>
    </w:p>
    <w:p w:rsidR="00406B25" w:rsidRDefault="00406B25" w:rsidP="00406B25">
      <w:pPr>
        <w:rPr>
          <w:b/>
        </w:rPr>
      </w:pPr>
    </w:p>
    <w:p w:rsidR="00406B25" w:rsidRDefault="00406B25" w:rsidP="00406B25">
      <w:pPr>
        <w:tabs>
          <w:tab w:val="center" w:pos="4680"/>
        </w:tabs>
      </w:pPr>
      <w:r>
        <w:t>I did not (and do not) have in-depth knowledge or understanding of the situation in Colombia, but the Concept Note was very clear and concise, and provides an excellent motivation for the proposed RAS.  I just have a few comments with regard to issues that I believe merit more (or more explicit) attention.  The team should take these for what they are – initial reactions for their consideration in light of their greater knowledge of the situation in the country</w:t>
      </w:r>
      <w:r w:rsidR="00301697">
        <w:t xml:space="preserve"> (i.e. take what you think is relevant, and leave the rest)</w:t>
      </w:r>
      <w:r>
        <w:t xml:space="preserve">.  </w:t>
      </w:r>
    </w:p>
    <w:p w:rsidR="00406B25" w:rsidRDefault="00406B25" w:rsidP="00406B25">
      <w:pPr>
        <w:tabs>
          <w:tab w:val="center" w:pos="4680"/>
        </w:tabs>
      </w:pPr>
    </w:p>
    <w:p w:rsidR="00406B25" w:rsidRDefault="00EF4B09" w:rsidP="00406B25">
      <w:pPr>
        <w:tabs>
          <w:tab w:val="center" w:pos="4680"/>
        </w:tabs>
      </w:pPr>
      <w:r>
        <w:t>Co</w:t>
      </w:r>
      <w:r w:rsidR="00406B25">
        <w:t>mment</w:t>
      </w:r>
      <w:r>
        <w:t>s</w:t>
      </w:r>
      <w:r w:rsidR="00406B25">
        <w:t xml:space="preserve">: </w:t>
      </w:r>
    </w:p>
    <w:p w:rsidR="00406B25" w:rsidRDefault="00406B25" w:rsidP="00406B25">
      <w:pPr>
        <w:tabs>
          <w:tab w:val="center" w:pos="4680"/>
        </w:tabs>
      </w:pPr>
    </w:p>
    <w:p w:rsidR="00406B25" w:rsidRDefault="00EF4B09" w:rsidP="00406B25">
      <w:pPr>
        <w:tabs>
          <w:tab w:val="center" w:pos="4680"/>
        </w:tabs>
      </w:pPr>
      <w:r>
        <w:t xml:space="preserve">1) </w:t>
      </w:r>
      <w:r w:rsidR="00406B25">
        <w:t xml:space="preserve">Given both the operational and “transparency” problems faced by the current NHIS and EPS’s, I was surprised that the issue of </w:t>
      </w:r>
      <w:r w:rsidR="00406B25" w:rsidRPr="00301697">
        <w:rPr>
          <w:b/>
          <w:bCs/>
        </w:rPr>
        <w:t>governance</w:t>
      </w:r>
      <w:r w:rsidR="00406B25">
        <w:t xml:space="preserve"> did not figure prominently (or at all) in either the reform to establish the </w:t>
      </w:r>
      <w:r w:rsidR="00406B25" w:rsidRPr="00EF4B09">
        <w:rPr>
          <w:i/>
          <w:iCs/>
        </w:rPr>
        <w:t>Salud Mía</w:t>
      </w:r>
      <w:r>
        <w:t xml:space="preserve"> nor in the Bank’s planned support.  There are many potential advantages of the proposed reform, but the effort will all be for naught if the new Single Fund is poorly governed.  Creation of the single pool offers great opportunity for improving equity in resource distribution, unifying benefits and information systems, generating coherent provider payment incentives, etc.  But creation of a single fund means putting a lot of money in one place, and this is the risk of the approach.  So from an early stage, I would suggest working not only on the technical aspects of setting up and operating the fund, but also getting the </w:t>
      </w:r>
      <w:r w:rsidR="00CA081B">
        <w:t>governance</w:t>
      </w:r>
      <w:r>
        <w:t xml:space="preserve"> arrangements right.  There are good lessons in Bill Savedoff’s book on Governing Mandatory Health Insurance, and there are many good practice examples (Estonia comes to mind immediately</w:t>
      </w:r>
      <w:r w:rsidR="003B6872">
        <w:t xml:space="preserve"> – go to the Estonia Health Insurance Fund website </w:t>
      </w:r>
      <w:r w:rsidR="00301697">
        <w:t>(</w:t>
      </w:r>
      <w:hyperlink r:id="rId5" w:history="1">
        <w:r w:rsidR="00301697" w:rsidRPr="005C5B8D">
          <w:rPr>
            <w:rStyle w:val="Hyperlink"/>
          </w:rPr>
          <w:t>http://www.haigekassa.ee/eng/ehif</w:t>
        </w:r>
      </w:hyperlink>
      <w:r w:rsidR="00301697">
        <w:t xml:space="preserve">) </w:t>
      </w:r>
      <w:r w:rsidR="003B6872">
        <w:t xml:space="preserve">for </w:t>
      </w:r>
      <w:r w:rsidR="00301697">
        <w:t xml:space="preserve">a </w:t>
      </w:r>
      <w:r w:rsidR="003B6872">
        <w:t>good description of their governance as well as examples of their excellent annual reports</w:t>
      </w:r>
      <w:r>
        <w:t xml:space="preserve">).  </w:t>
      </w:r>
    </w:p>
    <w:p w:rsidR="00EF4B09" w:rsidRDefault="00EF4B09" w:rsidP="00406B25">
      <w:pPr>
        <w:tabs>
          <w:tab w:val="center" w:pos="4680"/>
        </w:tabs>
      </w:pPr>
    </w:p>
    <w:p w:rsidR="00EF4B09" w:rsidRDefault="00EF4B09" w:rsidP="00406B25">
      <w:pPr>
        <w:tabs>
          <w:tab w:val="center" w:pos="4680"/>
        </w:tabs>
      </w:pPr>
      <w:r>
        <w:t xml:space="preserve">Related to this, I noted virtually no mention of the term “Ministry of Health” in the document (forgive my WHO bias).  If the MOH is meant to be responsible for health policy, and the </w:t>
      </w:r>
      <w:r w:rsidRPr="00EF4B09">
        <w:rPr>
          <w:i/>
          <w:iCs/>
        </w:rPr>
        <w:t>Salud Mía</w:t>
      </w:r>
      <w:r>
        <w:t xml:space="preserve"> more of an executing agency, clarifying the roles and relations between the two will be important.  This goes back to the governance setup: how to ensure that the actions taken by the </w:t>
      </w:r>
      <w:r w:rsidRPr="00EF4B09">
        <w:rPr>
          <w:i/>
          <w:iCs/>
        </w:rPr>
        <w:t>Salud Mía</w:t>
      </w:r>
      <w:r>
        <w:t xml:space="preserve"> are aligned with national health policy, while at the same time ensuring that the MOH (or other government actors) do not interfere with day-to-day management, contracting decisions, etc.  </w:t>
      </w:r>
    </w:p>
    <w:p w:rsidR="00EF4B09" w:rsidRDefault="00EF4B09" w:rsidP="00406B25">
      <w:pPr>
        <w:tabs>
          <w:tab w:val="center" w:pos="4680"/>
        </w:tabs>
      </w:pPr>
    </w:p>
    <w:p w:rsidR="00EF4B09" w:rsidRDefault="00EF4B09" w:rsidP="00406B25">
      <w:pPr>
        <w:tabs>
          <w:tab w:val="center" w:pos="4680"/>
        </w:tabs>
      </w:pPr>
      <w:r>
        <w:t>All of this calls for attention to what in other countries is a “governing board” for the Single Fund.  So I’m just suggesting some attention to this in the RAS</w:t>
      </w:r>
      <w:r w:rsidR="00CA081B">
        <w:t>, including in particular in Section F on the Proposed Core Team Profile and Responsibilities</w:t>
      </w:r>
      <w:r>
        <w:t>.</w:t>
      </w:r>
      <w:r w:rsidR="00CA081B">
        <w:t xml:space="preserve">  Getting the governance arrangements right is likely to be a critical determinant of the success (or failure) of the entire reform effort.  There is mention of this in the responsibilities of the Senior Health Care Management Specialist, but I think you need to give this higher profile and bring in people with relevant experience and expertise.</w:t>
      </w:r>
    </w:p>
    <w:p w:rsidR="00EF4B09" w:rsidRDefault="00EF4B09" w:rsidP="00406B25">
      <w:pPr>
        <w:tabs>
          <w:tab w:val="center" w:pos="4680"/>
        </w:tabs>
      </w:pPr>
    </w:p>
    <w:p w:rsidR="003B6872" w:rsidRDefault="00EF4B09" w:rsidP="00406B25">
      <w:pPr>
        <w:tabs>
          <w:tab w:val="center" w:pos="4680"/>
        </w:tabs>
      </w:pPr>
      <w:r>
        <w:t xml:space="preserve">2) What happens to the EPSs, and what is the </w:t>
      </w:r>
      <w:r w:rsidRPr="00301697">
        <w:rPr>
          <w:b/>
          <w:bCs/>
        </w:rPr>
        <w:t xml:space="preserve">relation between the </w:t>
      </w:r>
      <w:r w:rsidRPr="00301697">
        <w:rPr>
          <w:b/>
          <w:bCs/>
          <w:i/>
          <w:iCs/>
        </w:rPr>
        <w:t>Salud Mía</w:t>
      </w:r>
      <w:r w:rsidRPr="00301697">
        <w:rPr>
          <w:b/>
          <w:bCs/>
        </w:rPr>
        <w:t xml:space="preserve"> and the EPSs</w:t>
      </w:r>
      <w:r>
        <w:t>?</w:t>
      </w:r>
      <w:r w:rsidR="00EF74F6">
        <w:t xml:space="preserve"> At first I thought that the </w:t>
      </w:r>
      <w:r w:rsidR="00EF74F6" w:rsidRPr="00EF4B09">
        <w:rPr>
          <w:i/>
          <w:iCs/>
        </w:rPr>
        <w:t>Salud Mía</w:t>
      </w:r>
      <w:r w:rsidR="003B6872">
        <w:t xml:space="preserve"> meant the establishment of a single payer system that would replace the </w:t>
      </w:r>
      <w:r w:rsidR="003B6872">
        <w:lastRenderedPageBreak/>
        <w:t xml:space="preserve">EPSs.  But it appears that instead, it will be a national pool that will redistribute to the EPSs which in turn will pay providers.  But still am not completely sure.  In the proposed reforms described in para 13, there is mention of “aligning incentives of EPSs and providers…”.  So I guess that I am still not clear if this is a major refinement to the managed competition approach or a shift to a single payer.  It does clearly seem to be about creating a real national pool and unified benefit package, but the new role of the EPSs just didn’t come across clearly to me.  Are they being phased out, transformed, or simply moving into a different policy context?  The role of the EPSs will again have important implications for the design and capacities of the </w:t>
      </w:r>
      <w:r w:rsidR="003B6872" w:rsidRPr="00EF4B09">
        <w:rPr>
          <w:i/>
          <w:iCs/>
        </w:rPr>
        <w:t>Salud Mía</w:t>
      </w:r>
      <w:r w:rsidR="003B6872">
        <w:t>, and hence for the content of the RAS.</w:t>
      </w:r>
    </w:p>
    <w:p w:rsidR="003B6872" w:rsidRDefault="003B6872" w:rsidP="00406B25">
      <w:pPr>
        <w:tabs>
          <w:tab w:val="center" w:pos="4680"/>
        </w:tabs>
      </w:pPr>
    </w:p>
    <w:p w:rsidR="00EF4B09" w:rsidRDefault="003B6872" w:rsidP="00406B25">
      <w:pPr>
        <w:tabs>
          <w:tab w:val="center" w:pos="4680"/>
        </w:tabs>
      </w:pPr>
      <w:r>
        <w:t xml:space="preserve">3.  </w:t>
      </w:r>
      <w:r w:rsidRPr="00301697">
        <w:rPr>
          <w:b/>
          <w:bCs/>
        </w:rPr>
        <w:t>Monitoring and (especially) Evaluation.</w:t>
      </w:r>
      <w:r>
        <w:t xml:space="preserve">  </w:t>
      </w:r>
      <w:r w:rsidR="00D9400E">
        <w:t xml:space="preserve">In component 3, item d, there is reference to periodic evaluation of the reforms.  This is fine, but I think it will be important to try and design in, from the start, a process of ongoing/concurrent evaluation, analysis, etc.  Don’t wait for 4 years just because that is the legal requirement.  The reform plan has specific objectives, and the planned reforms also constitute hypotheses that if they are implemented, the objectives will be achieved.  Analysis is needed from the beginning to ensure things stay on track, unanticipated problems identified, and adjustments made.  This is not just identifying and tracking a few indicators but also developing specific policy research linked to the reform plans.  </w:t>
      </w:r>
      <w:r w:rsidR="00E61C03">
        <w:t xml:space="preserve">Colombia is trying to simplify a very complex system, and doing so will be a complex process.  Not everything will go well, but establishing mechanisms to quickly identify when things go off-track and enable rapid adjustments to be made will be essential.  </w:t>
      </w:r>
      <w:r w:rsidR="006C3E13">
        <w:t>This is also core to developing the institutional capacity of the new agency – they will need strong analytic skills.</w:t>
      </w:r>
    </w:p>
    <w:p w:rsidR="006C3E13" w:rsidRDefault="006C3E13" w:rsidP="00406B25">
      <w:pPr>
        <w:tabs>
          <w:tab w:val="center" w:pos="4680"/>
        </w:tabs>
      </w:pPr>
    </w:p>
    <w:p w:rsidR="006C3E13" w:rsidRDefault="006C3E13" w:rsidP="00406B25">
      <w:pPr>
        <w:tabs>
          <w:tab w:val="center" w:pos="4680"/>
        </w:tabs>
      </w:pPr>
      <w:r>
        <w:t xml:space="preserve">4. </w:t>
      </w:r>
      <w:r w:rsidRPr="00301697">
        <w:rPr>
          <w:b/>
          <w:bCs/>
        </w:rPr>
        <w:t>Ex post risk adjustment</w:t>
      </w:r>
      <w:r>
        <w:t xml:space="preserve"> (para 13 on bridging financing and provision).  The move from detailed positive to a negative list makes sense given the background provided, and starting with entirely ex post risk adjustment can make sense.  However, there should be a connection made between the information component of the planned reform and the development of more sophisticated risk adjustment processes (including some elements of ex ante risk adjustment even as you keep some ex post reconciliation).  There is a move towards a unified national database, and as this develops, it will offer the opportunity for more refined adjustment processes.  So for this purpose as well as for, e.g. provider payment reform, aim to create a dynamic process of continuous improvement/refinement driven by the data that will come to the </w:t>
      </w:r>
      <w:r w:rsidRPr="00EF4B09">
        <w:rPr>
          <w:i/>
          <w:iCs/>
        </w:rPr>
        <w:t>Salud Mía</w:t>
      </w:r>
      <w:r>
        <w:t>.</w:t>
      </w:r>
    </w:p>
    <w:p w:rsidR="006C3E13" w:rsidRDefault="006C3E13" w:rsidP="00406B25">
      <w:pPr>
        <w:tabs>
          <w:tab w:val="center" w:pos="4680"/>
        </w:tabs>
      </w:pPr>
    </w:p>
    <w:p w:rsidR="006C3E13" w:rsidRDefault="008A457E" w:rsidP="00406B25">
      <w:pPr>
        <w:tabs>
          <w:tab w:val="center" w:pos="4680"/>
        </w:tabs>
      </w:pPr>
      <w:r>
        <w:t xml:space="preserve">5. </w:t>
      </w:r>
      <w:r w:rsidRPr="00301697">
        <w:rPr>
          <w:b/>
          <w:bCs/>
        </w:rPr>
        <w:t>Results based financing</w:t>
      </w:r>
      <w:r>
        <w:t>…for what.  Para</w:t>
      </w:r>
      <w:r w:rsidR="002E0CC7">
        <w:t xml:space="preserve"> 14 indicates that part of the Bank’s role will be to introduce RBF, but to me this seems a bit too generic.  </w:t>
      </w:r>
      <w:r w:rsidR="00A74E1C">
        <w:t>Is it just the principle of introducing some performance incentives into provider payment mechanisms, or are there specific things envisioned?</w:t>
      </w:r>
      <w:r w:rsidR="00301697">
        <w:t xml:space="preserve">  Important that this be integrated into new payment systems and not set up as a standalone mechanism with a separate pool of funds.</w:t>
      </w:r>
    </w:p>
    <w:p w:rsidR="00CA081B" w:rsidRDefault="00CA081B" w:rsidP="00406B25">
      <w:pPr>
        <w:tabs>
          <w:tab w:val="center" w:pos="4680"/>
        </w:tabs>
      </w:pPr>
    </w:p>
    <w:p w:rsidR="00CA081B" w:rsidRPr="00CA081B" w:rsidRDefault="00CA081B" w:rsidP="00406B25">
      <w:pPr>
        <w:tabs>
          <w:tab w:val="center" w:pos="4680"/>
        </w:tabs>
      </w:pPr>
      <w:r>
        <w:t xml:space="preserve">6. </w:t>
      </w:r>
      <w:r w:rsidRPr="00301697">
        <w:rPr>
          <w:b/>
          <w:bCs/>
        </w:rPr>
        <w:t>Revenue collection</w:t>
      </w:r>
      <w:r>
        <w:t xml:space="preserve"> in the reform strategy.  In point a. of para 10, it is said that </w:t>
      </w:r>
      <w:r w:rsidRPr="00EF4B09">
        <w:rPr>
          <w:i/>
          <w:iCs/>
        </w:rPr>
        <w:t>Salud Mía</w:t>
      </w:r>
      <w:r>
        <w:t xml:space="preserve"> “…would centralize the functions of enrolment, </w:t>
      </w:r>
      <w:r w:rsidRPr="00CA081B">
        <w:rPr>
          <w:b/>
          <w:bCs/>
          <w:i/>
          <w:iCs/>
        </w:rPr>
        <w:t>revenue collection</w:t>
      </w:r>
      <w:r>
        <w:t xml:space="preserve">, and </w:t>
      </w:r>
      <w:r w:rsidRPr="00C35B26">
        <w:t>pooling</w:t>
      </w:r>
      <w:r w:rsidRPr="000F5C51">
        <w:t xml:space="preserve"> </w:t>
      </w:r>
      <w:r>
        <w:t xml:space="preserve">at the national level….” (my emphasis added).  I raise the question of revenue collection because (a) I don’t know how it is done now, but assuming that different EPSs were each collecting revenues; and (b) I don’t know if alternatives to having the </w:t>
      </w:r>
      <w:r w:rsidRPr="00EF4B09">
        <w:rPr>
          <w:i/>
          <w:iCs/>
        </w:rPr>
        <w:t>Salud Mía</w:t>
      </w:r>
      <w:r>
        <w:t xml:space="preserve"> do the collection were considered.  For example, how are other (non-health) payroll taxes collected?  If so, could they also collect the health contributions and just transfer the funds to be pooled in the </w:t>
      </w:r>
      <w:r w:rsidRPr="00EF4B09">
        <w:rPr>
          <w:i/>
          <w:iCs/>
        </w:rPr>
        <w:t>Salud Mía</w:t>
      </w:r>
      <w:r>
        <w:t xml:space="preserve">?  Is it feasible for the national tax authority to do the collection and make the transfers?  I raise this for two reasons.  The first is simply public sector efficiency – why have multiple tax collection agencies?  The second is very important for the priorities of the </w:t>
      </w:r>
      <w:r w:rsidRPr="00EF4B09">
        <w:rPr>
          <w:i/>
          <w:iCs/>
        </w:rPr>
        <w:t>Salud Mía</w:t>
      </w:r>
      <w:r>
        <w:t xml:space="preserve">: they should be focusing their attention, capacities, skills, and systems on pooling funds and contracting/paying providers, not on collecting contributions.  Of course, this requires that governance </w:t>
      </w:r>
      <w:r>
        <w:lastRenderedPageBreak/>
        <w:t xml:space="preserve">and revenue collection mechanisms from other sectors are sufficient to ensure a consistent and predictable flow of funds to the </w:t>
      </w:r>
      <w:r w:rsidRPr="00EF4B09">
        <w:rPr>
          <w:i/>
          <w:iCs/>
        </w:rPr>
        <w:t>Salud Mía</w:t>
      </w:r>
      <w:r>
        <w:t>.  But I would question the logic of having the new agency getting into the revenue collection business.  So unless this is already fixed in law, I’d suggest putting it on the table for policy dialog.</w:t>
      </w:r>
    </w:p>
    <w:sectPr w:rsidR="00CA081B" w:rsidRPr="00CA081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B25"/>
    <w:rsid w:val="00292C8C"/>
    <w:rsid w:val="002E0CC7"/>
    <w:rsid w:val="00301697"/>
    <w:rsid w:val="003B6872"/>
    <w:rsid w:val="00406B25"/>
    <w:rsid w:val="006C3E13"/>
    <w:rsid w:val="00802C9B"/>
    <w:rsid w:val="008A457E"/>
    <w:rsid w:val="009E1599"/>
    <w:rsid w:val="00A74E1C"/>
    <w:rsid w:val="00CA081B"/>
    <w:rsid w:val="00D9400E"/>
    <w:rsid w:val="00E61C03"/>
    <w:rsid w:val="00EF4B09"/>
    <w:rsid w:val="00EF74F6"/>
    <w:rsid w:val="00F53D9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169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16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aigekassa.ee/eng/ehi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1209</Words>
  <Characters>6897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World Health Organization</Company>
  <LinksUpToDate>false</LinksUpToDate>
  <CharactersWithSpaces>8090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KUTZIN, Joseph Douglas</dc:creator>
  <cp:lastModifiedBy>MEYER, Claude</cp:lastModifiedBy>
  <cp:revision>2</cp:revision>
  <dcterms:created xsi:type="dcterms:W3CDTF">2014-02-18T13:27:00Z</dcterms:created>
  <dcterms:modified xsi:type="dcterms:W3CDTF">2014-02-18T13:27:00Z</dcterms:modified>
</cp:coreProperties>
</file>