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CD6" w:rsidRPr="00B51CD6" w:rsidRDefault="006837A7" w:rsidP="007C497D">
      <w:pPr>
        <w:pStyle w:val="Heading1"/>
        <w:pBdr>
          <w:top w:val="single" w:sz="4" w:space="1" w:color="auto"/>
          <w:left w:val="single" w:sz="4" w:space="4" w:color="auto"/>
          <w:bottom w:val="single" w:sz="4" w:space="1" w:color="auto"/>
          <w:right w:val="single" w:sz="4" w:space="4" w:color="auto"/>
        </w:pBdr>
        <w:jc w:val="center"/>
      </w:pPr>
      <w:bookmarkStart w:id="0" w:name="_GoBack"/>
      <w:bookmarkEnd w:id="0"/>
      <w:r>
        <w:t>Politique</w:t>
      </w:r>
      <w:r w:rsidR="00B51CD6" w:rsidRPr="00B51CD6">
        <w:t xml:space="preserve"> Nationale de Financement de la Santé </w:t>
      </w:r>
      <w:r w:rsidR="002218B6">
        <w:t xml:space="preserve">pour la Couverture Universelle </w:t>
      </w:r>
      <w:r w:rsidR="00B51CD6" w:rsidRPr="00B51CD6">
        <w:t>du Mali</w:t>
      </w:r>
      <w:r w:rsidR="000B3C9B">
        <w:t>. Document d’étape : orientation</w:t>
      </w:r>
      <w:r w:rsidR="00B51CD6" w:rsidRPr="00B51CD6">
        <w:t xml:space="preserve"> issue des travaux préparatoires – Juin</w:t>
      </w:r>
      <w:r w:rsidR="00EA230D">
        <w:t xml:space="preserve"> / Juillet</w:t>
      </w:r>
      <w:r w:rsidR="00B51CD6" w:rsidRPr="00B51CD6">
        <w:t xml:space="preserve"> 2013</w:t>
      </w:r>
    </w:p>
    <w:p w:rsidR="00B51CD6" w:rsidRDefault="00B51CD6"/>
    <w:p w:rsidR="000B694A" w:rsidRDefault="000B694A" w:rsidP="000B694A">
      <w:pPr>
        <w:pStyle w:val="Heading2"/>
      </w:pPr>
      <w:r>
        <w:t>Contexte</w:t>
      </w:r>
    </w:p>
    <w:p w:rsidR="00B51CD6" w:rsidRDefault="00B51CD6" w:rsidP="000B694A">
      <w:pPr>
        <w:pStyle w:val="Heading3"/>
      </w:pPr>
      <w:r>
        <w:t>Objet</w:t>
      </w:r>
    </w:p>
    <w:p w:rsidR="006B5275" w:rsidRDefault="00B51CD6">
      <w:r>
        <w:t xml:space="preserve">Le financement de la santé est un des blocs du système de santé, mais il est </w:t>
      </w:r>
      <w:r w:rsidR="006B348B">
        <w:t>aussi</w:t>
      </w:r>
      <w:r>
        <w:t xml:space="preserve"> une dimension transversale de ce système</w:t>
      </w:r>
      <w:r w:rsidR="006B348B">
        <w:t> : l’argent est le nerf d</w:t>
      </w:r>
      <w:r w:rsidR="00C12638">
        <w:t>e son</w:t>
      </w:r>
      <w:r w:rsidR="006B348B">
        <w:t xml:space="preserve"> fonctionnement</w:t>
      </w:r>
      <w:r>
        <w:t xml:space="preserve">. </w:t>
      </w:r>
      <w:r w:rsidR="00B1718E">
        <w:t>En somme</w:t>
      </w:r>
      <w:r w:rsidR="006B5275">
        <w:t xml:space="preserve"> une politique nationale de financement de la santé est connexe à </w:t>
      </w:r>
      <w:r w:rsidR="00B1718E">
        <w:t>l’ensemble des blocs du système et</w:t>
      </w:r>
      <w:r w:rsidR="006B5275">
        <w:t xml:space="preserve"> prend en considération les conditions financières permettant la performance </w:t>
      </w:r>
      <w:r w:rsidR="00C571D4">
        <w:t>de chaque bloc et de l’ensemble</w:t>
      </w:r>
      <w:r w:rsidR="006B5275">
        <w:t>.</w:t>
      </w:r>
    </w:p>
    <w:p w:rsidR="00B51CD6" w:rsidRDefault="00C571D4">
      <w:r>
        <w:t>L</w:t>
      </w:r>
      <w:r w:rsidR="006B348B">
        <w:t xml:space="preserve">e financement de la santé est un aspect primordial </w:t>
      </w:r>
      <w:r w:rsidR="00B1718E">
        <w:t xml:space="preserve">de l’accès aux soins </w:t>
      </w:r>
      <w:r>
        <w:t>puisque la barrière financière est</w:t>
      </w:r>
      <w:r w:rsidR="00C12638">
        <w:t xml:space="preserve"> la plus importante</w:t>
      </w:r>
      <w:r w:rsidR="006B348B">
        <w:t xml:space="preserve"> </w:t>
      </w:r>
      <w:r w:rsidR="00B1718E">
        <w:t>pour</w:t>
      </w:r>
      <w:r w:rsidR="006B348B">
        <w:t xml:space="preserve"> les populations</w:t>
      </w:r>
      <w:r w:rsidR="008E668B">
        <w:t xml:space="preserve"> </w:t>
      </w:r>
      <w:r>
        <w:t>lorsqu’elles cherchent à</w:t>
      </w:r>
      <w:r w:rsidR="008E668B">
        <w:t xml:space="preserve"> se soigner</w:t>
      </w:r>
      <w:r w:rsidR="006B348B">
        <w:t>.</w:t>
      </w:r>
      <w:r w:rsidR="00B1718E">
        <w:t xml:space="preserve"> Par conséquent</w:t>
      </w:r>
      <w:r w:rsidR="006B5275">
        <w:t xml:space="preserve"> le financement de la santé englobe les conditions de satisfaction d’une demande formulée et non formulée</w:t>
      </w:r>
      <w:r w:rsidR="00B1718E">
        <w:t xml:space="preserve"> pour la couverture des</w:t>
      </w:r>
      <w:r w:rsidR="006B5275">
        <w:t xml:space="preserve"> besoin</w:t>
      </w:r>
      <w:r w:rsidR="00B1718E">
        <w:t>s</w:t>
      </w:r>
      <w:r w:rsidR="00F8357B">
        <w:t xml:space="preserve"> en soins de santé de la population.</w:t>
      </w:r>
    </w:p>
    <w:p w:rsidR="00C12638" w:rsidRDefault="006837A7">
      <w:r>
        <w:t xml:space="preserve">Concevoir une </w:t>
      </w:r>
      <w:r w:rsidR="00DA0B8C">
        <w:t>politique de financement de la s</w:t>
      </w:r>
      <w:r>
        <w:t>anté</w:t>
      </w:r>
      <w:r w:rsidR="002218B6">
        <w:t xml:space="preserve"> pour la Couverture Universelle</w:t>
      </w:r>
      <w:r>
        <w:t xml:space="preserve">, c’est </w:t>
      </w:r>
      <w:r w:rsidR="00DA0B8C">
        <w:t>finalement</w:t>
      </w:r>
      <w:r w:rsidR="00F8357B">
        <w:t xml:space="preserve"> </w:t>
      </w:r>
      <w:r>
        <w:t xml:space="preserve">donner une direction </w:t>
      </w:r>
      <w:r w:rsidR="008E668B">
        <w:t xml:space="preserve">générale </w:t>
      </w:r>
      <w:r>
        <w:t xml:space="preserve">et élaborer les grandes lignes stratégiques </w:t>
      </w:r>
      <w:r w:rsidR="008E668B">
        <w:t>nationale</w:t>
      </w:r>
      <w:r w:rsidR="006B5275">
        <w:t>s</w:t>
      </w:r>
      <w:r w:rsidR="008E668B">
        <w:t xml:space="preserve"> </w:t>
      </w:r>
      <w:r>
        <w:t xml:space="preserve">pour mettre en place </w:t>
      </w:r>
      <w:r w:rsidR="000D2E81">
        <w:t>un système de financement performant</w:t>
      </w:r>
      <w:r w:rsidR="00F8357B">
        <w:t xml:space="preserve">, qui concourt à la fois à la réalisation d’un système de santé adéquat et à </w:t>
      </w:r>
      <w:r w:rsidR="00B1718E">
        <w:t>la réalisation des</w:t>
      </w:r>
      <w:r w:rsidR="00F8357B">
        <w:t xml:space="preserve"> besoins en soins de santé </w:t>
      </w:r>
      <w:r w:rsidR="00B1718E">
        <w:t>de la population</w:t>
      </w:r>
      <w:r w:rsidR="000D2E81">
        <w:t xml:space="preserve">. </w:t>
      </w:r>
      <w:r w:rsidR="008E668B">
        <w:t>Plus</w:t>
      </w:r>
      <w:r w:rsidR="002218B6">
        <w:t xml:space="preserve"> </w:t>
      </w:r>
      <w:r w:rsidR="008E668B">
        <w:t xml:space="preserve">généralement, il s’agit </w:t>
      </w:r>
      <w:r w:rsidR="006B5275">
        <w:t xml:space="preserve">d’orienter les acteurs nationaux et internationaux </w:t>
      </w:r>
      <w:r w:rsidR="00B1718E">
        <w:t xml:space="preserve">sur le chemin </w:t>
      </w:r>
      <w:r w:rsidR="006B5275">
        <w:t>de</w:t>
      </w:r>
      <w:r w:rsidR="008E668B">
        <w:t xml:space="preserve"> la couverture universelle.</w:t>
      </w:r>
    </w:p>
    <w:p w:rsidR="006B5275" w:rsidRDefault="000B694A" w:rsidP="000B694A">
      <w:pPr>
        <w:pStyle w:val="Heading3"/>
      </w:pPr>
      <w:r>
        <w:t>Nature du document</w:t>
      </w:r>
    </w:p>
    <w:p w:rsidR="00B1718E" w:rsidRPr="00665C3E" w:rsidRDefault="00B1718E" w:rsidP="00B1718E">
      <w:pPr>
        <w:spacing w:after="0" w:line="240" w:lineRule="auto"/>
        <w:mirrorIndents/>
        <w:jc w:val="both"/>
        <w:rPr>
          <w:rFonts w:cs="Arial"/>
          <w:lang w:val="fr-CA"/>
        </w:rPr>
      </w:pPr>
      <w:r>
        <w:t>Les</w:t>
      </w:r>
      <w:r w:rsidRPr="00665C3E">
        <w:t xml:space="preserve"> Ministères de la Santé, celui de l’Action Humanitaire, de la Solidarité et des Personnes Agées</w:t>
      </w:r>
      <w:r>
        <w:t xml:space="preserve"> et</w:t>
      </w:r>
      <w:r w:rsidRPr="00665C3E">
        <w:t xml:space="preserve"> celui de la Femme, de la Promotion de l’Enfant et de la Famille ont élaboré un plan décennal de développement sanitaire. </w:t>
      </w:r>
      <w:r w:rsidR="00DA0B8C">
        <w:rPr>
          <w:rFonts w:cs="Arial"/>
          <w:lang w:val="fr-CA"/>
        </w:rPr>
        <w:t>Les</w:t>
      </w:r>
      <w:r w:rsidRPr="00665C3E">
        <w:rPr>
          <w:rFonts w:cs="Arial"/>
          <w:lang w:val="fr-CA"/>
        </w:rPr>
        <w:t xml:space="preserve"> Ministères et leurs Partenaires Techniques et Financiers ont convenu </w:t>
      </w:r>
      <w:r>
        <w:rPr>
          <w:rFonts w:cs="Arial"/>
          <w:lang w:val="fr-CA"/>
        </w:rPr>
        <w:t>qu’</w:t>
      </w:r>
      <w:r w:rsidRPr="00665C3E">
        <w:rPr>
          <w:rFonts w:cs="Arial"/>
          <w:lang w:val="fr-CA"/>
        </w:rPr>
        <w:t xml:space="preserve">un certain nombre de thèmes </w:t>
      </w:r>
      <w:r w:rsidR="00C571D4">
        <w:rPr>
          <w:rFonts w:cs="Arial"/>
          <w:lang w:val="fr-CA"/>
        </w:rPr>
        <w:t xml:space="preserve">devaient </w:t>
      </w:r>
      <w:r w:rsidR="00DA0B8C">
        <w:rPr>
          <w:rFonts w:cs="Arial"/>
          <w:lang w:val="fr-CA"/>
        </w:rPr>
        <w:t xml:space="preserve">y </w:t>
      </w:r>
      <w:r w:rsidR="00C571D4">
        <w:rPr>
          <w:rFonts w:cs="Arial"/>
          <w:lang w:val="fr-CA"/>
        </w:rPr>
        <w:t>être</w:t>
      </w:r>
      <w:r w:rsidRPr="00665C3E">
        <w:rPr>
          <w:rFonts w:cs="Arial"/>
          <w:lang w:val="fr-CA"/>
        </w:rPr>
        <w:t xml:space="preserve"> approfondis </w:t>
      </w:r>
      <w:r>
        <w:rPr>
          <w:rFonts w:cs="Arial"/>
          <w:lang w:val="fr-CA"/>
        </w:rPr>
        <w:t>pour anticiper sur la</w:t>
      </w:r>
      <w:r w:rsidRPr="00665C3E">
        <w:rPr>
          <w:rFonts w:cs="Arial"/>
          <w:lang w:val="fr-CA"/>
        </w:rPr>
        <w:t xml:space="preserve"> mise en œuvre</w:t>
      </w:r>
      <w:r w:rsidR="00DA0B8C">
        <w:rPr>
          <w:rFonts w:cs="Arial"/>
          <w:lang w:val="fr-CA"/>
        </w:rPr>
        <w:t>, et l</w:t>
      </w:r>
      <w:r w:rsidRPr="00665C3E">
        <w:rPr>
          <w:rFonts w:cs="Arial"/>
          <w:lang w:val="fr-CA"/>
        </w:rPr>
        <w:t>e financement de la santé fait partie de</w:t>
      </w:r>
      <w:r>
        <w:rPr>
          <w:rFonts w:cs="Arial"/>
          <w:lang w:val="fr-CA"/>
        </w:rPr>
        <w:t xml:space="preserve"> ce</w:t>
      </w:r>
      <w:r w:rsidRPr="00665C3E">
        <w:rPr>
          <w:rFonts w:cs="Arial"/>
          <w:lang w:val="fr-CA"/>
        </w:rPr>
        <w:t xml:space="preserve">s thèmes. </w:t>
      </w:r>
      <w:r>
        <w:rPr>
          <w:rFonts w:cs="Arial"/>
          <w:lang w:val="fr-CA"/>
        </w:rPr>
        <w:t xml:space="preserve">C’est ainsi que </w:t>
      </w:r>
      <w:r w:rsidRPr="00665C3E">
        <w:rPr>
          <w:rFonts w:cs="Arial"/>
          <w:lang w:val="fr-CA"/>
        </w:rPr>
        <w:t xml:space="preserve">le groupe thématique de travail </w:t>
      </w:r>
      <w:r>
        <w:rPr>
          <w:rFonts w:cs="Arial"/>
          <w:lang w:val="fr-CA"/>
        </w:rPr>
        <w:t xml:space="preserve">sur le financement de la santé s’est vu confié la </w:t>
      </w:r>
      <w:r w:rsidRPr="00665C3E">
        <w:rPr>
          <w:rFonts w:cs="Arial"/>
          <w:lang w:val="fr-CA"/>
        </w:rPr>
        <w:t>charg</w:t>
      </w:r>
      <w:r>
        <w:rPr>
          <w:rFonts w:cs="Arial"/>
          <w:lang w:val="fr-CA"/>
        </w:rPr>
        <w:t>e</w:t>
      </w:r>
      <w:r w:rsidRPr="00665C3E">
        <w:rPr>
          <w:rFonts w:cs="Arial"/>
          <w:lang w:val="fr-CA"/>
        </w:rPr>
        <w:t xml:space="preserve"> d’élaborer un document de politique</w:t>
      </w:r>
      <w:r w:rsidR="00DA0B8C">
        <w:rPr>
          <w:rFonts w:cs="Arial"/>
          <w:lang w:val="fr-CA"/>
        </w:rPr>
        <w:t xml:space="preserve"> national</w:t>
      </w:r>
      <w:r>
        <w:rPr>
          <w:rFonts w:cs="Arial"/>
          <w:lang w:val="fr-CA"/>
        </w:rPr>
        <w:t>.</w:t>
      </w:r>
    </w:p>
    <w:p w:rsidR="00B1718E" w:rsidRPr="00665C3E" w:rsidRDefault="00B1718E" w:rsidP="00B1718E">
      <w:pPr>
        <w:spacing w:after="0" w:line="240" w:lineRule="auto"/>
        <w:mirrorIndents/>
        <w:jc w:val="both"/>
      </w:pPr>
    </w:p>
    <w:p w:rsidR="00B1718E" w:rsidRDefault="00B1718E">
      <w:r>
        <w:t>Auparavant, un processus a</w:t>
      </w:r>
      <w:r w:rsidR="00C571D4">
        <w:t>vait</w:t>
      </w:r>
      <w:r>
        <w:t xml:space="preserve"> démarré entre le gouvernement </w:t>
      </w:r>
      <w:r w:rsidR="002218B6">
        <w:t xml:space="preserve">et </w:t>
      </w:r>
      <w:r w:rsidR="00B646E2">
        <w:t xml:space="preserve">les </w:t>
      </w:r>
      <w:r w:rsidR="002218B6">
        <w:t xml:space="preserve">PTF </w:t>
      </w:r>
      <w:r>
        <w:t xml:space="preserve">dans le cadre </w:t>
      </w:r>
      <w:r w:rsidR="00C571D4">
        <w:t>d’une d</w:t>
      </w:r>
      <w:r>
        <w:t>émarche</w:t>
      </w:r>
      <w:r w:rsidR="00C571D4">
        <w:t xml:space="preserve"> de la plateforme</w:t>
      </w:r>
      <w:r>
        <w:t xml:space="preserve"> P4H</w:t>
      </w:r>
      <w:r w:rsidR="00C571D4">
        <w:t>. Il s’agissait d’élaborer et mettre en œuvre une feuille de route conjointe pour le développement de la couverture universelle.</w:t>
      </w:r>
      <w:r>
        <w:t xml:space="preserve"> </w:t>
      </w:r>
      <w:r w:rsidR="00C571D4">
        <w:t>Au cœur de celle-ci figurait l’élaboration d’une stratégie de financement de la santé.</w:t>
      </w:r>
    </w:p>
    <w:p w:rsidR="009B0D3B" w:rsidRDefault="00C571D4">
      <w:r>
        <w:t>Les deux démarches se rejoignent aujourd’hui. Au-delà des termes (« financement de la santé » ou « financement de la couverture universelle » ou encore « développement de la couverture universelle »), les trois Ministères se retrouvent pour l’élaboration d’un document de politique national</w:t>
      </w:r>
      <w:r w:rsidR="00B646E2">
        <w:t>e</w:t>
      </w:r>
      <w:r>
        <w:t xml:space="preserve"> qui </w:t>
      </w:r>
      <w:r w:rsidR="00B646E2">
        <w:t>dessine la voie de</w:t>
      </w:r>
      <w:r>
        <w:t xml:space="preserve"> l’accès à des soins de qualité </w:t>
      </w:r>
      <w:r w:rsidR="00B646E2">
        <w:t xml:space="preserve">indépendamment des capacités financières, </w:t>
      </w:r>
      <w:r>
        <w:t>pour l’ensemble de la population du Mali</w:t>
      </w:r>
      <w:r w:rsidR="002218B6">
        <w:t xml:space="preserve"> </w:t>
      </w:r>
      <w:r w:rsidR="00B646E2">
        <w:t>selon les besoins et en la protégeant du risque maladie</w:t>
      </w:r>
      <w:r>
        <w:t xml:space="preserve">. Le présent document d’étape doit permettre (a) de finaliser un accord sur les orientations stratégiques, (b) d’identifier les décisions qu’il reste à prendre, (c) </w:t>
      </w:r>
      <w:r w:rsidR="00B52E35">
        <w:t>de poser les termes du dialogue sur les finances d’une part entre l</w:t>
      </w:r>
      <w:r>
        <w:t xml:space="preserve">es 3 Ministères </w:t>
      </w:r>
      <w:r w:rsidR="00B52E35">
        <w:t>et d’autre part entre eux et le</w:t>
      </w:r>
      <w:r>
        <w:t xml:space="preserve"> Ministère des Finances.</w:t>
      </w:r>
    </w:p>
    <w:p w:rsidR="006B5275" w:rsidRDefault="00E44705" w:rsidP="00E44705">
      <w:pPr>
        <w:pStyle w:val="Heading3"/>
      </w:pPr>
      <w:r>
        <w:lastRenderedPageBreak/>
        <w:t>Théorie</w:t>
      </w:r>
    </w:p>
    <w:p w:rsidR="00E44705" w:rsidRDefault="00E44705">
      <w:r>
        <w:t xml:space="preserve">Le financement de la santé peut être analysé au travers ses trois fonctions : la mobilisation des ressources, la mutualisation des ressources, et l’achat de services. </w:t>
      </w:r>
      <w:r w:rsidR="00AD7218">
        <w:t>Ce cadre analytique semble le seul qui permette de</w:t>
      </w:r>
      <w:r>
        <w:t xml:space="preserve"> saisir les limites systémiques </w:t>
      </w:r>
      <w:r w:rsidR="00AD7218">
        <w:t xml:space="preserve">du financement </w:t>
      </w:r>
      <w:r>
        <w:t xml:space="preserve">et proposer des améliorations </w:t>
      </w:r>
      <w:r w:rsidR="009B0D3B">
        <w:t>dans le même</w:t>
      </w:r>
      <w:r w:rsidR="00370E02">
        <w:t xml:space="preserve"> sens</w:t>
      </w:r>
      <w:r>
        <w:t>. En effet, améliorer chacune des parties ne permettra pas forcément d’améliorer le tout</w:t>
      </w:r>
      <w:r w:rsidR="00AD7218">
        <w:t> : si</w:t>
      </w:r>
      <w:r>
        <w:t xml:space="preserve"> chaque partie du système doit être améliorée, le plus important est </w:t>
      </w:r>
      <w:r w:rsidR="00AD7218">
        <w:t>que chaque partie existe</w:t>
      </w:r>
      <w:r>
        <w:t xml:space="preserve"> </w:t>
      </w:r>
      <w:r w:rsidR="00370E02">
        <w:t xml:space="preserve">pour un tout. </w:t>
      </w:r>
      <w:r w:rsidR="00265947">
        <w:t>Les</w:t>
      </w:r>
      <w:r>
        <w:t xml:space="preserve"> mécanismes et </w:t>
      </w:r>
      <w:r w:rsidR="00265947">
        <w:t>l</w:t>
      </w:r>
      <w:r>
        <w:t xml:space="preserve">es stratégies partielles </w:t>
      </w:r>
      <w:r w:rsidR="00265947">
        <w:t>doiven</w:t>
      </w:r>
      <w:r w:rsidR="00370E02">
        <w:t xml:space="preserve">t </w:t>
      </w:r>
      <w:r w:rsidR="00AD7218">
        <w:t>s’ancrer dans une logique d’ensemble</w:t>
      </w:r>
      <w:r w:rsidR="00370E02">
        <w:t xml:space="preserve">. </w:t>
      </w:r>
    </w:p>
    <w:p w:rsidR="00AD7218" w:rsidRDefault="00AD7218">
      <w:r>
        <w:t>Les engagements et l’expérience donnent des indications sur des normes de volumes financiers que</w:t>
      </w:r>
      <w:r w:rsidR="009B0D3B">
        <w:t xml:space="preserve"> le pays doi</w:t>
      </w:r>
      <w:r>
        <w:t>t tenter de mobiliser pour aller vers la couverture universelle et obtenir des résultats dans des délais raisonnables. Ces volumes concernent notamment la part des paiements directs des ménages dans le total des dépenses en santé (</w:t>
      </w:r>
      <w:r w:rsidR="00B646E2">
        <w:t xml:space="preserve">minimum, par exemple </w:t>
      </w:r>
      <w:r>
        <w:t>&lt;20%), la part du budget d’Etat consacré à la santé (15%, engagement d’Abuja), et les dépenses nationales e</w:t>
      </w:r>
      <w:r w:rsidR="00B646E2">
        <w:t>n santé par personne et par an (</w:t>
      </w:r>
      <w:r>
        <w:t>$</w:t>
      </w:r>
      <w:r w:rsidR="00B646E2">
        <w:t>60 en 2015</w:t>
      </w:r>
      <w:r>
        <w:t xml:space="preserve">). Ces volumes sont donc liés au PNB, à l’assiette fiscale, ou encore à l’aide extérieure. On appréciera </w:t>
      </w:r>
      <w:r w:rsidR="00CE7BDA">
        <w:t xml:space="preserve">par conséquent </w:t>
      </w:r>
      <w:r>
        <w:t xml:space="preserve">le développement de la couverture universelle </w:t>
      </w:r>
      <w:r w:rsidR="00CE7BDA">
        <w:t xml:space="preserve">notamment </w:t>
      </w:r>
      <w:r>
        <w:t>du poin</w:t>
      </w:r>
      <w:r w:rsidR="008E084E">
        <w:t>t de vue des moyens à mo</w:t>
      </w:r>
      <w:r w:rsidR="00CE7BDA">
        <w:t xml:space="preserve">biliser – source et montants - </w:t>
      </w:r>
      <w:r w:rsidR="008E084E">
        <w:t>ainsi que de leur allocation.</w:t>
      </w:r>
    </w:p>
    <w:p w:rsidR="00E44705" w:rsidRDefault="00E44705">
      <w:r>
        <w:t xml:space="preserve">De manière particulièrement éloquente, un empilement de dispositifs visant chacun à améliorer l’accès aux soins de qualité </w:t>
      </w:r>
      <w:r w:rsidR="009B0D3B">
        <w:t>de</w:t>
      </w:r>
      <w:r>
        <w:t xml:space="preserve"> la population peut s’avérer extrêmement néfaste</w:t>
      </w:r>
      <w:r w:rsidR="007F169B">
        <w:t xml:space="preserve">, d’autant </w:t>
      </w:r>
      <w:r w:rsidR="00370E02">
        <w:t>si ces dispositifs</w:t>
      </w:r>
      <w:r w:rsidR="007F169B">
        <w:t xml:space="preserve"> ne sont pas coordonnés</w:t>
      </w:r>
      <w:r>
        <w:t>. Il s’agit ici de la « fragmentation »</w:t>
      </w:r>
      <w:r w:rsidR="007F169B">
        <w:t>, qui pénalise le développement de la couverture universelle à plusieurs titres : éparpillement des ressources humaines, multiplication des dispositions administratives, absence de mutualisation des ressources financières, manque d’analyse critique transversale sur les cibles et sur les moyens</w:t>
      </w:r>
      <w:r w:rsidR="00370E02">
        <w:t xml:space="preserve"> </w:t>
      </w:r>
      <w:r w:rsidR="00CE7BDA">
        <w:t xml:space="preserve">mis </w:t>
      </w:r>
      <w:r w:rsidR="00370E02">
        <w:t>à disposition</w:t>
      </w:r>
      <w:r w:rsidR="007F169B">
        <w:t>, compétition sous-sectorielle contreproductive</w:t>
      </w:r>
      <w:r w:rsidR="00370E02">
        <w:t xml:space="preserve"> au lieu de priorisation</w:t>
      </w:r>
      <w:r w:rsidR="000B694A">
        <w:t>s</w:t>
      </w:r>
      <w:r w:rsidR="007F169B">
        <w:t>, errance du dialogue sectoriel, incohérence de la règlementation et de la politique.</w:t>
      </w:r>
      <w:r w:rsidR="008E084E">
        <w:t xml:space="preserve"> Cet enjeu, qui est des plus cruciaux et des moins évidents, invite à une analyse critique de la mutualisation des ressources</w:t>
      </w:r>
      <w:r w:rsidR="00CE7BDA">
        <w:t xml:space="preserve"> (« pooling »)</w:t>
      </w:r>
      <w:r w:rsidR="008E084E">
        <w:t>.</w:t>
      </w:r>
    </w:p>
    <w:p w:rsidR="008E084E" w:rsidRDefault="00351DBB">
      <w:r>
        <w:t xml:space="preserve">En aval, les financements de la santé sont les sources de l’achat de services qui doivent répondre aux besoins </w:t>
      </w:r>
      <w:r w:rsidR="000B694A">
        <w:t>en</w:t>
      </w:r>
      <w:r>
        <w:t xml:space="preserve"> soin de santé. Cette fonction</w:t>
      </w:r>
      <w:r w:rsidR="00CE7BDA">
        <w:t xml:space="preserve"> d’achat</w:t>
      </w:r>
      <w:r>
        <w:t xml:space="preserve"> permet d’envisager la pertinence des services donnés ou disponibles eu égard à leur coût, et de porter une analyse critique sur les échanges économiques qu’ils convoquent. L’efficience des dépenses de soins, </w:t>
      </w:r>
      <w:r w:rsidR="002652CD">
        <w:t>leur modalité ou</w:t>
      </w:r>
      <w:r>
        <w:t xml:space="preserve"> encore la rationalité de ceux-ci, sont autant d’interrogations que pose la fonction d’achat.</w:t>
      </w:r>
    </w:p>
    <w:p w:rsidR="00194770" w:rsidRDefault="002652CD">
      <w:r>
        <w:t xml:space="preserve">En sus des trois fonctions classiques du financement de la santé, une politique de développement de la couverture universelle doit s’intéresser à sa direction générale, autrement dit </w:t>
      </w:r>
      <w:r w:rsidR="000B694A">
        <w:t xml:space="preserve">à </w:t>
      </w:r>
      <w:r>
        <w:t xml:space="preserve">son « orchestration » ou </w:t>
      </w:r>
      <w:r w:rsidR="000B694A">
        <w:t xml:space="preserve">à </w:t>
      </w:r>
      <w:r>
        <w:t>sa gouvernance selon le terme retenu dans le cours des discussions à Bamako. En jeu i</w:t>
      </w:r>
      <w:r w:rsidR="00B60166">
        <w:t>ci, la direction qui est donnée, et qui sera</w:t>
      </w:r>
      <w:r w:rsidR="00CE7BDA">
        <w:t xml:space="preserve"> suivi</w:t>
      </w:r>
      <w:r w:rsidR="00B60166">
        <w:t>e</w:t>
      </w:r>
      <w:r>
        <w:t xml:space="preserve"> et évalué</w:t>
      </w:r>
      <w:r w:rsidR="00B60166">
        <w:t>e</w:t>
      </w:r>
      <w:r>
        <w:t>.</w:t>
      </w:r>
    </w:p>
    <w:p w:rsidR="002652CD" w:rsidRDefault="002652CD">
      <w:r>
        <w:t>Concevoir une politique de financement de la santé, c’est asseoir l’intersectorialité sur le concept de couverture universelle et définir un ensemble d’objectifs stratégiques qui participent ensemble à son développement efficace sur les bases d’un consensus national.</w:t>
      </w:r>
    </w:p>
    <w:p w:rsidR="000B694A" w:rsidRDefault="000B694A">
      <w:pPr>
        <w:rPr>
          <w:rFonts w:asciiTheme="majorHAnsi" w:eastAsiaTheme="majorEastAsia" w:hAnsiTheme="majorHAnsi" w:cstheme="majorBidi"/>
          <w:b/>
          <w:bCs/>
          <w:color w:val="4F81BD" w:themeColor="accent1"/>
        </w:rPr>
      </w:pPr>
      <w:r>
        <w:br w:type="page"/>
      </w:r>
    </w:p>
    <w:p w:rsidR="006B5275" w:rsidRDefault="006B5275" w:rsidP="00D17EE1">
      <w:pPr>
        <w:pStyle w:val="Heading3"/>
      </w:pPr>
      <w:r>
        <w:lastRenderedPageBreak/>
        <w:t>Orientations de la politique de financement de la santé</w:t>
      </w:r>
    </w:p>
    <w:p w:rsidR="00FF69A1" w:rsidRPr="00FF69A1" w:rsidRDefault="00FF69A1" w:rsidP="00FF69A1"/>
    <w:p w:rsidR="00E9558C" w:rsidRPr="00F850EB" w:rsidRDefault="005516A7" w:rsidP="00B1718E">
      <w:pPr>
        <w:numPr>
          <w:ilvl w:val="0"/>
          <w:numId w:val="9"/>
        </w:numPr>
        <w:rPr>
          <w:b/>
        </w:rPr>
      </w:pPr>
      <w:r w:rsidRPr="00F850EB">
        <w:rPr>
          <w:b/>
        </w:rPr>
        <w:t xml:space="preserve">Augmenter le financement global dédié à la santé </w:t>
      </w:r>
    </w:p>
    <w:p w:rsidR="00F850EB" w:rsidRPr="00FF69A1" w:rsidRDefault="005516A7" w:rsidP="00FF69A1">
      <w:pPr>
        <w:rPr>
          <w:i/>
        </w:rPr>
      </w:pPr>
      <w:r w:rsidRPr="00FF69A1">
        <w:rPr>
          <w:i/>
        </w:rPr>
        <w:t xml:space="preserve">Viser 15% </w:t>
      </w:r>
      <w:r w:rsidR="00F850EB" w:rsidRPr="00FF69A1">
        <w:rPr>
          <w:i/>
        </w:rPr>
        <w:t>du budget consacré à la santé</w:t>
      </w:r>
      <w:r w:rsidR="00F1005B" w:rsidRPr="00FF69A1">
        <w:rPr>
          <w:i/>
        </w:rPr>
        <w:t xml:space="preserve"> et la réduction du paiement direct des ménages de 10 points en </w:t>
      </w:r>
      <w:r w:rsidR="00F505CC" w:rsidRPr="00FF69A1">
        <w:rPr>
          <w:i/>
        </w:rPr>
        <w:t>2023</w:t>
      </w:r>
      <w:r w:rsidR="00F1005B" w:rsidRPr="00FF69A1">
        <w:rPr>
          <w:i/>
        </w:rPr>
        <w:t>.</w:t>
      </w:r>
    </w:p>
    <w:p w:rsidR="002E685D" w:rsidRDefault="00F1005B" w:rsidP="00F1005B">
      <w:r w:rsidRPr="00F1005B">
        <w:rPr>
          <w:rFonts w:cs="Calibri"/>
        </w:rPr>
        <w:t>Avec $32 par an et par habitant consacrés à la santé, le Mali est ici en dessous du standard préconisé par l’OMS ($ 44). Il se situe au niveau du Bénin ($31), loin derrière le Gabon ($302) ou même du</w:t>
      </w:r>
      <w:r w:rsidR="00F505CC">
        <w:rPr>
          <w:rFonts w:cs="Calibri"/>
        </w:rPr>
        <w:t xml:space="preserve"> Ghana ($67), du Nigéria ($63) </w:t>
      </w:r>
      <w:r w:rsidRPr="00F1005B">
        <w:rPr>
          <w:rFonts w:cs="Calibri"/>
        </w:rPr>
        <w:t xml:space="preserve">et du Burkina ($40). </w:t>
      </w:r>
      <w:r>
        <w:t xml:space="preserve">En l’absence de CNS récents, la part des dépenses en santé des « autres » Ministères (Education, Armée…) est difficile à évaluer, mais la part des dépenses de santé dans le budget d’Etat serait de l’ordre de 11% en 2010 (8% en 2012 et 5,9% dans le budget 2013). La part des dépenses </w:t>
      </w:r>
      <w:r w:rsidR="00216CE8">
        <w:t>publiques </w:t>
      </w:r>
      <w:r>
        <w:t xml:space="preserve">de santé ne représenterait guère plus de 2% du produit intérieur brut PIB en 2010 (avec l’assiette fiscale à 22%). </w:t>
      </w:r>
    </w:p>
    <w:p w:rsidR="00F1005B" w:rsidRPr="00B1718E" w:rsidRDefault="00F1005B" w:rsidP="00F1005B">
      <w:r>
        <w:t xml:space="preserve">La couverture universelle a besoin d’un engagement fort de l’état. L’engagement d’Abudja doit servir de </w:t>
      </w:r>
      <w:r w:rsidR="00836575">
        <w:t>référence pour l’horizon 2023, à</w:t>
      </w:r>
      <w:r>
        <w:t xml:space="preserve"> charge du gouvernement de mobiliser des fonds dédiés </w:t>
      </w:r>
      <w:r w:rsidR="002E685D">
        <w:t>ou non et</w:t>
      </w:r>
      <w:r>
        <w:t xml:space="preserve"> de mettre </w:t>
      </w:r>
      <w:r w:rsidR="00836575">
        <w:t xml:space="preserve">éventuellement </w:t>
      </w:r>
      <w:r>
        <w:t>en place des mécanismes de financement alternatif. L’enjeu se défend</w:t>
      </w:r>
      <w:r w:rsidR="002E685D">
        <w:t xml:space="preserve"> comme un choix de société puisqu’il s’agit d’assumer le</w:t>
      </w:r>
      <w:r>
        <w:t xml:space="preserve"> coût financier de la solidarité </w:t>
      </w:r>
      <w:r w:rsidR="002E685D">
        <w:t xml:space="preserve">nationale </w:t>
      </w:r>
      <w:r>
        <w:t>à l’œuvre</w:t>
      </w:r>
      <w:r w:rsidR="002E685D">
        <w:t xml:space="preserve"> pour la mise en œuvre de la couverture universelle</w:t>
      </w:r>
      <w:r>
        <w:t>.</w:t>
      </w:r>
    </w:p>
    <w:p w:rsidR="00F1005B" w:rsidRDefault="002E685D" w:rsidP="00F1005B">
      <w:r>
        <w:t>En 2009</w:t>
      </w:r>
      <w:r w:rsidR="00F1005B">
        <w:t xml:space="preserve"> </w:t>
      </w:r>
      <w:r>
        <w:t>l’effort des ménages dans le financement de la santé</w:t>
      </w:r>
      <w:r w:rsidR="00F1005B">
        <w:t xml:space="preserve"> est évalué à 47%</w:t>
      </w:r>
      <w:r>
        <w:t xml:space="preserve"> du total</w:t>
      </w:r>
      <w:r w:rsidR="00F1005B">
        <w:t>. En laissant la population contribuer largement au financement de la santé par le paiement direct</w:t>
      </w:r>
      <w:r>
        <w:t>,</w:t>
      </w:r>
      <w:r w:rsidR="00F1005B">
        <w:t xml:space="preserve"> on conditionne l’accès aux soins à la capacité contributive. Les conséquences sont l’exclusion des soins ou encore la paupérisation pour cause de maladie. Pire, la situation participe à l’accroissement des inégalités dans le pays, </w:t>
      </w:r>
      <w:r>
        <w:t xml:space="preserve">qui est un cheminement </w:t>
      </w:r>
      <w:r w:rsidR="00F1005B">
        <w:t>à l’opposé de la construction nationale.</w:t>
      </w:r>
    </w:p>
    <w:p w:rsidR="00F1005B" w:rsidRDefault="00F1005B" w:rsidP="00F1005B">
      <w:r>
        <w:t xml:space="preserve">Le Rwanda, exemple continental en matière de couverture universelle, montre que les difficultés de financement de la santé ne sont pas une fatalité : avec un PNB de $530 par an et par habitant (contre $636 au Mali au même moment) et une assiette fiscale un peu plus large que celle du Mali (26% au lieu de 22%), </w:t>
      </w:r>
      <w:r w:rsidR="00F505CC">
        <w:t>le Rwanda</w:t>
      </w:r>
      <w:r>
        <w:t xml:space="preserve"> arrive à des dépenses en santé par an et par habitant de 75% supérieures à celles du Mali</w:t>
      </w:r>
      <w:r w:rsidR="00F505CC">
        <w:t xml:space="preserve"> ($56)</w:t>
      </w:r>
      <w:r>
        <w:t xml:space="preserve">. Pour ce faire, il </w:t>
      </w:r>
      <w:r w:rsidR="00F505CC">
        <w:t>y consacre</w:t>
      </w:r>
      <w:r>
        <w:t xml:space="preserve"> 20% de son budget à la santé. </w:t>
      </w:r>
    </w:p>
    <w:p w:rsidR="00FF69A1" w:rsidRDefault="002E685D" w:rsidP="00F1005B">
      <w:r>
        <w:t>Sur la base d’un c</w:t>
      </w:r>
      <w:r w:rsidR="00F505CC">
        <w:t xml:space="preserve">adrage macroéconomique réaliste </w:t>
      </w:r>
      <w:r>
        <w:t xml:space="preserve">et </w:t>
      </w:r>
      <w:r w:rsidR="00556D05">
        <w:t>considérant</w:t>
      </w:r>
      <w:r w:rsidR="00B576CA">
        <w:t xml:space="preserve"> que</w:t>
      </w:r>
      <w:r w:rsidR="00F1005B">
        <w:t xml:space="preserve"> le budget </w:t>
      </w:r>
      <w:r w:rsidR="007A17A3">
        <w:t xml:space="preserve">nominal </w:t>
      </w:r>
      <w:r w:rsidR="00F1005B">
        <w:t xml:space="preserve">2014 </w:t>
      </w:r>
      <w:r w:rsidR="00F505CC">
        <w:t xml:space="preserve">du Mali </w:t>
      </w:r>
      <w:r>
        <w:t>consacre</w:t>
      </w:r>
      <w:r w:rsidR="00F1005B">
        <w:t xml:space="preserve"> </w:t>
      </w:r>
      <w:r w:rsidR="007A17A3">
        <w:t>8,7</w:t>
      </w:r>
      <w:r w:rsidR="00F1005B">
        <w:t>%</w:t>
      </w:r>
      <w:r>
        <w:t xml:space="preserve"> à la santé</w:t>
      </w:r>
      <w:r w:rsidR="00F1005B">
        <w:t>,</w:t>
      </w:r>
      <w:r w:rsidR="007A17A3">
        <w:t xml:space="preserve"> une augmentation annuelle de </w:t>
      </w:r>
      <w:r w:rsidR="00F1005B">
        <w:t xml:space="preserve">5% de la part </w:t>
      </w:r>
      <w:r w:rsidR="00836575">
        <w:t xml:space="preserve">relative de la </w:t>
      </w:r>
      <w:r>
        <w:t xml:space="preserve">santé </w:t>
      </w:r>
      <w:r w:rsidR="00F1005B">
        <w:t>permettra d’atteindre progressivement 1</w:t>
      </w:r>
      <w:r w:rsidR="00B576CA">
        <w:t>3,</w:t>
      </w:r>
      <w:r w:rsidR="00556D05">
        <w:t>4</w:t>
      </w:r>
      <w:r w:rsidR="00F1005B">
        <w:t>% en 2023.</w:t>
      </w:r>
      <w:r>
        <w:t xml:space="preserve"> </w:t>
      </w:r>
      <w:r w:rsidR="00556D05">
        <w:t>Les dépenses santé de l’Etat</w:t>
      </w:r>
      <w:r w:rsidR="007C497D">
        <w:t xml:space="preserve"> pcpa</w:t>
      </w:r>
      <w:r w:rsidR="00556D05">
        <w:t xml:space="preserve"> hors PTF gagnerait 1</w:t>
      </w:r>
      <w:r w:rsidR="007C497D">
        <w:t>1</w:t>
      </w:r>
      <w:r w:rsidR="00556D05">
        <w:t xml:space="preserve"> point</w:t>
      </w:r>
      <w:r w:rsidR="007C497D">
        <w:t xml:space="preserve"> pour atteindre 25$</w:t>
      </w:r>
      <w:r w:rsidR="00384D11">
        <w:rPr>
          <w:rStyle w:val="FootnoteReference"/>
        </w:rPr>
        <w:footnoteReference w:id="1"/>
      </w:r>
      <w:r>
        <w:t>.</w:t>
      </w:r>
      <w:r w:rsidR="005525A6">
        <w:t xml:space="preserve"> </w:t>
      </w:r>
    </w:p>
    <w:p w:rsidR="00FF69A1" w:rsidRDefault="00FF69A1">
      <w:r>
        <w:br w:type="page"/>
      </w:r>
    </w:p>
    <w:p w:rsidR="00384D11" w:rsidRDefault="000855A1" w:rsidP="000855A1">
      <w:r w:rsidRPr="00520788">
        <w:lastRenderedPageBreak/>
        <w:t>L’augmentation du budget santé doit permettre de favoriser l’accès aux soins de santé par un appui importa</w:t>
      </w:r>
      <w:r w:rsidR="00384D11">
        <w:t>nt à la demande</w:t>
      </w:r>
      <w:r w:rsidRPr="00520788">
        <w:t xml:space="preserve">. </w:t>
      </w:r>
    </w:p>
    <w:p w:rsidR="00384D11" w:rsidRDefault="00384D11" w:rsidP="000855A1">
      <w:r>
        <w:t>Selon les calculs établis sur les bases précédemment décrite et d’autres hypothèses à arbitrer</w:t>
      </w:r>
      <w:r>
        <w:rPr>
          <w:rStyle w:val="FootnoteReference"/>
        </w:rPr>
        <w:footnoteReference w:id="2"/>
      </w:r>
      <w:r>
        <w:t>, l’augmentation du budget santé pourrait permettre une croissance  de la couverture du secteur informel au-delà de 50% avec un subventionnement très important.</w:t>
      </w:r>
    </w:p>
    <w:p w:rsidR="000855A1" w:rsidRDefault="00384D11" w:rsidP="000855A1">
      <w:r>
        <w:t>D’autre part</w:t>
      </w:r>
      <w:r w:rsidRPr="00520788">
        <w:t xml:space="preserve">, </w:t>
      </w:r>
      <w:r>
        <w:t>l’augmentation des ressources permettra</w:t>
      </w:r>
      <w:r w:rsidRPr="00520788">
        <w:t xml:space="preserve"> d’accroître les moyens de l’offre</w:t>
      </w:r>
      <w:r>
        <w:t xml:space="preserve">. </w:t>
      </w:r>
      <w:r w:rsidR="000855A1">
        <w:t xml:space="preserve">En effet si l’utilisation des services reste faible avec </w:t>
      </w:r>
      <w:r w:rsidR="000855A1" w:rsidRPr="004F7BCB">
        <w:t xml:space="preserve">0,32 </w:t>
      </w:r>
      <w:r w:rsidR="000855A1">
        <w:t xml:space="preserve">nouveau contact par habitant et par an, </w:t>
      </w:r>
      <w:r>
        <w:t>ceci s’expliq</w:t>
      </w:r>
      <w:r w:rsidR="00643D10">
        <w:t>u</w:t>
      </w:r>
      <w:r>
        <w:t xml:space="preserve">e par </w:t>
      </w:r>
      <w:r w:rsidR="000855A1">
        <w:t>d’autres facteurs que la barrière financière</w:t>
      </w:r>
      <w:r>
        <w:t>, tels que</w:t>
      </w:r>
      <w:r w:rsidR="000855A1">
        <w:t xml:space="preserve"> : </w:t>
      </w:r>
    </w:p>
    <w:p w:rsidR="000855A1" w:rsidRDefault="000855A1" w:rsidP="000855A1">
      <w:pPr>
        <w:pStyle w:val="ListParagraph"/>
        <w:numPr>
          <w:ilvl w:val="0"/>
          <w:numId w:val="7"/>
        </w:numPr>
        <w:spacing w:after="0" w:line="240" w:lineRule="auto"/>
        <w:mirrorIndents/>
        <w:jc w:val="both"/>
      </w:pPr>
      <w:r>
        <w:t xml:space="preserve"> l’inaccessibilité des zones enclavées,</w:t>
      </w:r>
    </w:p>
    <w:p w:rsidR="000855A1" w:rsidRDefault="000855A1" w:rsidP="000855A1">
      <w:pPr>
        <w:pStyle w:val="ListParagraph"/>
        <w:numPr>
          <w:ilvl w:val="0"/>
          <w:numId w:val="7"/>
        </w:numPr>
        <w:spacing w:after="0" w:line="240" w:lineRule="auto"/>
        <w:mirrorIndents/>
        <w:jc w:val="both"/>
      </w:pPr>
      <w:r>
        <w:t>la discontinuité et la mauvaise qualité des soins liées à l’insuffisance de personnel qualifié à tous les niveaux (toutes les catégories confondues excepté dans le district de Bamako),</w:t>
      </w:r>
    </w:p>
    <w:p w:rsidR="000855A1" w:rsidRDefault="000855A1" w:rsidP="000855A1">
      <w:pPr>
        <w:pStyle w:val="ListParagraph"/>
        <w:numPr>
          <w:ilvl w:val="0"/>
          <w:numId w:val="7"/>
        </w:numPr>
        <w:spacing w:after="0" w:line="240" w:lineRule="auto"/>
        <w:mirrorIndents/>
        <w:jc w:val="both"/>
      </w:pPr>
      <w:r>
        <w:t>la faiblesse du niveau d’instruction des communautés rurales entrainant leur faible participation ou adhésion à la mise en œuvre de certains programmes de santé,</w:t>
      </w:r>
    </w:p>
    <w:p w:rsidR="000855A1" w:rsidRDefault="000855A1" w:rsidP="000855A1">
      <w:pPr>
        <w:pStyle w:val="ListParagraph"/>
        <w:numPr>
          <w:ilvl w:val="0"/>
          <w:numId w:val="7"/>
        </w:numPr>
        <w:spacing w:after="0" w:line="240" w:lineRule="auto"/>
        <w:mirrorIndents/>
        <w:jc w:val="both"/>
      </w:pPr>
      <w:r>
        <w:t>le sous-équipement de certains établissements de santé notamment au niveau opérationnel.</w:t>
      </w:r>
    </w:p>
    <w:p w:rsidR="000855A1" w:rsidRPr="00520788" w:rsidRDefault="000855A1" w:rsidP="000855A1">
      <w:pPr>
        <w:pStyle w:val="ListParagraph"/>
        <w:spacing w:after="0" w:line="240" w:lineRule="auto"/>
        <w:mirrorIndents/>
        <w:jc w:val="both"/>
      </w:pPr>
    </w:p>
    <w:p w:rsidR="000855A1" w:rsidRDefault="000855A1" w:rsidP="000855A1">
      <w:r>
        <w:t xml:space="preserve">Sur la base d’une répartition à 60/40 entre offre et demande </w:t>
      </w:r>
      <w:r w:rsidR="00EA230D">
        <w:t>du supplément</w:t>
      </w:r>
      <w:r>
        <w:t xml:space="preserve"> budgétaire annuelle</w:t>
      </w:r>
      <w:r w:rsidR="00854F04">
        <w:t xml:space="preserve"> mentionné plus haut</w:t>
      </w:r>
      <w:r>
        <w:t xml:space="preserve">, ¼ du financement </w:t>
      </w:r>
      <w:r w:rsidR="00EA230D">
        <w:t xml:space="preserve">total </w:t>
      </w:r>
      <w:r>
        <w:t>de l’Etat sera canalisé par la « demande » en 2023. Quant au budget de l’administration sanitaire du Ministère de la santé et du Ministère de la Famille, il aura augmenté de 85%, ce qui permettra d’améliorer la qualité de la gestion et de l’offre de soins dans le sens des indications infra.</w:t>
      </w:r>
    </w:p>
    <w:p w:rsidR="00B576CA" w:rsidRDefault="00B576CA" w:rsidP="000855A1">
      <w:r w:rsidRPr="00B576CA">
        <w:rPr>
          <w:noProof/>
          <w:lang w:val="en-US" w:eastAsia="zh-CN"/>
        </w:rPr>
        <w:drawing>
          <wp:inline distT="0" distB="0" distL="0" distR="0" wp14:anchorId="30F63BAB" wp14:editId="715BEEBA">
            <wp:extent cx="5760720" cy="316258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162585"/>
                    </a:xfrm>
                    <a:prstGeom prst="rect">
                      <a:avLst/>
                    </a:prstGeom>
                    <a:noFill/>
                    <a:ln>
                      <a:noFill/>
                    </a:ln>
                  </pic:spPr>
                </pic:pic>
              </a:graphicData>
            </a:graphic>
          </wp:inline>
        </w:drawing>
      </w:r>
    </w:p>
    <w:p w:rsidR="00FF69A1" w:rsidRDefault="00FF69A1">
      <w:pPr>
        <w:rPr>
          <w:rFonts w:ascii="Calibri" w:eastAsia="Calibri" w:hAnsi="Calibri" w:cs="Times New Roman"/>
          <w:i/>
        </w:rPr>
      </w:pPr>
      <w:r>
        <w:rPr>
          <w:rFonts w:ascii="Calibri" w:eastAsia="Calibri" w:hAnsi="Calibri" w:cs="Times New Roman"/>
          <w:i/>
        </w:rPr>
        <w:br w:type="page"/>
      </w:r>
    </w:p>
    <w:p w:rsidR="00FF69A1" w:rsidRDefault="00FF69A1" w:rsidP="00FF69A1">
      <w:pPr>
        <w:pStyle w:val="ListParagraph"/>
        <w:numPr>
          <w:ilvl w:val="0"/>
          <w:numId w:val="21"/>
        </w:numPr>
        <w:rPr>
          <w:b/>
        </w:rPr>
      </w:pPr>
      <w:r>
        <w:rPr>
          <w:b/>
        </w:rPr>
        <w:lastRenderedPageBreak/>
        <w:t>G</w:t>
      </w:r>
      <w:r w:rsidRPr="00D04A0A">
        <w:rPr>
          <w:b/>
        </w:rPr>
        <w:t xml:space="preserve">arantir </w:t>
      </w:r>
      <w:r>
        <w:rPr>
          <w:b/>
        </w:rPr>
        <w:t xml:space="preserve">une meilleure allocation des ressources </w:t>
      </w:r>
    </w:p>
    <w:p w:rsidR="00FF69A1" w:rsidRDefault="000855A1" w:rsidP="00C86B09">
      <w:pPr>
        <w:rPr>
          <w:rFonts w:ascii="Calibri" w:eastAsia="Calibri" w:hAnsi="Calibri" w:cs="Times New Roman"/>
          <w:i/>
        </w:rPr>
      </w:pPr>
      <w:r>
        <w:rPr>
          <w:rFonts w:ascii="Calibri" w:eastAsia="Calibri" w:hAnsi="Calibri" w:cs="Times New Roman"/>
          <w:i/>
        </w:rPr>
        <w:t>2.</w:t>
      </w:r>
      <w:r w:rsidR="00FF69A1">
        <w:rPr>
          <w:rFonts w:ascii="Calibri" w:eastAsia="Calibri" w:hAnsi="Calibri" w:cs="Times New Roman"/>
          <w:i/>
        </w:rPr>
        <w:t>1</w:t>
      </w:r>
      <w:r>
        <w:rPr>
          <w:rFonts w:ascii="Calibri" w:eastAsia="Calibri" w:hAnsi="Calibri" w:cs="Times New Roman"/>
          <w:i/>
        </w:rPr>
        <w:t xml:space="preserve"> </w:t>
      </w:r>
      <w:r w:rsidR="00C86B09" w:rsidRPr="009808F8">
        <w:rPr>
          <w:rFonts w:ascii="Calibri" w:eastAsia="Calibri" w:hAnsi="Calibri" w:cs="Times New Roman"/>
          <w:i/>
        </w:rPr>
        <w:t>Mettre en place une politique d'allocation de financement sur la base d'objectifs d'efficience et d'équité</w:t>
      </w:r>
      <w:r w:rsidR="00C86B09">
        <w:rPr>
          <w:rFonts w:ascii="Calibri" w:eastAsia="Calibri" w:hAnsi="Calibri" w:cs="Times New Roman"/>
          <w:i/>
        </w:rPr>
        <w:t> :</w:t>
      </w:r>
    </w:p>
    <w:p w:rsidR="00C86B09" w:rsidRDefault="00C86B09" w:rsidP="00C86B09">
      <w:r>
        <w:t>Le niveau déconcentré, qui couvre tous les coûts opérationnels, n’obtient que 29% du financement des 3 Ministères, soit à peu près la moitié du montant prévu par le CDMT. La cellule d’appui à la décentralisation et à la déconcentration préconisait que 40% des ressources soit affecté au niveau central et 60% au niveau déconcentré, également que 20% de la part du niveau déconcentré soit alloué aux régions contre 80% aux niveaux districts (32%) et communes (48%). On redéfinira des objectifs quantitatifs pour favoriser les allocations décentralisées.</w:t>
      </w:r>
    </w:p>
    <w:p w:rsidR="00C86B09" w:rsidRDefault="00C86B09" w:rsidP="00C86B09">
      <w:r>
        <w:t>Ces allocations (investissements et fonctionnement) devront être mises à disposition avec des procédures plus simples, et réparties en fonction de critères précis relevant d’une part de l’activité (allocations en fonction des besoins absolus : allocations per capita, ajustées à d’autres facteurs tel que démographie, taux de pauvreté dans le district, morbidité, besoins d’améliorer l’infrastructure) et d’autre part de l’équité (allocations en fonction des rattrapages à effectuer des indicateurs de performance santé). Un travail d’appui et de suivi sera nécessaire pour permettre aux zones défavorisées de tirer les bénéfices de cette politique (renforcement des capacités, supervisions…).</w:t>
      </w:r>
    </w:p>
    <w:p w:rsidR="00C86B09" w:rsidRDefault="00C86B09" w:rsidP="00C86B09">
      <w:pPr>
        <w:pStyle w:val="NoSpacing"/>
      </w:pPr>
      <w:r>
        <w:t>De fait l’</w:t>
      </w:r>
      <w:r w:rsidRPr="004F7BCB">
        <w:t xml:space="preserve">utilisation </w:t>
      </w:r>
      <w:r>
        <w:t xml:space="preserve">des services curatifs est deux fois </w:t>
      </w:r>
      <w:r w:rsidRPr="004F7BCB">
        <w:t xml:space="preserve">plus élevée </w:t>
      </w:r>
      <w:r>
        <w:t>dans les d</w:t>
      </w:r>
      <w:r w:rsidRPr="004F7BCB">
        <w:t>istrict</w:t>
      </w:r>
      <w:r>
        <w:t>s</w:t>
      </w:r>
      <w:r w:rsidRPr="004F7BCB">
        <w:t xml:space="preserve"> de Bamako et </w:t>
      </w:r>
      <w:r>
        <w:t xml:space="preserve">de </w:t>
      </w:r>
      <w:r w:rsidRPr="004F7BCB">
        <w:t>Kidal</w:t>
      </w:r>
      <w:r>
        <w:t xml:space="preserve"> que dans les régions de </w:t>
      </w:r>
      <w:r w:rsidRPr="004F7BCB">
        <w:t>Mopti et</w:t>
      </w:r>
      <w:r>
        <w:t xml:space="preserve"> de </w:t>
      </w:r>
      <w:r w:rsidRPr="004F7BCB">
        <w:t>Gao</w:t>
      </w:r>
      <w:r>
        <w:t>. En général, l</w:t>
      </w:r>
      <w:r w:rsidRPr="007D0A86">
        <w:t xml:space="preserve">es différences entre les zones rurales et la capitale sont criantes, </w:t>
      </w:r>
      <w:r>
        <w:t>comme pour</w:t>
      </w:r>
      <w:r w:rsidRPr="007D0A86">
        <w:t xml:space="preserve"> la mortalité infanto juvénile (</w:t>
      </w:r>
      <w:r>
        <w:t>234‰ contre 108‰) ou l’</w:t>
      </w:r>
      <w:r w:rsidRPr="007D0A86">
        <w:t>accès à l’e</w:t>
      </w:r>
      <w:r>
        <w:t>a</w:t>
      </w:r>
      <w:r w:rsidRPr="007D0A86">
        <w:t xml:space="preserve">u potable de sources aménagées </w:t>
      </w:r>
      <w:r>
        <w:t>(</w:t>
      </w:r>
      <w:r w:rsidRPr="007D0A86">
        <w:t xml:space="preserve">51,3% </w:t>
      </w:r>
      <w:r>
        <w:t>en</w:t>
      </w:r>
      <w:r w:rsidRPr="007D0A86">
        <w:t xml:space="preserve"> milieu urbain et 34,5%</w:t>
      </w:r>
      <w:r>
        <w:t xml:space="preserve"> en </w:t>
      </w:r>
      <w:r w:rsidRPr="007D0A86">
        <w:t>milieu rural</w:t>
      </w:r>
      <w:r>
        <w:t>)</w:t>
      </w:r>
      <w:r w:rsidRPr="007D0A86">
        <w:t>.</w:t>
      </w:r>
      <w:r>
        <w:t xml:space="preserve"> </w:t>
      </w:r>
    </w:p>
    <w:p w:rsidR="00C86B09" w:rsidRDefault="00C86B09" w:rsidP="00C86B09">
      <w:pPr>
        <w:pStyle w:val="NoSpacing"/>
      </w:pPr>
    </w:p>
    <w:p w:rsidR="00C86B09" w:rsidRDefault="00C86B09" w:rsidP="00C86B09">
      <w:pPr>
        <w:pStyle w:val="NoSpacing"/>
      </w:pPr>
      <w:r>
        <w:t>Pour que ces allocations soient efficaces, on s’assurera que :</w:t>
      </w:r>
    </w:p>
    <w:p w:rsidR="00C86B09" w:rsidRPr="00056AFE" w:rsidRDefault="00C86B09" w:rsidP="00C86B09">
      <w:pPr>
        <w:pStyle w:val="NoSpacing"/>
      </w:pPr>
    </w:p>
    <w:p w:rsidR="00C86B09" w:rsidRDefault="00C86B09" w:rsidP="000855A1">
      <w:pPr>
        <w:pStyle w:val="ListParagraph"/>
        <w:numPr>
          <w:ilvl w:val="1"/>
          <w:numId w:val="21"/>
        </w:numPr>
      </w:pPr>
      <w:r>
        <w:t>Le processus de planification est ascendant</w:t>
      </w:r>
    </w:p>
    <w:p w:rsidR="00C86B09" w:rsidRDefault="00C86B09" w:rsidP="000855A1">
      <w:pPr>
        <w:pStyle w:val="ListParagraph"/>
        <w:numPr>
          <w:ilvl w:val="1"/>
          <w:numId w:val="21"/>
        </w:numPr>
      </w:pPr>
      <w:r>
        <w:t>Le personnel qualifié est en place pour gérer les allocations</w:t>
      </w:r>
    </w:p>
    <w:p w:rsidR="00C86B09" w:rsidRDefault="00C86B09" w:rsidP="000855A1">
      <w:pPr>
        <w:pStyle w:val="ListParagraph"/>
        <w:numPr>
          <w:ilvl w:val="1"/>
          <w:numId w:val="21"/>
        </w:numPr>
      </w:pPr>
      <w:r>
        <w:t>Les procédures et outils sont aussi simples que possible</w:t>
      </w:r>
    </w:p>
    <w:p w:rsidR="00C86B09" w:rsidRDefault="00C86B09" w:rsidP="000855A1">
      <w:pPr>
        <w:pStyle w:val="ListParagraph"/>
        <w:numPr>
          <w:ilvl w:val="1"/>
          <w:numId w:val="21"/>
        </w:numPr>
      </w:pPr>
      <w:r>
        <w:t>Le suivi / évaluation est réalisé avec les supervisions nécessaires</w:t>
      </w:r>
    </w:p>
    <w:p w:rsidR="00C86B09" w:rsidRDefault="00C86B09" w:rsidP="000855A1">
      <w:pPr>
        <w:pStyle w:val="ListParagraph"/>
        <w:numPr>
          <w:ilvl w:val="1"/>
          <w:numId w:val="21"/>
        </w:numPr>
      </w:pPr>
      <w:r>
        <w:t>Les critères d’allocations sont fondés, transparents et à visée d’équité nationale</w:t>
      </w:r>
    </w:p>
    <w:p w:rsidR="00C86B09" w:rsidRPr="00B1718E" w:rsidRDefault="00C86B09" w:rsidP="00C86B09">
      <w:r>
        <w:t>Pour ce qui concerne le personnel qualifié et le suivi-évaluation, la stratégie sera également tournée vers l’équilibre national et le rattrapage des zones en difficulté sur le plan quantitatif et qualitatif. Pour cela, une politique d’intéressement devra être mise en place afin d’assurer la rétention du personnel dans les zones moins attractives.</w:t>
      </w:r>
    </w:p>
    <w:p w:rsidR="00C86B09" w:rsidRPr="000855A1" w:rsidRDefault="00C86B09" w:rsidP="00854F04">
      <w:pPr>
        <w:pStyle w:val="ListParagraph"/>
        <w:numPr>
          <w:ilvl w:val="1"/>
          <w:numId w:val="26"/>
        </w:numPr>
        <w:ind w:left="0" w:firstLine="0"/>
        <w:rPr>
          <w:i/>
        </w:rPr>
      </w:pPr>
      <w:r w:rsidRPr="000855A1">
        <w:rPr>
          <w:i/>
        </w:rPr>
        <w:t>Développement de la certification &amp; mise en place de modalités de tarification adéquates</w:t>
      </w:r>
    </w:p>
    <w:p w:rsidR="00C86B09" w:rsidRPr="009555A0" w:rsidRDefault="00C86B09" w:rsidP="00C86B09">
      <w:pPr>
        <w:jc w:val="both"/>
      </w:pPr>
      <w:r w:rsidRPr="009555A0">
        <w:t xml:space="preserve">Le niveau de qualité de soins doit être amélioré et ne peut l’être uniquement par la demande, même si celle-ci met en place des mécanismes de financement basé sur les résultats. Une façon d’envisager le problème de l’assurance qualité est de reprendre le chantier en cours de la certification, un outil qui relève du rôle de régulation des Ministères. </w:t>
      </w:r>
    </w:p>
    <w:p w:rsidR="00C86B09" w:rsidRPr="009555A0" w:rsidRDefault="00C86B09" w:rsidP="00C86B09">
      <w:pPr>
        <w:jc w:val="both"/>
      </w:pPr>
      <w:r>
        <w:t>Est ainsi envisagée</w:t>
      </w:r>
      <w:r w:rsidRPr="009555A0">
        <w:t xml:space="preserve"> la création d’une agence nationale d’évaluation et d’accréditation en santé, qui aura pour mission de procéder à l’évaluation périodique des circonscriptions sanitaires, des établissements de soins et des programmes de santé publique. A l’analyse de la qualité, de l’impact et du coût des soins devront s’ajouter l’évaluation des ressources humaines, des établissements de </w:t>
      </w:r>
      <w:r w:rsidRPr="009555A0">
        <w:lastRenderedPageBreak/>
        <w:t xml:space="preserve">formation et des structures sanitaires. Au-delà de ses rapports d’évaluation, elle aura à jouer un rôle dans la mise en œuvre de la gestion axée sur les résultats, en intervenant de façon directe dans la contractualisation, </w:t>
      </w:r>
      <w:r>
        <w:t>le déploiement</w:t>
      </w:r>
      <w:r w:rsidRPr="009555A0">
        <w:t xml:space="preserve"> des ressources humaines et l’accréditation.</w:t>
      </w:r>
    </w:p>
    <w:p w:rsidR="00C86B09" w:rsidRPr="00726C53" w:rsidRDefault="00C86B09" w:rsidP="00C86B09">
      <w:pPr>
        <w:jc w:val="both"/>
      </w:pPr>
      <w:r>
        <w:t>L’amélioration des RH requière que l</w:t>
      </w:r>
      <w:r w:rsidRPr="009555A0">
        <w:t>es médecins de santé publique</w:t>
      </w:r>
      <w:r>
        <w:t xml:space="preserve"> apprennent à</w:t>
      </w:r>
      <w:r w:rsidRPr="009555A0">
        <w:t xml:space="preserve"> maîtriser aussi les règles du management, et plus particulièrement la planification, la gestion et l’évaluation. </w:t>
      </w:r>
      <w:r>
        <w:t>On envisagera également l</w:t>
      </w:r>
      <w:r w:rsidRPr="009555A0">
        <w:t xml:space="preserve">a création de filières </w:t>
      </w:r>
      <w:r>
        <w:t>« </w:t>
      </w:r>
      <w:r w:rsidRPr="009555A0">
        <w:t>haut niveau</w:t>
      </w:r>
      <w:r>
        <w:t> »</w:t>
      </w:r>
      <w:r w:rsidRPr="009555A0">
        <w:t xml:space="preserve">, notamment </w:t>
      </w:r>
      <w:r>
        <w:t>pour d</w:t>
      </w:r>
      <w:r w:rsidRPr="009555A0">
        <w:t>es</w:t>
      </w:r>
      <w:r>
        <w:t xml:space="preserve"> gestionnaires hospitaliers et d</w:t>
      </w:r>
      <w:r w:rsidRPr="009555A0">
        <w:t>es administrateur</w:t>
      </w:r>
      <w:r>
        <w:t>s de l’action sanitaire sociale.</w:t>
      </w:r>
      <w:r w:rsidRPr="00726C53">
        <w:t xml:space="preserve"> </w:t>
      </w:r>
    </w:p>
    <w:p w:rsidR="00C86B09" w:rsidRPr="00B1718E" w:rsidRDefault="00C86B09" w:rsidP="00C86B09">
      <w:r>
        <w:t>Allant dans le même sens, des objectifs « qualité » seront envisagés qui permettront de développer l’achat stratégique. Les tarifs doivent évoluer d’une facturation à l’acte vers le forfait, et pour ce faire les prestataires doivent développer une plus grande rationalité des prescriptions et la maîtrise des protocoles thérapeutiques.</w:t>
      </w:r>
    </w:p>
    <w:p w:rsidR="00C86B09" w:rsidRPr="000855A1" w:rsidRDefault="00C86B09" w:rsidP="00854F04">
      <w:pPr>
        <w:pStyle w:val="ListParagraph"/>
        <w:numPr>
          <w:ilvl w:val="1"/>
          <w:numId w:val="23"/>
        </w:numPr>
        <w:ind w:left="0" w:firstLine="0"/>
        <w:rPr>
          <w:i/>
        </w:rPr>
      </w:pPr>
      <w:r w:rsidRPr="000855A1">
        <w:rPr>
          <w:i/>
        </w:rPr>
        <w:t>Affirmation des priorités du secteur en prenant en compte la dimension intersectorielle et suivi des résultats</w:t>
      </w:r>
    </w:p>
    <w:p w:rsidR="00C86B09" w:rsidRDefault="00C86B09" w:rsidP="00C86B09">
      <w:r>
        <w:t>Les priorités des interventions doivent être définies. Précisément, le Mali doit réaffirmer la priorité de la Tutelle Santé comme étant le niveau le plus bas de la pyramide de soins : environnement sanitaire, éducation à la santé, prévention et soins de santé de base. Une fois les priorités clairement définies,  les choix d’actions et le suivi-évaluation doivent se faire en favorisant les cadres d’analyse intersectoriels : avec les Ministères et Institutions en charge de l’eau et l’assainissement, de la lutte contre la malnutrition… puisqu’au Mali les questions sanitaires sont intimement liées à celles de l’éducation et des conditions de vie.</w:t>
      </w:r>
    </w:p>
    <w:p w:rsidR="00C86B09" w:rsidRDefault="00C86B09" w:rsidP="00C86B09">
      <w:r>
        <w:t>Il s’agit donc d’affirmer les priorités et de se doter des moyens d’en suivre la mise en œuvre, en améliorant la gestion de l’information et l’intersectorialité.</w:t>
      </w:r>
    </w:p>
    <w:p w:rsidR="00E9558C" w:rsidRDefault="005516A7" w:rsidP="00127853">
      <w:pPr>
        <w:pStyle w:val="ListParagraph"/>
        <w:numPr>
          <w:ilvl w:val="0"/>
          <w:numId w:val="21"/>
        </w:numPr>
        <w:rPr>
          <w:b/>
        </w:rPr>
      </w:pPr>
      <w:r w:rsidRPr="00127853">
        <w:rPr>
          <w:b/>
        </w:rPr>
        <w:t>Aller vers l’assurance maladie</w:t>
      </w:r>
      <w:r w:rsidR="000B3C9B" w:rsidRPr="00127853">
        <w:rPr>
          <w:b/>
        </w:rPr>
        <w:t xml:space="preserve"> universelle</w:t>
      </w:r>
    </w:p>
    <w:p w:rsidR="00FF69A1" w:rsidRPr="00127853" w:rsidRDefault="00FF69A1" w:rsidP="00FF69A1">
      <w:pPr>
        <w:pStyle w:val="ListParagraph"/>
        <w:ind w:left="1080"/>
        <w:rPr>
          <w:b/>
        </w:rPr>
      </w:pPr>
    </w:p>
    <w:p w:rsidR="00520788" w:rsidRPr="00C86B09" w:rsidRDefault="00520788" w:rsidP="00C86B09">
      <w:pPr>
        <w:pStyle w:val="ListParagraph"/>
        <w:numPr>
          <w:ilvl w:val="1"/>
          <w:numId w:val="19"/>
        </w:numPr>
        <w:rPr>
          <w:i/>
        </w:rPr>
      </w:pPr>
      <w:r w:rsidRPr="00C86B09">
        <w:rPr>
          <w:i/>
        </w:rPr>
        <w:t>Organiser l’institutionnalisation de l’Assurance Maladie</w:t>
      </w:r>
      <w:r w:rsidR="000B3C9B" w:rsidRPr="00C86B09">
        <w:rPr>
          <w:i/>
        </w:rPr>
        <w:t xml:space="preserve"> Universelle</w:t>
      </w:r>
    </w:p>
    <w:p w:rsidR="00520788" w:rsidRDefault="00520788" w:rsidP="00520788">
      <w:r>
        <w:t>L’étude des passerelles (Octobre 2012) avait déjà fourni des conclusions dont la base diagnostic et l’argumentation avait alors été précisé</w:t>
      </w:r>
      <w:r w:rsidR="00643D10">
        <w:t>e</w:t>
      </w:r>
      <w:r>
        <w:t xml:space="preserve">s : </w:t>
      </w:r>
    </w:p>
    <w:p w:rsidR="00E853D5" w:rsidRDefault="00E853D5" w:rsidP="00C86B09">
      <w:pPr>
        <w:pStyle w:val="ListParagraph"/>
        <w:numPr>
          <w:ilvl w:val="1"/>
          <w:numId w:val="18"/>
        </w:numPr>
        <w:spacing w:line="240" w:lineRule="auto"/>
        <w:ind w:left="284" w:hanging="284"/>
        <w:jc w:val="both"/>
      </w:pPr>
      <w:r>
        <w:t>« </w:t>
      </w:r>
      <w:r w:rsidR="00520788" w:rsidRPr="009276A2">
        <w:t xml:space="preserve">La création des deux organisations autonomes </w:t>
      </w:r>
      <w:r w:rsidR="00520788">
        <w:t xml:space="preserve">CANAM et </w:t>
      </w:r>
      <w:r w:rsidR="00520788" w:rsidRPr="009276A2">
        <w:t xml:space="preserve">ANAM est un choix qui ne doit pas se faire à l’encontre de la mutualisation des ressources </w:t>
      </w:r>
      <w:r w:rsidR="00520788">
        <w:t>et</w:t>
      </w:r>
      <w:r w:rsidR="00520788" w:rsidRPr="009276A2">
        <w:t xml:space="preserve"> de l’efficience de la gestion</w:t>
      </w:r>
      <w:r>
        <w:t> ;</w:t>
      </w:r>
    </w:p>
    <w:p w:rsidR="00520788" w:rsidRDefault="00520788" w:rsidP="00C86B09">
      <w:pPr>
        <w:pStyle w:val="ListParagraph"/>
        <w:numPr>
          <w:ilvl w:val="1"/>
          <w:numId w:val="18"/>
        </w:numPr>
        <w:spacing w:line="240" w:lineRule="auto"/>
        <w:ind w:left="284" w:hanging="284"/>
        <w:jc w:val="both"/>
      </w:pPr>
      <w:r w:rsidRPr="009276A2">
        <w:t>La naissance de l’AMO est une opportunité pour le Mali à condition que l’effort pour la couverture de la population du secteur informel soit redoublé. Dans le cas contraire un système</w:t>
      </w:r>
      <w:r>
        <w:t xml:space="preserve"> à deux vitesses se développera</w:t>
      </w:r>
      <w:r w:rsidRPr="009276A2">
        <w:t xml:space="preserve"> qui </w:t>
      </w:r>
      <w:r>
        <w:t xml:space="preserve">contre-productif </w:t>
      </w:r>
      <w:r w:rsidRPr="009276A2">
        <w:t>pour la couverture universelle</w:t>
      </w:r>
      <w:r w:rsidR="00E853D5">
        <w:t> »</w:t>
      </w:r>
      <w:r w:rsidRPr="009276A2">
        <w:t xml:space="preserve">. </w:t>
      </w:r>
    </w:p>
    <w:p w:rsidR="00520788" w:rsidRDefault="00520788" w:rsidP="00520788">
      <w:pPr>
        <w:spacing w:line="240" w:lineRule="auto"/>
        <w:jc w:val="both"/>
      </w:pPr>
      <w:r>
        <w:t xml:space="preserve">Les entretiens menés dans le cadre de l’état des lieux du financement de la santé révèlent que les acteurs principaux de l’assurance maladie </w:t>
      </w:r>
      <w:r w:rsidR="00E853D5">
        <w:t xml:space="preserve">(AM) </w:t>
      </w:r>
      <w:r>
        <w:t xml:space="preserve">sont tout à fait conscients des limites de la fragmentation, des difficultés de chaque dispositif, et des arrangements institutionnels pour la couverture du secteur informel pauvre et non pauvre. Mieux, le MAHSPA a entrepris des activités </w:t>
      </w:r>
      <w:r w:rsidR="00E853D5">
        <w:t xml:space="preserve">dans un cadre </w:t>
      </w:r>
      <w:r>
        <w:t xml:space="preserve">stratégique, avec </w:t>
      </w:r>
      <w:r w:rsidR="00E853D5">
        <w:t>l</w:t>
      </w:r>
      <w:r>
        <w:t xml:space="preserve">’appui aux mutuelles ou l’étude pour </w:t>
      </w:r>
      <w:r w:rsidR="00E853D5">
        <w:t>la mobilisation de</w:t>
      </w:r>
      <w:r>
        <w:t xml:space="preserve"> financements alt</w:t>
      </w:r>
      <w:r w:rsidR="00E853D5">
        <w:t>ernatifs</w:t>
      </w:r>
      <w:r>
        <w:t xml:space="preserve">. Il est vrai que les événements récents ne permettent pas d’évaluer les chantiers ouverts. </w:t>
      </w:r>
      <w:r w:rsidR="00E853D5">
        <w:t>Cependant</w:t>
      </w:r>
      <w:r>
        <w:t xml:space="preserve"> les débats sont installés pour </w:t>
      </w:r>
      <w:r w:rsidR="00E853D5">
        <w:t xml:space="preserve">aller </w:t>
      </w:r>
      <w:r>
        <w:t xml:space="preserve">plus loin dans les choix stratégiques. </w:t>
      </w:r>
    </w:p>
    <w:p w:rsidR="00FF69A1" w:rsidRDefault="00D015F4" w:rsidP="00FF69A1">
      <w:pPr>
        <w:spacing w:line="240" w:lineRule="auto"/>
        <w:jc w:val="both"/>
      </w:pPr>
      <w:r>
        <w:lastRenderedPageBreak/>
        <w:t xml:space="preserve">A la suite d’échanges en GTT élargi, un groupe présidé par le </w:t>
      </w:r>
      <w:r w:rsidRPr="00FF69A1">
        <w:t>Conseiller à la Protection Sociale du Ministère du Développement Social, de la Solidarité et des Personnes Agées</w:t>
      </w:r>
      <w:r>
        <w:t xml:space="preserve"> s’est réuni le 26/06 pour discuter des propositions faites relativement au développement d’un dispositif institutionnel plus favorable au développement de l’assurance maladie pour le secteur informel</w:t>
      </w:r>
      <w:r w:rsidR="00FF69A1">
        <w:t xml:space="preserve">, et nomment : </w:t>
      </w:r>
      <w:r>
        <w:t xml:space="preserve"> </w:t>
      </w:r>
    </w:p>
    <w:p w:rsidR="00D015F4" w:rsidRPr="00FF69A1" w:rsidRDefault="00D015F4" w:rsidP="00FF69A1">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redéfinir le dispositif de couverture de l’assurance maladie</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proposer un calendrier de couverture réaliste avec les subventions nécessaires</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expliciter les arrangements institutionnels à mettre en place</w:t>
      </w:r>
    </w:p>
    <w:p w:rsidR="00D015F4" w:rsidRPr="00FF69A1" w:rsidRDefault="00D015F4" w:rsidP="00D015F4">
      <w:pPr>
        <w:spacing w:line="240" w:lineRule="auto"/>
      </w:pPr>
    </w:p>
    <w:p w:rsidR="00D015F4" w:rsidRPr="00FF69A1" w:rsidRDefault="00D015F4" w:rsidP="00D015F4">
      <w:pPr>
        <w:spacing w:line="240" w:lineRule="auto"/>
      </w:pPr>
      <w:r w:rsidRPr="00FF69A1">
        <w:t>Au terme des échanges de point de vue sur la faisabilité technique des options proposées, les participants en sont arrivés à un consensus sur les points suivants :</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un schéma institutionnel prévoyant à terme la constitution d’une seule agence qui aura le mandat de réalisation de la couverture universelle pour tous les secteurs,</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l’intégration du RAMED dans un régime plus global couvrant l’ensemble du secteur informel et agricole,</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la délégation de gestion aux mutuelles pour ce qui concerne le régime du secteur informel et agricole au travers d’un contrat avec l’UTM ou d’autres faitières de mutuelles,</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une harmonisation des paquets de bénéfice alignés sur celui de l’AMO avec la prise en charge des médicaments essentiels uniquement,</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 xml:space="preserve">un calendrier de mise en place tel que annexé à ce </w:t>
      </w:r>
      <w:r w:rsidR="00FF69A1" w:rsidRPr="00FF69A1">
        <w:rPr>
          <w:rFonts w:asciiTheme="minorHAnsi" w:eastAsiaTheme="minorHAnsi" w:hAnsiTheme="minorHAnsi" w:cstheme="minorBidi"/>
        </w:rPr>
        <w:t>document</w:t>
      </w:r>
      <w:r w:rsidRPr="00FF69A1">
        <w:rPr>
          <w:rFonts w:asciiTheme="minorHAnsi" w:eastAsiaTheme="minorHAnsi" w:hAnsiTheme="minorHAnsi" w:cstheme="minorBidi"/>
        </w:rPr>
        <w:t>,</w:t>
      </w:r>
    </w:p>
    <w:p w:rsidR="00D015F4" w:rsidRPr="00FF69A1" w:rsidRDefault="00D015F4" w:rsidP="00D015F4">
      <w:pPr>
        <w:pStyle w:val="ListParagraph"/>
        <w:numPr>
          <w:ilvl w:val="0"/>
          <w:numId w:val="24"/>
        </w:numPr>
        <w:spacing w:after="0" w:line="240" w:lineRule="auto"/>
        <w:ind w:left="567" w:hanging="283"/>
        <w:jc w:val="both"/>
        <w:rPr>
          <w:rFonts w:asciiTheme="minorHAnsi" w:eastAsiaTheme="minorHAnsi" w:hAnsiTheme="minorHAnsi" w:cstheme="minorBidi"/>
        </w:rPr>
      </w:pPr>
      <w:r w:rsidRPr="00FF69A1">
        <w:rPr>
          <w:rFonts w:asciiTheme="minorHAnsi" w:eastAsiaTheme="minorHAnsi" w:hAnsiTheme="minorHAnsi" w:cstheme="minorBidi"/>
        </w:rPr>
        <w:t>la réalisation des études détaillées pour la constitution du paquet harmonisé de bénéfice et la fixation de la cotisation à payer pour y accéder.</w:t>
      </w:r>
    </w:p>
    <w:p w:rsidR="00D015F4" w:rsidRPr="00FF69A1" w:rsidRDefault="00D015F4" w:rsidP="00D015F4">
      <w:pPr>
        <w:spacing w:line="240" w:lineRule="auto"/>
      </w:pPr>
    </w:p>
    <w:p w:rsidR="00FF69A1" w:rsidRPr="00FF69A1" w:rsidRDefault="00D015F4" w:rsidP="00D015F4">
      <w:pPr>
        <w:spacing w:line="240" w:lineRule="auto"/>
      </w:pPr>
      <w:r w:rsidRPr="00FF69A1">
        <w:t>Par ailleurs, les participants se sont accordés sur le fait qu’au</w:t>
      </w:r>
      <w:r w:rsidR="00FF69A1" w:rsidRPr="00FF69A1">
        <w:t>-</w:t>
      </w:r>
      <w:r w:rsidRPr="00FF69A1">
        <w:t>delà du secteur informel et dans la perspective de la couverture universelle, il convient de veiller à l’application effective du caractère obligatoire de l’AMO. Pour ce faire, la CANAM devrait mener des actions soutenues pour couvrir toute sa cible.</w:t>
      </w:r>
    </w:p>
    <w:p w:rsidR="00520788" w:rsidRPr="00C86B09" w:rsidRDefault="00BE756D" w:rsidP="00C86B09">
      <w:pPr>
        <w:pStyle w:val="ListParagraph"/>
        <w:numPr>
          <w:ilvl w:val="1"/>
          <w:numId w:val="19"/>
        </w:numPr>
        <w:rPr>
          <w:i/>
        </w:rPr>
      </w:pPr>
      <w:r w:rsidRPr="00C86B09">
        <w:rPr>
          <w:i/>
        </w:rPr>
        <w:t>Subventionner très fortement l’AM pour le secteur informel</w:t>
      </w:r>
    </w:p>
    <w:p w:rsidR="000F3B1C" w:rsidRDefault="000F3B1C" w:rsidP="00BE756D">
      <w:r>
        <w:t>La politique « bénéfices / bénéficiaires » au Mali est clair</w:t>
      </w:r>
      <w:r w:rsidR="007D4807">
        <w:t>e</w:t>
      </w:r>
      <w:r>
        <w:t xml:space="preserve"> depuis quelques temps </w:t>
      </w:r>
      <w:r w:rsidR="007D4807">
        <w:t xml:space="preserve">déjà </w:t>
      </w:r>
      <w:r>
        <w:t>; elle l’est en Octobre lorsqu’elle est rapportée dans l’étude des passerelles (cf. illustration du carré), et elle est réaffirmée aujourd’hui dans les échanges. Notamment, il s’agit de développer un paquet de soins standard pour le secteur informel, à l’identique du panier de base de l’AMO.</w:t>
      </w:r>
    </w:p>
    <w:p w:rsidR="00BE756D" w:rsidRDefault="00BE756D" w:rsidP="00BE756D">
      <w:r>
        <w:t xml:space="preserve">Au Mali, la notion de ‘pauvreté’ n’est pas retenue au contraire de celle de ‘démunis’. Il a été réaffirmé au cours des échanges que seule une très faible minorité de la population (5%) </w:t>
      </w:r>
      <w:r w:rsidR="00E853D5">
        <w:t>doit</w:t>
      </w:r>
      <w:r>
        <w:t xml:space="preserve"> être exemptée de contribution. Pour une large majorité du secteur informel, la contribution doit exister d’une part, mais d’autre part </w:t>
      </w:r>
      <w:r w:rsidR="007D4807">
        <w:t xml:space="preserve">elle </w:t>
      </w:r>
      <w:r>
        <w:t>ne peut pas être élevée</w:t>
      </w:r>
      <w:r w:rsidR="000F3B1C">
        <w:t xml:space="preserve"> (configuration du type : « tous pauvres »)</w:t>
      </w:r>
      <w:r>
        <w:t xml:space="preserve">. </w:t>
      </w:r>
    </w:p>
    <w:p w:rsidR="000F3B1C" w:rsidRDefault="000F3B1C" w:rsidP="00BE756D">
      <w:r>
        <w:t>Les premières expériences menées par le MAHSPA concernant le subventionnement à 50% d’une prime de $</w:t>
      </w:r>
      <w:r w:rsidR="0095686F">
        <w:t>12 (FCFA 6</w:t>
      </w:r>
      <w:r>
        <w:t xml:space="preserve">.000) sont décevantes, tant et si bien que malgré les conditions inadéquates du pilote réalisé, </w:t>
      </w:r>
      <w:r w:rsidR="00E853D5">
        <w:t xml:space="preserve">on retient que la barrière financière reste </w:t>
      </w:r>
      <w:r>
        <w:t xml:space="preserve">trop haute. Bien que les résultats </w:t>
      </w:r>
      <w:r w:rsidR="00E853D5">
        <w:t xml:space="preserve">sont </w:t>
      </w:r>
      <w:r>
        <w:t>en partie d</w:t>
      </w:r>
      <w:r w:rsidR="002925F6">
        <w:t>us</w:t>
      </w:r>
      <w:r>
        <w:t xml:space="preserve"> à une insuffisance en termes d’IEC (information / éducation / communication), il peut également être conclu que CFA 3.000 par an et par personne (soit $30 pour une famille de 5) est un montant trop élevé pour changer le cours de l’évolution de la couverture.</w:t>
      </w:r>
      <w:r w:rsidR="003133CB">
        <w:t xml:space="preserve"> La réorientation de la stratégie ne peut donc être qu’une réduction du paquet de soins proposé ou une augmentation de la subvention accordée.</w:t>
      </w:r>
    </w:p>
    <w:p w:rsidR="00612947" w:rsidRDefault="002925F6" w:rsidP="00612947">
      <w:r>
        <w:lastRenderedPageBreak/>
        <w:t>Avec certaines hypothèses</w:t>
      </w:r>
      <w:r>
        <w:rPr>
          <w:rStyle w:val="FootnoteReference"/>
        </w:rPr>
        <w:footnoteReference w:id="3"/>
      </w:r>
      <w:r>
        <w:t xml:space="preserve">, on montre qu’une </w:t>
      </w:r>
      <w:r w:rsidR="00E46659">
        <w:t>subvention</w:t>
      </w:r>
      <w:r>
        <w:t xml:space="preserve"> </w:t>
      </w:r>
      <w:r w:rsidR="00612947">
        <w:t>plus élevée ne représente pas une ponction faramineuse du PNB, et elle permettrait probablement d’accélérer le taux de couverture. Or cette ponction est souhaitable, pour relever le niveau de financement public en santé et nécessaire pour atteindre la couverture universelle</w:t>
      </w:r>
      <w:r w:rsidR="00CA5A07">
        <w:t xml:space="preserve">. </w:t>
      </w:r>
    </w:p>
    <w:p w:rsidR="00E9558C" w:rsidRPr="00FF69A1" w:rsidRDefault="005516A7" w:rsidP="00FF69A1">
      <w:pPr>
        <w:pStyle w:val="ListParagraph"/>
        <w:numPr>
          <w:ilvl w:val="1"/>
          <w:numId w:val="19"/>
        </w:numPr>
        <w:rPr>
          <w:i/>
        </w:rPr>
      </w:pPr>
      <w:r w:rsidRPr="00FF69A1">
        <w:rPr>
          <w:i/>
        </w:rPr>
        <w:t>Organiser les exemptions</w:t>
      </w:r>
      <w:r w:rsidR="009808F8" w:rsidRPr="009808F8">
        <w:t xml:space="preserve"> </w:t>
      </w:r>
      <w:r w:rsidR="009808F8" w:rsidRPr="00FF69A1">
        <w:rPr>
          <w:i/>
        </w:rPr>
        <w:t>pour leur absorption progressive au sein de l'AM</w:t>
      </w:r>
    </w:p>
    <w:p w:rsidR="00CD2224" w:rsidRDefault="00CD2224" w:rsidP="00CD2224">
      <w:r>
        <w:t xml:space="preserve">En Octobre 2012 une étude dite des « passerelles » a été réalisée pour le compte du MAHSPA. Ses résultats ont été présentés devant les Ministres, conseillers techniques, Secrétaire Généraux, Directeurs et techniciens des Ministères concernés le 15/02/2013. Le </w:t>
      </w:r>
      <w:r w:rsidR="00B60166">
        <w:t>processus en cours</w:t>
      </w:r>
      <w:r>
        <w:t xml:space="preserve"> prolonge cette étude : il va plus loin dans les recommandations mais ne reprend pas les détails sur le sujet.</w:t>
      </w:r>
    </w:p>
    <w:p w:rsidR="00CD2224" w:rsidRDefault="00CD2224" w:rsidP="00CD2224">
      <w:pPr>
        <w:rPr>
          <w:b/>
          <w:i/>
        </w:rPr>
      </w:pPr>
      <w:r w:rsidRPr="00FE2C64">
        <w:rPr>
          <w:b/>
          <w:i/>
        </w:rPr>
        <w:t>Tableau 2 : liste des exemptions de paiement au Mali</w:t>
      </w:r>
      <w:r>
        <w:rPr>
          <w:b/>
          <w:i/>
        </w:rPr>
        <w:t> :</w:t>
      </w:r>
    </w:p>
    <w:p w:rsidR="00CD2224" w:rsidRPr="00D04A0A" w:rsidRDefault="00CD2224" w:rsidP="00CD2224">
      <w:pPr>
        <w:pStyle w:val="ListParagraph"/>
        <w:numPr>
          <w:ilvl w:val="0"/>
          <w:numId w:val="7"/>
        </w:numPr>
      </w:pPr>
      <w:r w:rsidRPr="00D04A0A">
        <w:t>Césarienne, Paludisme</w:t>
      </w:r>
    </w:p>
    <w:p w:rsidR="00CD2224" w:rsidRPr="00D04A0A" w:rsidRDefault="00D649E4" w:rsidP="00CD2224">
      <w:pPr>
        <w:pStyle w:val="ListParagraph"/>
        <w:numPr>
          <w:ilvl w:val="0"/>
          <w:numId w:val="7"/>
        </w:numPr>
      </w:pPr>
      <w:r w:rsidRPr="00D04A0A">
        <w:t xml:space="preserve">VIH/SIDA ; TB ; </w:t>
      </w:r>
      <w:r w:rsidR="00CD2224" w:rsidRPr="00D04A0A">
        <w:t>Vaccination</w:t>
      </w:r>
      <w:r w:rsidRPr="00D04A0A">
        <w:t xml:space="preserve"> </w:t>
      </w:r>
    </w:p>
    <w:p w:rsidR="00CD2224" w:rsidRPr="00D04A0A" w:rsidRDefault="00CD2224" w:rsidP="00CD2224">
      <w:pPr>
        <w:pStyle w:val="ListParagraph"/>
        <w:numPr>
          <w:ilvl w:val="0"/>
          <w:numId w:val="7"/>
        </w:numPr>
      </w:pPr>
      <w:r w:rsidRPr="00D04A0A">
        <w:t>Lèpre, Cécité, Fistule, Ver de Guinée</w:t>
      </w:r>
    </w:p>
    <w:p w:rsidR="00CD2224" w:rsidRPr="00D04A0A" w:rsidRDefault="00CD2224" w:rsidP="00CD2224">
      <w:pPr>
        <w:pStyle w:val="ListParagraph"/>
        <w:numPr>
          <w:ilvl w:val="0"/>
          <w:numId w:val="7"/>
        </w:numPr>
      </w:pPr>
      <w:r w:rsidRPr="00D04A0A">
        <w:t>Maladies tropicales négligées : filariose, onchocercose, schistosomiase et géo helminthiase</w:t>
      </w:r>
    </w:p>
    <w:p w:rsidR="00CD2224" w:rsidRPr="00D04A0A" w:rsidRDefault="00CD2224" w:rsidP="00CD2224">
      <w:pPr>
        <w:pStyle w:val="ListParagraph"/>
        <w:numPr>
          <w:ilvl w:val="0"/>
          <w:numId w:val="7"/>
        </w:numPr>
      </w:pPr>
      <w:r w:rsidRPr="00D04A0A">
        <w:t>Cancer</w:t>
      </w:r>
    </w:p>
    <w:p w:rsidR="00CD2224" w:rsidRPr="00D04A0A" w:rsidRDefault="00CD2224" w:rsidP="00CD2224">
      <w:pPr>
        <w:pStyle w:val="ListParagraph"/>
        <w:numPr>
          <w:ilvl w:val="0"/>
          <w:numId w:val="7"/>
        </w:numPr>
      </w:pPr>
      <w:r w:rsidRPr="00D04A0A">
        <w:t>Prise en charge dans le cas d’épidémie et de catastrophe ; prise en charge de la malnutrition</w:t>
      </w:r>
    </w:p>
    <w:p w:rsidR="00CD2224" w:rsidRPr="00D04A0A" w:rsidRDefault="00CD2224" w:rsidP="00CD2224">
      <w:pPr>
        <w:pStyle w:val="ListParagraph"/>
        <w:numPr>
          <w:ilvl w:val="0"/>
          <w:numId w:val="7"/>
        </w:numPr>
      </w:pPr>
      <w:r w:rsidRPr="00D04A0A">
        <w:t>Prise en charge de certaines catégories socio professionnelles : Agents socio sanitaire, Élèves et étudiants, Enfants de 0-14 ans, Soldats en formation de base, Personnes âgées</w:t>
      </w:r>
    </w:p>
    <w:p w:rsidR="00056AFE" w:rsidRDefault="00CD2224" w:rsidP="00CD2224">
      <w:r>
        <w:t>Il a été constaté que ces exemptions recouvrent des situations différentes. Parfois elles existent dans le cadre de programmes spécifiques bien rôdés (VIH/SIDA, TB, Vaccination). Le plus souvent elles fonctionnent par pré positionnement d’intrants ; souvent les actes ne font pas l’objet de remboursement spécifique de la part des Ministères (à l’exception de la césarienne et des soins prodigués à certaines catégories de personnes) ; dans certains cas les intrants ne sont pas mis à disposition (Paludisme) et l’exemption est alors à la charge des prestataires ; conséquemment certaines ne sont pas effectives en réalité (notamment les exemptions à des catégories de personnes). Le tableau est pourtant mitigé : certaines exemptions jouent leur rôle et d’autres, au fonctionnement relatif, obtiennent quelques résultats (césarienne). La question de performance du système est donc celle de l’efficacité (obtient-on les résultats escomptés ?), mais elle est surtout celle de la cohérence de la politique suivie et celle du coût de la fragmentation.</w:t>
      </w:r>
    </w:p>
    <w:p w:rsidR="00CD2224" w:rsidRPr="00D04A0A" w:rsidRDefault="00CD2224" w:rsidP="00CD2224">
      <w:pPr>
        <w:rPr>
          <w:u w:val="single"/>
        </w:rPr>
      </w:pPr>
      <w:r w:rsidRPr="00D04A0A">
        <w:rPr>
          <w:u w:val="single"/>
        </w:rPr>
        <w:t xml:space="preserve">De manière concrète et pratique, </w:t>
      </w:r>
      <w:r w:rsidR="00D649E4" w:rsidRPr="00D04A0A">
        <w:rPr>
          <w:u w:val="single"/>
        </w:rPr>
        <w:t>plusieurs</w:t>
      </w:r>
      <w:r w:rsidRPr="00D04A0A">
        <w:rPr>
          <w:u w:val="single"/>
        </w:rPr>
        <w:t xml:space="preserve"> modalités </w:t>
      </w:r>
      <w:r w:rsidR="00D649E4" w:rsidRPr="00D04A0A">
        <w:rPr>
          <w:u w:val="single"/>
        </w:rPr>
        <w:t xml:space="preserve">seront </w:t>
      </w:r>
      <w:r w:rsidR="00E62A96">
        <w:rPr>
          <w:u w:val="single"/>
        </w:rPr>
        <w:t>proposées</w:t>
      </w:r>
      <w:r w:rsidRPr="00D04A0A">
        <w:rPr>
          <w:u w:val="single"/>
        </w:rPr>
        <w:t> :</w:t>
      </w:r>
    </w:p>
    <w:p w:rsidR="00CD2224" w:rsidRPr="00D649E4" w:rsidRDefault="00CD2224" w:rsidP="00D649E4">
      <w:pPr>
        <w:pStyle w:val="ListParagraph"/>
        <w:numPr>
          <w:ilvl w:val="0"/>
          <w:numId w:val="12"/>
        </w:numPr>
        <w:ind w:left="284" w:hanging="284"/>
        <w:rPr>
          <w:i/>
        </w:rPr>
      </w:pPr>
      <w:r>
        <w:t xml:space="preserve">Certaines gratuités </w:t>
      </w:r>
      <w:r w:rsidR="00D649E4">
        <w:t xml:space="preserve">se poursuivent à </w:t>
      </w:r>
      <w:r w:rsidR="00D649E4" w:rsidRPr="00D649E4">
        <w:t>l’identique</w:t>
      </w:r>
      <w:r w:rsidRPr="00D649E4">
        <w:t> : </w:t>
      </w:r>
      <w:r w:rsidRPr="00D649E4">
        <w:rPr>
          <w:i/>
        </w:rPr>
        <w:t>VIH/SIDA ; TB ; Vaccination ; Maladies tropicales négligées</w:t>
      </w:r>
      <w:r w:rsidR="00A2771A" w:rsidRPr="00D649E4">
        <w:rPr>
          <w:i/>
        </w:rPr>
        <w:t> ; maladies dites « sociales »</w:t>
      </w:r>
      <w:r w:rsidRPr="00D649E4">
        <w:rPr>
          <w:i/>
        </w:rPr>
        <w:t xml:space="preserve">. </w:t>
      </w:r>
    </w:p>
    <w:p w:rsidR="00CD2224" w:rsidRDefault="00CD2224" w:rsidP="00D649E4">
      <w:pPr>
        <w:pStyle w:val="ListParagraph"/>
        <w:numPr>
          <w:ilvl w:val="0"/>
          <w:numId w:val="12"/>
        </w:numPr>
        <w:ind w:left="284" w:hanging="284"/>
      </w:pPr>
      <w:r w:rsidRPr="00D649E4">
        <w:t>Certaines gratuités sont payées totalement au prestataire par l’AM lorsque le bénéficiaire est un assuré</w:t>
      </w:r>
      <w:r w:rsidR="00A2771A" w:rsidRPr="00D649E4">
        <w:t xml:space="preserve"> : </w:t>
      </w:r>
      <w:r w:rsidR="00A2771A" w:rsidRPr="00D649E4">
        <w:rPr>
          <w:i/>
        </w:rPr>
        <w:t>césarienne, paludisme</w:t>
      </w:r>
      <w:r w:rsidR="00A2771A" w:rsidRPr="00D649E4">
        <w:t>. L</w:t>
      </w:r>
      <w:r w:rsidRPr="00D649E4">
        <w:t xml:space="preserve">’AM demande </w:t>
      </w:r>
      <w:r w:rsidR="00E62A96">
        <w:t xml:space="preserve">alors </w:t>
      </w:r>
      <w:r w:rsidR="00A2771A" w:rsidRPr="00D649E4">
        <w:t>le</w:t>
      </w:r>
      <w:r w:rsidRPr="00D649E4">
        <w:t xml:space="preserve"> remboursement</w:t>
      </w:r>
      <w:r w:rsidR="00A2771A" w:rsidRPr="00D649E4">
        <w:t xml:space="preserve"> de l’</w:t>
      </w:r>
      <w:r w:rsidR="00D649E4">
        <w:t>acte de césarienne</w:t>
      </w:r>
      <w:r w:rsidRPr="00D649E4">
        <w:t xml:space="preserve"> auprès de l’organisme gestionnaire</w:t>
      </w:r>
      <w:r w:rsidR="00D649E4" w:rsidRPr="00D649E4">
        <w:t xml:space="preserve"> de la gratuité</w:t>
      </w:r>
      <w:r w:rsidR="00A2771A" w:rsidRPr="00D649E4">
        <w:t xml:space="preserve">, mais </w:t>
      </w:r>
      <w:r w:rsidR="00D649E4" w:rsidRPr="00D649E4">
        <w:t xml:space="preserve">elle </w:t>
      </w:r>
      <w:r w:rsidR="00A2771A" w:rsidRPr="00D649E4">
        <w:t xml:space="preserve">couvre le reste </w:t>
      </w:r>
      <w:r w:rsidR="00EA230D">
        <w:t xml:space="preserve">éventuel </w:t>
      </w:r>
      <w:r w:rsidR="00A2771A" w:rsidRPr="00D649E4">
        <w:t>de la facture.</w:t>
      </w:r>
      <w:r w:rsidR="00D649E4" w:rsidRPr="00D649E4">
        <w:t xml:space="preserve"> L’AM fait ici le choix d’être favorable aux prestataires quel que soit </w:t>
      </w:r>
      <w:r w:rsidR="00056AFE">
        <w:t>la mise à</w:t>
      </w:r>
      <w:r w:rsidR="00D649E4" w:rsidRPr="00D649E4">
        <w:t xml:space="preserve"> disposition d’intrants</w:t>
      </w:r>
      <w:r w:rsidR="00D649E4">
        <w:t xml:space="preserve"> gratuits</w:t>
      </w:r>
      <w:r w:rsidR="00EA230D">
        <w:t xml:space="preserve"> en allant au-delà des bornes de l’exemption nationale</w:t>
      </w:r>
      <w:r w:rsidR="00E62A96">
        <w:t>.</w:t>
      </w:r>
    </w:p>
    <w:p w:rsidR="00CD2224" w:rsidRDefault="00D649E4" w:rsidP="00D649E4">
      <w:pPr>
        <w:pStyle w:val="ListParagraph"/>
        <w:numPr>
          <w:ilvl w:val="0"/>
          <w:numId w:val="12"/>
        </w:numPr>
        <w:ind w:left="284" w:hanging="284"/>
      </w:pPr>
      <w:r>
        <w:t xml:space="preserve">Certaines gratuités sont prises en charge totalement par l’AM pour les assurés sans se préoccuper d’exiger un quelconque remboursement auprès du promoteur de la gratuité : </w:t>
      </w:r>
      <w:r w:rsidRPr="00D649E4">
        <w:rPr>
          <w:i/>
        </w:rPr>
        <w:t>personnes âgées</w:t>
      </w:r>
      <w:r>
        <w:t>.</w:t>
      </w:r>
    </w:p>
    <w:p w:rsidR="00D649E4" w:rsidRDefault="00D649E4" w:rsidP="00D649E4">
      <w:pPr>
        <w:pStyle w:val="ListParagraph"/>
        <w:numPr>
          <w:ilvl w:val="0"/>
          <w:numId w:val="12"/>
        </w:numPr>
        <w:ind w:left="284" w:hanging="284"/>
      </w:pPr>
      <w:r>
        <w:lastRenderedPageBreak/>
        <w:t xml:space="preserve">Certaines gratuités sont posées caduques par application de l’AMO, quitte à ce que celle-ci s’explique mieux sur les bénéfices AMO ou négocie : </w:t>
      </w:r>
      <w:r w:rsidRPr="00D649E4">
        <w:rPr>
          <w:i/>
        </w:rPr>
        <w:t>tous fonctionnaires</w:t>
      </w:r>
      <w:r>
        <w:t>.</w:t>
      </w:r>
    </w:p>
    <w:p w:rsidR="00D649E4" w:rsidRDefault="00D649E4" w:rsidP="00D649E4">
      <w:pPr>
        <w:pStyle w:val="ListParagraph"/>
        <w:numPr>
          <w:ilvl w:val="0"/>
          <w:numId w:val="12"/>
        </w:numPr>
        <w:ind w:left="284" w:hanging="284"/>
      </w:pPr>
      <w:r>
        <w:t>Certaines gratuités sont annulées (qui n’existent pas) : enfants de 0 à 14 ans, élèves et étudiants.</w:t>
      </w:r>
    </w:p>
    <w:p w:rsidR="00E81996" w:rsidRDefault="00E81996" w:rsidP="00E81996">
      <w:pPr>
        <w:pStyle w:val="ListParagraph"/>
        <w:ind w:left="284"/>
      </w:pPr>
    </w:p>
    <w:p w:rsidR="00E9558C" w:rsidRPr="00FF69A1" w:rsidRDefault="005516A7" w:rsidP="00FF69A1">
      <w:pPr>
        <w:pStyle w:val="ListParagraph"/>
        <w:numPr>
          <w:ilvl w:val="0"/>
          <w:numId w:val="21"/>
        </w:numPr>
        <w:rPr>
          <w:b/>
        </w:rPr>
      </w:pPr>
      <w:r w:rsidRPr="00FF69A1">
        <w:rPr>
          <w:b/>
        </w:rPr>
        <w:t>Asseoir la gouvernance sur des bases solides</w:t>
      </w:r>
    </w:p>
    <w:p w:rsidR="00FF69A1" w:rsidRPr="000855A1" w:rsidRDefault="00FF69A1" w:rsidP="00FF69A1">
      <w:pPr>
        <w:pStyle w:val="ListParagraph"/>
        <w:rPr>
          <w:b/>
        </w:rPr>
      </w:pPr>
    </w:p>
    <w:p w:rsidR="00E9558C" w:rsidRPr="000855A1" w:rsidRDefault="005516A7" w:rsidP="000855A1">
      <w:pPr>
        <w:pStyle w:val="ListParagraph"/>
        <w:numPr>
          <w:ilvl w:val="1"/>
          <w:numId w:val="20"/>
        </w:numPr>
        <w:rPr>
          <w:i/>
        </w:rPr>
      </w:pPr>
      <w:r w:rsidRPr="000855A1">
        <w:rPr>
          <w:i/>
        </w:rPr>
        <w:t>Gestion stratégique de l’Information et suivi de la performance</w:t>
      </w:r>
    </w:p>
    <w:p w:rsidR="000B5A47" w:rsidRDefault="000B5A47" w:rsidP="000B5A47">
      <w:r>
        <w:t xml:space="preserve">Une base essentielle de la prise de décision est la disponibilité de l’information et son analyse ; il </w:t>
      </w:r>
      <w:r w:rsidR="00B01B24">
        <w:t>s’agit</w:t>
      </w:r>
      <w:r>
        <w:t xml:space="preserve"> de la mettre au centre de la réflexion et de la responsabilité politique. Le diagnostic semble montrer que l’information n’existe pas toujours (ex : les comptes nationaux de la santé ; l’économie des prestataires de soins de santé). Elle montre aussi que le leadership n’a pas </w:t>
      </w:r>
      <w:r w:rsidR="00B01B24">
        <w:t>tous</w:t>
      </w:r>
      <w:r>
        <w:t xml:space="preserve"> les moyens de suivre et évaluer la performance de ses politiques et de ses décisions, ni même de ses mécanismes. </w:t>
      </w:r>
    </w:p>
    <w:p w:rsidR="000B5A47" w:rsidRDefault="000B5A47" w:rsidP="000B5A47">
      <w:r>
        <w:t xml:space="preserve">Par exemple, on ne trouvera pas d’analyse de la performance </w:t>
      </w:r>
      <w:r w:rsidR="00B01B24">
        <w:t>de la</w:t>
      </w:r>
      <w:r>
        <w:t xml:space="preserve"> prise en charge gratuite des césariennes, mais plutôt des études externes partielles, qui regardent à tel ou tel aspect. Plus généralement, le suivi-évaluation de la performance du système de financement ou d’orientations stratégiques clé </w:t>
      </w:r>
      <w:r w:rsidR="00DE46AA">
        <w:t>ne sont</w:t>
      </w:r>
      <w:r>
        <w:t xml:space="preserve"> pas possible</w:t>
      </w:r>
      <w:r w:rsidR="00DE46AA">
        <w:t>s</w:t>
      </w:r>
      <w:r>
        <w:t xml:space="preserve"> actuellement </w:t>
      </w:r>
      <w:r w:rsidR="00DE46AA">
        <w:t>en l’absence</w:t>
      </w:r>
      <w:r>
        <w:t xml:space="preserve"> d’outils </w:t>
      </w:r>
      <w:r w:rsidR="00DE46AA">
        <w:t>adaptés</w:t>
      </w:r>
      <w:r>
        <w:t xml:space="preserve">. </w:t>
      </w:r>
      <w:r w:rsidR="00DE46AA">
        <w:t>D’autres objectifs proposés dans ce documents incluent la mise en œuvre d’un suivi-évaluation (priorités des politiques, allocations des ressources.</w:t>
      </w:r>
    </w:p>
    <w:p w:rsidR="009555A0" w:rsidRDefault="00DE46AA" w:rsidP="009555A0">
      <w:r>
        <w:t>Toujours en matière d’information,</w:t>
      </w:r>
      <w:r w:rsidR="000B5A47">
        <w:t xml:space="preserve"> le Mali doit mettre en place une plateforme de gestion de l’information </w:t>
      </w:r>
      <w:r w:rsidR="0056334B">
        <w:t>sanitaire efficace, en util</w:t>
      </w:r>
      <w:r>
        <w:t>isant les technologies adaptées.</w:t>
      </w:r>
    </w:p>
    <w:p w:rsidR="009555A0" w:rsidRDefault="009808F8" w:rsidP="000855A1">
      <w:pPr>
        <w:pStyle w:val="ListParagraph"/>
        <w:numPr>
          <w:ilvl w:val="1"/>
          <w:numId w:val="20"/>
        </w:numPr>
      </w:pPr>
      <w:r w:rsidRPr="000855A1">
        <w:rPr>
          <w:i/>
        </w:rPr>
        <w:t>Renforcement des c</w:t>
      </w:r>
      <w:r w:rsidR="005516A7" w:rsidRPr="000855A1">
        <w:rPr>
          <w:i/>
        </w:rPr>
        <w:t>adres de concertation</w:t>
      </w:r>
    </w:p>
    <w:p w:rsidR="00726C53" w:rsidRDefault="0056334B" w:rsidP="00726C53">
      <w:pPr>
        <w:spacing w:after="0" w:line="240" w:lineRule="auto"/>
        <w:mirrorIndents/>
        <w:jc w:val="both"/>
      </w:pPr>
      <w:r>
        <w:t>Une priorité sectorielle est le renforcement de la c</w:t>
      </w:r>
      <w:r w:rsidR="00726C53">
        <w:t>oncertation entre les 3 Ministères</w:t>
      </w:r>
      <w:r>
        <w:t>. Les cadres existent qui doivent être rafraîchis ou améliorés, l’enjeu étant l’efficience (en interne) et la qualité du dialogue avec les Tiers (autres départements, partenaires…).</w:t>
      </w:r>
    </w:p>
    <w:p w:rsidR="0056334B" w:rsidRDefault="0056334B" w:rsidP="00726C53">
      <w:pPr>
        <w:spacing w:after="0" w:line="240" w:lineRule="auto"/>
        <w:mirrorIndents/>
        <w:jc w:val="both"/>
      </w:pPr>
    </w:p>
    <w:p w:rsidR="00726C53" w:rsidRDefault="00726C53" w:rsidP="00726C53">
      <w:pPr>
        <w:spacing w:after="0" w:line="240" w:lineRule="auto"/>
        <w:mirrorIndents/>
        <w:jc w:val="both"/>
      </w:pPr>
      <w:r>
        <w:t xml:space="preserve">Les partenaires en coopération utilisent leurs propres procédures pour financer la santé au niveau central et/ou opérationnel, et certains flux échappent au contrôle des Ministères. </w:t>
      </w:r>
      <w:r w:rsidR="0056334B">
        <w:t>Certes depuis</w:t>
      </w:r>
      <w:r>
        <w:t xml:space="preserve"> 2008</w:t>
      </w:r>
      <w:r w:rsidR="0056334B">
        <w:t>,</w:t>
      </w:r>
      <w:r w:rsidRPr="005747FA">
        <w:t xml:space="preserve"> </w:t>
      </w:r>
      <w:r w:rsidRPr="003E619F">
        <w:t xml:space="preserve">dans le cadre de l’International Health Partnership (IHP+) et </w:t>
      </w:r>
      <w:r w:rsidR="0056334B">
        <w:t>de</w:t>
      </w:r>
      <w:r>
        <w:t xml:space="preserve"> </w:t>
      </w:r>
      <w:r w:rsidRPr="003E619F">
        <w:t>l’</w:t>
      </w:r>
      <w:r>
        <w:t xml:space="preserve">initiative </w:t>
      </w:r>
      <w:r w:rsidRPr="003E619F">
        <w:t xml:space="preserve">Harmonization for Health in Africa (HHA), </w:t>
      </w:r>
      <w:r>
        <w:t xml:space="preserve">le Mali a entamé un processus de dialogue actif avec les partenaires </w:t>
      </w:r>
      <w:r w:rsidR="00B01B24">
        <w:t>de</w:t>
      </w:r>
      <w:r>
        <w:t xml:space="preserve"> la santé</w:t>
      </w:r>
      <w:r w:rsidR="00B01B24">
        <w:t>,</w:t>
      </w:r>
      <w:r>
        <w:t xml:space="preserve"> qui a abouti en 2009 à un accord appelé « COMPACT ». </w:t>
      </w:r>
      <w:r w:rsidR="0056334B">
        <w:t>Cependant, l’harmonisation du dialogue avec les PTF est un enjeu de taille qui doit être entendu comme un chantier à venir.</w:t>
      </w:r>
      <w:r w:rsidRPr="00206CF8">
        <w:t xml:space="preserve"> </w:t>
      </w:r>
    </w:p>
    <w:p w:rsidR="00726C53" w:rsidRDefault="00726C53" w:rsidP="00726C53">
      <w:pPr>
        <w:spacing w:after="0" w:line="240" w:lineRule="auto"/>
        <w:mirrorIndents/>
        <w:jc w:val="both"/>
      </w:pPr>
    </w:p>
    <w:p w:rsidR="00726C53" w:rsidRDefault="00726C53" w:rsidP="00726C53">
      <w:pPr>
        <w:spacing w:after="0" w:line="240" w:lineRule="auto"/>
        <w:mirrorIndents/>
        <w:jc w:val="both"/>
      </w:pPr>
      <w:r>
        <w:t xml:space="preserve">La dépendance vis-à-vis de l’extérieur est </w:t>
      </w:r>
      <w:r w:rsidR="0056334B">
        <w:t>un</w:t>
      </w:r>
      <w:r>
        <w:t xml:space="preserve"> élément important de la structure de financement. Au Mali, </w:t>
      </w:r>
      <w:r w:rsidR="00B01B24">
        <w:t>elle</w:t>
      </w:r>
      <w:r>
        <w:t xml:space="preserve"> est de 27%, et l’entrée en crise a démontré combien l’aide extérieure pouvait être un élément déstabilisant – dès qu’il se retire. Pourtant au Rwanda cette dépendance</w:t>
      </w:r>
      <w:r w:rsidR="00B01B24">
        <w:t xml:space="preserve"> est encore plus forte avec</w:t>
      </w:r>
      <w:r w:rsidR="0056334B">
        <w:t xml:space="preserve"> 47% </w:t>
      </w:r>
      <w:r w:rsidR="00B01B24">
        <w:t>des financements santé issus de l’aide extérieure</w:t>
      </w:r>
      <w:r w:rsidR="0056334B">
        <w:t xml:space="preserve">! Aussi </w:t>
      </w:r>
      <w:r w:rsidR="00B01B24">
        <w:t>on comprend</w:t>
      </w:r>
      <w:r>
        <w:t xml:space="preserve"> </w:t>
      </w:r>
      <w:r w:rsidR="0056334B">
        <w:t xml:space="preserve">qu’il s’agit </w:t>
      </w:r>
      <w:r w:rsidR="00B01B24">
        <w:t xml:space="preserve">surtout </w:t>
      </w:r>
      <w:r w:rsidR="0056334B">
        <w:t>d’améliorer l</w:t>
      </w:r>
      <w:r>
        <w:t>es conditions qui lient le pays à l’aide extérieure </w:t>
      </w:r>
      <w:r w:rsidR="00B01B24">
        <w:t>pour</w:t>
      </w:r>
      <w:r>
        <w:t xml:space="preserve"> </w:t>
      </w:r>
      <w:r w:rsidR="00B01B24">
        <w:t>obtenir</w:t>
      </w:r>
      <w:r>
        <w:t xml:space="preserve"> beaucoup des PTF tout en gardant une maîtrise des financements. </w:t>
      </w:r>
      <w:r w:rsidR="0056334B">
        <w:t xml:space="preserve">Une attitude cohérente, solide, et la solidarité </w:t>
      </w:r>
      <w:r>
        <w:t xml:space="preserve"> </w:t>
      </w:r>
      <w:r w:rsidR="0056334B">
        <w:t xml:space="preserve">interministérielle permettront </w:t>
      </w:r>
      <w:r>
        <w:t>d’améliorer l’assise de la politique sectorielle (la direction donnée et la maîtrise de l’orchestration)</w:t>
      </w:r>
      <w:r w:rsidR="0056334B">
        <w:t>. En y ajoutant les conditions de</w:t>
      </w:r>
      <w:r>
        <w:t xml:space="preserve"> la redevabilité</w:t>
      </w:r>
      <w:r w:rsidR="0056334B">
        <w:t xml:space="preserve">, le </w:t>
      </w:r>
      <w:r>
        <w:t xml:space="preserve">dialogue sectoriel </w:t>
      </w:r>
      <w:r w:rsidR="0056334B">
        <w:t>trouvera les conditions pour que</w:t>
      </w:r>
      <w:r>
        <w:t xml:space="preserve"> les PTF</w:t>
      </w:r>
      <w:r w:rsidR="00B01B24">
        <w:t xml:space="preserve"> contribuent et</w:t>
      </w:r>
      <w:r>
        <w:t xml:space="preserve"> </w:t>
      </w:r>
      <w:r w:rsidR="0056334B">
        <w:t>s’alignent</w:t>
      </w:r>
      <w:r>
        <w:t>.</w:t>
      </w:r>
    </w:p>
    <w:p w:rsidR="00FF69A1" w:rsidRDefault="00FF69A1" w:rsidP="00726C53">
      <w:pPr>
        <w:spacing w:after="0" w:line="240" w:lineRule="auto"/>
        <w:mirrorIndents/>
        <w:jc w:val="both"/>
      </w:pPr>
    </w:p>
    <w:p w:rsidR="00FF69A1" w:rsidRDefault="00FF69A1" w:rsidP="00726C53">
      <w:pPr>
        <w:spacing w:after="0" w:line="240" w:lineRule="auto"/>
        <w:mirrorIndents/>
        <w:jc w:val="both"/>
      </w:pPr>
    </w:p>
    <w:p w:rsidR="00FF69A1" w:rsidRDefault="00FF69A1" w:rsidP="00726C53">
      <w:pPr>
        <w:spacing w:after="0" w:line="240" w:lineRule="auto"/>
        <w:mirrorIndents/>
        <w:jc w:val="both"/>
      </w:pPr>
    </w:p>
    <w:p w:rsidR="00DE46AA" w:rsidRDefault="00DE46AA" w:rsidP="00726C53">
      <w:pPr>
        <w:spacing w:after="0" w:line="240" w:lineRule="auto"/>
        <w:mirrorIndents/>
        <w:jc w:val="both"/>
      </w:pPr>
    </w:p>
    <w:p w:rsidR="009808F8" w:rsidRPr="009808F8" w:rsidRDefault="009808F8" w:rsidP="000855A1">
      <w:pPr>
        <w:pStyle w:val="ListParagraph"/>
        <w:numPr>
          <w:ilvl w:val="1"/>
          <w:numId w:val="20"/>
        </w:numPr>
        <w:rPr>
          <w:rFonts w:eastAsia="Times New Roman"/>
          <w:i/>
          <w:iCs/>
          <w:color w:val="000000"/>
          <w:lang w:eastAsia="fr-FR"/>
        </w:rPr>
      </w:pPr>
      <w:r w:rsidRPr="009808F8">
        <w:rPr>
          <w:rFonts w:eastAsia="Times New Roman" w:cstheme="minorHAnsi"/>
          <w:i/>
          <w:iCs/>
          <w:color w:val="000000"/>
          <w:lang w:eastAsia="fr-FR"/>
        </w:rPr>
        <w:lastRenderedPageBreak/>
        <w:t>Développement d'outils pour une réponse intégrée "urgence-développement"</w:t>
      </w:r>
    </w:p>
    <w:p w:rsidR="0056334B" w:rsidRPr="009808F8" w:rsidRDefault="0056334B" w:rsidP="009808F8">
      <w:pPr>
        <w:rPr>
          <w:rFonts w:ascii="Calibri" w:eastAsia="Times New Roman" w:hAnsi="Calibri" w:cs="Times New Roman"/>
          <w:i/>
          <w:iCs/>
          <w:color w:val="000000"/>
          <w:lang w:eastAsia="fr-FR"/>
        </w:rPr>
      </w:pPr>
      <w:r>
        <w:t xml:space="preserve">Un constat semble avoir été établi selon lequel le Mali a eu du mal à répondre à la crise, et continue du reste à éprouver des difficultés à répondre aux situations difficiles résistantes. Ceci est le cas pour les Ministères qui s’occupent de la santé, avec une réalité sur le plan des financements. Par exemple, les déplacés à Bamako auraient pu être pris en charge par un mécanisme de tiers-payant ; au contraire, les difficultés dans le Nord requerraient une action rapide par l’offre. </w:t>
      </w:r>
    </w:p>
    <w:p w:rsidR="0056334B" w:rsidRDefault="0056334B" w:rsidP="0056334B">
      <w:r>
        <w:t>Par ailleurs, l’hypothèse est faite dans le diagnostic que le Mali est un pays qui ne peut pas décemment s’asseoir sur l’</w:t>
      </w:r>
      <w:r w:rsidR="00B01B24">
        <w:t xml:space="preserve">idée que la crise est derrière </w:t>
      </w:r>
      <w:r>
        <w:t xml:space="preserve">et qu’elle ne reviendra pas. Au contraire, pour de multiples raisons, le pays est soumis à des urgences cycliques, à une crise structurelle latente, bref, à un défi qui semble ne pas pouvoir s’inscrire simplement dans la dichotomie urgence / développement ou encore réponse humanitaire / réponse structurelle qui dicte généralement l’organisation des activités. </w:t>
      </w:r>
    </w:p>
    <w:p w:rsidR="006B5275" w:rsidRDefault="0056334B">
      <w:pPr>
        <w:rPr>
          <w:rFonts w:asciiTheme="majorHAnsi" w:eastAsiaTheme="majorEastAsia" w:hAnsiTheme="majorHAnsi" w:cstheme="majorBidi"/>
          <w:b/>
          <w:bCs/>
          <w:color w:val="4F81BD" w:themeColor="accent1"/>
          <w:sz w:val="26"/>
          <w:szCs w:val="26"/>
        </w:rPr>
      </w:pPr>
      <w:r>
        <w:t>Dans le domaine du financement de la santé comme ailleurs (et plus qu’ailleurs si l’argent est le « nerf de la guerre »), le leadership, qui organise la direction générale du domaine (orchestration), peut gagner à s’interroger sur la façon de mieux répondre à ce terreau particulier qui est celui du Mali, où urgence et développement semblent intimement liés. On envisage</w:t>
      </w:r>
      <w:r w:rsidR="00B01B24">
        <w:t xml:space="preserve">ra la création d’une cellule </w:t>
      </w:r>
      <w:r w:rsidR="00A807DB">
        <w:t xml:space="preserve">de recherche </w:t>
      </w:r>
      <w:r w:rsidR="00B01B24">
        <w:t xml:space="preserve">« URD » (Urgence-réhabilitation-Développement) </w:t>
      </w:r>
      <w:r w:rsidR="00A807DB">
        <w:t xml:space="preserve">en lien avec la CPS </w:t>
      </w:r>
      <w:r w:rsidR="0022350F">
        <w:t xml:space="preserve">pour travailler sur des périodes de transition, des scénarii, </w:t>
      </w:r>
      <w:r w:rsidR="00854F04">
        <w:t xml:space="preserve"> la résilience</w:t>
      </w:r>
      <w:r w:rsidR="00B01B24">
        <w:t>.</w:t>
      </w:r>
      <w:r w:rsidR="006B5275">
        <w:br w:type="page"/>
      </w:r>
    </w:p>
    <w:p w:rsidR="006B5275" w:rsidRDefault="006B5275" w:rsidP="006B5275">
      <w:pPr>
        <w:pStyle w:val="Heading2"/>
        <w:sectPr w:rsidR="006B5275">
          <w:pgSz w:w="11906" w:h="16838"/>
          <w:pgMar w:top="1417" w:right="1417" w:bottom="1417" w:left="1417" w:header="708" w:footer="708" w:gutter="0"/>
          <w:cols w:space="708"/>
          <w:docGrid w:linePitch="360"/>
        </w:sectPr>
      </w:pPr>
    </w:p>
    <w:p w:rsidR="006B5275" w:rsidRDefault="006B5275" w:rsidP="004D5C32">
      <w:pPr>
        <w:pStyle w:val="Heading2"/>
      </w:pPr>
      <w:r>
        <w:lastRenderedPageBreak/>
        <w:t>Cadre logique proposé</w:t>
      </w:r>
    </w:p>
    <w:p w:rsidR="007C497D" w:rsidRDefault="00854F04">
      <w:r w:rsidRPr="00854F04">
        <w:rPr>
          <w:noProof/>
          <w:lang w:val="en-US" w:eastAsia="zh-CN"/>
        </w:rPr>
        <w:drawing>
          <wp:inline distT="0" distB="0" distL="0" distR="0" wp14:anchorId="3AC89401" wp14:editId="3BE2B212">
            <wp:extent cx="8891270" cy="5217729"/>
            <wp:effectExtent l="0" t="0" r="5080" b="254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91270" cy="5217729"/>
                    </a:xfrm>
                    <a:prstGeom prst="rect">
                      <a:avLst/>
                    </a:prstGeom>
                    <a:noFill/>
                    <a:ln>
                      <a:noFill/>
                    </a:ln>
                  </pic:spPr>
                </pic:pic>
              </a:graphicData>
            </a:graphic>
          </wp:inline>
        </w:drawing>
      </w:r>
    </w:p>
    <w:p w:rsidR="00384D11" w:rsidRDefault="00384D11" w:rsidP="007C497D">
      <w:pPr>
        <w:pStyle w:val="Heading2"/>
      </w:pPr>
      <w:r>
        <w:lastRenderedPageBreak/>
        <w:t>Evolution possible du budget de l’état :</w:t>
      </w:r>
    </w:p>
    <w:p w:rsidR="00384D11" w:rsidRPr="00384D11" w:rsidRDefault="00384D11" w:rsidP="00384D11"/>
    <w:p w:rsidR="00384D11" w:rsidRPr="00384D11" w:rsidRDefault="00384D11" w:rsidP="00384D11">
      <w:r w:rsidRPr="00384D11">
        <w:rPr>
          <w:noProof/>
          <w:lang w:val="en-US" w:eastAsia="zh-CN"/>
        </w:rPr>
        <w:drawing>
          <wp:inline distT="0" distB="0" distL="0" distR="0" wp14:anchorId="7BE8040A" wp14:editId="0EEFF44A">
            <wp:extent cx="8891270" cy="1097837"/>
            <wp:effectExtent l="0" t="0" r="0" b="762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91270" cy="1097837"/>
                    </a:xfrm>
                    <a:prstGeom prst="rect">
                      <a:avLst/>
                    </a:prstGeom>
                    <a:noFill/>
                    <a:ln>
                      <a:noFill/>
                    </a:ln>
                  </pic:spPr>
                </pic:pic>
              </a:graphicData>
            </a:graphic>
          </wp:inline>
        </w:drawing>
      </w:r>
    </w:p>
    <w:p w:rsidR="007C497D" w:rsidRDefault="00612947" w:rsidP="007C497D">
      <w:pPr>
        <w:pStyle w:val="Heading2"/>
      </w:pPr>
      <w:r w:rsidRPr="00D015F4">
        <w:rPr>
          <w:highlight w:val="yellow"/>
        </w:rPr>
        <w:t>Exemple</w:t>
      </w:r>
      <w:r>
        <w:t xml:space="preserve"> de s</w:t>
      </w:r>
      <w:r w:rsidR="00783EE0">
        <w:t>imulation</w:t>
      </w:r>
      <w:r>
        <w:t xml:space="preserve"> : subvention et </w:t>
      </w:r>
      <w:r w:rsidR="007C497D">
        <w:t xml:space="preserve">extension de la couverture du risque maladie du </w:t>
      </w:r>
      <w:r>
        <w:t>secteur</w:t>
      </w:r>
      <w:r w:rsidR="007C497D">
        <w:t xml:space="preserve"> informel</w:t>
      </w:r>
    </w:p>
    <w:p w:rsidR="00612947" w:rsidRDefault="00612947" w:rsidP="00612947">
      <w:r w:rsidRPr="00612947">
        <w:rPr>
          <w:noProof/>
          <w:lang w:val="en-US" w:eastAsia="zh-CN"/>
        </w:rPr>
        <w:drawing>
          <wp:inline distT="0" distB="0" distL="0" distR="0" wp14:anchorId="2EDCC7DB" wp14:editId="66EBD6A0">
            <wp:extent cx="8891270" cy="3190552"/>
            <wp:effectExtent l="0" t="0" r="508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91270" cy="3190552"/>
                    </a:xfrm>
                    <a:prstGeom prst="rect">
                      <a:avLst/>
                    </a:prstGeom>
                    <a:noFill/>
                    <a:ln>
                      <a:noFill/>
                    </a:ln>
                  </pic:spPr>
                </pic:pic>
              </a:graphicData>
            </a:graphic>
          </wp:inline>
        </w:drawing>
      </w:r>
    </w:p>
    <w:p w:rsidR="00FF69A1" w:rsidRDefault="00FF69A1" w:rsidP="00612947"/>
    <w:p w:rsidR="00FF69A1" w:rsidRDefault="00FF69A1" w:rsidP="00612947">
      <w:pPr>
        <w:sectPr w:rsidR="00FF69A1" w:rsidSect="006B5275">
          <w:pgSz w:w="16838" w:h="11906" w:orient="landscape"/>
          <w:pgMar w:top="1418" w:right="1418" w:bottom="1418" w:left="1418" w:header="709" w:footer="709" w:gutter="0"/>
          <w:cols w:space="708"/>
          <w:docGrid w:linePitch="360"/>
        </w:sectPr>
      </w:pPr>
    </w:p>
    <w:p w:rsidR="00FF69A1" w:rsidRDefault="00FF69A1" w:rsidP="00612947"/>
    <w:p w:rsidR="00FF69A1" w:rsidRDefault="00FF69A1" w:rsidP="00FF69A1"/>
    <w:p w:rsidR="00FF69A1" w:rsidRDefault="00FF69A1" w:rsidP="00FF69A1">
      <w:pPr>
        <w:pBdr>
          <w:top w:val="single" w:sz="4" w:space="1" w:color="auto"/>
          <w:left w:val="single" w:sz="4" w:space="4" w:color="auto"/>
          <w:bottom w:val="single" w:sz="4" w:space="1" w:color="auto"/>
          <w:right w:val="single" w:sz="4" w:space="4" w:color="auto"/>
        </w:pBdr>
        <w:spacing w:line="240" w:lineRule="auto"/>
        <w:jc w:val="center"/>
        <w:rPr>
          <w:sz w:val="36"/>
          <w:szCs w:val="36"/>
        </w:rPr>
      </w:pPr>
      <w:r>
        <w:rPr>
          <w:b/>
          <w:bCs/>
          <w:sz w:val="36"/>
          <w:szCs w:val="36"/>
        </w:rPr>
        <w:t>C</w:t>
      </w:r>
      <w:r w:rsidRPr="00FF69A1">
        <w:rPr>
          <w:b/>
          <w:bCs/>
          <w:sz w:val="36"/>
          <w:szCs w:val="36"/>
        </w:rPr>
        <w:t>alendrier de mise en place</w:t>
      </w:r>
      <w:r>
        <w:rPr>
          <w:sz w:val="24"/>
          <w:szCs w:val="24"/>
        </w:rPr>
        <w:t xml:space="preserve"> </w:t>
      </w:r>
      <w:r>
        <w:rPr>
          <w:b/>
          <w:bCs/>
          <w:sz w:val="36"/>
          <w:szCs w:val="36"/>
        </w:rPr>
        <w:t>des propositions d’actions à mener sur 10 ans relatives au développement de l’assurance maladie pour le secteur informel</w:t>
      </w:r>
    </w:p>
    <w:p w:rsidR="00FF69A1" w:rsidRDefault="00FF69A1" w:rsidP="00FF69A1">
      <w:pPr>
        <w:spacing w:line="240" w:lineRule="auto"/>
        <w:rPr>
          <w:b/>
          <w:bCs/>
        </w:rPr>
      </w:pPr>
    </w:p>
    <w:p w:rsidR="00FF69A1" w:rsidRDefault="00FF69A1" w:rsidP="00FF69A1">
      <w:pPr>
        <w:spacing w:line="240" w:lineRule="auto"/>
        <w:rPr>
          <w:sz w:val="28"/>
          <w:szCs w:val="28"/>
        </w:rPr>
      </w:pPr>
      <w:r>
        <w:rPr>
          <w:b/>
          <w:bCs/>
          <w:sz w:val="28"/>
          <w:szCs w:val="28"/>
        </w:rPr>
        <w:t>Années 0 à 3 :</w:t>
      </w:r>
    </w:p>
    <w:p w:rsidR="00FF69A1" w:rsidRDefault="00FF69A1" w:rsidP="00FF69A1">
      <w:pPr>
        <w:numPr>
          <w:ilvl w:val="0"/>
          <w:numId w:val="25"/>
        </w:numPr>
        <w:spacing w:after="0" w:line="240" w:lineRule="auto"/>
        <w:jc w:val="both"/>
        <w:rPr>
          <w:sz w:val="24"/>
          <w:szCs w:val="24"/>
        </w:rPr>
      </w:pPr>
      <w:r>
        <w:rPr>
          <w:sz w:val="24"/>
          <w:szCs w:val="24"/>
        </w:rPr>
        <w:t>Amendement à la convention actuelle (Etat, UTM) pour la mise en place d’un produit national</w:t>
      </w:r>
    </w:p>
    <w:p w:rsidR="00FF69A1" w:rsidRDefault="00FF69A1" w:rsidP="00FF69A1">
      <w:pPr>
        <w:numPr>
          <w:ilvl w:val="0"/>
          <w:numId w:val="25"/>
        </w:numPr>
        <w:spacing w:after="0" w:line="240" w:lineRule="auto"/>
        <w:jc w:val="both"/>
        <w:rPr>
          <w:sz w:val="24"/>
          <w:szCs w:val="24"/>
        </w:rPr>
      </w:pPr>
      <w:r>
        <w:rPr>
          <w:sz w:val="24"/>
          <w:szCs w:val="24"/>
        </w:rPr>
        <w:t>Développement de la gestion consolidée du secteur informel (enregistrement ; SIG) pour le paquet de soins unique</w:t>
      </w:r>
    </w:p>
    <w:p w:rsidR="00FF69A1" w:rsidRDefault="00FF69A1" w:rsidP="00FF69A1">
      <w:pPr>
        <w:numPr>
          <w:ilvl w:val="0"/>
          <w:numId w:val="25"/>
        </w:numPr>
        <w:spacing w:after="0" w:line="240" w:lineRule="auto"/>
        <w:jc w:val="both"/>
        <w:rPr>
          <w:sz w:val="24"/>
          <w:szCs w:val="24"/>
        </w:rPr>
      </w:pPr>
      <w:r>
        <w:rPr>
          <w:sz w:val="24"/>
          <w:szCs w:val="24"/>
        </w:rPr>
        <w:t>Subvention à 80% du paquet de soin unique distribué par les mutuelles</w:t>
      </w:r>
    </w:p>
    <w:p w:rsidR="00FF69A1" w:rsidRDefault="00FF69A1" w:rsidP="00FF69A1">
      <w:pPr>
        <w:numPr>
          <w:ilvl w:val="0"/>
          <w:numId w:val="25"/>
        </w:numPr>
        <w:spacing w:after="0" w:line="240" w:lineRule="auto"/>
        <w:jc w:val="both"/>
        <w:rPr>
          <w:sz w:val="24"/>
          <w:szCs w:val="24"/>
        </w:rPr>
      </w:pPr>
      <w:r>
        <w:rPr>
          <w:sz w:val="24"/>
          <w:szCs w:val="24"/>
        </w:rPr>
        <w:t>Transfert de compétences pour l’intégration technique de l’ANAM (enregistrement ; SIG) et de la partie gestion nationale de l’UTM</w:t>
      </w:r>
    </w:p>
    <w:p w:rsidR="00FF69A1" w:rsidRDefault="00FF69A1" w:rsidP="00FF69A1">
      <w:pPr>
        <w:numPr>
          <w:ilvl w:val="0"/>
          <w:numId w:val="25"/>
        </w:numPr>
        <w:spacing w:after="0" w:line="240" w:lineRule="auto"/>
        <w:jc w:val="both"/>
        <w:rPr>
          <w:sz w:val="24"/>
          <w:szCs w:val="24"/>
        </w:rPr>
      </w:pPr>
      <w:r>
        <w:rPr>
          <w:sz w:val="24"/>
          <w:szCs w:val="24"/>
        </w:rPr>
        <w:t>Développement de la stratégie de promotion des mutuelles (outils de suivi des performances)</w:t>
      </w:r>
    </w:p>
    <w:p w:rsidR="00FF69A1" w:rsidRDefault="00FF69A1" w:rsidP="00FF69A1">
      <w:pPr>
        <w:numPr>
          <w:ilvl w:val="0"/>
          <w:numId w:val="25"/>
        </w:numPr>
        <w:spacing w:after="0" w:line="240" w:lineRule="auto"/>
        <w:jc w:val="both"/>
        <w:rPr>
          <w:sz w:val="24"/>
          <w:szCs w:val="24"/>
        </w:rPr>
      </w:pPr>
      <w:r>
        <w:rPr>
          <w:sz w:val="24"/>
          <w:szCs w:val="24"/>
        </w:rPr>
        <w:t>Relecture des textes d’organisation et de fonctionnement des différentes agences</w:t>
      </w:r>
    </w:p>
    <w:p w:rsidR="00FF69A1" w:rsidRDefault="00FF69A1" w:rsidP="00FF69A1">
      <w:pPr>
        <w:spacing w:line="240" w:lineRule="auto"/>
        <w:rPr>
          <w:b/>
          <w:bCs/>
        </w:rPr>
      </w:pPr>
    </w:p>
    <w:p w:rsidR="00FF69A1" w:rsidRDefault="00FF69A1" w:rsidP="00FF69A1">
      <w:pPr>
        <w:spacing w:line="240" w:lineRule="auto"/>
        <w:rPr>
          <w:b/>
          <w:bCs/>
          <w:sz w:val="28"/>
          <w:szCs w:val="28"/>
        </w:rPr>
      </w:pPr>
      <w:r>
        <w:rPr>
          <w:b/>
          <w:bCs/>
          <w:sz w:val="28"/>
          <w:szCs w:val="28"/>
        </w:rPr>
        <w:t>Années 3 à 5 :</w:t>
      </w:r>
    </w:p>
    <w:p w:rsidR="00FF69A1" w:rsidRDefault="00FF69A1" w:rsidP="00FF69A1">
      <w:pPr>
        <w:numPr>
          <w:ilvl w:val="0"/>
          <w:numId w:val="25"/>
        </w:numPr>
        <w:spacing w:after="0" w:line="240" w:lineRule="auto"/>
        <w:jc w:val="both"/>
        <w:rPr>
          <w:sz w:val="24"/>
          <w:szCs w:val="24"/>
        </w:rPr>
      </w:pPr>
      <w:r>
        <w:t>Mise</w:t>
      </w:r>
      <w:r>
        <w:rPr>
          <w:sz w:val="24"/>
          <w:szCs w:val="24"/>
        </w:rPr>
        <w:t xml:space="preserve"> en place d’une Direction « Secteur Informel » au sein de la CANAM </w:t>
      </w:r>
    </w:p>
    <w:p w:rsidR="00FF69A1" w:rsidRDefault="00FF69A1" w:rsidP="00FF69A1">
      <w:pPr>
        <w:spacing w:line="240" w:lineRule="auto"/>
        <w:ind w:left="720"/>
        <w:rPr>
          <w:sz w:val="24"/>
          <w:szCs w:val="24"/>
        </w:rPr>
      </w:pPr>
    </w:p>
    <w:p w:rsidR="00FF69A1" w:rsidRDefault="00FF69A1" w:rsidP="00FF69A1">
      <w:pPr>
        <w:spacing w:line="240" w:lineRule="auto"/>
        <w:rPr>
          <w:b/>
          <w:bCs/>
          <w:sz w:val="28"/>
          <w:szCs w:val="28"/>
        </w:rPr>
      </w:pPr>
      <w:r>
        <w:rPr>
          <w:b/>
          <w:bCs/>
          <w:sz w:val="28"/>
          <w:szCs w:val="28"/>
        </w:rPr>
        <w:t>Années 6 à 9</w:t>
      </w:r>
    </w:p>
    <w:p w:rsidR="00FF69A1" w:rsidRDefault="00FF69A1" w:rsidP="00FF69A1">
      <w:pPr>
        <w:numPr>
          <w:ilvl w:val="0"/>
          <w:numId w:val="25"/>
        </w:numPr>
        <w:spacing w:after="0" w:line="240" w:lineRule="auto"/>
        <w:jc w:val="both"/>
        <w:rPr>
          <w:sz w:val="24"/>
          <w:szCs w:val="24"/>
        </w:rPr>
      </w:pPr>
      <w:r>
        <w:rPr>
          <w:sz w:val="24"/>
          <w:szCs w:val="24"/>
        </w:rPr>
        <w:t>Développement du pool national du secteur informel</w:t>
      </w:r>
    </w:p>
    <w:p w:rsidR="00FF69A1" w:rsidRDefault="00FF69A1" w:rsidP="00FF69A1">
      <w:pPr>
        <w:spacing w:line="240" w:lineRule="auto"/>
        <w:ind w:left="720"/>
        <w:rPr>
          <w:sz w:val="24"/>
          <w:szCs w:val="24"/>
        </w:rPr>
      </w:pPr>
    </w:p>
    <w:p w:rsidR="00FF69A1" w:rsidRDefault="00FF69A1" w:rsidP="00FF69A1">
      <w:pPr>
        <w:spacing w:line="240" w:lineRule="auto"/>
        <w:rPr>
          <w:b/>
          <w:bCs/>
          <w:sz w:val="28"/>
          <w:szCs w:val="28"/>
        </w:rPr>
      </w:pPr>
      <w:r>
        <w:rPr>
          <w:b/>
          <w:bCs/>
          <w:sz w:val="28"/>
          <w:szCs w:val="28"/>
        </w:rPr>
        <w:t>Années 9 à 10</w:t>
      </w:r>
    </w:p>
    <w:p w:rsidR="00FF69A1" w:rsidRDefault="00FF69A1" w:rsidP="00FF69A1">
      <w:pPr>
        <w:numPr>
          <w:ilvl w:val="0"/>
          <w:numId w:val="25"/>
        </w:numPr>
        <w:spacing w:after="0" w:line="240" w:lineRule="auto"/>
        <w:jc w:val="both"/>
        <w:rPr>
          <w:sz w:val="24"/>
          <w:szCs w:val="24"/>
        </w:rPr>
      </w:pPr>
      <w:r>
        <w:t>Prép</w:t>
      </w:r>
      <w:r>
        <w:rPr>
          <w:sz w:val="24"/>
          <w:szCs w:val="24"/>
        </w:rPr>
        <w:t>aration et mise en œuvre du pool national secteur formel et informel</w:t>
      </w:r>
    </w:p>
    <w:p w:rsidR="00FF69A1" w:rsidRDefault="00FF69A1" w:rsidP="00FF69A1">
      <w:pPr>
        <w:spacing w:line="240" w:lineRule="auto"/>
        <w:ind w:left="720"/>
        <w:rPr>
          <w:sz w:val="24"/>
          <w:szCs w:val="24"/>
        </w:rPr>
      </w:pPr>
    </w:p>
    <w:p w:rsidR="00FF69A1" w:rsidRDefault="00FF69A1" w:rsidP="00FF69A1">
      <w:pPr>
        <w:spacing w:line="240" w:lineRule="auto"/>
        <w:jc w:val="both"/>
      </w:pPr>
    </w:p>
    <w:p w:rsidR="00FF69A1" w:rsidRPr="00612947" w:rsidRDefault="00FF69A1" w:rsidP="00612947"/>
    <w:sectPr w:rsidR="00FF69A1" w:rsidRPr="00612947" w:rsidSect="00FF69A1">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AAC" w:rsidRDefault="00461AAC" w:rsidP="009D26F8">
      <w:pPr>
        <w:spacing w:after="0" w:line="240" w:lineRule="auto"/>
      </w:pPr>
      <w:r>
        <w:separator/>
      </w:r>
    </w:p>
  </w:endnote>
  <w:endnote w:type="continuationSeparator" w:id="0">
    <w:p w:rsidR="00461AAC" w:rsidRDefault="00461AAC" w:rsidP="009D2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AAC" w:rsidRDefault="00461AAC" w:rsidP="009D26F8">
      <w:pPr>
        <w:spacing w:after="0" w:line="240" w:lineRule="auto"/>
      </w:pPr>
      <w:r>
        <w:separator/>
      </w:r>
    </w:p>
  </w:footnote>
  <w:footnote w:type="continuationSeparator" w:id="0">
    <w:p w:rsidR="00461AAC" w:rsidRDefault="00461AAC" w:rsidP="009D26F8">
      <w:pPr>
        <w:spacing w:after="0" w:line="240" w:lineRule="auto"/>
      </w:pPr>
      <w:r>
        <w:continuationSeparator/>
      </w:r>
    </w:p>
  </w:footnote>
  <w:footnote w:id="1">
    <w:p w:rsidR="00384D11" w:rsidRDefault="00384D11">
      <w:pPr>
        <w:pStyle w:val="FootnoteText"/>
      </w:pPr>
      <w:r>
        <w:rPr>
          <w:rStyle w:val="FootnoteReference"/>
        </w:rPr>
        <w:footnoteRef/>
      </w:r>
      <w:r>
        <w:t xml:space="preserve"> Cf. annexe </w:t>
      </w:r>
    </w:p>
  </w:footnote>
  <w:footnote w:id="2">
    <w:p w:rsidR="00384D11" w:rsidRDefault="00384D11">
      <w:pPr>
        <w:pStyle w:val="FootnoteText"/>
      </w:pPr>
      <w:r>
        <w:rPr>
          <w:rStyle w:val="FootnoteReference"/>
        </w:rPr>
        <w:footnoteRef/>
      </w:r>
      <w:r>
        <w:t xml:space="preserve"> Cf. annexe : </w:t>
      </w:r>
      <w:r w:rsidR="00420209">
        <w:t>%</w:t>
      </w:r>
      <w:r>
        <w:t xml:space="preserve"> de la population qui ne contribue pas ; subvention à la </w:t>
      </w:r>
      <w:r w:rsidR="00420209">
        <w:t>prime pour</w:t>
      </w:r>
      <w:r>
        <w:t xml:space="preserve"> la population qui contribue.</w:t>
      </w:r>
    </w:p>
  </w:footnote>
  <w:footnote w:id="3">
    <w:p w:rsidR="0056334B" w:rsidRDefault="0056334B">
      <w:pPr>
        <w:pStyle w:val="FootnoteText"/>
      </w:pPr>
      <w:r>
        <w:rPr>
          <w:rStyle w:val="FootnoteReference"/>
        </w:rPr>
        <w:footnoteRef/>
      </w:r>
      <w:r>
        <w:t xml:space="preserve"> </w:t>
      </w:r>
      <w:r w:rsidR="00612947">
        <w:t>Cf. annexe en dernière page</w:t>
      </w:r>
      <w:r w:rsidR="00C16FAE">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C0445"/>
    <w:multiLevelType w:val="hybridMultilevel"/>
    <w:tmpl w:val="65FE5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023CDE"/>
    <w:multiLevelType w:val="hybridMultilevel"/>
    <w:tmpl w:val="8564B6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506191"/>
    <w:multiLevelType w:val="multilevel"/>
    <w:tmpl w:val="8C38C49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292E0313"/>
    <w:multiLevelType w:val="hybridMultilevel"/>
    <w:tmpl w:val="2458889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A862310"/>
    <w:multiLevelType w:val="hybridMultilevel"/>
    <w:tmpl w:val="B6CC503C"/>
    <w:lvl w:ilvl="0" w:tplc="23A85B0E">
      <w:start w:val="2"/>
      <w:numFmt w:val="decimal"/>
      <w:lvlText w:val="%1."/>
      <w:lvlJc w:val="left"/>
      <w:pPr>
        <w:ind w:left="1080" w:hanging="360"/>
      </w:pPr>
      <w:rPr>
        <w:rFonts w:hint="default"/>
      </w:rPr>
    </w:lvl>
    <w:lvl w:ilvl="1" w:tplc="040C0019">
      <w:start w:val="1"/>
      <w:numFmt w:val="lowerLetter"/>
      <w:lvlText w:val="%2."/>
      <w:lvlJc w:val="left"/>
      <w:pPr>
        <w:ind w:left="1800" w:hanging="360"/>
      </w:pPr>
    </w:lvl>
    <w:lvl w:ilvl="2" w:tplc="6ADC1038">
      <w:start w:val="2"/>
      <w:numFmt w:val="decimal"/>
      <w:lvlText w:val="%3"/>
      <w:lvlJc w:val="left"/>
      <w:pPr>
        <w:ind w:left="2700" w:hanging="360"/>
      </w:pPr>
      <w:rPr>
        <w:rFonts w:hint="default"/>
      </w:r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2A887134"/>
    <w:multiLevelType w:val="hybridMultilevel"/>
    <w:tmpl w:val="6948854A"/>
    <w:lvl w:ilvl="0" w:tplc="C91E29DC">
      <w:start w:val="1"/>
      <w:numFmt w:val="bullet"/>
      <w:lvlText w:val="-"/>
      <w:lvlJc w:val="left"/>
      <w:pPr>
        <w:tabs>
          <w:tab w:val="num" w:pos="720"/>
        </w:tabs>
        <w:ind w:left="720" w:hanging="360"/>
      </w:pPr>
      <w:rPr>
        <w:rFonts w:ascii="Times New Roman" w:hAnsi="Times New Roman" w:hint="default"/>
      </w:rPr>
    </w:lvl>
    <w:lvl w:ilvl="1" w:tplc="264EF7CC" w:tentative="1">
      <w:start w:val="1"/>
      <w:numFmt w:val="bullet"/>
      <w:lvlText w:val="-"/>
      <w:lvlJc w:val="left"/>
      <w:pPr>
        <w:tabs>
          <w:tab w:val="num" w:pos="1440"/>
        </w:tabs>
        <w:ind w:left="1440" w:hanging="360"/>
      </w:pPr>
      <w:rPr>
        <w:rFonts w:ascii="Times New Roman" w:hAnsi="Times New Roman" w:hint="default"/>
      </w:rPr>
    </w:lvl>
    <w:lvl w:ilvl="2" w:tplc="F3ACCDC4" w:tentative="1">
      <w:start w:val="1"/>
      <w:numFmt w:val="bullet"/>
      <w:lvlText w:val="-"/>
      <w:lvlJc w:val="left"/>
      <w:pPr>
        <w:tabs>
          <w:tab w:val="num" w:pos="2160"/>
        </w:tabs>
        <w:ind w:left="2160" w:hanging="360"/>
      </w:pPr>
      <w:rPr>
        <w:rFonts w:ascii="Times New Roman" w:hAnsi="Times New Roman" w:hint="default"/>
      </w:rPr>
    </w:lvl>
    <w:lvl w:ilvl="3" w:tplc="8EF01318" w:tentative="1">
      <w:start w:val="1"/>
      <w:numFmt w:val="bullet"/>
      <w:lvlText w:val="-"/>
      <w:lvlJc w:val="left"/>
      <w:pPr>
        <w:tabs>
          <w:tab w:val="num" w:pos="2880"/>
        </w:tabs>
        <w:ind w:left="2880" w:hanging="360"/>
      </w:pPr>
      <w:rPr>
        <w:rFonts w:ascii="Times New Roman" w:hAnsi="Times New Roman" w:hint="default"/>
      </w:rPr>
    </w:lvl>
    <w:lvl w:ilvl="4" w:tplc="F38CDC3A" w:tentative="1">
      <w:start w:val="1"/>
      <w:numFmt w:val="bullet"/>
      <w:lvlText w:val="-"/>
      <w:lvlJc w:val="left"/>
      <w:pPr>
        <w:tabs>
          <w:tab w:val="num" w:pos="3600"/>
        </w:tabs>
        <w:ind w:left="3600" w:hanging="360"/>
      </w:pPr>
      <w:rPr>
        <w:rFonts w:ascii="Times New Roman" w:hAnsi="Times New Roman" w:hint="default"/>
      </w:rPr>
    </w:lvl>
    <w:lvl w:ilvl="5" w:tplc="47A60372" w:tentative="1">
      <w:start w:val="1"/>
      <w:numFmt w:val="bullet"/>
      <w:lvlText w:val="-"/>
      <w:lvlJc w:val="left"/>
      <w:pPr>
        <w:tabs>
          <w:tab w:val="num" w:pos="4320"/>
        </w:tabs>
        <w:ind w:left="4320" w:hanging="360"/>
      </w:pPr>
      <w:rPr>
        <w:rFonts w:ascii="Times New Roman" w:hAnsi="Times New Roman" w:hint="default"/>
      </w:rPr>
    </w:lvl>
    <w:lvl w:ilvl="6" w:tplc="ADF06688" w:tentative="1">
      <w:start w:val="1"/>
      <w:numFmt w:val="bullet"/>
      <w:lvlText w:val="-"/>
      <w:lvlJc w:val="left"/>
      <w:pPr>
        <w:tabs>
          <w:tab w:val="num" w:pos="5040"/>
        </w:tabs>
        <w:ind w:left="5040" w:hanging="360"/>
      </w:pPr>
      <w:rPr>
        <w:rFonts w:ascii="Times New Roman" w:hAnsi="Times New Roman" w:hint="default"/>
      </w:rPr>
    </w:lvl>
    <w:lvl w:ilvl="7" w:tplc="E3F48B58" w:tentative="1">
      <w:start w:val="1"/>
      <w:numFmt w:val="bullet"/>
      <w:lvlText w:val="-"/>
      <w:lvlJc w:val="left"/>
      <w:pPr>
        <w:tabs>
          <w:tab w:val="num" w:pos="5760"/>
        </w:tabs>
        <w:ind w:left="5760" w:hanging="360"/>
      </w:pPr>
      <w:rPr>
        <w:rFonts w:ascii="Times New Roman" w:hAnsi="Times New Roman" w:hint="default"/>
      </w:rPr>
    </w:lvl>
    <w:lvl w:ilvl="8" w:tplc="571C4552" w:tentative="1">
      <w:start w:val="1"/>
      <w:numFmt w:val="bullet"/>
      <w:lvlText w:val="-"/>
      <w:lvlJc w:val="left"/>
      <w:pPr>
        <w:tabs>
          <w:tab w:val="num" w:pos="6480"/>
        </w:tabs>
        <w:ind w:left="6480" w:hanging="360"/>
      </w:pPr>
      <w:rPr>
        <w:rFonts w:ascii="Times New Roman" w:hAnsi="Times New Roman" w:hint="default"/>
      </w:rPr>
    </w:lvl>
  </w:abstractNum>
  <w:abstractNum w:abstractNumId="6">
    <w:nsid w:val="2C4D44F8"/>
    <w:multiLevelType w:val="hybridMultilevel"/>
    <w:tmpl w:val="B22CE382"/>
    <w:lvl w:ilvl="0" w:tplc="86981854">
      <w:start w:val="2"/>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0BA1A88"/>
    <w:multiLevelType w:val="multilevel"/>
    <w:tmpl w:val="299CA658"/>
    <w:lvl w:ilvl="0">
      <w:start w:val="4"/>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8">
    <w:nsid w:val="35B10B3A"/>
    <w:multiLevelType w:val="multilevel"/>
    <w:tmpl w:val="AE986CDC"/>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36AF1416"/>
    <w:multiLevelType w:val="multilevel"/>
    <w:tmpl w:val="6B1458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89B5DE4"/>
    <w:multiLevelType w:val="multilevel"/>
    <w:tmpl w:val="8AC29C0E"/>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nsid w:val="38FF5FC7"/>
    <w:multiLevelType w:val="hybridMultilevel"/>
    <w:tmpl w:val="A55435EA"/>
    <w:lvl w:ilvl="0" w:tplc="040C0019">
      <w:start w:val="1"/>
      <w:numFmt w:val="lowerLetter"/>
      <w:lvlText w:val="%1."/>
      <w:lvlJc w:val="left"/>
      <w:pPr>
        <w:ind w:left="720" w:hanging="360"/>
      </w:pPr>
      <w:rPr>
        <w:rFonts w:hint="default"/>
        <w:i w: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C9C6667"/>
    <w:multiLevelType w:val="hybridMultilevel"/>
    <w:tmpl w:val="71EE1EE6"/>
    <w:lvl w:ilvl="0" w:tplc="A9103DD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6892FA6"/>
    <w:multiLevelType w:val="multilevel"/>
    <w:tmpl w:val="4B240B26"/>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4">
    <w:nsid w:val="4BDB5D22"/>
    <w:multiLevelType w:val="hybridMultilevel"/>
    <w:tmpl w:val="E72AB85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4E4B542A"/>
    <w:multiLevelType w:val="hybridMultilevel"/>
    <w:tmpl w:val="1AD2375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500D49C7"/>
    <w:multiLevelType w:val="hybridMultilevel"/>
    <w:tmpl w:val="4612A046"/>
    <w:lvl w:ilvl="0" w:tplc="40D69CCA">
      <w:start w:val="1"/>
      <w:numFmt w:val="decimal"/>
      <w:lvlText w:val="%1)"/>
      <w:lvlJc w:val="left"/>
      <w:pPr>
        <w:tabs>
          <w:tab w:val="num" w:pos="720"/>
        </w:tabs>
        <w:ind w:left="720" w:hanging="360"/>
      </w:pPr>
    </w:lvl>
    <w:lvl w:ilvl="1" w:tplc="99E0AACE">
      <w:start w:val="1013"/>
      <w:numFmt w:val="bullet"/>
      <w:lvlText w:val="-"/>
      <w:lvlJc w:val="left"/>
      <w:pPr>
        <w:tabs>
          <w:tab w:val="num" w:pos="1440"/>
        </w:tabs>
        <w:ind w:left="1440" w:hanging="360"/>
      </w:pPr>
      <w:rPr>
        <w:rFonts w:ascii="Times New Roman" w:hAnsi="Times New Roman" w:hint="default"/>
      </w:rPr>
    </w:lvl>
    <w:lvl w:ilvl="2" w:tplc="3CC490B8" w:tentative="1">
      <w:start w:val="1"/>
      <w:numFmt w:val="decimal"/>
      <w:lvlText w:val="%3)"/>
      <w:lvlJc w:val="left"/>
      <w:pPr>
        <w:tabs>
          <w:tab w:val="num" w:pos="2160"/>
        </w:tabs>
        <w:ind w:left="2160" w:hanging="360"/>
      </w:pPr>
    </w:lvl>
    <w:lvl w:ilvl="3" w:tplc="72F24F3C" w:tentative="1">
      <w:start w:val="1"/>
      <w:numFmt w:val="decimal"/>
      <w:lvlText w:val="%4)"/>
      <w:lvlJc w:val="left"/>
      <w:pPr>
        <w:tabs>
          <w:tab w:val="num" w:pos="2880"/>
        </w:tabs>
        <w:ind w:left="2880" w:hanging="360"/>
      </w:pPr>
    </w:lvl>
    <w:lvl w:ilvl="4" w:tplc="1F4615FA" w:tentative="1">
      <w:start w:val="1"/>
      <w:numFmt w:val="decimal"/>
      <w:lvlText w:val="%5)"/>
      <w:lvlJc w:val="left"/>
      <w:pPr>
        <w:tabs>
          <w:tab w:val="num" w:pos="3600"/>
        </w:tabs>
        <w:ind w:left="3600" w:hanging="360"/>
      </w:pPr>
    </w:lvl>
    <w:lvl w:ilvl="5" w:tplc="90E8B1EE" w:tentative="1">
      <w:start w:val="1"/>
      <w:numFmt w:val="decimal"/>
      <w:lvlText w:val="%6)"/>
      <w:lvlJc w:val="left"/>
      <w:pPr>
        <w:tabs>
          <w:tab w:val="num" w:pos="4320"/>
        </w:tabs>
        <w:ind w:left="4320" w:hanging="360"/>
      </w:pPr>
    </w:lvl>
    <w:lvl w:ilvl="6" w:tplc="81EA970E" w:tentative="1">
      <w:start w:val="1"/>
      <w:numFmt w:val="decimal"/>
      <w:lvlText w:val="%7)"/>
      <w:lvlJc w:val="left"/>
      <w:pPr>
        <w:tabs>
          <w:tab w:val="num" w:pos="5040"/>
        </w:tabs>
        <w:ind w:left="5040" w:hanging="360"/>
      </w:pPr>
    </w:lvl>
    <w:lvl w:ilvl="7" w:tplc="605295AA" w:tentative="1">
      <w:start w:val="1"/>
      <w:numFmt w:val="decimal"/>
      <w:lvlText w:val="%8)"/>
      <w:lvlJc w:val="left"/>
      <w:pPr>
        <w:tabs>
          <w:tab w:val="num" w:pos="5760"/>
        </w:tabs>
        <w:ind w:left="5760" w:hanging="360"/>
      </w:pPr>
    </w:lvl>
    <w:lvl w:ilvl="8" w:tplc="1C2AD518" w:tentative="1">
      <w:start w:val="1"/>
      <w:numFmt w:val="decimal"/>
      <w:lvlText w:val="%9)"/>
      <w:lvlJc w:val="left"/>
      <w:pPr>
        <w:tabs>
          <w:tab w:val="num" w:pos="6480"/>
        </w:tabs>
        <w:ind w:left="6480" w:hanging="360"/>
      </w:pPr>
    </w:lvl>
  </w:abstractNum>
  <w:abstractNum w:abstractNumId="17">
    <w:nsid w:val="522C2ECD"/>
    <w:multiLevelType w:val="multilevel"/>
    <w:tmpl w:val="4ED47E32"/>
    <w:lvl w:ilvl="0">
      <w:start w:val="2"/>
      <w:numFmt w:val="decimal"/>
      <w:lvlText w:val="%1"/>
      <w:lvlJc w:val="left"/>
      <w:pPr>
        <w:ind w:left="360" w:hanging="360"/>
      </w:pPr>
      <w:rPr>
        <w:rFonts w:hint="default"/>
      </w:rPr>
    </w:lvl>
    <w:lvl w:ilvl="1">
      <w:start w:val="2"/>
      <w:numFmt w:val="decimal"/>
      <w:lvlText w:val="%1.%2"/>
      <w:lvlJc w:val="left"/>
      <w:pPr>
        <w:ind w:left="3060" w:hanging="3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8820" w:hanging="72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580" w:hanging="108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340" w:hanging="1440"/>
      </w:pPr>
      <w:rPr>
        <w:rFonts w:hint="default"/>
      </w:rPr>
    </w:lvl>
    <w:lvl w:ilvl="8">
      <w:start w:val="1"/>
      <w:numFmt w:val="decimal"/>
      <w:lvlText w:val="%1.%2.%3.%4.%5.%6.%7.%8.%9"/>
      <w:lvlJc w:val="left"/>
      <w:pPr>
        <w:ind w:left="23040" w:hanging="1440"/>
      </w:pPr>
      <w:rPr>
        <w:rFonts w:hint="default"/>
      </w:rPr>
    </w:lvl>
  </w:abstractNum>
  <w:abstractNum w:abstractNumId="18">
    <w:nsid w:val="53047C89"/>
    <w:multiLevelType w:val="multilevel"/>
    <w:tmpl w:val="C7F8FE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5D0C64CA"/>
    <w:multiLevelType w:val="hybridMultilevel"/>
    <w:tmpl w:val="AB86C912"/>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nsid w:val="60C77FA8"/>
    <w:multiLevelType w:val="hybridMultilevel"/>
    <w:tmpl w:val="4CDE6CE4"/>
    <w:lvl w:ilvl="0" w:tplc="C56A134E">
      <w:start w:val="1"/>
      <w:numFmt w:val="bullet"/>
      <w:lvlText w:val="-"/>
      <w:lvlJc w:val="left"/>
      <w:pPr>
        <w:tabs>
          <w:tab w:val="num" w:pos="720"/>
        </w:tabs>
        <w:ind w:left="720" w:hanging="360"/>
      </w:pPr>
      <w:rPr>
        <w:rFonts w:ascii="Times New Roman" w:hAnsi="Times New Roman" w:cs="Times New Roman" w:hint="default"/>
      </w:rPr>
    </w:lvl>
    <w:lvl w:ilvl="1" w:tplc="E0CC966C">
      <w:start w:val="1"/>
      <w:numFmt w:val="bullet"/>
      <w:lvlText w:val="-"/>
      <w:lvlJc w:val="left"/>
      <w:pPr>
        <w:tabs>
          <w:tab w:val="num" w:pos="1440"/>
        </w:tabs>
        <w:ind w:left="1440" w:hanging="360"/>
      </w:pPr>
      <w:rPr>
        <w:rFonts w:ascii="Times New Roman" w:hAnsi="Times New Roman" w:cs="Times New Roman" w:hint="default"/>
      </w:rPr>
    </w:lvl>
    <w:lvl w:ilvl="2" w:tplc="2F74C118">
      <w:start w:val="1"/>
      <w:numFmt w:val="bullet"/>
      <w:lvlText w:val="-"/>
      <w:lvlJc w:val="left"/>
      <w:pPr>
        <w:tabs>
          <w:tab w:val="num" w:pos="2160"/>
        </w:tabs>
        <w:ind w:left="2160" w:hanging="360"/>
      </w:pPr>
      <w:rPr>
        <w:rFonts w:ascii="Times New Roman" w:hAnsi="Times New Roman" w:cs="Times New Roman" w:hint="default"/>
      </w:rPr>
    </w:lvl>
    <w:lvl w:ilvl="3" w:tplc="4BA0B9EC">
      <w:start w:val="1"/>
      <w:numFmt w:val="bullet"/>
      <w:lvlText w:val="-"/>
      <w:lvlJc w:val="left"/>
      <w:pPr>
        <w:tabs>
          <w:tab w:val="num" w:pos="2880"/>
        </w:tabs>
        <w:ind w:left="2880" w:hanging="360"/>
      </w:pPr>
      <w:rPr>
        <w:rFonts w:ascii="Times New Roman" w:hAnsi="Times New Roman" w:cs="Times New Roman" w:hint="default"/>
      </w:rPr>
    </w:lvl>
    <w:lvl w:ilvl="4" w:tplc="2CB6C4EA">
      <w:start w:val="1"/>
      <w:numFmt w:val="bullet"/>
      <w:lvlText w:val="-"/>
      <w:lvlJc w:val="left"/>
      <w:pPr>
        <w:tabs>
          <w:tab w:val="num" w:pos="3600"/>
        </w:tabs>
        <w:ind w:left="3600" w:hanging="360"/>
      </w:pPr>
      <w:rPr>
        <w:rFonts w:ascii="Times New Roman" w:hAnsi="Times New Roman" w:cs="Times New Roman" w:hint="default"/>
      </w:rPr>
    </w:lvl>
    <w:lvl w:ilvl="5" w:tplc="0264F3FC">
      <w:start w:val="1"/>
      <w:numFmt w:val="bullet"/>
      <w:lvlText w:val="-"/>
      <w:lvlJc w:val="left"/>
      <w:pPr>
        <w:tabs>
          <w:tab w:val="num" w:pos="4320"/>
        </w:tabs>
        <w:ind w:left="4320" w:hanging="360"/>
      </w:pPr>
      <w:rPr>
        <w:rFonts w:ascii="Times New Roman" w:hAnsi="Times New Roman" w:cs="Times New Roman" w:hint="default"/>
      </w:rPr>
    </w:lvl>
    <w:lvl w:ilvl="6" w:tplc="CF2C86E4">
      <w:start w:val="1"/>
      <w:numFmt w:val="bullet"/>
      <w:lvlText w:val="-"/>
      <w:lvlJc w:val="left"/>
      <w:pPr>
        <w:tabs>
          <w:tab w:val="num" w:pos="5040"/>
        </w:tabs>
        <w:ind w:left="5040" w:hanging="360"/>
      </w:pPr>
      <w:rPr>
        <w:rFonts w:ascii="Times New Roman" w:hAnsi="Times New Roman" w:cs="Times New Roman" w:hint="default"/>
      </w:rPr>
    </w:lvl>
    <w:lvl w:ilvl="7" w:tplc="4D809D8A">
      <w:start w:val="1"/>
      <w:numFmt w:val="bullet"/>
      <w:lvlText w:val="-"/>
      <w:lvlJc w:val="left"/>
      <w:pPr>
        <w:tabs>
          <w:tab w:val="num" w:pos="5760"/>
        </w:tabs>
        <w:ind w:left="5760" w:hanging="360"/>
      </w:pPr>
      <w:rPr>
        <w:rFonts w:ascii="Times New Roman" w:hAnsi="Times New Roman" w:cs="Times New Roman" w:hint="default"/>
      </w:rPr>
    </w:lvl>
    <w:lvl w:ilvl="8" w:tplc="3E048F16">
      <w:start w:val="1"/>
      <w:numFmt w:val="bullet"/>
      <w:lvlText w:val="-"/>
      <w:lvlJc w:val="left"/>
      <w:pPr>
        <w:tabs>
          <w:tab w:val="num" w:pos="6480"/>
        </w:tabs>
        <w:ind w:left="6480" w:hanging="360"/>
      </w:pPr>
      <w:rPr>
        <w:rFonts w:ascii="Times New Roman" w:hAnsi="Times New Roman" w:cs="Times New Roman" w:hint="default"/>
      </w:rPr>
    </w:lvl>
  </w:abstractNum>
  <w:abstractNum w:abstractNumId="21">
    <w:nsid w:val="6FCA69B4"/>
    <w:multiLevelType w:val="hybridMultilevel"/>
    <w:tmpl w:val="0D4EDA20"/>
    <w:lvl w:ilvl="0" w:tplc="6EB81F16">
      <w:start w:val="3"/>
      <w:numFmt w:val="decimal"/>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nsid w:val="74A4153F"/>
    <w:multiLevelType w:val="hybridMultilevel"/>
    <w:tmpl w:val="843EC45A"/>
    <w:lvl w:ilvl="0" w:tplc="E070C38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7B4726E2"/>
    <w:multiLevelType w:val="multilevel"/>
    <w:tmpl w:val="E9121A9E"/>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4">
    <w:nsid w:val="7E6C48D6"/>
    <w:multiLevelType w:val="hybridMultilevel"/>
    <w:tmpl w:val="EB64F12C"/>
    <w:lvl w:ilvl="0" w:tplc="040C000F">
      <w:start w:val="3"/>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7ED05803"/>
    <w:multiLevelType w:val="multilevel"/>
    <w:tmpl w:val="6D60633A"/>
    <w:lvl w:ilvl="0">
      <w:start w:val="2"/>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5"/>
  </w:num>
  <w:num w:numId="2">
    <w:abstractNumId w:val="12"/>
  </w:num>
  <w:num w:numId="3">
    <w:abstractNumId w:val="1"/>
  </w:num>
  <w:num w:numId="4">
    <w:abstractNumId w:val="15"/>
  </w:num>
  <w:num w:numId="5">
    <w:abstractNumId w:val="0"/>
  </w:num>
  <w:num w:numId="6">
    <w:abstractNumId w:val="14"/>
  </w:num>
  <w:num w:numId="7">
    <w:abstractNumId w:val="22"/>
  </w:num>
  <w:num w:numId="8">
    <w:abstractNumId w:val="3"/>
  </w:num>
  <w:num w:numId="9">
    <w:abstractNumId w:val="16"/>
  </w:num>
  <w:num w:numId="10">
    <w:abstractNumId w:val="13"/>
  </w:num>
  <w:num w:numId="11">
    <w:abstractNumId w:val="9"/>
  </w:num>
  <w:num w:numId="12">
    <w:abstractNumId w:val="11"/>
  </w:num>
  <w:num w:numId="13">
    <w:abstractNumId w:val="24"/>
  </w:num>
  <w:num w:numId="14">
    <w:abstractNumId w:val="2"/>
  </w:num>
  <w:num w:numId="15">
    <w:abstractNumId w:val="6"/>
  </w:num>
  <w:num w:numId="16">
    <w:abstractNumId w:val="8"/>
  </w:num>
  <w:num w:numId="17">
    <w:abstractNumId w:val="23"/>
  </w:num>
  <w:num w:numId="18">
    <w:abstractNumId w:val="21"/>
  </w:num>
  <w:num w:numId="19">
    <w:abstractNumId w:val="18"/>
  </w:num>
  <w:num w:numId="20">
    <w:abstractNumId w:val="7"/>
  </w:num>
  <w:num w:numId="21">
    <w:abstractNumId w:val="4"/>
  </w:num>
  <w:num w:numId="22">
    <w:abstractNumId w:val="10"/>
  </w:num>
  <w:num w:numId="23">
    <w:abstractNumId w:val="25"/>
  </w:num>
  <w:num w:numId="24">
    <w:abstractNumId w:val="19"/>
  </w:num>
  <w:num w:numId="25">
    <w:abstractNumId w:val="20"/>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CD6"/>
    <w:rsid w:val="00011E71"/>
    <w:rsid w:val="00045E1F"/>
    <w:rsid w:val="00056AFE"/>
    <w:rsid w:val="000855A1"/>
    <w:rsid w:val="000A52E8"/>
    <w:rsid w:val="000B3C9B"/>
    <w:rsid w:val="000B5A47"/>
    <w:rsid w:val="000B694A"/>
    <w:rsid w:val="000D2E81"/>
    <w:rsid w:val="000D38AA"/>
    <w:rsid w:val="000D5E4A"/>
    <w:rsid w:val="000E13A2"/>
    <w:rsid w:val="000E27F8"/>
    <w:rsid w:val="000F3B1C"/>
    <w:rsid w:val="00127853"/>
    <w:rsid w:val="001767D7"/>
    <w:rsid w:val="00194770"/>
    <w:rsid w:val="001A7ABA"/>
    <w:rsid w:val="001E63C6"/>
    <w:rsid w:val="00200D97"/>
    <w:rsid w:val="00216CE8"/>
    <w:rsid w:val="002218B6"/>
    <w:rsid w:val="0022350F"/>
    <w:rsid w:val="00234BF1"/>
    <w:rsid w:val="002652CD"/>
    <w:rsid w:val="00265947"/>
    <w:rsid w:val="002925F6"/>
    <w:rsid w:val="002B21AE"/>
    <w:rsid w:val="002D7D5B"/>
    <w:rsid w:val="002E685D"/>
    <w:rsid w:val="00307A54"/>
    <w:rsid w:val="003133CB"/>
    <w:rsid w:val="00351DBB"/>
    <w:rsid w:val="00370E02"/>
    <w:rsid w:val="00384D11"/>
    <w:rsid w:val="003B0FB1"/>
    <w:rsid w:val="00414752"/>
    <w:rsid w:val="00420209"/>
    <w:rsid w:val="00442C0B"/>
    <w:rsid w:val="00461AAC"/>
    <w:rsid w:val="004B15E2"/>
    <w:rsid w:val="004B24DB"/>
    <w:rsid w:val="004B553C"/>
    <w:rsid w:val="004D5C32"/>
    <w:rsid w:val="004D641C"/>
    <w:rsid w:val="004D78B8"/>
    <w:rsid w:val="005164E6"/>
    <w:rsid w:val="00520788"/>
    <w:rsid w:val="0053049A"/>
    <w:rsid w:val="0054073C"/>
    <w:rsid w:val="005516A7"/>
    <w:rsid w:val="005525A6"/>
    <w:rsid w:val="00556D05"/>
    <w:rsid w:val="0056334B"/>
    <w:rsid w:val="00583641"/>
    <w:rsid w:val="005B06A8"/>
    <w:rsid w:val="005B0CE6"/>
    <w:rsid w:val="005B2C4F"/>
    <w:rsid w:val="005C1C78"/>
    <w:rsid w:val="005F12C2"/>
    <w:rsid w:val="00612947"/>
    <w:rsid w:val="00643D10"/>
    <w:rsid w:val="006814C5"/>
    <w:rsid w:val="00681F00"/>
    <w:rsid w:val="006837A7"/>
    <w:rsid w:val="006A3969"/>
    <w:rsid w:val="006A6F8B"/>
    <w:rsid w:val="006B2CAA"/>
    <w:rsid w:val="006B348B"/>
    <w:rsid w:val="006B5275"/>
    <w:rsid w:val="006F30C6"/>
    <w:rsid w:val="00711CF6"/>
    <w:rsid w:val="00726C53"/>
    <w:rsid w:val="007313CD"/>
    <w:rsid w:val="00775D7F"/>
    <w:rsid w:val="00783EE0"/>
    <w:rsid w:val="00793681"/>
    <w:rsid w:val="00794B45"/>
    <w:rsid w:val="0079540A"/>
    <w:rsid w:val="007A17A3"/>
    <w:rsid w:val="007A3A4D"/>
    <w:rsid w:val="007C497D"/>
    <w:rsid w:val="007D4807"/>
    <w:rsid w:val="007F169B"/>
    <w:rsid w:val="007F2F14"/>
    <w:rsid w:val="00813FFD"/>
    <w:rsid w:val="00836575"/>
    <w:rsid w:val="00854F04"/>
    <w:rsid w:val="008737E8"/>
    <w:rsid w:val="008B7830"/>
    <w:rsid w:val="008E084E"/>
    <w:rsid w:val="008E668B"/>
    <w:rsid w:val="00907EC8"/>
    <w:rsid w:val="009533EE"/>
    <w:rsid w:val="009555A0"/>
    <w:rsid w:val="0095686F"/>
    <w:rsid w:val="009808F8"/>
    <w:rsid w:val="00985E37"/>
    <w:rsid w:val="009B0D3B"/>
    <w:rsid w:val="009D26F8"/>
    <w:rsid w:val="00A05CE7"/>
    <w:rsid w:val="00A263D5"/>
    <w:rsid w:val="00A2771A"/>
    <w:rsid w:val="00A334F0"/>
    <w:rsid w:val="00A3394A"/>
    <w:rsid w:val="00A43ABF"/>
    <w:rsid w:val="00A63E4F"/>
    <w:rsid w:val="00A76F8C"/>
    <w:rsid w:val="00A807DB"/>
    <w:rsid w:val="00AA60BB"/>
    <w:rsid w:val="00AD7218"/>
    <w:rsid w:val="00AD7585"/>
    <w:rsid w:val="00B010BE"/>
    <w:rsid w:val="00B01B24"/>
    <w:rsid w:val="00B1718E"/>
    <w:rsid w:val="00B45734"/>
    <w:rsid w:val="00B51CD6"/>
    <w:rsid w:val="00B52E35"/>
    <w:rsid w:val="00B576CA"/>
    <w:rsid w:val="00B60166"/>
    <w:rsid w:val="00B646E2"/>
    <w:rsid w:val="00BA721F"/>
    <w:rsid w:val="00BD6665"/>
    <w:rsid w:val="00BE0AF9"/>
    <w:rsid w:val="00BE756D"/>
    <w:rsid w:val="00C12638"/>
    <w:rsid w:val="00C16FAE"/>
    <w:rsid w:val="00C37D8F"/>
    <w:rsid w:val="00C571D4"/>
    <w:rsid w:val="00C742DD"/>
    <w:rsid w:val="00C822D6"/>
    <w:rsid w:val="00C86B09"/>
    <w:rsid w:val="00C97761"/>
    <w:rsid w:val="00CA5A07"/>
    <w:rsid w:val="00CD0983"/>
    <w:rsid w:val="00CD2224"/>
    <w:rsid w:val="00CE7BDA"/>
    <w:rsid w:val="00D0026D"/>
    <w:rsid w:val="00D015F4"/>
    <w:rsid w:val="00D04A0A"/>
    <w:rsid w:val="00D17EE1"/>
    <w:rsid w:val="00D27C04"/>
    <w:rsid w:val="00D3749D"/>
    <w:rsid w:val="00D52BC4"/>
    <w:rsid w:val="00D649E4"/>
    <w:rsid w:val="00DA0B8C"/>
    <w:rsid w:val="00DA1904"/>
    <w:rsid w:val="00DC13EF"/>
    <w:rsid w:val="00DC23AE"/>
    <w:rsid w:val="00DE46AA"/>
    <w:rsid w:val="00E124D7"/>
    <w:rsid w:val="00E44705"/>
    <w:rsid w:val="00E46659"/>
    <w:rsid w:val="00E62A96"/>
    <w:rsid w:val="00E81996"/>
    <w:rsid w:val="00E81DE8"/>
    <w:rsid w:val="00E83674"/>
    <w:rsid w:val="00E853D5"/>
    <w:rsid w:val="00E9558C"/>
    <w:rsid w:val="00EA230D"/>
    <w:rsid w:val="00F1005B"/>
    <w:rsid w:val="00F26265"/>
    <w:rsid w:val="00F505CC"/>
    <w:rsid w:val="00F77AB4"/>
    <w:rsid w:val="00F821B7"/>
    <w:rsid w:val="00F8357B"/>
    <w:rsid w:val="00F850EB"/>
    <w:rsid w:val="00FB2AD6"/>
    <w:rsid w:val="00FE031F"/>
    <w:rsid w:val="00FE2C64"/>
    <w:rsid w:val="00FE7C1A"/>
    <w:rsid w:val="00FF69A1"/>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51C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51C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B527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B694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CD6"/>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B51CD6"/>
    <w:pPr>
      <w:spacing w:after="0" w:line="240" w:lineRule="auto"/>
    </w:pPr>
  </w:style>
  <w:style w:type="character" w:customStyle="1" w:styleId="Heading2Char">
    <w:name w:val="Heading 2 Char"/>
    <w:basedOn w:val="DefaultParagraphFont"/>
    <w:link w:val="Heading2"/>
    <w:uiPriority w:val="9"/>
    <w:rsid w:val="00B51C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B527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0B694A"/>
    <w:rPr>
      <w:rFonts w:asciiTheme="majorHAnsi" w:eastAsiaTheme="majorEastAsia" w:hAnsiTheme="majorHAnsi" w:cstheme="majorBidi"/>
      <w:b/>
      <w:bCs/>
      <w:i/>
      <w:iCs/>
      <w:color w:val="4F81BD" w:themeColor="accent1"/>
    </w:rPr>
  </w:style>
  <w:style w:type="character" w:customStyle="1" w:styleId="NoSpacingChar">
    <w:name w:val="No Spacing Char"/>
    <w:basedOn w:val="DefaultParagraphFont"/>
    <w:link w:val="NoSpacing"/>
    <w:uiPriority w:val="1"/>
    <w:rsid w:val="00D52BC4"/>
  </w:style>
  <w:style w:type="paragraph" w:styleId="FootnoteText">
    <w:name w:val="footnote text"/>
    <w:basedOn w:val="Normal"/>
    <w:link w:val="FootnoteTextChar"/>
    <w:uiPriority w:val="99"/>
    <w:semiHidden/>
    <w:unhideWhenUsed/>
    <w:rsid w:val="009D26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26F8"/>
    <w:rPr>
      <w:sz w:val="20"/>
      <w:szCs w:val="20"/>
    </w:rPr>
  </w:style>
  <w:style w:type="character" w:styleId="FootnoteReference">
    <w:name w:val="footnote reference"/>
    <w:basedOn w:val="DefaultParagraphFont"/>
    <w:uiPriority w:val="99"/>
    <w:semiHidden/>
    <w:unhideWhenUsed/>
    <w:rsid w:val="009D26F8"/>
    <w:rPr>
      <w:vertAlign w:val="superscript"/>
    </w:rPr>
  </w:style>
  <w:style w:type="paragraph" w:styleId="ListParagraph">
    <w:name w:val="List Paragraph"/>
    <w:aliases w:val="Titre1"/>
    <w:basedOn w:val="Normal"/>
    <w:link w:val="ListParagraphChar"/>
    <w:uiPriority w:val="34"/>
    <w:qFormat/>
    <w:rsid w:val="009D26F8"/>
    <w:pPr>
      <w:ind w:left="720"/>
      <w:contextualSpacing/>
    </w:pPr>
    <w:rPr>
      <w:rFonts w:ascii="Calibri" w:eastAsia="Calibri" w:hAnsi="Calibri" w:cs="Times New Roman"/>
    </w:rPr>
  </w:style>
  <w:style w:type="table" w:styleId="TableGrid">
    <w:name w:val="Table Grid"/>
    <w:basedOn w:val="TableNormal"/>
    <w:uiPriority w:val="59"/>
    <w:rsid w:val="00FE2C6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E13A2"/>
    <w:rPr>
      <w:color w:val="0000FF" w:themeColor="hyperlink"/>
      <w:u w:val="single"/>
    </w:rPr>
  </w:style>
  <w:style w:type="paragraph" w:styleId="BalloonText">
    <w:name w:val="Balloon Text"/>
    <w:basedOn w:val="Normal"/>
    <w:link w:val="BalloonTextChar"/>
    <w:uiPriority w:val="99"/>
    <w:semiHidden/>
    <w:unhideWhenUsed/>
    <w:rsid w:val="00292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25F6"/>
    <w:rPr>
      <w:rFonts w:ascii="Tahoma" w:hAnsi="Tahoma" w:cs="Tahoma"/>
      <w:sz w:val="16"/>
      <w:szCs w:val="16"/>
    </w:rPr>
  </w:style>
  <w:style w:type="character" w:styleId="CommentReference">
    <w:name w:val="annotation reference"/>
    <w:basedOn w:val="DefaultParagraphFont"/>
    <w:uiPriority w:val="99"/>
    <w:semiHidden/>
    <w:unhideWhenUsed/>
    <w:rsid w:val="002218B6"/>
    <w:rPr>
      <w:sz w:val="16"/>
      <w:szCs w:val="16"/>
    </w:rPr>
  </w:style>
  <w:style w:type="paragraph" w:styleId="CommentText">
    <w:name w:val="annotation text"/>
    <w:basedOn w:val="Normal"/>
    <w:link w:val="CommentTextChar"/>
    <w:uiPriority w:val="99"/>
    <w:semiHidden/>
    <w:unhideWhenUsed/>
    <w:rsid w:val="002218B6"/>
    <w:pPr>
      <w:spacing w:line="240" w:lineRule="auto"/>
    </w:pPr>
    <w:rPr>
      <w:sz w:val="20"/>
      <w:szCs w:val="20"/>
    </w:rPr>
  </w:style>
  <w:style w:type="character" w:customStyle="1" w:styleId="CommentTextChar">
    <w:name w:val="Comment Text Char"/>
    <w:basedOn w:val="DefaultParagraphFont"/>
    <w:link w:val="CommentText"/>
    <w:uiPriority w:val="99"/>
    <w:semiHidden/>
    <w:rsid w:val="002218B6"/>
    <w:rPr>
      <w:sz w:val="20"/>
      <w:szCs w:val="20"/>
    </w:rPr>
  </w:style>
  <w:style w:type="paragraph" w:styleId="CommentSubject">
    <w:name w:val="annotation subject"/>
    <w:basedOn w:val="CommentText"/>
    <w:next w:val="CommentText"/>
    <w:link w:val="CommentSubjectChar"/>
    <w:uiPriority w:val="99"/>
    <w:semiHidden/>
    <w:unhideWhenUsed/>
    <w:rsid w:val="002218B6"/>
    <w:rPr>
      <w:b/>
      <w:bCs/>
    </w:rPr>
  </w:style>
  <w:style w:type="character" w:customStyle="1" w:styleId="CommentSubjectChar">
    <w:name w:val="Comment Subject Char"/>
    <w:basedOn w:val="CommentTextChar"/>
    <w:link w:val="CommentSubject"/>
    <w:uiPriority w:val="99"/>
    <w:semiHidden/>
    <w:rsid w:val="002218B6"/>
    <w:rPr>
      <w:b/>
      <w:bCs/>
      <w:sz w:val="20"/>
      <w:szCs w:val="20"/>
    </w:rPr>
  </w:style>
  <w:style w:type="character" w:customStyle="1" w:styleId="ListParagraphChar">
    <w:name w:val="List Paragraph Char"/>
    <w:aliases w:val="Titre1 Char"/>
    <w:basedOn w:val="DefaultParagraphFont"/>
    <w:link w:val="ListParagraph"/>
    <w:uiPriority w:val="34"/>
    <w:locked/>
    <w:rsid w:val="00D015F4"/>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51C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51C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B527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B694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CD6"/>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B51CD6"/>
    <w:pPr>
      <w:spacing w:after="0" w:line="240" w:lineRule="auto"/>
    </w:pPr>
  </w:style>
  <w:style w:type="character" w:customStyle="1" w:styleId="Heading2Char">
    <w:name w:val="Heading 2 Char"/>
    <w:basedOn w:val="DefaultParagraphFont"/>
    <w:link w:val="Heading2"/>
    <w:uiPriority w:val="9"/>
    <w:rsid w:val="00B51C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B527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0B694A"/>
    <w:rPr>
      <w:rFonts w:asciiTheme="majorHAnsi" w:eastAsiaTheme="majorEastAsia" w:hAnsiTheme="majorHAnsi" w:cstheme="majorBidi"/>
      <w:b/>
      <w:bCs/>
      <w:i/>
      <w:iCs/>
      <w:color w:val="4F81BD" w:themeColor="accent1"/>
    </w:rPr>
  </w:style>
  <w:style w:type="character" w:customStyle="1" w:styleId="NoSpacingChar">
    <w:name w:val="No Spacing Char"/>
    <w:basedOn w:val="DefaultParagraphFont"/>
    <w:link w:val="NoSpacing"/>
    <w:uiPriority w:val="1"/>
    <w:rsid w:val="00D52BC4"/>
  </w:style>
  <w:style w:type="paragraph" w:styleId="FootnoteText">
    <w:name w:val="footnote text"/>
    <w:basedOn w:val="Normal"/>
    <w:link w:val="FootnoteTextChar"/>
    <w:uiPriority w:val="99"/>
    <w:semiHidden/>
    <w:unhideWhenUsed/>
    <w:rsid w:val="009D26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26F8"/>
    <w:rPr>
      <w:sz w:val="20"/>
      <w:szCs w:val="20"/>
    </w:rPr>
  </w:style>
  <w:style w:type="character" w:styleId="FootnoteReference">
    <w:name w:val="footnote reference"/>
    <w:basedOn w:val="DefaultParagraphFont"/>
    <w:uiPriority w:val="99"/>
    <w:semiHidden/>
    <w:unhideWhenUsed/>
    <w:rsid w:val="009D26F8"/>
    <w:rPr>
      <w:vertAlign w:val="superscript"/>
    </w:rPr>
  </w:style>
  <w:style w:type="paragraph" w:styleId="ListParagraph">
    <w:name w:val="List Paragraph"/>
    <w:aliases w:val="Titre1"/>
    <w:basedOn w:val="Normal"/>
    <w:link w:val="ListParagraphChar"/>
    <w:uiPriority w:val="34"/>
    <w:qFormat/>
    <w:rsid w:val="009D26F8"/>
    <w:pPr>
      <w:ind w:left="720"/>
      <w:contextualSpacing/>
    </w:pPr>
    <w:rPr>
      <w:rFonts w:ascii="Calibri" w:eastAsia="Calibri" w:hAnsi="Calibri" w:cs="Times New Roman"/>
    </w:rPr>
  </w:style>
  <w:style w:type="table" w:styleId="TableGrid">
    <w:name w:val="Table Grid"/>
    <w:basedOn w:val="TableNormal"/>
    <w:uiPriority w:val="59"/>
    <w:rsid w:val="00FE2C6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E13A2"/>
    <w:rPr>
      <w:color w:val="0000FF" w:themeColor="hyperlink"/>
      <w:u w:val="single"/>
    </w:rPr>
  </w:style>
  <w:style w:type="paragraph" w:styleId="BalloonText">
    <w:name w:val="Balloon Text"/>
    <w:basedOn w:val="Normal"/>
    <w:link w:val="BalloonTextChar"/>
    <w:uiPriority w:val="99"/>
    <w:semiHidden/>
    <w:unhideWhenUsed/>
    <w:rsid w:val="00292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25F6"/>
    <w:rPr>
      <w:rFonts w:ascii="Tahoma" w:hAnsi="Tahoma" w:cs="Tahoma"/>
      <w:sz w:val="16"/>
      <w:szCs w:val="16"/>
    </w:rPr>
  </w:style>
  <w:style w:type="character" w:styleId="CommentReference">
    <w:name w:val="annotation reference"/>
    <w:basedOn w:val="DefaultParagraphFont"/>
    <w:uiPriority w:val="99"/>
    <w:semiHidden/>
    <w:unhideWhenUsed/>
    <w:rsid w:val="002218B6"/>
    <w:rPr>
      <w:sz w:val="16"/>
      <w:szCs w:val="16"/>
    </w:rPr>
  </w:style>
  <w:style w:type="paragraph" w:styleId="CommentText">
    <w:name w:val="annotation text"/>
    <w:basedOn w:val="Normal"/>
    <w:link w:val="CommentTextChar"/>
    <w:uiPriority w:val="99"/>
    <w:semiHidden/>
    <w:unhideWhenUsed/>
    <w:rsid w:val="002218B6"/>
    <w:pPr>
      <w:spacing w:line="240" w:lineRule="auto"/>
    </w:pPr>
    <w:rPr>
      <w:sz w:val="20"/>
      <w:szCs w:val="20"/>
    </w:rPr>
  </w:style>
  <w:style w:type="character" w:customStyle="1" w:styleId="CommentTextChar">
    <w:name w:val="Comment Text Char"/>
    <w:basedOn w:val="DefaultParagraphFont"/>
    <w:link w:val="CommentText"/>
    <w:uiPriority w:val="99"/>
    <w:semiHidden/>
    <w:rsid w:val="002218B6"/>
    <w:rPr>
      <w:sz w:val="20"/>
      <w:szCs w:val="20"/>
    </w:rPr>
  </w:style>
  <w:style w:type="paragraph" w:styleId="CommentSubject">
    <w:name w:val="annotation subject"/>
    <w:basedOn w:val="CommentText"/>
    <w:next w:val="CommentText"/>
    <w:link w:val="CommentSubjectChar"/>
    <w:uiPriority w:val="99"/>
    <w:semiHidden/>
    <w:unhideWhenUsed/>
    <w:rsid w:val="002218B6"/>
    <w:rPr>
      <w:b/>
      <w:bCs/>
    </w:rPr>
  </w:style>
  <w:style w:type="character" w:customStyle="1" w:styleId="CommentSubjectChar">
    <w:name w:val="Comment Subject Char"/>
    <w:basedOn w:val="CommentTextChar"/>
    <w:link w:val="CommentSubject"/>
    <w:uiPriority w:val="99"/>
    <w:semiHidden/>
    <w:rsid w:val="002218B6"/>
    <w:rPr>
      <w:b/>
      <w:bCs/>
      <w:sz w:val="20"/>
      <w:szCs w:val="20"/>
    </w:rPr>
  </w:style>
  <w:style w:type="character" w:customStyle="1" w:styleId="ListParagraphChar">
    <w:name w:val="List Paragraph Char"/>
    <w:aliases w:val="Titre1 Char"/>
    <w:basedOn w:val="DefaultParagraphFont"/>
    <w:link w:val="ListParagraph"/>
    <w:uiPriority w:val="34"/>
    <w:locked/>
    <w:rsid w:val="00D015F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331818">
      <w:bodyDiv w:val="1"/>
      <w:marLeft w:val="0"/>
      <w:marRight w:val="0"/>
      <w:marTop w:val="0"/>
      <w:marBottom w:val="0"/>
      <w:divBdr>
        <w:top w:val="none" w:sz="0" w:space="0" w:color="auto"/>
        <w:left w:val="none" w:sz="0" w:space="0" w:color="auto"/>
        <w:bottom w:val="none" w:sz="0" w:space="0" w:color="auto"/>
        <w:right w:val="none" w:sz="0" w:space="0" w:color="auto"/>
      </w:divBdr>
    </w:div>
    <w:div w:id="617881173">
      <w:bodyDiv w:val="1"/>
      <w:marLeft w:val="0"/>
      <w:marRight w:val="0"/>
      <w:marTop w:val="0"/>
      <w:marBottom w:val="0"/>
      <w:divBdr>
        <w:top w:val="none" w:sz="0" w:space="0" w:color="auto"/>
        <w:left w:val="none" w:sz="0" w:space="0" w:color="auto"/>
        <w:bottom w:val="none" w:sz="0" w:space="0" w:color="auto"/>
        <w:right w:val="none" w:sz="0" w:space="0" w:color="auto"/>
      </w:divBdr>
    </w:div>
    <w:div w:id="624241279">
      <w:bodyDiv w:val="1"/>
      <w:marLeft w:val="0"/>
      <w:marRight w:val="0"/>
      <w:marTop w:val="0"/>
      <w:marBottom w:val="0"/>
      <w:divBdr>
        <w:top w:val="none" w:sz="0" w:space="0" w:color="auto"/>
        <w:left w:val="none" w:sz="0" w:space="0" w:color="auto"/>
        <w:bottom w:val="none" w:sz="0" w:space="0" w:color="auto"/>
        <w:right w:val="none" w:sz="0" w:space="0" w:color="auto"/>
      </w:divBdr>
    </w:div>
    <w:div w:id="797917993">
      <w:bodyDiv w:val="1"/>
      <w:marLeft w:val="0"/>
      <w:marRight w:val="0"/>
      <w:marTop w:val="0"/>
      <w:marBottom w:val="0"/>
      <w:divBdr>
        <w:top w:val="none" w:sz="0" w:space="0" w:color="auto"/>
        <w:left w:val="none" w:sz="0" w:space="0" w:color="auto"/>
        <w:bottom w:val="none" w:sz="0" w:space="0" w:color="auto"/>
        <w:right w:val="none" w:sz="0" w:space="0" w:color="auto"/>
      </w:divBdr>
    </w:div>
    <w:div w:id="809634200">
      <w:bodyDiv w:val="1"/>
      <w:marLeft w:val="0"/>
      <w:marRight w:val="0"/>
      <w:marTop w:val="0"/>
      <w:marBottom w:val="0"/>
      <w:divBdr>
        <w:top w:val="none" w:sz="0" w:space="0" w:color="auto"/>
        <w:left w:val="none" w:sz="0" w:space="0" w:color="auto"/>
        <w:bottom w:val="none" w:sz="0" w:space="0" w:color="auto"/>
        <w:right w:val="none" w:sz="0" w:space="0" w:color="auto"/>
      </w:divBdr>
    </w:div>
    <w:div w:id="1197428436">
      <w:bodyDiv w:val="1"/>
      <w:marLeft w:val="0"/>
      <w:marRight w:val="0"/>
      <w:marTop w:val="0"/>
      <w:marBottom w:val="0"/>
      <w:divBdr>
        <w:top w:val="none" w:sz="0" w:space="0" w:color="auto"/>
        <w:left w:val="none" w:sz="0" w:space="0" w:color="auto"/>
        <w:bottom w:val="none" w:sz="0" w:space="0" w:color="auto"/>
        <w:right w:val="none" w:sz="0" w:space="0" w:color="auto"/>
      </w:divBdr>
      <w:divsChild>
        <w:div w:id="193230043">
          <w:marLeft w:val="288"/>
          <w:marRight w:val="0"/>
          <w:marTop w:val="115"/>
          <w:marBottom w:val="0"/>
          <w:divBdr>
            <w:top w:val="none" w:sz="0" w:space="0" w:color="auto"/>
            <w:left w:val="none" w:sz="0" w:space="0" w:color="auto"/>
            <w:bottom w:val="none" w:sz="0" w:space="0" w:color="auto"/>
            <w:right w:val="none" w:sz="0" w:space="0" w:color="auto"/>
          </w:divBdr>
        </w:div>
        <w:div w:id="1813401857">
          <w:marLeft w:val="288"/>
          <w:marRight w:val="0"/>
          <w:marTop w:val="115"/>
          <w:marBottom w:val="0"/>
          <w:divBdr>
            <w:top w:val="none" w:sz="0" w:space="0" w:color="auto"/>
            <w:left w:val="none" w:sz="0" w:space="0" w:color="auto"/>
            <w:bottom w:val="none" w:sz="0" w:space="0" w:color="auto"/>
            <w:right w:val="none" w:sz="0" w:space="0" w:color="auto"/>
          </w:divBdr>
        </w:div>
        <w:div w:id="1389722692">
          <w:marLeft w:val="288"/>
          <w:marRight w:val="0"/>
          <w:marTop w:val="115"/>
          <w:marBottom w:val="0"/>
          <w:divBdr>
            <w:top w:val="none" w:sz="0" w:space="0" w:color="auto"/>
            <w:left w:val="none" w:sz="0" w:space="0" w:color="auto"/>
            <w:bottom w:val="none" w:sz="0" w:space="0" w:color="auto"/>
            <w:right w:val="none" w:sz="0" w:space="0" w:color="auto"/>
          </w:divBdr>
        </w:div>
        <w:div w:id="618536950">
          <w:marLeft w:val="288"/>
          <w:marRight w:val="0"/>
          <w:marTop w:val="115"/>
          <w:marBottom w:val="0"/>
          <w:divBdr>
            <w:top w:val="none" w:sz="0" w:space="0" w:color="auto"/>
            <w:left w:val="none" w:sz="0" w:space="0" w:color="auto"/>
            <w:bottom w:val="none" w:sz="0" w:space="0" w:color="auto"/>
            <w:right w:val="none" w:sz="0" w:space="0" w:color="auto"/>
          </w:divBdr>
        </w:div>
        <w:div w:id="1364477151">
          <w:marLeft w:val="288"/>
          <w:marRight w:val="0"/>
          <w:marTop w:val="115"/>
          <w:marBottom w:val="0"/>
          <w:divBdr>
            <w:top w:val="none" w:sz="0" w:space="0" w:color="auto"/>
            <w:left w:val="none" w:sz="0" w:space="0" w:color="auto"/>
            <w:bottom w:val="none" w:sz="0" w:space="0" w:color="auto"/>
            <w:right w:val="none" w:sz="0" w:space="0" w:color="auto"/>
          </w:divBdr>
        </w:div>
      </w:divsChild>
    </w:div>
    <w:div w:id="2135051452">
      <w:bodyDiv w:val="1"/>
      <w:marLeft w:val="0"/>
      <w:marRight w:val="0"/>
      <w:marTop w:val="0"/>
      <w:marBottom w:val="0"/>
      <w:divBdr>
        <w:top w:val="none" w:sz="0" w:space="0" w:color="auto"/>
        <w:left w:val="none" w:sz="0" w:space="0" w:color="auto"/>
        <w:bottom w:val="none" w:sz="0" w:space="0" w:color="auto"/>
        <w:right w:val="none" w:sz="0" w:space="0" w:color="auto"/>
      </w:divBdr>
      <w:divsChild>
        <w:div w:id="1157575446">
          <w:marLeft w:val="806"/>
          <w:marRight w:val="0"/>
          <w:marTop w:val="96"/>
          <w:marBottom w:val="0"/>
          <w:divBdr>
            <w:top w:val="none" w:sz="0" w:space="0" w:color="auto"/>
            <w:left w:val="none" w:sz="0" w:space="0" w:color="auto"/>
            <w:bottom w:val="none" w:sz="0" w:space="0" w:color="auto"/>
            <w:right w:val="none" w:sz="0" w:space="0" w:color="auto"/>
          </w:divBdr>
        </w:div>
        <w:div w:id="1064839194">
          <w:marLeft w:val="1354"/>
          <w:marRight w:val="0"/>
          <w:marTop w:val="86"/>
          <w:marBottom w:val="0"/>
          <w:divBdr>
            <w:top w:val="none" w:sz="0" w:space="0" w:color="auto"/>
            <w:left w:val="none" w:sz="0" w:space="0" w:color="auto"/>
            <w:bottom w:val="none" w:sz="0" w:space="0" w:color="auto"/>
            <w:right w:val="none" w:sz="0" w:space="0" w:color="auto"/>
          </w:divBdr>
        </w:div>
        <w:div w:id="419915448">
          <w:marLeft w:val="1354"/>
          <w:marRight w:val="0"/>
          <w:marTop w:val="86"/>
          <w:marBottom w:val="0"/>
          <w:divBdr>
            <w:top w:val="none" w:sz="0" w:space="0" w:color="auto"/>
            <w:left w:val="none" w:sz="0" w:space="0" w:color="auto"/>
            <w:bottom w:val="none" w:sz="0" w:space="0" w:color="auto"/>
            <w:right w:val="none" w:sz="0" w:space="0" w:color="auto"/>
          </w:divBdr>
        </w:div>
        <w:div w:id="2073773839">
          <w:marLeft w:val="806"/>
          <w:marRight w:val="0"/>
          <w:marTop w:val="96"/>
          <w:marBottom w:val="0"/>
          <w:divBdr>
            <w:top w:val="none" w:sz="0" w:space="0" w:color="auto"/>
            <w:left w:val="none" w:sz="0" w:space="0" w:color="auto"/>
            <w:bottom w:val="none" w:sz="0" w:space="0" w:color="auto"/>
            <w:right w:val="none" w:sz="0" w:space="0" w:color="auto"/>
          </w:divBdr>
        </w:div>
        <w:div w:id="539055064">
          <w:marLeft w:val="1354"/>
          <w:marRight w:val="0"/>
          <w:marTop w:val="86"/>
          <w:marBottom w:val="0"/>
          <w:divBdr>
            <w:top w:val="none" w:sz="0" w:space="0" w:color="auto"/>
            <w:left w:val="none" w:sz="0" w:space="0" w:color="auto"/>
            <w:bottom w:val="none" w:sz="0" w:space="0" w:color="auto"/>
            <w:right w:val="none" w:sz="0" w:space="0" w:color="auto"/>
          </w:divBdr>
        </w:div>
        <w:div w:id="1083144192">
          <w:marLeft w:val="1354"/>
          <w:marRight w:val="0"/>
          <w:marTop w:val="86"/>
          <w:marBottom w:val="0"/>
          <w:divBdr>
            <w:top w:val="none" w:sz="0" w:space="0" w:color="auto"/>
            <w:left w:val="none" w:sz="0" w:space="0" w:color="auto"/>
            <w:bottom w:val="none" w:sz="0" w:space="0" w:color="auto"/>
            <w:right w:val="none" w:sz="0" w:space="0" w:color="auto"/>
          </w:divBdr>
        </w:div>
        <w:div w:id="474639203">
          <w:marLeft w:val="806"/>
          <w:marRight w:val="0"/>
          <w:marTop w:val="96"/>
          <w:marBottom w:val="0"/>
          <w:divBdr>
            <w:top w:val="none" w:sz="0" w:space="0" w:color="auto"/>
            <w:left w:val="none" w:sz="0" w:space="0" w:color="auto"/>
            <w:bottom w:val="none" w:sz="0" w:space="0" w:color="auto"/>
            <w:right w:val="none" w:sz="0" w:space="0" w:color="auto"/>
          </w:divBdr>
        </w:div>
        <w:div w:id="1012076115">
          <w:marLeft w:val="1354"/>
          <w:marRight w:val="0"/>
          <w:marTop w:val="86"/>
          <w:marBottom w:val="0"/>
          <w:divBdr>
            <w:top w:val="none" w:sz="0" w:space="0" w:color="auto"/>
            <w:left w:val="none" w:sz="0" w:space="0" w:color="auto"/>
            <w:bottom w:val="none" w:sz="0" w:space="0" w:color="auto"/>
            <w:right w:val="none" w:sz="0" w:space="0" w:color="auto"/>
          </w:divBdr>
        </w:div>
        <w:div w:id="482506687">
          <w:marLeft w:val="1354"/>
          <w:marRight w:val="0"/>
          <w:marTop w:val="86"/>
          <w:marBottom w:val="0"/>
          <w:divBdr>
            <w:top w:val="none" w:sz="0" w:space="0" w:color="auto"/>
            <w:left w:val="none" w:sz="0" w:space="0" w:color="auto"/>
            <w:bottom w:val="none" w:sz="0" w:space="0" w:color="auto"/>
            <w:right w:val="none" w:sz="0" w:space="0" w:color="auto"/>
          </w:divBdr>
        </w:div>
        <w:div w:id="1421634848">
          <w:marLeft w:val="1354"/>
          <w:marRight w:val="0"/>
          <w:marTop w:val="86"/>
          <w:marBottom w:val="0"/>
          <w:divBdr>
            <w:top w:val="none" w:sz="0" w:space="0" w:color="auto"/>
            <w:left w:val="none" w:sz="0" w:space="0" w:color="auto"/>
            <w:bottom w:val="none" w:sz="0" w:space="0" w:color="auto"/>
            <w:right w:val="none" w:sz="0" w:space="0" w:color="auto"/>
          </w:divBdr>
        </w:div>
        <w:div w:id="1602882759">
          <w:marLeft w:val="806"/>
          <w:marRight w:val="0"/>
          <w:marTop w:val="96"/>
          <w:marBottom w:val="0"/>
          <w:divBdr>
            <w:top w:val="none" w:sz="0" w:space="0" w:color="auto"/>
            <w:left w:val="none" w:sz="0" w:space="0" w:color="auto"/>
            <w:bottom w:val="none" w:sz="0" w:space="0" w:color="auto"/>
            <w:right w:val="none" w:sz="0" w:space="0" w:color="auto"/>
          </w:divBdr>
        </w:div>
        <w:div w:id="1507481081">
          <w:marLeft w:val="1354"/>
          <w:marRight w:val="0"/>
          <w:marTop w:val="86"/>
          <w:marBottom w:val="0"/>
          <w:divBdr>
            <w:top w:val="none" w:sz="0" w:space="0" w:color="auto"/>
            <w:left w:val="none" w:sz="0" w:space="0" w:color="auto"/>
            <w:bottom w:val="none" w:sz="0" w:space="0" w:color="auto"/>
            <w:right w:val="none" w:sz="0" w:space="0" w:color="auto"/>
          </w:divBdr>
        </w:div>
        <w:div w:id="684555458">
          <w:marLeft w:val="1354"/>
          <w:marRight w:val="0"/>
          <w:marTop w:val="86"/>
          <w:marBottom w:val="0"/>
          <w:divBdr>
            <w:top w:val="none" w:sz="0" w:space="0" w:color="auto"/>
            <w:left w:val="none" w:sz="0" w:space="0" w:color="auto"/>
            <w:bottom w:val="none" w:sz="0" w:space="0" w:color="auto"/>
            <w:right w:val="none" w:sz="0" w:space="0" w:color="auto"/>
          </w:divBdr>
        </w:div>
        <w:div w:id="282615177">
          <w:marLeft w:val="1354"/>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5184F7-30E4-400C-B3C2-C34AFCB55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4501</Words>
  <Characters>25657</Characters>
  <Application>Microsoft Office Word</Application>
  <DocSecurity>0</DocSecurity>
  <Lines>213</Lines>
  <Paragraphs>60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30098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MEYER, Claude</cp:lastModifiedBy>
  <cp:revision>2</cp:revision>
  <dcterms:created xsi:type="dcterms:W3CDTF">2013-08-15T14:11:00Z</dcterms:created>
  <dcterms:modified xsi:type="dcterms:W3CDTF">2013-08-15T14:11:00Z</dcterms:modified>
</cp:coreProperties>
</file>