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1596" w:rsidRPr="002E07C5" w:rsidRDefault="000913DF" w:rsidP="002E07C5">
      <w:pPr>
        <w:jc w:val="center"/>
        <w:rPr>
          <w:rFonts w:cs="Arial"/>
          <w:b/>
          <w:sz w:val="28"/>
          <w:szCs w:val="28"/>
        </w:rPr>
      </w:pPr>
      <w:r w:rsidRPr="002E07C5">
        <w:rPr>
          <w:rFonts w:cs="Arial"/>
          <w:b/>
          <w:sz w:val="28"/>
          <w:szCs w:val="28"/>
        </w:rPr>
        <w:t>Tanzania Health Financing Strategy</w:t>
      </w:r>
      <w:r w:rsidR="00D977E1" w:rsidRPr="002E07C5">
        <w:rPr>
          <w:rFonts w:cs="Arial"/>
          <w:b/>
          <w:sz w:val="28"/>
          <w:szCs w:val="28"/>
        </w:rPr>
        <w:t xml:space="preserve"> 2014-2025</w:t>
      </w:r>
    </w:p>
    <w:p w:rsidR="00A6781D" w:rsidRDefault="00D977E1" w:rsidP="002E07C5">
      <w:pPr>
        <w:jc w:val="center"/>
        <w:rPr>
          <w:rFonts w:cs="Arial"/>
          <w:b/>
          <w:sz w:val="28"/>
          <w:szCs w:val="28"/>
        </w:rPr>
      </w:pPr>
      <w:r w:rsidRPr="002E07C5">
        <w:rPr>
          <w:rFonts w:cs="Arial"/>
          <w:b/>
          <w:sz w:val="28"/>
          <w:szCs w:val="28"/>
        </w:rPr>
        <w:t>On the</w:t>
      </w:r>
      <w:r w:rsidR="00B14C64" w:rsidRPr="002E07C5">
        <w:rPr>
          <w:rFonts w:cs="Arial"/>
          <w:b/>
          <w:sz w:val="28"/>
          <w:szCs w:val="28"/>
        </w:rPr>
        <w:t xml:space="preserve"> Path towards Universal Health Coverage</w:t>
      </w:r>
    </w:p>
    <w:p w:rsidR="00193D08" w:rsidRDefault="00193D08" w:rsidP="002E07C5">
      <w:pPr>
        <w:jc w:val="center"/>
        <w:rPr>
          <w:rFonts w:cs="Arial"/>
          <w:b/>
          <w:sz w:val="28"/>
          <w:szCs w:val="28"/>
        </w:rPr>
      </w:pPr>
    </w:p>
    <w:p w:rsidR="006370CC" w:rsidRPr="00490D91" w:rsidRDefault="00490D91" w:rsidP="00B94188">
      <w:pPr>
        <w:jc w:val="center"/>
        <w:rPr>
          <w:rFonts w:cs="Arial"/>
          <w:b/>
          <w:sz w:val="28"/>
          <w:szCs w:val="28"/>
        </w:rPr>
      </w:pPr>
      <w:r w:rsidRPr="00490D91">
        <w:rPr>
          <w:rFonts w:cs="Arial"/>
          <w:b/>
          <w:sz w:val="28"/>
          <w:szCs w:val="28"/>
        </w:rPr>
        <w:t>November</w:t>
      </w:r>
      <w:r>
        <w:rPr>
          <w:rFonts w:cs="Arial"/>
          <w:b/>
          <w:sz w:val="28"/>
          <w:szCs w:val="28"/>
        </w:rPr>
        <w:t xml:space="preserve"> 2014</w:t>
      </w: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202820" w:rsidRDefault="00202820" w:rsidP="002E07C5">
      <w:pPr>
        <w:jc w:val="center"/>
        <w:rPr>
          <w:rFonts w:cs="Arial"/>
          <w:b/>
          <w:sz w:val="28"/>
          <w:szCs w:val="28"/>
        </w:rPr>
      </w:pPr>
    </w:p>
    <w:p w:rsidR="00193D08" w:rsidRPr="00EB4F0C" w:rsidRDefault="00193D08" w:rsidP="00193D08">
      <w:pPr>
        <w:pStyle w:val="Title"/>
      </w:pPr>
      <w:r w:rsidRPr="00EB4F0C">
        <w:t>Preface</w:t>
      </w:r>
    </w:p>
    <w:p w:rsidR="00193D08" w:rsidRPr="00EB4F0C" w:rsidRDefault="00193D08" w:rsidP="00193D08">
      <w:pPr>
        <w:pStyle w:val="Title"/>
      </w:pPr>
      <w:r w:rsidRPr="00EB4F0C">
        <w:t>Acknowledgement</w:t>
      </w:r>
    </w:p>
    <w:p w:rsidR="00193D08" w:rsidRDefault="00193D08">
      <w:pPr>
        <w:spacing w:after="200"/>
        <w:jc w:val="left"/>
        <w:rPr>
          <w:rFonts w:asciiTheme="majorHAnsi" w:eastAsiaTheme="majorEastAsia" w:hAnsiTheme="majorHAnsi" w:cstheme="majorBidi"/>
          <w:color w:val="17365D" w:themeColor="text2" w:themeShade="BF"/>
          <w:spacing w:val="5"/>
          <w:kern w:val="28"/>
          <w:sz w:val="32"/>
          <w:szCs w:val="52"/>
        </w:rPr>
      </w:pPr>
      <w:r>
        <w:br w:type="page"/>
      </w:r>
    </w:p>
    <w:p w:rsidR="00193D08" w:rsidRPr="00EB4F0C" w:rsidRDefault="00193D08" w:rsidP="00193D08">
      <w:pPr>
        <w:pStyle w:val="Title"/>
      </w:pPr>
      <w:r w:rsidRPr="00EB4F0C">
        <w:lastRenderedPageBreak/>
        <w:t>Acronyms</w:t>
      </w:r>
      <w:r w:rsidR="008158F0">
        <w:t xml:space="preserve"> </w:t>
      </w:r>
      <w:r w:rsidR="008158F0" w:rsidRPr="008158F0">
        <w:rPr>
          <w:highlight w:val="yellow"/>
        </w:rPr>
        <w:t>(incomplete)</w:t>
      </w:r>
    </w:p>
    <w:p w:rsidR="00193D08" w:rsidRPr="00193D08" w:rsidRDefault="00193D08" w:rsidP="00193D08">
      <w:pPr>
        <w:rPr>
          <w:sz w:val="22"/>
        </w:rPr>
      </w:pPr>
      <w:r w:rsidRPr="00193D08">
        <w:rPr>
          <w:sz w:val="22"/>
        </w:rPr>
        <w:t>CBHI</w:t>
      </w:r>
      <w:r w:rsidRPr="00193D08">
        <w:rPr>
          <w:sz w:val="22"/>
        </w:rPr>
        <w:tab/>
      </w:r>
      <w:r w:rsidRPr="00193D08">
        <w:rPr>
          <w:sz w:val="22"/>
        </w:rPr>
        <w:tab/>
      </w:r>
      <w:r w:rsidRPr="00193D08">
        <w:rPr>
          <w:sz w:val="22"/>
        </w:rPr>
        <w:tab/>
        <w:t>Community-based health insurance</w:t>
      </w:r>
    </w:p>
    <w:p w:rsidR="000F236E" w:rsidRDefault="000F236E" w:rsidP="00193D08">
      <w:pPr>
        <w:rPr>
          <w:sz w:val="22"/>
        </w:rPr>
      </w:pPr>
      <w:r>
        <w:rPr>
          <w:sz w:val="22"/>
        </w:rPr>
        <w:t>CCHP</w:t>
      </w:r>
      <w:r>
        <w:rPr>
          <w:sz w:val="22"/>
        </w:rPr>
        <w:tab/>
      </w:r>
      <w:r>
        <w:rPr>
          <w:sz w:val="22"/>
        </w:rPr>
        <w:tab/>
      </w:r>
      <w:r>
        <w:rPr>
          <w:sz w:val="22"/>
        </w:rPr>
        <w:tab/>
        <w:t>Comprehensive Council Health Plan</w:t>
      </w:r>
    </w:p>
    <w:p w:rsidR="00193D08" w:rsidRPr="00193D08" w:rsidRDefault="00193D08" w:rsidP="00193D08">
      <w:pPr>
        <w:rPr>
          <w:sz w:val="22"/>
        </w:rPr>
      </w:pPr>
      <w:r w:rsidRPr="00193D08">
        <w:rPr>
          <w:sz w:val="22"/>
        </w:rPr>
        <w:t>CHF</w:t>
      </w:r>
      <w:r w:rsidRPr="00193D08">
        <w:rPr>
          <w:sz w:val="22"/>
        </w:rPr>
        <w:tab/>
      </w:r>
      <w:r w:rsidRPr="00193D08">
        <w:rPr>
          <w:sz w:val="22"/>
        </w:rPr>
        <w:tab/>
      </w:r>
      <w:r w:rsidRPr="00193D08">
        <w:rPr>
          <w:sz w:val="22"/>
        </w:rPr>
        <w:tab/>
        <w:t>Community Health Fund</w:t>
      </w:r>
    </w:p>
    <w:p w:rsidR="00193D08" w:rsidRDefault="00193D08" w:rsidP="00193D08">
      <w:pPr>
        <w:rPr>
          <w:sz w:val="22"/>
        </w:rPr>
      </w:pPr>
      <w:r w:rsidRPr="00193D08">
        <w:rPr>
          <w:sz w:val="22"/>
        </w:rPr>
        <w:t>DHIS</w:t>
      </w:r>
      <w:r w:rsidRPr="00193D08">
        <w:rPr>
          <w:sz w:val="22"/>
        </w:rPr>
        <w:tab/>
      </w:r>
      <w:r w:rsidRPr="00193D08">
        <w:rPr>
          <w:sz w:val="22"/>
        </w:rPr>
        <w:tab/>
      </w:r>
      <w:r w:rsidRPr="00193D08">
        <w:rPr>
          <w:sz w:val="22"/>
        </w:rPr>
        <w:tab/>
        <w:t>District Health Information System</w:t>
      </w:r>
    </w:p>
    <w:p w:rsidR="00267347" w:rsidRDefault="00267347" w:rsidP="00193D08">
      <w:pPr>
        <w:rPr>
          <w:sz w:val="22"/>
        </w:rPr>
      </w:pPr>
      <w:r>
        <w:rPr>
          <w:sz w:val="22"/>
        </w:rPr>
        <w:t>DP</w:t>
      </w:r>
      <w:r>
        <w:rPr>
          <w:sz w:val="22"/>
        </w:rPr>
        <w:tab/>
      </w:r>
      <w:r>
        <w:rPr>
          <w:sz w:val="22"/>
        </w:rPr>
        <w:tab/>
      </w:r>
      <w:r>
        <w:rPr>
          <w:sz w:val="22"/>
        </w:rPr>
        <w:tab/>
        <w:t>Development partner(s)</w:t>
      </w:r>
    </w:p>
    <w:p w:rsidR="005E5054" w:rsidRDefault="005E5054" w:rsidP="00193D08">
      <w:pPr>
        <w:rPr>
          <w:sz w:val="22"/>
        </w:rPr>
      </w:pPr>
      <w:r>
        <w:rPr>
          <w:sz w:val="22"/>
        </w:rPr>
        <w:t>FBO</w:t>
      </w:r>
      <w:r w:rsidR="00AB407A">
        <w:rPr>
          <w:sz w:val="22"/>
        </w:rPr>
        <w:tab/>
      </w:r>
      <w:r w:rsidR="00AB407A">
        <w:rPr>
          <w:sz w:val="22"/>
        </w:rPr>
        <w:tab/>
      </w:r>
      <w:r w:rsidR="00AB407A">
        <w:rPr>
          <w:sz w:val="22"/>
        </w:rPr>
        <w:tab/>
        <w:t xml:space="preserve">Faith-Based </w:t>
      </w:r>
      <w:r w:rsidR="00194B83">
        <w:rPr>
          <w:sz w:val="22"/>
        </w:rPr>
        <w:t>Organization</w:t>
      </w:r>
      <w:r w:rsidR="00112E3E">
        <w:rPr>
          <w:sz w:val="22"/>
        </w:rPr>
        <w:t>(</w:t>
      </w:r>
      <w:r w:rsidR="00AB407A">
        <w:rPr>
          <w:sz w:val="22"/>
        </w:rPr>
        <w:t>s</w:t>
      </w:r>
      <w:r w:rsidR="00112E3E">
        <w:rPr>
          <w:sz w:val="22"/>
        </w:rPr>
        <w:t>)</w:t>
      </w:r>
    </w:p>
    <w:p w:rsidR="00FD7171" w:rsidRPr="00193D08" w:rsidRDefault="00FD7171" w:rsidP="00193D08">
      <w:pPr>
        <w:rPr>
          <w:sz w:val="22"/>
        </w:rPr>
      </w:pPr>
      <w:r>
        <w:rPr>
          <w:sz w:val="22"/>
        </w:rPr>
        <w:t>GBS</w:t>
      </w:r>
      <w:r>
        <w:rPr>
          <w:sz w:val="22"/>
        </w:rPr>
        <w:tab/>
      </w:r>
      <w:r>
        <w:rPr>
          <w:sz w:val="22"/>
        </w:rPr>
        <w:tab/>
      </w:r>
      <w:r>
        <w:rPr>
          <w:sz w:val="22"/>
        </w:rPr>
        <w:tab/>
        <w:t>General Budget Support</w:t>
      </w:r>
    </w:p>
    <w:p w:rsidR="00193D08" w:rsidRPr="00193D08" w:rsidRDefault="00193D08" w:rsidP="00193D08">
      <w:pPr>
        <w:rPr>
          <w:sz w:val="22"/>
        </w:rPr>
      </w:pPr>
      <w:r w:rsidRPr="00193D08">
        <w:rPr>
          <w:sz w:val="22"/>
        </w:rPr>
        <w:t>GDP</w:t>
      </w:r>
      <w:r w:rsidRPr="00193D08">
        <w:rPr>
          <w:sz w:val="22"/>
        </w:rPr>
        <w:tab/>
      </w:r>
      <w:r w:rsidRPr="00193D08">
        <w:rPr>
          <w:sz w:val="22"/>
        </w:rPr>
        <w:tab/>
      </w:r>
      <w:r w:rsidRPr="00193D08">
        <w:rPr>
          <w:sz w:val="22"/>
        </w:rPr>
        <w:tab/>
        <w:t>Gross Domestic Product</w:t>
      </w:r>
    </w:p>
    <w:p w:rsidR="00193D08" w:rsidRPr="00193D08" w:rsidRDefault="00193D08" w:rsidP="00193D08">
      <w:pPr>
        <w:rPr>
          <w:sz w:val="22"/>
        </w:rPr>
      </w:pPr>
      <w:r w:rsidRPr="00193D08">
        <w:rPr>
          <w:sz w:val="22"/>
        </w:rPr>
        <w:t>GOT</w:t>
      </w:r>
      <w:r w:rsidRPr="00193D08">
        <w:rPr>
          <w:sz w:val="22"/>
        </w:rPr>
        <w:tab/>
      </w:r>
      <w:r w:rsidRPr="00193D08">
        <w:rPr>
          <w:sz w:val="22"/>
        </w:rPr>
        <w:tab/>
      </w:r>
      <w:r w:rsidRPr="00193D08">
        <w:rPr>
          <w:sz w:val="22"/>
        </w:rPr>
        <w:tab/>
        <w:t>Government of Tanzania</w:t>
      </w:r>
    </w:p>
    <w:p w:rsidR="00193D08" w:rsidRPr="00193D08" w:rsidRDefault="00193D08" w:rsidP="00193D08">
      <w:pPr>
        <w:rPr>
          <w:sz w:val="22"/>
        </w:rPr>
      </w:pPr>
      <w:r w:rsidRPr="00193D08">
        <w:rPr>
          <w:sz w:val="22"/>
        </w:rPr>
        <w:t>HBF</w:t>
      </w:r>
      <w:r w:rsidRPr="00193D08">
        <w:rPr>
          <w:sz w:val="22"/>
        </w:rPr>
        <w:tab/>
      </w:r>
      <w:r w:rsidRPr="00193D08">
        <w:rPr>
          <w:sz w:val="22"/>
        </w:rPr>
        <w:tab/>
      </w:r>
      <w:r w:rsidRPr="00193D08">
        <w:rPr>
          <w:sz w:val="22"/>
        </w:rPr>
        <w:tab/>
        <w:t>Health Basket Fund</w:t>
      </w:r>
    </w:p>
    <w:p w:rsidR="00193D08" w:rsidRPr="00193D08" w:rsidRDefault="00193D08" w:rsidP="00193D08">
      <w:pPr>
        <w:rPr>
          <w:sz w:val="22"/>
        </w:rPr>
      </w:pPr>
      <w:r w:rsidRPr="00193D08">
        <w:rPr>
          <w:sz w:val="22"/>
        </w:rPr>
        <w:t>HFS</w:t>
      </w:r>
      <w:r w:rsidRPr="00193D08">
        <w:rPr>
          <w:sz w:val="22"/>
        </w:rPr>
        <w:tab/>
      </w:r>
      <w:r w:rsidRPr="00193D08">
        <w:rPr>
          <w:sz w:val="22"/>
        </w:rPr>
        <w:tab/>
      </w:r>
      <w:r w:rsidRPr="00193D08">
        <w:rPr>
          <w:sz w:val="22"/>
        </w:rPr>
        <w:tab/>
        <w:t>Health Financing Strategy</w:t>
      </w:r>
    </w:p>
    <w:p w:rsidR="00193D08" w:rsidRPr="00193D08" w:rsidRDefault="00193D08" w:rsidP="00193D08">
      <w:pPr>
        <w:rPr>
          <w:sz w:val="22"/>
        </w:rPr>
      </w:pPr>
      <w:r w:rsidRPr="00193D08">
        <w:rPr>
          <w:sz w:val="22"/>
        </w:rPr>
        <w:t>HMIS</w:t>
      </w:r>
      <w:r w:rsidRPr="00193D08">
        <w:rPr>
          <w:sz w:val="22"/>
        </w:rPr>
        <w:tab/>
      </w:r>
      <w:r w:rsidRPr="00193D08">
        <w:rPr>
          <w:sz w:val="22"/>
        </w:rPr>
        <w:tab/>
      </w:r>
      <w:r w:rsidRPr="00193D08">
        <w:rPr>
          <w:sz w:val="22"/>
        </w:rPr>
        <w:tab/>
        <w:t>Health Management information System</w:t>
      </w:r>
    </w:p>
    <w:p w:rsidR="00193D08" w:rsidRPr="00193D08" w:rsidRDefault="00193D08" w:rsidP="00193D08">
      <w:pPr>
        <w:rPr>
          <w:sz w:val="22"/>
        </w:rPr>
      </w:pPr>
      <w:r w:rsidRPr="00193D08">
        <w:rPr>
          <w:sz w:val="22"/>
        </w:rPr>
        <w:t>HSSP III</w:t>
      </w:r>
      <w:r w:rsidRPr="00193D08">
        <w:rPr>
          <w:sz w:val="22"/>
        </w:rPr>
        <w:tab/>
      </w:r>
      <w:r w:rsidRPr="00193D08">
        <w:rPr>
          <w:sz w:val="22"/>
        </w:rPr>
        <w:tab/>
        <w:t>Health Sector Strategic Plan III (2009-2015)</w:t>
      </w:r>
    </w:p>
    <w:p w:rsidR="00193D08" w:rsidRDefault="00193D08" w:rsidP="00193D08">
      <w:pPr>
        <w:rPr>
          <w:sz w:val="22"/>
        </w:rPr>
      </w:pPr>
      <w:r w:rsidRPr="00193D08">
        <w:rPr>
          <w:sz w:val="22"/>
        </w:rPr>
        <w:t>ISC</w:t>
      </w:r>
      <w:r w:rsidRPr="00193D08">
        <w:rPr>
          <w:sz w:val="22"/>
        </w:rPr>
        <w:tab/>
      </w:r>
      <w:r w:rsidRPr="00193D08">
        <w:rPr>
          <w:sz w:val="22"/>
        </w:rPr>
        <w:tab/>
      </w:r>
      <w:r w:rsidRPr="00193D08">
        <w:rPr>
          <w:sz w:val="22"/>
        </w:rPr>
        <w:tab/>
        <w:t>Inter-ministerial Steering Committee</w:t>
      </w:r>
    </w:p>
    <w:p w:rsidR="008158F0" w:rsidRPr="00193D08" w:rsidRDefault="008158F0" w:rsidP="00193D08">
      <w:pPr>
        <w:rPr>
          <w:sz w:val="22"/>
        </w:rPr>
      </w:pPr>
      <w:r>
        <w:rPr>
          <w:sz w:val="22"/>
        </w:rPr>
        <w:t>LGA</w:t>
      </w:r>
      <w:r>
        <w:rPr>
          <w:sz w:val="22"/>
        </w:rPr>
        <w:tab/>
      </w:r>
      <w:r>
        <w:rPr>
          <w:sz w:val="22"/>
        </w:rPr>
        <w:tab/>
      </w:r>
      <w:r>
        <w:rPr>
          <w:sz w:val="22"/>
        </w:rPr>
        <w:tab/>
        <w:t>Local</w:t>
      </w:r>
      <w:r w:rsidR="00194B83">
        <w:rPr>
          <w:sz w:val="22"/>
        </w:rPr>
        <w:t xml:space="preserve"> Government Authority</w:t>
      </w:r>
    </w:p>
    <w:p w:rsidR="00193D08" w:rsidRPr="00193D08" w:rsidRDefault="00193D08" w:rsidP="00193D08">
      <w:pPr>
        <w:rPr>
          <w:sz w:val="22"/>
        </w:rPr>
      </w:pPr>
      <w:r w:rsidRPr="00193D08">
        <w:rPr>
          <w:sz w:val="22"/>
        </w:rPr>
        <w:t>MBP</w:t>
      </w:r>
      <w:r w:rsidRPr="00193D08">
        <w:rPr>
          <w:sz w:val="22"/>
        </w:rPr>
        <w:tab/>
      </w:r>
      <w:r w:rsidRPr="00193D08">
        <w:rPr>
          <w:sz w:val="22"/>
        </w:rPr>
        <w:tab/>
      </w:r>
      <w:r w:rsidRPr="00193D08">
        <w:rPr>
          <w:sz w:val="22"/>
        </w:rPr>
        <w:tab/>
        <w:t>Minimum Benefit Package</w:t>
      </w:r>
    </w:p>
    <w:p w:rsidR="00193D08" w:rsidRPr="00193D08" w:rsidRDefault="00193D08" w:rsidP="00193D08">
      <w:pPr>
        <w:rPr>
          <w:sz w:val="22"/>
        </w:rPr>
      </w:pPr>
      <w:r w:rsidRPr="00193D08">
        <w:rPr>
          <w:sz w:val="22"/>
        </w:rPr>
        <w:t>MHIS</w:t>
      </w:r>
      <w:r w:rsidRPr="00193D08">
        <w:rPr>
          <w:sz w:val="22"/>
        </w:rPr>
        <w:tab/>
      </w:r>
      <w:r w:rsidRPr="00193D08">
        <w:rPr>
          <w:sz w:val="22"/>
        </w:rPr>
        <w:tab/>
      </w:r>
      <w:r w:rsidRPr="00193D08">
        <w:rPr>
          <w:sz w:val="22"/>
        </w:rPr>
        <w:tab/>
        <w:t>Mutual Health Insurance Scheme</w:t>
      </w:r>
    </w:p>
    <w:p w:rsidR="00193D08" w:rsidRPr="00193D08" w:rsidRDefault="00193D08" w:rsidP="00193D08">
      <w:pPr>
        <w:rPr>
          <w:sz w:val="22"/>
        </w:rPr>
      </w:pPr>
      <w:r w:rsidRPr="00193D08">
        <w:rPr>
          <w:sz w:val="22"/>
        </w:rPr>
        <w:t>MOF</w:t>
      </w:r>
      <w:r w:rsidRPr="00193D08">
        <w:rPr>
          <w:sz w:val="22"/>
        </w:rPr>
        <w:tab/>
      </w:r>
      <w:r w:rsidRPr="00193D08">
        <w:rPr>
          <w:sz w:val="22"/>
        </w:rPr>
        <w:tab/>
      </w:r>
      <w:r w:rsidRPr="00193D08">
        <w:rPr>
          <w:sz w:val="22"/>
        </w:rPr>
        <w:tab/>
        <w:t>Ministry of Finance</w:t>
      </w:r>
    </w:p>
    <w:p w:rsidR="00193D08" w:rsidRDefault="00193D08" w:rsidP="00193D08">
      <w:pPr>
        <w:rPr>
          <w:sz w:val="22"/>
        </w:rPr>
      </w:pPr>
      <w:r w:rsidRPr="00193D08">
        <w:rPr>
          <w:sz w:val="22"/>
        </w:rPr>
        <w:t>MOHSW</w:t>
      </w:r>
      <w:r w:rsidRPr="00193D08">
        <w:rPr>
          <w:sz w:val="22"/>
        </w:rPr>
        <w:tab/>
      </w:r>
      <w:r w:rsidRPr="00193D08">
        <w:rPr>
          <w:sz w:val="22"/>
        </w:rPr>
        <w:tab/>
        <w:t>Ministry of Health &amp; Social Welfare</w:t>
      </w:r>
    </w:p>
    <w:p w:rsidR="00FD7171" w:rsidRPr="00193D08" w:rsidRDefault="00FD7171" w:rsidP="00193D08">
      <w:pPr>
        <w:rPr>
          <w:sz w:val="22"/>
        </w:rPr>
      </w:pPr>
      <w:r>
        <w:rPr>
          <w:sz w:val="22"/>
        </w:rPr>
        <w:t>MTR</w:t>
      </w:r>
      <w:r>
        <w:rPr>
          <w:sz w:val="22"/>
        </w:rPr>
        <w:tab/>
      </w:r>
      <w:r>
        <w:rPr>
          <w:sz w:val="22"/>
        </w:rPr>
        <w:tab/>
      </w:r>
      <w:r>
        <w:rPr>
          <w:sz w:val="22"/>
        </w:rPr>
        <w:tab/>
      </w:r>
      <w:proofErr w:type="gramStart"/>
      <w:r>
        <w:rPr>
          <w:sz w:val="22"/>
        </w:rPr>
        <w:t>Mid</w:t>
      </w:r>
      <w:proofErr w:type="gramEnd"/>
      <w:r>
        <w:rPr>
          <w:sz w:val="22"/>
        </w:rPr>
        <w:t xml:space="preserve"> Term Review of HSSP III (2013)</w:t>
      </w:r>
    </w:p>
    <w:p w:rsidR="00193D08" w:rsidRPr="00193D08" w:rsidRDefault="00193D08" w:rsidP="00193D08">
      <w:pPr>
        <w:rPr>
          <w:sz w:val="22"/>
        </w:rPr>
      </w:pPr>
      <w:r w:rsidRPr="00193D08">
        <w:rPr>
          <w:sz w:val="22"/>
        </w:rPr>
        <w:t>NBOS</w:t>
      </w:r>
      <w:r w:rsidRPr="00193D08">
        <w:rPr>
          <w:sz w:val="22"/>
        </w:rPr>
        <w:tab/>
      </w:r>
      <w:r w:rsidRPr="00193D08">
        <w:rPr>
          <w:sz w:val="22"/>
        </w:rPr>
        <w:tab/>
      </w:r>
      <w:r w:rsidRPr="00193D08">
        <w:rPr>
          <w:sz w:val="22"/>
        </w:rPr>
        <w:tab/>
        <w:t>National Bureau of Statistics</w:t>
      </w:r>
    </w:p>
    <w:p w:rsidR="00193D08" w:rsidRDefault="00193D08" w:rsidP="00193D08">
      <w:pPr>
        <w:rPr>
          <w:sz w:val="22"/>
        </w:rPr>
      </w:pPr>
      <w:r w:rsidRPr="00193D08">
        <w:rPr>
          <w:sz w:val="22"/>
        </w:rPr>
        <w:t>NHIF</w:t>
      </w:r>
      <w:r w:rsidRPr="00193D08">
        <w:rPr>
          <w:sz w:val="22"/>
        </w:rPr>
        <w:tab/>
      </w:r>
      <w:r w:rsidRPr="00193D08">
        <w:rPr>
          <w:sz w:val="22"/>
        </w:rPr>
        <w:tab/>
      </w:r>
      <w:r w:rsidRPr="00193D08">
        <w:rPr>
          <w:sz w:val="22"/>
        </w:rPr>
        <w:tab/>
        <w:t>National Health Insurance Fund</w:t>
      </w:r>
    </w:p>
    <w:p w:rsidR="00267347" w:rsidRDefault="00267347" w:rsidP="00193D08">
      <w:pPr>
        <w:rPr>
          <w:sz w:val="22"/>
        </w:rPr>
      </w:pPr>
      <w:r>
        <w:rPr>
          <w:sz w:val="22"/>
        </w:rPr>
        <w:t>NIDA</w:t>
      </w:r>
      <w:r w:rsidR="00AB407A">
        <w:rPr>
          <w:sz w:val="22"/>
        </w:rPr>
        <w:tab/>
      </w:r>
      <w:r w:rsidR="00AB407A">
        <w:rPr>
          <w:sz w:val="22"/>
        </w:rPr>
        <w:tab/>
      </w:r>
      <w:r w:rsidR="00AB407A">
        <w:rPr>
          <w:sz w:val="22"/>
        </w:rPr>
        <w:tab/>
        <w:t>National Identification Authority</w:t>
      </w:r>
    </w:p>
    <w:p w:rsidR="00231797" w:rsidRPr="00193D08" w:rsidRDefault="00231797" w:rsidP="00193D08">
      <w:pPr>
        <w:rPr>
          <w:sz w:val="22"/>
        </w:rPr>
      </w:pPr>
      <w:r>
        <w:rPr>
          <w:sz w:val="22"/>
        </w:rPr>
        <w:t>PHI</w:t>
      </w:r>
      <w:r>
        <w:rPr>
          <w:sz w:val="22"/>
        </w:rPr>
        <w:tab/>
      </w:r>
      <w:r>
        <w:rPr>
          <w:sz w:val="22"/>
        </w:rPr>
        <w:tab/>
      </w:r>
      <w:r>
        <w:rPr>
          <w:sz w:val="22"/>
        </w:rPr>
        <w:tab/>
        <w:t>Private health insurance</w:t>
      </w:r>
    </w:p>
    <w:p w:rsidR="00193D08" w:rsidRPr="00193D08" w:rsidRDefault="00193D08" w:rsidP="00193D08">
      <w:pPr>
        <w:rPr>
          <w:sz w:val="22"/>
        </w:rPr>
      </w:pPr>
      <w:r w:rsidRPr="00193D08">
        <w:rPr>
          <w:sz w:val="22"/>
        </w:rPr>
        <w:t>PMO-RALG</w:t>
      </w:r>
      <w:r w:rsidRPr="00193D08">
        <w:rPr>
          <w:sz w:val="22"/>
        </w:rPr>
        <w:tab/>
      </w:r>
      <w:r w:rsidRPr="00193D08">
        <w:rPr>
          <w:sz w:val="22"/>
        </w:rPr>
        <w:tab/>
        <w:t>Prime Minister’s Office – Regional Administration &amp; Local Government</w:t>
      </w:r>
      <w:r w:rsidRPr="00193D08">
        <w:rPr>
          <w:sz w:val="22"/>
        </w:rPr>
        <w:tab/>
      </w:r>
    </w:p>
    <w:p w:rsidR="00193D08" w:rsidRDefault="00193D08" w:rsidP="00193D08">
      <w:pPr>
        <w:rPr>
          <w:sz w:val="22"/>
        </w:rPr>
      </w:pPr>
      <w:r w:rsidRPr="00193D08">
        <w:rPr>
          <w:sz w:val="22"/>
        </w:rPr>
        <w:t>PO-PSM</w:t>
      </w:r>
      <w:r w:rsidRPr="00193D08">
        <w:rPr>
          <w:sz w:val="22"/>
        </w:rPr>
        <w:tab/>
      </w:r>
      <w:r w:rsidRPr="00193D08">
        <w:rPr>
          <w:sz w:val="22"/>
        </w:rPr>
        <w:tab/>
        <w:t>President’s office – Public Service Management</w:t>
      </w:r>
    </w:p>
    <w:p w:rsidR="008158F0" w:rsidRDefault="008158F0" w:rsidP="00193D08">
      <w:pPr>
        <w:rPr>
          <w:sz w:val="22"/>
        </w:rPr>
      </w:pPr>
      <w:r>
        <w:rPr>
          <w:sz w:val="22"/>
        </w:rPr>
        <w:t>RAS</w:t>
      </w:r>
      <w:r>
        <w:rPr>
          <w:sz w:val="22"/>
        </w:rPr>
        <w:tab/>
      </w:r>
      <w:r>
        <w:rPr>
          <w:sz w:val="22"/>
        </w:rPr>
        <w:tab/>
      </w:r>
      <w:r>
        <w:rPr>
          <w:sz w:val="22"/>
        </w:rPr>
        <w:tab/>
        <w:t>Regional Administrative Secretariat(s)</w:t>
      </w:r>
    </w:p>
    <w:p w:rsidR="00267347" w:rsidRDefault="00267347" w:rsidP="00193D08">
      <w:pPr>
        <w:rPr>
          <w:sz w:val="22"/>
        </w:rPr>
      </w:pPr>
      <w:r>
        <w:rPr>
          <w:sz w:val="22"/>
        </w:rPr>
        <w:t>RITA</w:t>
      </w:r>
      <w:r w:rsidR="00AB407A">
        <w:rPr>
          <w:sz w:val="22"/>
        </w:rPr>
        <w:tab/>
      </w:r>
      <w:r w:rsidR="00AB407A">
        <w:rPr>
          <w:sz w:val="22"/>
        </w:rPr>
        <w:tab/>
      </w:r>
      <w:r w:rsidR="00AB407A">
        <w:rPr>
          <w:sz w:val="22"/>
        </w:rPr>
        <w:tab/>
      </w:r>
      <w:r w:rsidR="00796DD0">
        <w:rPr>
          <w:sz w:val="22"/>
        </w:rPr>
        <w:t>Registration, Insolvency, and Trusteeship Agency</w:t>
      </w:r>
    </w:p>
    <w:p w:rsidR="00267347" w:rsidRDefault="00267347" w:rsidP="00193D08">
      <w:pPr>
        <w:rPr>
          <w:sz w:val="22"/>
        </w:rPr>
      </w:pPr>
      <w:r>
        <w:rPr>
          <w:sz w:val="22"/>
        </w:rPr>
        <w:t>SHI</w:t>
      </w:r>
      <w:r>
        <w:rPr>
          <w:sz w:val="22"/>
        </w:rPr>
        <w:tab/>
      </w:r>
      <w:r>
        <w:rPr>
          <w:sz w:val="22"/>
        </w:rPr>
        <w:tab/>
      </w:r>
      <w:r>
        <w:rPr>
          <w:sz w:val="22"/>
        </w:rPr>
        <w:tab/>
        <w:t>Social Health Insurance</w:t>
      </w:r>
    </w:p>
    <w:p w:rsidR="00280943" w:rsidRDefault="00280943" w:rsidP="00193D08">
      <w:pPr>
        <w:rPr>
          <w:sz w:val="22"/>
        </w:rPr>
      </w:pPr>
      <w:r>
        <w:rPr>
          <w:sz w:val="22"/>
        </w:rPr>
        <w:t>SHP</w:t>
      </w:r>
      <w:r>
        <w:rPr>
          <w:sz w:val="22"/>
        </w:rPr>
        <w:tab/>
      </w:r>
      <w:r>
        <w:rPr>
          <w:sz w:val="22"/>
        </w:rPr>
        <w:tab/>
      </w:r>
      <w:r>
        <w:rPr>
          <w:sz w:val="22"/>
        </w:rPr>
        <w:tab/>
        <w:t>Social Health Protection</w:t>
      </w:r>
    </w:p>
    <w:p w:rsidR="00267347" w:rsidRDefault="00267347" w:rsidP="00193D08">
      <w:pPr>
        <w:rPr>
          <w:sz w:val="22"/>
        </w:rPr>
      </w:pPr>
      <w:r>
        <w:rPr>
          <w:sz w:val="22"/>
        </w:rPr>
        <w:t>SNHI</w:t>
      </w:r>
      <w:r>
        <w:rPr>
          <w:sz w:val="22"/>
        </w:rPr>
        <w:tab/>
      </w:r>
      <w:r>
        <w:rPr>
          <w:sz w:val="22"/>
        </w:rPr>
        <w:tab/>
      </w:r>
      <w:r>
        <w:rPr>
          <w:sz w:val="22"/>
        </w:rPr>
        <w:tab/>
        <w:t>Single National Health Insurance</w:t>
      </w:r>
    </w:p>
    <w:p w:rsidR="005E5054" w:rsidRDefault="005E5054" w:rsidP="00193D08">
      <w:pPr>
        <w:rPr>
          <w:sz w:val="22"/>
        </w:rPr>
      </w:pPr>
      <w:r>
        <w:rPr>
          <w:sz w:val="22"/>
        </w:rPr>
        <w:t>SSRA</w:t>
      </w:r>
      <w:r w:rsidR="00AB407A">
        <w:rPr>
          <w:sz w:val="22"/>
        </w:rPr>
        <w:tab/>
      </w:r>
      <w:r w:rsidR="00AB407A">
        <w:rPr>
          <w:sz w:val="22"/>
        </w:rPr>
        <w:tab/>
      </w:r>
      <w:r w:rsidR="00AB407A">
        <w:rPr>
          <w:sz w:val="22"/>
        </w:rPr>
        <w:tab/>
        <w:t>Social Security Regulatory Authority</w:t>
      </w:r>
    </w:p>
    <w:p w:rsidR="000F236E" w:rsidRDefault="000F236E" w:rsidP="00193D08">
      <w:pPr>
        <w:rPr>
          <w:sz w:val="22"/>
        </w:rPr>
      </w:pPr>
      <w:r>
        <w:rPr>
          <w:sz w:val="22"/>
        </w:rPr>
        <w:t>TIKA</w:t>
      </w:r>
      <w:r>
        <w:rPr>
          <w:sz w:val="22"/>
        </w:rPr>
        <w:tab/>
      </w:r>
      <w:r>
        <w:rPr>
          <w:sz w:val="22"/>
        </w:rPr>
        <w:tab/>
      </w:r>
      <w:r>
        <w:rPr>
          <w:sz w:val="22"/>
        </w:rPr>
        <w:tab/>
        <w:t xml:space="preserve">[Tiba </w:t>
      </w:r>
      <w:proofErr w:type="spellStart"/>
      <w:proofErr w:type="gramStart"/>
      <w:r>
        <w:rPr>
          <w:sz w:val="22"/>
        </w:rPr>
        <w:t>kwa</w:t>
      </w:r>
      <w:proofErr w:type="spellEnd"/>
      <w:proofErr w:type="gramEnd"/>
      <w:r>
        <w:rPr>
          <w:sz w:val="22"/>
        </w:rPr>
        <w:t xml:space="preserve"> </w:t>
      </w:r>
      <w:proofErr w:type="spellStart"/>
      <w:r>
        <w:rPr>
          <w:sz w:val="22"/>
        </w:rPr>
        <w:t>Kadi</w:t>
      </w:r>
      <w:proofErr w:type="spellEnd"/>
      <w:r>
        <w:rPr>
          <w:sz w:val="22"/>
        </w:rPr>
        <w:t>] - urban, informal sector health insurance</w:t>
      </w:r>
    </w:p>
    <w:p w:rsidR="005E5054" w:rsidRPr="00193D08" w:rsidRDefault="005E5054" w:rsidP="00193D08">
      <w:pPr>
        <w:rPr>
          <w:sz w:val="22"/>
        </w:rPr>
      </w:pPr>
      <w:r>
        <w:rPr>
          <w:sz w:val="22"/>
        </w:rPr>
        <w:t>TIRA</w:t>
      </w:r>
      <w:r w:rsidR="00AB407A">
        <w:rPr>
          <w:sz w:val="22"/>
        </w:rPr>
        <w:tab/>
      </w:r>
      <w:r w:rsidR="00AB407A">
        <w:rPr>
          <w:sz w:val="22"/>
        </w:rPr>
        <w:tab/>
      </w:r>
      <w:r w:rsidR="00AB407A">
        <w:rPr>
          <w:sz w:val="22"/>
        </w:rPr>
        <w:tab/>
        <w:t>Tanzania Insurance Regulatory Authority</w:t>
      </w:r>
    </w:p>
    <w:p w:rsidR="0061117D" w:rsidRDefault="00193D08" w:rsidP="00193D08">
      <w:pPr>
        <w:rPr>
          <w:sz w:val="22"/>
        </w:rPr>
      </w:pPr>
      <w:r w:rsidRPr="00193D08">
        <w:rPr>
          <w:sz w:val="22"/>
        </w:rPr>
        <w:t>UHC</w:t>
      </w:r>
      <w:r w:rsidRPr="00193D08">
        <w:rPr>
          <w:sz w:val="22"/>
        </w:rPr>
        <w:tab/>
      </w:r>
      <w:r w:rsidRPr="00193D08">
        <w:rPr>
          <w:sz w:val="22"/>
        </w:rPr>
        <w:tab/>
      </w:r>
      <w:r w:rsidRPr="00193D08">
        <w:rPr>
          <w:sz w:val="22"/>
        </w:rPr>
        <w:tab/>
        <w:t>Universal Health Coverage</w:t>
      </w:r>
    </w:p>
    <w:p w:rsidR="0061117D" w:rsidRDefault="0061117D">
      <w:pPr>
        <w:spacing w:after="200"/>
        <w:jc w:val="left"/>
        <w:rPr>
          <w:sz w:val="22"/>
        </w:rPr>
      </w:pPr>
      <w:r>
        <w:rPr>
          <w:sz w:val="22"/>
        </w:rPr>
        <w:br w:type="page"/>
      </w:r>
    </w:p>
    <w:p w:rsidR="00193D08" w:rsidRDefault="0061117D" w:rsidP="0061117D">
      <w:pPr>
        <w:pStyle w:val="Title"/>
      </w:pPr>
      <w:r>
        <w:lastRenderedPageBreak/>
        <w:t>Glossary</w:t>
      </w:r>
      <w:r w:rsidR="00C027CD">
        <w:t xml:space="preserve"> (incomplete)</w:t>
      </w:r>
    </w:p>
    <w:p w:rsidR="0061117D" w:rsidRPr="0061117D" w:rsidRDefault="0061117D" w:rsidP="0061117D"/>
    <w:tbl>
      <w:tblPr>
        <w:tblStyle w:val="TableGrid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18"/>
        <w:gridCol w:w="6858"/>
      </w:tblGrid>
      <w:tr w:rsidR="0061117D" w:rsidRPr="00112E3E" w:rsidTr="0061117D">
        <w:tc>
          <w:tcPr>
            <w:tcW w:w="2718" w:type="dxa"/>
          </w:tcPr>
          <w:p w:rsidR="0061117D" w:rsidRPr="00112E3E" w:rsidRDefault="0061117D" w:rsidP="0061117D">
            <w:pPr>
              <w:spacing w:after="120"/>
              <w:jc w:val="left"/>
              <w:rPr>
                <w:rFonts w:cs="Arial"/>
              </w:rPr>
            </w:pPr>
            <w:r w:rsidRPr="00112E3E">
              <w:rPr>
                <w:rFonts w:cs="Arial"/>
              </w:rPr>
              <w:t>Capitation</w:t>
            </w:r>
          </w:p>
        </w:tc>
        <w:tc>
          <w:tcPr>
            <w:tcW w:w="6858" w:type="dxa"/>
          </w:tcPr>
          <w:p w:rsidR="0061117D" w:rsidRPr="00112E3E" w:rsidRDefault="0061117D" w:rsidP="0061117D">
            <w:pPr>
              <w:jc w:val="left"/>
              <w:rPr>
                <w:rFonts w:cs="Arial"/>
              </w:rPr>
            </w:pPr>
          </w:p>
        </w:tc>
      </w:tr>
      <w:tr w:rsidR="0061117D" w:rsidRPr="00112E3E" w:rsidTr="0061117D">
        <w:tc>
          <w:tcPr>
            <w:tcW w:w="2718" w:type="dxa"/>
          </w:tcPr>
          <w:p w:rsidR="0061117D" w:rsidRPr="00112E3E" w:rsidRDefault="0061117D" w:rsidP="0061117D">
            <w:pPr>
              <w:spacing w:after="120"/>
              <w:jc w:val="left"/>
              <w:rPr>
                <w:rFonts w:cs="Arial"/>
              </w:rPr>
            </w:pPr>
            <w:r w:rsidRPr="00112E3E">
              <w:rPr>
                <w:rFonts w:cs="Arial"/>
              </w:rPr>
              <w:t>Case-based payment</w:t>
            </w:r>
          </w:p>
        </w:tc>
        <w:tc>
          <w:tcPr>
            <w:tcW w:w="6858" w:type="dxa"/>
          </w:tcPr>
          <w:p w:rsidR="0061117D" w:rsidRPr="00112E3E" w:rsidRDefault="0061117D" w:rsidP="0061117D">
            <w:pPr>
              <w:jc w:val="left"/>
              <w:rPr>
                <w:rFonts w:cs="Arial"/>
              </w:rPr>
            </w:pPr>
          </w:p>
        </w:tc>
      </w:tr>
      <w:tr w:rsidR="0061117D" w:rsidRPr="00112E3E" w:rsidTr="0061117D">
        <w:tc>
          <w:tcPr>
            <w:tcW w:w="2718" w:type="dxa"/>
          </w:tcPr>
          <w:p w:rsidR="0061117D" w:rsidRPr="00112E3E" w:rsidRDefault="0061117D" w:rsidP="0061117D">
            <w:pPr>
              <w:spacing w:after="120"/>
              <w:jc w:val="left"/>
              <w:rPr>
                <w:rFonts w:cs="Arial"/>
              </w:rPr>
            </w:pPr>
            <w:r w:rsidRPr="00112E3E">
              <w:rPr>
                <w:rFonts w:cs="Arial"/>
              </w:rPr>
              <w:t>Fee For Service</w:t>
            </w:r>
          </w:p>
        </w:tc>
        <w:tc>
          <w:tcPr>
            <w:tcW w:w="6858" w:type="dxa"/>
          </w:tcPr>
          <w:p w:rsidR="0061117D" w:rsidRPr="00112E3E" w:rsidRDefault="0061117D" w:rsidP="00112E3E">
            <w:pPr>
              <w:jc w:val="left"/>
              <w:rPr>
                <w:rFonts w:cs="Arial"/>
              </w:rPr>
            </w:pPr>
            <w:r w:rsidRPr="00112E3E">
              <w:rPr>
                <w:rFonts w:cs="Arial"/>
              </w:rPr>
              <w:t>Out of pocket payment mechanism, where a fee is charged for a service at the time of use.  Currently used by NHIF for reimbursement to providers</w:t>
            </w:r>
          </w:p>
        </w:tc>
      </w:tr>
      <w:tr w:rsidR="0061117D" w:rsidRPr="00112E3E" w:rsidTr="0061117D">
        <w:tc>
          <w:tcPr>
            <w:tcW w:w="2718" w:type="dxa"/>
          </w:tcPr>
          <w:p w:rsidR="0061117D" w:rsidRPr="00112E3E" w:rsidRDefault="0061117D" w:rsidP="00C027CD">
            <w:pPr>
              <w:spacing w:after="120"/>
              <w:jc w:val="left"/>
              <w:rPr>
                <w:rFonts w:cs="Arial"/>
              </w:rPr>
            </w:pPr>
            <w:r w:rsidRPr="00112E3E">
              <w:rPr>
                <w:rFonts w:cs="Arial"/>
              </w:rPr>
              <w:t>Purchaser</w:t>
            </w:r>
          </w:p>
        </w:tc>
        <w:tc>
          <w:tcPr>
            <w:tcW w:w="6858" w:type="dxa"/>
          </w:tcPr>
          <w:p w:rsidR="0061117D" w:rsidRPr="00112E3E" w:rsidRDefault="0061117D" w:rsidP="0061117D">
            <w:pPr>
              <w:jc w:val="left"/>
              <w:rPr>
                <w:rFonts w:cs="Arial"/>
              </w:rPr>
            </w:pPr>
          </w:p>
        </w:tc>
      </w:tr>
      <w:tr w:rsidR="0061117D" w:rsidRPr="00112E3E" w:rsidTr="0061117D">
        <w:tc>
          <w:tcPr>
            <w:tcW w:w="2718" w:type="dxa"/>
          </w:tcPr>
          <w:p w:rsidR="0061117D" w:rsidRPr="00112E3E" w:rsidRDefault="0061117D" w:rsidP="00C027CD">
            <w:pPr>
              <w:spacing w:after="120"/>
              <w:jc w:val="left"/>
              <w:rPr>
                <w:rFonts w:cs="Arial"/>
              </w:rPr>
            </w:pPr>
            <w:r w:rsidRPr="00112E3E">
              <w:rPr>
                <w:rFonts w:cs="Arial"/>
              </w:rPr>
              <w:t>Results-Based Financing</w:t>
            </w:r>
          </w:p>
        </w:tc>
        <w:tc>
          <w:tcPr>
            <w:tcW w:w="6858" w:type="dxa"/>
          </w:tcPr>
          <w:p w:rsidR="0061117D" w:rsidRPr="00112E3E" w:rsidRDefault="0061117D" w:rsidP="0061117D">
            <w:pPr>
              <w:jc w:val="left"/>
              <w:rPr>
                <w:rFonts w:cs="Arial"/>
              </w:rPr>
            </w:pPr>
          </w:p>
        </w:tc>
      </w:tr>
      <w:tr w:rsidR="0061117D" w:rsidRPr="00112E3E" w:rsidTr="0061117D">
        <w:tc>
          <w:tcPr>
            <w:tcW w:w="2718" w:type="dxa"/>
          </w:tcPr>
          <w:p w:rsidR="0061117D" w:rsidRPr="00112E3E" w:rsidRDefault="0061117D" w:rsidP="00C027CD">
            <w:pPr>
              <w:spacing w:after="120"/>
              <w:jc w:val="left"/>
              <w:rPr>
                <w:rFonts w:cs="Arial"/>
              </w:rPr>
            </w:pPr>
            <w:r w:rsidRPr="00112E3E">
              <w:rPr>
                <w:rFonts w:cs="Arial"/>
              </w:rPr>
              <w:t>Social Health Insurance</w:t>
            </w:r>
          </w:p>
        </w:tc>
        <w:tc>
          <w:tcPr>
            <w:tcW w:w="6858" w:type="dxa"/>
          </w:tcPr>
          <w:p w:rsidR="0061117D" w:rsidRPr="00112E3E" w:rsidRDefault="0061117D" w:rsidP="0061117D">
            <w:pPr>
              <w:jc w:val="left"/>
              <w:rPr>
                <w:rFonts w:cs="Arial"/>
              </w:rPr>
            </w:pPr>
          </w:p>
        </w:tc>
      </w:tr>
      <w:tr w:rsidR="0061117D" w:rsidRPr="00112E3E" w:rsidTr="0061117D">
        <w:tc>
          <w:tcPr>
            <w:tcW w:w="2718" w:type="dxa"/>
          </w:tcPr>
          <w:p w:rsidR="0061117D" w:rsidRPr="00112E3E" w:rsidRDefault="0061117D" w:rsidP="00C027CD">
            <w:pPr>
              <w:spacing w:after="120"/>
              <w:jc w:val="left"/>
              <w:rPr>
                <w:rFonts w:cs="Arial"/>
              </w:rPr>
            </w:pPr>
            <w:r w:rsidRPr="00112E3E">
              <w:rPr>
                <w:rFonts w:cs="Arial"/>
              </w:rPr>
              <w:t>Social Health Protection</w:t>
            </w:r>
          </w:p>
        </w:tc>
        <w:tc>
          <w:tcPr>
            <w:tcW w:w="6858" w:type="dxa"/>
          </w:tcPr>
          <w:p w:rsidR="0061117D" w:rsidRPr="00112E3E" w:rsidRDefault="0061117D" w:rsidP="0061117D">
            <w:pPr>
              <w:jc w:val="left"/>
              <w:rPr>
                <w:rFonts w:cs="Arial"/>
              </w:rPr>
            </w:pPr>
          </w:p>
        </w:tc>
      </w:tr>
      <w:tr w:rsidR="0061117D" w:rsidRPr="00112E3E" w:rsidTr="0061117D">
        <w:tc>
          <w:tcPr>
            <w:tcW w:w="2718" w:type="dxa"/>
          </w:tcPr>
          <w:p w:rsidR="0061117D" w:rsidRPr="00112E3E" w:rsidRDefault="0061117D" w:rsidP="00C027CD">
            <w:pPr>
              <w:spacing w:after="120"/>
              <w:jc w:val="left"/>
              <w:rPr>
                <w:rFonts w:cs="Arial"/>
              </w:rPr>
            </w:pPr>
            <w:r w:rsidRPr="00112E3E">
              <w:rPr>
                <w:rFonts w:cs="Arial"/>
              </w:rPr>
              <w:t>Single National Health Insurance</w:t>
            </w:r>
          </w:p>
        </w:tc>
        <w:tc>
          <w:tcPr>
            <w:tcW w:w="6858" w:type="dxa"/>
          </w:tcPr>
          <w:p w:rsidR="0061117D" w:rsidRPr="00112E3E" w:rsidRDefault="0061117D" w:rsidP="0061117D">
            <w:pPr>
              <w:jc w:val="left"/>
              <w:rPr>
                <w:rFonts w:cs="Arial"/>
              </w:rPr>
            </w:pPr>
          </w:p>
        </w:tc>
      </w:tr>
      <w:tr w:rsidR="0061117D" w:rsidRPr="00112E3E" w:rsidTr="0061117D">
        <w:tc>
          <w:tcPr>
            <w:tcW w:w="2718" w:type="dxa"/>
          </w:tcPr>
          <w:p w:rsidR="0061117D" w:rsidRPr="00112E3E" w:rsidRDefault="0061117D" w:rsidP="00C027CD">
            <w:pPr>
              <w:spacing w:after="120"/>
              <w:jc w:val="left"/>
              <w:rPr>
                <w:rFonts w:cs="Arial"/>
              </w:rPr>
            </w:pPr>
            <w:r w:rsidRPr="00112E3E">
              <w:rPr>
                <w:rFonts w:cs="Arial"/>
              </w:rPr>
              <w:t>Universal Health Coverage</w:t>
            </w:r>
          </w:p>
        </w:tc>
        <w:tc>
          <w:tcPr>
            <w:tcW w:w="6858" w:type="dxa"/>
          </w:tcPr>
          <w:p w:rsidR="0061117D" w:rsidRPr="00112E3E" w:rsidRDefault="0061117D" w:rsidP="0061117D">
            <w:pPr>
              <w:jc w:val="left"/>
              <w:rPr>
                <w:rFonts w:cs="Arial"/>
              </w:rPr>
            </w:pPr>
            <w:r w:rsidRPr="00112E3E">
              <w:rPr>
                <w:rFonts w:cs="Arial"/>
              </w:rPr>
              <w:t xml:space="preserve">Access to </w:t>
            </w:r>
            <w:r w:rsidR="00112E3E">
              <w:rPr>
                <w:rFonts w:cs="Arial"/>
              </w:rPr>
              <w:t xml:space="preserve">a defined package of </w:t>
            </w:r>
            <w:r w:rsidRPr="00112E3E">
              <w:rPr>
                <w:rFonts w:cs="Arial"/>
              </w:rPr>
              <w:t>essential health services for all Tanzanian residents</w:t>
            </w:r>
          </w:p>
        </w:tc>
      </w:tr>
    </w:tbl>
    <w:p w:rsidR="0061117D" w:rsidRPr="0061117D" w:rsidRDefault="0061117D" w:rsidP="0061117D"/>
    <w:p w:rsidR="00193D08" w:rsidRPr="002E07C5" w:rsidRDefault="00193D08" w:rsidP="00193D08"/>
    <w:p w:rsidR="00023995" w:rsidRPr="00EB4F0C" w:rsidRDefault="00023995" w:rsidP="002E07C5">
      <w:pPr>
        <w:rPr>
          <w:rFonts w:cs="Arial"/>
          <w:szCs w:val="24"/>
        </w:rPr>
      </w:pPr>
    </w:p>
    <w:p w:rsidR="00193D08" w:rsidRDefault="00193D08">
      <w:pPr>
        <w:spacing w:after="200"/>
        <w:jc w:val="left"/>
      </w:pPr>
      <w:r>
        <w:br w:type="page"/>
      </w:r>
    </w:p>
    <w:sdt>
      <w:sdtPr>
        <w:rPr>
          <w:rFonts w:ascii="Arial" w:eastAsiaTheme="minorHAnsi" w:hAnsi="Arial" w:cstheme="minorBidi"/>
          <w:color w:val="auto"/>
          <w:spacing w:val="0"/>
          <w:kern w:val="0"/>
          <w:sz w:val="24"/>
          <w:szCs w:val="22"/>
        </w:rPr>
        <w:id w:val="-1179272916"/>
        <w:docPartObj>
          <w:docPartGallery w:val="Table of Contents"/>
          <w:docPartUnique/>
        </w:docPartObj>
      </w:sdtPr>
      <w:sdtEndPr>
        <w:rPr>
          <w:b/>
          <w:bCs/>
          <w:noProof/>
        </w:rPr>
      </w:sdtEndPr>
      <w:sdtContent>
        <w:p w:rsidR="00F45012" w:rsidRDefault="00F45012" w:rsidP="002C3E91">
          <w:pPr>
            <w:pStyle w:val="Title"/>
          </w:pPr>
          <w:r>
            <w:t>Table of Contents</w:t>
          </w:r>
        </w:p>
        <w:p w:rsidR="00194B83" w:rsidRDefault="00F936E6">
          <w:pPr>
            <w:pStyle w:val="TOC1"/>
            <w:tabs>
              <w:tab w:val="left" w:pos="480"/>
              <w:tab w:val="right" w:leader="dot" w:pos="9350"/>
            </w:tabs>
            <w:rPr>
              <w:rFonts w:asciiTheme="minorHAnsi" w:eastAsiaTheme="minorEastAsia" w:hAnsiTheme="minorHAnsi"/>
              <w:noProof/>
              <w:sz w:val="22"/>
              <w:lang w:val="de-DE" w:eastAsia="de-DE"/>
            </w:rPr>
          </w:pPr>
          <w:r>
            <w:fldChar w:fldCharType="begin"/>
          </w:r>
          <w:r w:rsidR="00F45012">
            <w:instrText xml:space="preserve"> TOC \o "1-3" \h \z \u </w:instrText>
          </w:r>
          <w:r>
            <w:fldChar w:fldCharType="separate"/>
          </w:r>
          <w:hyperlink w:anchor="_Toc406497957" w:history="1">
            <w:r w:rsidR="00194B83" w:rsidRPr="00947156">
              <w:rPr>
                <w:rStyle w:val="Hyperlink"/>
                <w:noProof/>
              </w:rPr>
              <w:t>1</w:t>
            </w:r>
            <w:r w:rsidR="00194B83">
              <w:rPr>
                <w:rFonts w:asciiTheme="minorHAnsi" w:eastAsiaTheme="minorEastAsia" w:hAnsiTheme="minorHAnsi"/>
                <w:noProof/>
                <w:sz w:val="22"/>
                <w:lang w:val="de-DE" w:eastAsia="de-DE"/>
              </w:rPr>
              <w:tab/>
            </w:r>
            <w:r w:rsidR="00194B83" w:rsidRPr="00947156">
              <w:rPr>
                <w:rStyle w:val="Hyperlink"/>
                <w:noProof/>
              </w:rPr>
              <w:t>Background</w:t>
            </w:r>
            <w:r w:rsidR="00194B83">
              <w:rPr>
                <w:noProof/>
                <w:webHidden/>
              </w:rPr>
              <w:tab/>
            </w:r>
            <w:r w:rsidR="00194B83">
              <w:rPr>
                <w:noProof/>
                <w:webHidden/>
              </w:rPr>
              <w:fldChar w:fldCharType="begin"/>
            </w:r>
            <w:r w:rsidR="00194B83">
              <w:rPr>
                <w:noProof/>
                <w:webHidden/>
              </w:rPr>
              <w:instrText xml:space="preserve"> PAGEREF _Toc406497957 \h </w:instrText>
            </w:r>
            <w:r w:rsidR="00194B83">
              <w:rPr>
                <w:noProof/>
                <w:webHidden/>
              </w:rPr>
            </w:r>
            <w:r w:rsidR="00194B83">
              <w:rPr>
                <w:noProof/>
                <w:webHidden/>
              </w:rPr>
              <w:fldChar w:fldCharType="separate"/>
            </w:r>
            <w:r w:rsidR="00194B83">
              <w:rPr>
                <w:noProof/>
                <w:webHidden/>
              </w:rPr>
              <w:t>7</w:t>
            </w:r>
            <w:r w:rsidR="00194B83">
              <w:rPr>
                <w:noProof/>
                <w:webHidden/>
              </w:rPr>
              <w:fldChar w:fldCharType="end"/>
            </w:r>
          </w:hyperlink>
        </w:p>
        <w:p w:rsidR="00194B83" w:rsidRDefault="00194B83">
          <w:pPr>
            <w:pStyle w:val="TOC2"/>
            <w:tabs>
              <w:tab w:val="left" w:pos="880"/>
              <w:tab w:val="right" w:leader="dot" w:pos="9350"/>
            </w:tabs>
            <w:rPr>
              <w:rFonts w:asciiTheme="minorHAnsi" w:eastAsiaTheme="minorEastAsia" w:hAnsiTheme="minorHAnsi"/>
              <w:noProof/>
              <w:sz w:val="22"/>
              <w:lang w:val="de-DE" w:eastAsia="de-DE"/>
            </w:rPr>
          </w:pPr>
          <w:hyperlink w:anchor="_Toc406497958" w:history="1">
            <w:r w:rsidRPr="00947156">
              <w:rPr>
                <w:rStyle w:val="Hyperlink"/>
                <w:rFonts w:eastAsia="Calibri"/>
                <w:noProof/>
              </w:rPr>
              <w:t>1.1</w:t>
            </w:r>
            <w:r>
              <w:rPr>
                <w:rFonts w:asciiTheme="minorHAnsi" w:eastAsiaTheme="minorEastAsia" w:hAnsiTheme="minorHAnsi"/>
                <w:noProof/>
                <w:sz w:val="22"/>
                <w:lang w:val="de-DE" w:eastAsia="de-DE"/>
              </w:rPr>
              <w:tab/>
            </w:r>
            <w:r w:rsidRPr="00947156">
              <w:rPr>
                <w:rStyle w:val="Hyperlink"/>
                <w:rFonts w:eastAsia="Calibri"/>
                <w:noProof/>
              </w:rPr>
              <w:t>Rationale for the Health Financing Strategy</w:t>
            </w:r>
            <w:r>
              <w:rPr>
                <w:noProof/>
                <w:webHidden/>
              </w:rPr>
              <w:tab/>
            </w:r>
            <w:r>
              <w:rPr>
                <w:noProof/>
                <w:webHidden/>
              </w:rPr>
              <w:fldChar w:fldCharType="begin"/>
            </w:r>
            <w:r>
              <w:rPr>
                <w:noProof/>
                <w:webHidden/>
              </w:rPr>
              <w:instrText xml:space="preserve"> PAGEREF _Toc406497958 \h </w:instrText>
            </w:r>
            <w:r>
              <w:rPr>
                <w:noProof/>
                <w:webHidden/>
              </w:rPr>
            </w:r>
            <w:r>
              <w:rPr>
                <w:noProof/>
                <w:webHidden/>
              </w:rPr>
              <w:fldChar w:fldCharType="separate"/>
            </w:r>
            <w:r>
              <w:rPr>
                <w:noProof/>
                <w:webHidden/>
              </w:rPr>
              <w:t>7</w:t>
            </w:r>
            <w:r>
              <w:rPr>
                <w:noProof/>
                <w:webHidden/>
              </w:rPr>
              <w:fldChar w:fldCharType="end"/>
            </w:r>
          </w:hyperlink>
        </w:p>
        <w:p w:rsidR="00194B83" w:rsidRDefault="00194B83">
          <w:pPr>
            <w:pStyle w:val="TOC2"/>
            <w:tabs>
              <w:tab w:val="left" w:pos="880"/>
              <w:tab w:val="right" w:leader="dot" w:pos="9350"/>
            </w:tabs>
            <w:rPr>
              <w:rFonts w:asciiTheme="minorHAnsi" w:eastAsiaTheme="minorEastAsia" w:hAnsiTheme="minorHAnsi"/>
              <w:noProof/>
              <w:sz w:val="22"/>
              <w:lang w:val="de-DE" w:eastAsia="de-DE"/>
            </w:rPr>
          </w:pPr>
          <w:hyperlink w:anchor="_Toc406497959" w:history="1">
            <w:r w:rsidRPr="00947156">
              <w:rPr>
                <w:rStyle w:val="Hyperlink"/>
                <w:rFonts w:eastAsia="Calibri"/>
                <w:noProof/>
              </w:rPr>
              <w:t>1.2</w:t>
            </w:r>
            <w:r>
              <w:rPr>
                <w:rFonts w:asciiTheme="minorHAnsi" w:eastAsiaTheme="minorEastAsia" w:hAnsiTheme="minorHAnsi"/>
                <w:noProof/>
                <w:sz w:val="22"/>
                <w:lang w:val="de-DE" w:eastAsia="de-DE"/>
              </w:rPr>
              <w:tab/>
            </w:r>
            <w:r w:rsidRPr="00947156">
              <w:rPr>
                <w:rStyle w:val="Hyperlink"/>
                <w:rFonts w:eastAsia="Calibri"/>
                <w:noProof/>
              </w:rPr>
              <w:t>The Process of Developing the HFS</w:t>
            </w:r>
            <w:r>
              <w:rPr>
                <w:noProof/>
                <w:webHidden/>
              </w:rPr>
              <w:tab/>
            </w:r>
            <w:r>
              <w:rPr>
                <w:noProof/>
                <w:webHidden/>
              </w:rPr>
              <w:fldChar w:fldCharType="begin"/>
            </w:r>
            <w:r>
              <w:rPr>
                <w:noProof/>
                <w:webHidden/>
              </w:rPr>
              <w:instrText xml:space="preserve"> PAGEREF _Toc406497959 \h </w:instrText>
            </w:r>
            <w:r>
              <w:rPr>
                <w:noProof/>
                <w:webHidden/>
              </w:rPr>
            </w:r>
            <w:r>
              <w:rPr>
                <w:noProof/>
                <w:webHidden/>
              </w:rPr>
              <w:fldChar w:fldCharType="separate"/>
            </w:r>
            <w:r>
              <w:rPr>
                <w:noProof/>
                <w:webHidden/>
              </w:rPr>
              <w:t>7</w:t>
            </w:r>
            <w:r>
              <w:rPr>
                <w:noProof/>
                <w:webHidden/>
              </w:rPr>
              <w:fldChar w:fldCharType="end"/>
            </w:r>
          </w:hyperlink>
        </w:p>
        <w:p w:rsidR="00194B83" w:rsidRDefault="00194B83">
          <w:pPr>
            <w:pStyle w:val="TOC2"/>
            <w:tabs>
              <w:tab w:val="left" w:pos="880"/>
              <w:tab w:val="right" w:leader="dot" w:pos="9350"/>
            </w:tabs>
            <w:rPr>
              <w:rFonts w:asciiTheme="minorHAnsi" w:eastAsiaTheme="minorEastAsia" w:hAnsiTheme="minorHAnsi"/>
              <w:noProof/>
              <w:sz w:val="22"/>
              <w:lang w:val="de-DE" w:eastAsia="de-DE"/>
            </w:rPr>
          </w:pPr>
          <w:hyperlink w:anchor="_Toc406497960" w:history="1">
            <w:r w:rsidRPr="00947156">
              <w:rPr>
                <w:rStyle w:val="Hyperlink"/>
                <w:rFonts w:eastAsia="Times New Roman"/>
                <w:noProof/>
              </w:rPr>
              <w:t>1.3</w:t>
            </w:r>
            <w:r>
              <w:rPr>
                <w:rFonts w:asciiTheme="minorHAnsi" w:eastAsiaTheme="minorEastAsia" w:hAnsiTheme="minorHAnsi"/>
                <w:noProof/>
                <w:sz w:val="22"/>
                <w:lang w:val="de-DE" w:eastAsia="de-DE"/>
              </w:rPr>
              <w:tab/>
            </w:r>
            <w:r w:rsidRPr="00947156">
              <w:rPr>
                <w:rStyle w:val="Hyperlink"/>
                <w:rFonts w:eastAsia="Times New Roman"/>
                <w:noProof/>
              </w:rPr>
              <w:t>Demographic trends</w:t>
            </w:r>
            <w:r>
              <w:rPr>
                <w:noProof/>
                <w:webHidden/>
              </w:rPr>
              <w:tab/>
            </w:r>
            <w:r>
              <w:rPr>
                <w:noProof/>
                <w:webHidden/>
              </w:rPr>
              <w:fldChar w:fldCharType="begin"/>
            </w:r>
            <w:r>
              <w:rPr>
                <w:noProof/>
                <w:webHidden/>
              </w:rPr>
              <w:instrText xml:space="preserve"> PAGEREF _Toc406497960 \h </w:instrText>
            </w:r>
            <w:r>
              <w:rPr>
                <w:noProof/>
                <w:webHidden/>
              </w:rPr>
            </w:r>
            <w:r>
              <w:rPr>
                <w:noProof/>
                <w:webHidden/>
              </w:rPr>
              <w:fldChar w:fldCharType="separate"/>
            </w:r>
            <w:r>
              <w:rPr>
                <w:noProof/>
                <w:webHidden/>
              </w:rPr>
              <w:t>9</w:t>
            </w:r>
            <w:r>
              <w:rPr>
                <w:noProof/>
                <w:webHidden/>
              </w:rPr>
              <w:fldChar w:fldCharType="end"/>
            </w:r>
          </w:hyperlink>
        </w:p>
        <w:p w:rsidR="00194B83" w:rsidRDefault="00194B83">
          <w:pPr>
            <w:pStyle w:val="TOC2"/>
            <w:tabs>
              <w:tab w:val="left" w:pos="880"/>
              <w:tab w:val="right" w:leader="dot" w:pos="9350"/>
            </w:tabs>
            <w:rPr>
              <w:rFonts w:asciiTheme="minorHAnsi" w:eastAsiaTheme="minorEastAsia" w:hAnsiTheme="minorHAnsi"/>
              <w:noProof/>
              <w:sz w:val="22"/>
              <w:lang w:val="de-DE" w:eastAsia="de-DE"/>
            </w:rPr>
          </w:pPr>
          <w:hyperlink w:anchor="_Toc406497961" w:history="1">
            <w:r w:rsidRPr="00947156">
              <w:rPr>
                <w:rStyle w:val="Hyperlink"/>
                <w:rFonts w:eastAsia="Times New Roman"/>
                <w:noProof/>
              </w:rPr>
              <w:t>1.4</w:t>
            </w:r>
            <w:r>
              <w:rPr>
                <w:rFonts w:asciiTheme="minorHAnsi" w:eastAsiaTheme="minorEastAsia" w:hAnsiTheme="minorHAnsi"/>
                <w:noProof/>
                <w:sz w:val="22"/>
                <w:lang w:val="de-DE" w:eastAsia="de-DE"/>
              </w:rPr>
              <w:tab/>
            </w:r>
            <w:r w:rsidRPr="00947156">
              <w:rPr>
                <w:rStyle w:val="Hyperlink"/>
                <w:rFonts w:eastAsia="Times New Roman"/>
                <w:noProof/>
              </w:rPr>
              <w:t>Economic Context</w:t>
            </w:r>
            <w:r>
              <w:rPr>
                <w:noProof/>
                <w:webHidden/>
              </w:rPr>
              <w:tab/>
            </w:r>
            <w:r>
              <w:rPr>
                <w:noProof/>
                <w:webHidden/>
              </w:rPr>
              <w:fldChar w:fldCharType="begin"/>
            </w:r>
            <w:r>
              <w:rPr>
                <w:noProof/>
                <w:webHidden/>
              </w:rPr>
              <w:instrText xml:space="preserve"> PAGEREF _Toc406497961 \h </w:instrText>
            </w:r>
            <w:r>
              <w:rPr>
                <w:noProof/>
                <w:webHidden/>
              </w:rPr>
            </w:r>
            <w:r>
              <w:rPr>
                <w:noProof/>
                <w:webHidden/>
              </w:rPr>
              <w:fldChar w:fldCharType="separate"/>
            </w:r>
            <w:r>
              <w:rPr>
                <w:noProof/>
                <w:webHidden/>
              </w:rPr>
              <w:t>9</w:t>
            </w:r>
            <w:r>
              <w:rPr>
                <w:noProof/>
                <w:webHidden/>
              </w:rPr>
              <w:fldChar w:fldCharType="end"/>
            </w:r>
          </w:hyperlink>
        </w:p>
        <w:p w:rsidR="00194B83" w:rsidRDefault="00194B83">
          <w:pPr>
            <w:pStyle w:val="TOC1"/>
            <w:tabs>
              <w:tab w:val="left" w:pos="480"/>
              <w:tab w:val="right" w:leader="dot" w:pos="9350"/>
            </w:tabs>
            <w:rPr>
              <w:rFonts w:asciiTheme="minorHAnsi" w:eastAsiaTheme="minorEastAsia" w:hAnsiTheme="minorHAnsi"/>
              <w:noProof/>
              <w:sz w:val="22"/>
              <w:lang w:val="de-DE" w:eastAsia="de-DE"/>
            </w:rPr>
          </w:pPr>
          <w:hyperlink w:anchor="_Toc406497962" w:history="1">
            <w:r w:rsidRPr="00947156">
              <w:rPr>
                <w:rStyle w:val="Hyperlink"/>
                <w:rFonts w:eastAsia="Calibri"/>
                <w:noProof/>
              </w:rPr>
              <w:t>2</w:t>
            </w:r>
            <w:r>
              <w:rPr>
                <w:rFonts w:asciiTheme="minorHAnsi" w:eastAsiaTheme="minorEastAsia" w:hAnsiTheme="minorHAnsi"/>
                <w:noProof/>
                <w:sz w:val="22"/>
                <w:lang w:val="de-DE" w:eastAsia="de-DE"/>
              </w:rPr>
              <w:tab/>
            </w:r>
            <w:r w:rsidRPr="00947156">
              <w:rPr>
                <w:rStyle w:val="Hyperlink"/>
                <w:rFonts w:eastAsia="Calibri"/>
                <w:noProof/>
              </w:rPr>
              <w:t>Health Financing Overview</w:t>
            </w:r>
            <w:r>
              <w:rPr>
                <w:noProof/>
                <w:webHidden/>
              </w:rPr>
              <w:tab/>
            </w:r>
            <w:r>
              <w:rPr>
                <w:noProof/>
                <w:webHidden/>
              </w:rPr>
              <w:fldChar w:fldCharType="begin"/>
            </w:r>
            <w:r>
              <w:rPr>
                <w:noProof/>
                <w:webHidden/>
              </w:rPr>
              <w:instrText xml:space="preserve"> PAGEREF _Toc406497962 \h </w:instrText>
            </w:r>
            <w:r>
              <w:rPr>
                <w:noProof/>
                <w:webHidden/>
              </w:rPr>
            </w:r>
            <w:r>
              <w:rPr>
                <w:noProof/>
                <w:webHidden/>
              </w:rPr>
              <w:fldChar w:fldCharType="separate"/>
            </w:r>
            <w:r>
              <w:rPr>
                <w:noProof/>
                <w:webHidden/>
              </w:rPr>
              <w:t>10</w:t>
            </w:r>
            <w:r>
              <w:rPr>
                <w:noProof/>
                <w:webHidden/>
              </w:rPr>
              <w:fldChar w:fldCharType="end"/>
            </w:r>
          </w:hyperlink>
        </w:p>
        <w:p w:rsidR="00194B83" w:rsidRDefault="00194B83">
          <w:pPr>
            <w:pStyle w:val="TOC2"/>
            <w:tabs>
              <w:tab w:val="left" w:pos="880"/>
              <w:tab w:val="right" w:leader="dot" w:pos="9350"/>
            </w:tabs>
            <w:rPr>
              <w:rFonts w:asciiTheme="minorHAnsi" w:eastAsiaTheme="minorEastAsia" w:hAnsiTheme="minorHAnsi"/>
              <w:noProof/>
              <w:sz w:val="22"/>
              <w:lang w:val="de-DE" w:eastAsia="de-DE"/>
            </w:rPr>
          </w:pPr>
          <w:hyperlink w:anchor="_Toc406497963" w:history="1">
            <w:r w:rsidRPr="00947156">
              <w:rPr>
                <w:rStyle w:val="Hyperlink"/>
                <w:rFonts w:eastAsia="Calibri"/>
                <w:noProof/>
              </w:rPr>
              <w:t>2.1</w:t>
            </w:r>
            <w:r>
              <w:rPr>
                <w:rFonts w:asciiTheme="minorHAnsi" w:eastAsiaTheme="minorEastAsia" w:hAnsiTheme="minorHAnsi"/>
                <w:noProof/>
                <w:sz w:val="22"/>
                <w:lang w:val="de-DE" w:eastAsia="de-DE"/>
              </w:rPr>
              <w:tab/>
            </w:r>
            <w:r w:rsidRPr="00947156">
              <w:rPr>
                <w:rStyle w:val="Hyperlink"/>
                <w:rFonts w:eastAsia="Calibri"/>
                <w:noProof/>
              </w:rPr>
              <w:t>Governance</w:t>
            </w:r>
            <w:r>
              <w:rPr>
                <w:noProof/>
                <w:webHidden/>
              </w:rPr>
              <w:tab/>
            </w:r>
            <w:r>
              <w:rPr>
                <w:noProof/>
                <w:webHidden/>
              </w:rPr>
              <w:fldChar w:fldCharType="begin"/>
            </w:r>
            <w:r>
              <w:rPr>
                <w:noProof/>
                <w:webHidden/>
              </w:rPr>
              <w:instrText xml:space="preserve"> PAGEREF _Toc406497963 \h </w:instrText>
            </w:r>
            <w:r>
              <w:rPr>
                <w:noProof/>
                <w:webHidden/>
              </w:rPr>
            </w:r>
            <w:r>
              <w:rPr>
                <w:noProof/>
                <w:webHidden/>
              </w:rPr>
              <w:fldChar w:fldCharType="separate"/>
            </w:r>
            <w:r>
              <w:rPr>
                <w:noProof/>
                <w:webHidden/>
              </w:rPr>
              <w:t>10</w:t>
            </w:r>
            <w:r>
              <w:rPr>
                <w:noProof/>
                <w:webHidden/>
              </w:rPr>
              <w:fldChar w:fldCharType="end"/>
            </w:r>
          </w:hyperlink>
        </w:p>
        <w:p w:rsidR="00194B83" w:rsidRDefault="00194B83">
          <w:pPr>
            <w:pStyle w:val="TOC1"/>
            <w:tabs>
              <w:tab w:val="left" w:pos="480"/>
              <w:tab w:val="right" w:leader="dot" w:pos="9350"/>
            </w:tabs>
            <w:rPr>
              <w:rFonts w:asciiTheme="minorHAnsi" w:eastAsiaTheme="minorEastAsia" w:hAnsiTheme="minorHAnsi"/>
              <w:noProof/>
              <w:sz w:val="22"/>
              <w:lang w:val="de-DE" w:eastAsia="de-DE"/>
            </w:rPr>
          </w:pPr>
          <w:hyperlink w:anchor="_Toc406497964" w:history="1">
            <w:r w:rsidRPr="00947156">
              <w:rPr>
                <w:rStyle w:val="Hyperlink"/>
                <w:noProof/>
              </w:rPr>
              <w:t>3</w:t>
            </w:r>
            <w:r>
              <w:rPr>
                <w:rFonts w:asciiTheme="minorHAnsi" w:eastAsiaTheme="minorEastAsia" w:hAnsiTheme="minorHAnsi"/>
                <w:noProof/>
                <w:sz w:val="22"/>
                <w:lang w:val="de-DE" w:eastAsia="de-DE"/>
              </w:rPr>
              <w:tab/>
            </w:r>
            <w:r w:rsidRPr="00947156">
              <w:rPr>
                <w:rStyle w:val="Hyperlink"/>
                <w:noProof/>
              </w:rPr>
              <w:t>Health Financing System Overview and Challenges</w:t>
            </w:r>
            <w:r>
              <w:rPr>
                <w:noProof/>
                <w:webHidden/>
              </w:rPr>
              <w:tab/>
            </w:r>
            <w:r>
              <w:rPr>
                <w:noProof/>
                <w:webHidden/>
              </w:rPr>
              <w:fldChar w:fldCharType="begin"/>
            </w:r>
            <w:r>
              <w:rPr>
                <w:noProof/>
                <w:webHidden/>
              </w:rPr>
              <w:instrText xml:space="preserve"> PAGEREF _Toc406497964 \h </w:instrText>
            </w:r>
            <w:r>
              <w:rPr>
                <w:noProof/>
                <w:webHidden/>
              </w:rPr>
            </w:r>
            <w:r>
              <w:rPr>
                <w:noProof/>
                <w:webHidden/>
              </w:rPr>
              <w:fldChar w:fldCharType="separate"/>
            </w:r>
            <w:r>
              <w:rPr>
                <w:noProof/>
                <w:webHidden/>
              </w:rPr>
              <w:t>12</w:t>
            </w:r>
            <w:r>
              <w:rPr>
                <w:noProof/>
                <w:webHidden/>
              </w:rPr>
              <w:fldChar w:fldCharType="end"/>
            </w:r>
          </w:hyperlink>
        </w:p>
        <w:p w:rsidR="00194B83" w:rsidRDefault="00194B83">
          <w:pPr>
            <w:pStyle w:val="TOC2"/>
            <w:tabs>
              <w:tab w:val="left" w:pos="880"/>
              <w:tab w:val="right" w:leader="dot" w:pos="9350"/>
            </w:tabs>
            <w:rPr>
              <w:rFonts w:asciiTheme="minorHAnsi" w:eastAsiaTheme="minorEastAsia" w:hAnsiTheme="minorHAnsi"/>
              <w:noProof/>
              <w:sz w:val="22"/>
              <w:lang w:val="de-DE" w:eastAsia="de-DE"/>
            </w:rPr>
          </w:pPr>
          <w:hyperlink w:anchor="_Toc406497965" w:history="1">
            <w:r w:rsidRPr="00947156">
              <w:rPr>
                <w:rStyle w:val="Hyperlink"/>
                <w:noProof/>
              </w:rPr>
              <w:t>3.1</w:t>
            </w:r>
            <w:r>
              <w:rPr>
                <w:rFonts w:asciiTheme="minorHAnsi" w:eastAsiaTheme="minorEastAsia" w:hAnsiTheme="minorHAnsi"/>
                <w:noProof/>
                <w:sz w:val="22"/>
                <w:lang w:val="de-DE" w:eastAsia="de-DE"/>
              </w:rPr>
              <w:tab/>
            </w:r>
            <w:r w:rsidRPr="00947156">
              <w:rPr>
                <w:rStyle w:val="Hyperlink"/>
                <w:noProof/>
              </w:rPr>
              <w:t>Revenue collection</w:t>
            </w:r>
            <w:r>
              <w:rPr>
                <w:noProof/>
                <w:webHidden/>
              </w:rPr>
              <w:tab/>
            </w:r>
            <w:r>
              <w:rPr>
                <w:noProof/>
                <w:webHidden/>
              </w:rPr>
              <w:fldChar w:fldCharType="begin"/>
            </w:r>
            <w:r>
              <w:rPr>
                <w:noProof/>
                <w:webHidden/>
              </w:rPr>
              <w:instrText xml:space="preserve"> PAGEREF _Toc406497965 \h </w:instrText>
            </w:r>
            <w:r>
              <w:rPr>
                <w:noProof/>
                <w:webHidden/>
              </w:rPr>
            </w:r>
            <w:r>
              <w:rPr>
                <w:noProof/>
                <w:webHidden/>
              </w:rPr>
              <w:fldChar w:fldCharType="separate"/>
            </w:r>
            <w:r>
              <w:rPr>
                <w:noProof/>
                <w:webHidden/>
              </w:rPr>
              <w:t>12</w:t>
            </w:r>
            <w:r>
              <w:rPr>
                <w:noProof/>
                <w:webHidden/>
              </w:rPr>
              <w:fldChar w:fldCharType="end"/>
            </w:r>
          </w:hyperlink>
        </w:p>
        <w:p w:rsidR="00194B83" w:rsidRDefault="00194B83">
          <w:pPr>
            <w:pStyle w:val="TOC3"/>
            <w:tabs>
              <w:tab w:val="left" w:pos="1320"/>
              <w:tab w:val="right" w:leader="dot" w:pos="9350"/>
            </w:tabs>
            <w:rPr>
              <w:rFonts w:asciiTheme="minorHAnsi" w:eastAsiaTheme="minorEastAsia" w:hAnsiTheme="minorHAnsi"/>
              <w:noProof/>
              <w:sz w:val="22"/>
              <w:lang w:val="de-DE" w:eastAsia="de-DE"/>
            </w:rPr>
          </w:pPr>
          <w:hyperlink w:anchor="_Toc406497966" w:history="1">
            <w:r w:rsidRPr="00947156">
              <w:rPr>
                <w:rStyle w:val="Hyperlink"/>
                <w:noProof/>
              </w:rPr>
              <w:t>3.1.1</w:t>
            </w:r>
            <w:r>
              <w:rPr>
                <w:rFonts w:asciiTheme="minorHAnsi" w:eastAsiaTheme="minorEastAsia" w:hAnsiTheme="minorHAnsi"/>
                <w:noProof/>
                <w:sz w:val="22"/>
                <w:lang w:val="de-DE" w:eastAsia="de-DE"/>
              </w:rPr>
              <w:tab/>
            </w:r>
            <w:r w:rsidRPr="00947156">
              <w:rPr>
                <w:rStyle w:val="Hyperlink"/>
                <w:noProof/>
              </w:rPr>
              <w:t>Government funding</w:t>
            </w:r>
            <w:r>
              <w:rPr>
                <w:noProof/>
                <w:webHidden/>
              </w:rPr>
              <w:tab/>
            </w:r>
            <w:r>
              <w:rPr>
                <w:noProof/>
                <w:webHidden/>
              </w:rPr>
              <w:fldChar w:fldCharType="begin"/>
            </w:r>
            <w:r>
              <w:rPr>
                <w:noProof/>
                <w:webHidden/>
              </w:rPr>
              <w:instrText xml:space="preserve"> PAGEREF _Toc406497966 \h </w:instrText>
            </w:r>
            <w:r>
              <w:rPr>
                <w:noProof/>
                <w:webHidden/>
              </w:rPr>
            </w:r>
            <w:r>
              <w:rPr>
                <w:noProof/>
                <w:webHidden/>
              </w:rPr>
              <w:fldChar w:fldCharType="separate"/>
            </w:r>
            <w:r>
              <w:rPr>
                <w:noProof/>
                <w:webHidden/>
              </w:rPr>
              <w:t>12</w:t>
            </w:r>
            <w:r>
              <w:rPr>
                <w:noProof/>
                <w:webHidden/>
              </w:rPr>
              <w:fldChar w:fldCharType="end"/>
            </w:r>
          </w:hyperlink>
        </w:p>
        <w:p w:rsidR="00194B83" w:rsidRDefault="00194B83">
          <w:pPr>
            <w:pStyle w:val="TOC3"/>
            <w:tabs>
              <w:tab w:val="left" w:pos="1320"/>
              <w:tab w:val="right" w:leader="dot" w:pos="9350"/>
            </w:tabs>
            <w:rPr>
              <w:rFonts w:asciiTheme="minorHAnsi" w:eastAsiaTheme="minorEastAsia" w:hAnsiTheme="minorHAnsi"/>
              <w:noProof/>
              <w:sz w:val="22"/>
              <w:lang w:val="de-DE" w:eastAsia="de-DE"/>
            </w:rPr>
          </w:pPr>
          <w:hyperlink w:anchor="_Toc406497967" w:history="1">
            <w:r w:rsidRPr="00947156">
              <w:rPr>
                <w:rStyle w:val="Hyperlink"/>
                <w:rFonts w:eastAsia="SimSun"/>
                <w:noProof/>
                <w:lang w:eastAsia="zh-CN"/>
              </w:rPr>
              <w:t>3.1.2</w:t>
            </w:r>
            <w:r>
              <w:rPr>
                <w:rFonts w:asciiTheme="minorHAnsi" w:eastAsiaTheme="minorEastAsia" w:hAnsiTheme="minorHAnsi"/>
                <w:noProof/>
                <w:sz w:val="22"/>
                <w:lang w:val="de-DE" w:eastAsia="de-DE"/>
              </w:rPr>
              <w:tab/>
            </w:r>
            <w:r w:rsidRPr="00947156">
              <w:rPr>
                <w:rStyle w:val="Hyperlink"/>
                <w:rFonts w:eastAsia="SimSun"/>
                <w:noProof/>
                <w:lang w:eastAsia="zh-CN"/>
              </w:rPr>
              <w:t>Prepayment schemes</w:t>
            </w:r>
            <w:r>
              <w:rPr>
                <w:noProof/>
                <w:webHidden/>
              </w:rPr>
              <w:tab/>
            </w:r>
            <w:r>
              <w:rPr>
                <w:noProof/>
                <w:webHidden/>
              </w:rPr>
              <w:fldChar w:fldCharType="begin"/>
            </w:r>
            <w:r>
              <w:rPr>
                <w:noProof/>
                <w:webHidden/>
              </w:rPr>
              <w:instrText xml:space="preserve"> PAGEREF _Toc406497967 \h </w:instrText>
            </w:r>
            <w:r>
              <w:rPr>
                <w:noProof/>
                <w:webHidden/>
              </w:rPr>
            </w:r>
            <w:r>
              <w:rPr>
                <w:noProof/>
                <w:webHidden/>
              </w:rPr>
              <w:fldChar w:fldCharType="separate"/>
            </w:r>
            <w:r>
              <w:rPr>
                <w:noProof/>
                <w:webHidden/>
              </w:rPr>
              <w:t>13</w:t>
            </w:r>
            <w:r>
              <w:rPr>
                <w:noProof/>
                <w:webHidden/>
              </w:rPr>
              <w:fldChar w:fldCharType="end"/>
            </w:r>
          </w:hyperlink>
        </w:p>
        <w:p w:rsidR="00194B83" w:rsidRDefault="00194B83">
          <w:pPr>
            <w:pStyle w:val="TOC3"/>
            <w:tabs>
              <w:tab w:val="left" w:pos="1320"/>
              <w:tab w:val="right" w:leader="dot" w:pos="9350"/>
            </w:tabs>
            <w:rPr>
              <w:rFonts w:asciiTheme="minorHAnsi" w:eastAsiaTheme="minorEastAsia" w:hAnsiTheme="minorHAnsi"/>
              <w:noProof/>
              <w:sz w:val="22"/>
              <w:lang w:val="de-DE" w:eastAsia="de-DE"/>
            </w:rPr>
          </w:pPr>
          <w:hyperlink w:anchor="_Toc406497968" w:history="1">
            <w:r w:rsidRPr="00947156">
              <w:rPr>
                <w:rStyle w:val="Hyperlink"/>
                <w:noProof/>
              </w:rPr>
              <w:t>3.1.3</w:t>
            </w:r>
            <w:r>
              <w:rPr>
                <w:rFonts w:asciiTheme="minorHAnsi" w:eastAsiaTheme="minorEastAsia" w:hAnsiTheme="minorHAnsi"/>
                <w:noProof/>
                <w:sz w:val="22"/>
                <w:lang w:val="de-DE" w:eastAsia="de-DE"/>
              </w:rPr>
              <w:tab/>
            </w:r>
            <w:r w:rsidRPr="00947156">
              <w:rPr>
                <w:rStyle w:val="Hyperlink"/>
                <w:noProof/>
              </w:rPr>
              <w:t>Health financing composition</w:t>
            </w:r>
            <w:r>
              <w:rPr>
                <w:noProof/>
                <w:webHidden/>
              </w:rPr>
              <w:tab/>
            </w:r>
            <w:r>
              <w:rPr>
                <w:noProof/>
                <w:webHidden/>
              </w:rPr>
              <w:fldChar w:fldCharType="begin"/>
            </w:r>
            <w:r>
              <w:rPr>
                <w:noProof/>
                <w:webHidden/>
              </w:rPr>
              <w:instrText xml:space="preserve"> PAGEREF _Toc406497968 \h </w:instrText>
            </w:r>
            <w:r>
              <w:rPr>
                <w:noProof/>
                <w:webHidden/>
              </w:rPr>
            </w:r>
            <w:r>
              <w:rPr>
                <w:noProof/>
                <w:webHidden/>
              </w:rPr>
              <w:fldChar w:fldCharType="separate"/>
            </w:r>
            <w:r>
              <w:rPr>
                <w:noProof/>
                <w:webHidden/>
              </w:rPr>
              <w:t>14</w:t>
            </w:r>
            <w:r>
              <w:rPr>
                <w:noProof/>
                <w:webHidden/>
              </w:rPr>
              <w:fldChar w:fldCharType="end"/>
            </w:r>
          </w:hyperlink>
        </w:p>
        <w:p w:rsidR="00194B83" w:rsidRDefault="00194B83">
          <w:pPr>
            <w:pStyle w:val="TOC2"/>
            <w:tabs>
              <w:tab w:val="left" w:pos="880"/>
              <w:tab w:val="right" w:leader="dot" w:pos="9350"/>
            </w:tabs>
            <w:rPr>
              <w:rFonts w:asciiTheme="minorHAnsi" w:eastAsiaTheme="minorEastAsia" w:hAnsiTheme="minorHAnsi"/>
              <w:noProof/>
              <w:sz w:val="22"/>
              <w:lang w:val="de-DE" w:eastAsia="de-DE"/>
            </w:rPr>
          </w:pPr>
          <w:hyperlink w:anchor="_Toc406497969" w:history="1">
            <w:r w:rsidRPr="00947156">
              <w:rPr>
                <w:rStyle w:val="Hyperlink"/>
                <w:noProof/>
              </w:rPr>
              <w:t>3.2</w:t>
            </w:r>
            <w:r>
              <w:rPr>
                <w:rFonts w:asciiTheme="minorHAnsi" w:eastAsiaTheme="minorEastAsia" w:hAnsiTheme="minorHAnsi"/>
                <w:noProof/>
                <w:sz w:val="22"/>
                <w:lang w:val="de-DE" w:eastAsia="de-DE"/>
              </w:rPr>
              <w:tab/>
            </w:r>
            <w:r w:rsidRPr="00947156">
              <w:rPr>
                <w:rStyle w:val="Hyperlink"/>
                <w:noProof/>
              </w:rPr>
              <w:t>Pooling</w:t>
            </w:r>
            <w:r>
              <w:rPr>
                <w:noProof/>
                <w:webHidden/>
              </w:rPr>
              <w:tab/>
            </w:r>
            <w:r>
              <w:rPr>
                <w:noProof/>
                <w:webHidden/>
              </w:rPr>
              <w:fldChar w:fldCharType="begin"/>
            </w:r>
            <w:r>
              <w:rPr>
                <w:noProof/>
                <w:webHidden/>
              </w:rPr>
              <w:instrText xml:space="preserve"> PAGEREF _Toc406497969 \h </w:instrText>
            </w:r>
            <w:r>
              <w:rPr>
                <w:noProof/>
                <w:webHidden/>
              </w:rPr>
            </w:r>
            <w:r>
              <w:rPr>
                <w:noProof/>
                <w:webHidden/>
              </w:rPr>
              <w:fldChar w:fldCharType="separate"/>
            </w:r>
            <w:r>
              <w:rPr>
                <w:noProof/>
                <w:webHidden/>
              </w:rPr>
              <w:t>15</w:t>
            </w:r>
            <w:r>
              <w:rPr>
                <w:noProof/>
                <w:webHidden/>
              </w:rPr>
              <w:fldChar w:fldCharType="end"/>
            </w:r>
          </w:hyperlink>
        </w:p>
        <w:p w:rsidR="00194B83" w:rsidRDefault="00194B83">
          <w:pPr>
            <w:pStyle w:val="TOC2"/>
            <w:tabs>
              <w:tab w:val="left" w:pos="880"/>
              <w:tab w:val="right" w:leader="dot" w:pos="9350"/>
            </w:tabs>
            <w:rPr>
              <w:rFonts w:asciiTheme="minorHAnsi" w:eastAsiaTheme="minorEastAsia" w:hAnsiTheme="minorHAnsi"/>
              <w:noProof/>
              <w:sz w:val="22"/>
              <w:lang w:val="de-DE" w:eastAsia="de-DE"/>
            </w:rPr>
          </w:pPr>
          <w:hyperlink w:anchor="_Toc406497970" w:history="1">
            <w:r w:rsidRPr="00947156">
              <w:rPr>
                <w:rStyle w:val="Hyperlink"/>
                <w:noProof/>
              </w:rPr>
              <w:t>3.3</w:t>
            </w:r>
            <w:r>
              <w:rPr>
                <w:rFonts w:asciiTheme="minorHAnsi" w:eastAsiaTheme="minorEastAsia" w:hAnsiTheme="minorHAnsi"/>
                <w:noProof/>
                <w:sz w:val="22"/>
                <w:lang w:val="de-DE" w:eastAsia="de-DE"/>
              </w:rPr>
              <w:tab/>
            </w:r>
            <w:r w:rsidRPr="00947156">
              <w:rPr>
                <w:rStyle w:val="Hyperlink"/>
                <w:noProof/>
              </w:rPr>
              <w:t>Purchasing, payment, and allocation of resources</w:t>
            </w:r>
            <w:r>
              <w:rPr>
                <w:noProof/>
                <w:webHidden/>
              </w:rPr>
              <w:tab/>
            </w:r>
            <w:r>
              <w:rPr>
                <w:noProof/>
                <w:webHidden/>
              </w:rPr>
              <w:fldChar w:fldCharType="begin"/>
            </w:r>
            <w:r>
              <w:rPr>
                <w:noProof/>
                <w:webHidden/>
              </w:rPr>
              <w:instrText xml:space="preserve"> PAGEREF _Toc406497970 \h </w:instrText>
            </w:r>
            <w:r>
              <w:rPr>
                <w:noProof/>
                <w:webHidden/>
              </w:rPr>
            </w:r>
            <w:r>
              <w:rPr>
                <w:noProof/>
                <w:webHidden/>
              </w:rPr>
              <w:fldChar w:fldCharType="separate"/>
            </w:r>
            <w:r>
              <w:rPr>
                <w:noProof/>
                <w:webHidden/>
              </w:rPr>
              <w:t>17</w:t>
            </w:r>
            <w:r>
              <w:rPr>
                <w:noProof/>
                <w:webHidden/>
              </w:rPr>
              <w:fldChar w:fldCharType="end"/>
            </w:r>
          </w:hyperlink>
        </w:p>
        <w:p w:rsidR="00194B83" w:rsidRDefault="00194B83">
          <w:pPr>
            <w:pStyle w:val="TOC3"/>
            <w:tabs>
              <w:tab w:val="left" w:pos="1320"/>
              <w:tab w:val="right" w:leader="dot" w:pos="9350"/>
            </w:tabs>
            <w:rPr>
              <w:rFonts w:asciiTheme="minorHAnsi" w:eastAsiaTheme="minorEastAsia" w:hAnsiTheme="minorHAnsi"/>
              <w:noProof/>
              <w:sz w:val="22"/>
              <w:lang w:val="de-DE" w:eastAsia="de-DE"/>
            </w:rPr>
          </w:pPr>
          <w:hyperlink w:anchor="_Toc406497971" w:history="1">
            <w:r w:rsidRPr="00947156">
              <w:rPr>
                <w:rStyle w:val="Hyperlink"/>
                <w:noProof/>
              </w:rPr>
              <w:t>3.3.1</w:t>
            </w:r>
            <w:r>
              <w:rPr>
                <w:rFonts w:asciiTheme="minorHAnsi" w:eastAsiaTheme="minorEastAsia" w:hAnsiTheme="minorHAnsi"/>
                <w:noProof/>
                <w:sz w:val="22"/>
                <w:lang w:val="de-DE" w:eastAsia="de-DE"/>
              </w:rPr>
              <w:tab/>
            </w:r>
            <w:r w:rsidRPr="00947156">
              <w:rPr>
                <w:rStyle w:val="Hyperlink"/>
                <w:noProof/>
              </w:rPr>
              <w:t>Provider payment mechanisms and</w:t>
            </w:r>
            <w:r>
              <w:rPr>
                <w:noProof/>
                <w:webHidden/>
              </w:rPr>
              <w:tab/>
            </w:r>
            <w:r>
              <w:rPr>
                <w:noProof/>
                <w:webHidden/>
              </w:rPr>
              <w:fldChar w:fldCharType="begin"/>
            </w:r>
            <w:r>
              <w:rPr>
                <w:noProof/>
                <w:webHidden/>
              </w:rPr>
              <w:instrText xml:space="preserve"> PAGEREF _Toc406497971 \h </w:instrText>
            </w:r>
            <w:r>
              <w:rPr>
                <w:noProof/>
                <w:webHidden/>
              </w:rPr>
            </w:r>
            <w:r>
              <w:rPr>
                <w:noProof/>
                <w:webHidden/>
              </w:rPr>
              <w:fldChar w:fldCharType="separate"/>
            </w:r>
            <w:r>
              <w:rPr>
                <w:noProof/>
                <w:webHidden/>
              </w:rPr>
              <w:t>17</w:t>
            </w:r>
            <w:r>
              <w:rPr>
                <w:noProof/>
                <w:webHidden/>
              </w:rPr>
              <w:fldChar w:fldCharType="end"/>
            </w:r>
          </w:hyperlink>
        </w:p>
        <w:p w:rsidR="00194B83" w:rsidRDefault="00194B83">
          <w:pPr>
            <w:pStyle w:val="TOC3"/>
            <w:tabs>
              <w:tab w:val="left" w:pos="1320"/>
              <w:tab w:val="right" w:leader="dot" w:pos="9350"/>
            </w:tabs>
            <w:rPr>
              <w:rFonts w:asciiTheme="minorHAnsi" w:eastAsiaTheme="minorEastAsia" w:hAnsiTheme="minorHAnsi"/>
              <w:noProof/>
              <w:sz w:val="22"/>
              <w:lang w:val="de-DE" w:eastAsia="de-DE"/>
            </w:rPr>
          </w:pPr>
          <w:hyperlink w:anchor="_Toc406497972" w:history="1">
            <w:r w:rsidRPr="00947156">
              <w:rPr>
                <w:rStyle w:val="Hyperlink"/>
                <w:rFonts w:eastAsia="SimSun"/>
                <w:noProof/>
                <w:lang w:eastAsia="zh-CN"/>
              </w:rPr>
              <w:t>3.3.2</w:t>
            </w:r>
            <w:r>
              <w:rPr>
                <w:rFonts w:asciiTheme="minorHAnsi" w:eastAsiaTheme="minorEastAsia" w:hAnsiTheme="minorHAnsi"/>
                <w:noProof/>
                <w:sz w:val="22"/>
                <w:lang w:val="de-DE" w:eastAsia="de-DE"/>
              </w:rPr>
              <w:tab/>
            </w:r>
            <w:r w:rsidRPr="00947156">
              <w:rPr>
                <w:rStyle w:val="Hyperlink"/>
                <w:rFonts w:eastAsia="SimSun"/>
                <w:noProof/>
                <w:lang w:eastAsia="zh-CN"/>
              </w:rPr>
              <w:t>User-Fees and Waivers/Exemptions</w:t>
            </w:r>
            <w:r>
              <w:rPr>
                <w:noProof/>
                <w:webHidden/>
              </w:rPr>
              <w:tab/>
            </w:r>
            <w:r>
              <w:rPr>
                <w:noProof/>
                <w:webHidden/>
              </w:rPr>
              <w:fldChar w:fldCharType="begin"/>
            </w:r>
            <w:r>
              <w:rPr>
                <w:noProof/>
                <w:webHidden/>
              </w:rPr>
              <w:instrText xml:space="preserve"> PAGEREF _Toc406497972 \h </w:instrText>
            </w:r>
            <w:r>
              <w:rPr>
                <w:noProof/>
                <w:webHidden/>
              </w:rPr>
            </w:r>
            <w:r>
              <w:rPr>
                <w:noProof/>
                <w:webHidden/>
              </w:rPr>
              <w:fldChar w:fldCharType="separate"/>
            </w:r>
            <w:r>
              <w:rPr>
                <w:noProof/>
                <w:webHidden/>
              </w:rPr>
              <w:t>18</w:t>
            </w:r>
            <w:r>
              <w:rPr>
                <w:noProof/>
                <w:webHidden/>
              </w:rPr>
              <w:fldChar w:fldCharType="end"/>
            </w:r>
          </w:hyperlink>
        </w:p>
        <w:p w:rsidR="00194B83" w:rsidRDefault="00194B83">
          <w:pPr>
            <w:pStyle w:val="TOC3"/>
            <w:tabs>
              <w:tab w:val="left" w:pos="1320"/>
              <w:tab w:val="right" w:leader="dot" w:pos="9350"/>
            </w:tabs>
            <w:rPr>
              <w:rFonts w:asciiTheme="minorHAnsi" w:eastAsiaTheme="minorEastAsia" w:hAnsiTheme="minorHAnsi"/>
              <w:noProof/>
              <w:sz w:val="22"/>
              <w:lang w:val="de-DE" w:eastAsia="de-DE"/>
            </w:rPr>
          </w:pPr>
          <w:hyperlink w:anchor="_Toc406497973" w:history="1">
            <w:r w:rsidRPr="00947156">
              <w:rPr>
                <w:rStyle w:val="Hyperlink"/>
                <w:rFonts w:eastAsia="SimSun"/>
                <w:noProof/>
                <w:lang w:eastAsia="zh-CN"/>
              </w:rPr>
              <w:t>3.3.3</w:t>
            </w:r>
            <w:r>
              <w:rPr>
                <w:rFonts w:asciiTheme="minorHAnsi" w:eastAsiaTheme="minorEastAsia" w:hAnsiTheme="minorHAnsi"/>
                <w:noProof/>
                <w:sz w:val="22"/>
                <w:lang w:val="de-DE" w:eastAsia="de-DE"/>
              </w:rPr>
              <w:tab/>
            </w:r>
            <w:r w:rsidRPr="00947156">
              <w:rPr>
                <w:rStyle w:val="Hyperlink"/>
                <w:rFonts w:eastAsia="SimSun"/>
                <w:noProof/>
                <w:lang w:eastAsia="zh-CN"/>
              </w:rPr>
              <w:t>Service Agreements</w:t>
            </w:r>
            <w:r>
              <w:rPr>
                <w:noProof/>
                <w:webHidden/>
              </w:rPr>
              <w:tab/>
            </w:r>
            <w:r>
              <w:rPr>
                <w:noProof/>
                <w:webHidden/>
              </w:rPr>
              <w:fldChar w:fldCharType="begin"/>
            </w:r>
            <w:r>
              <w:rPr>
                <w:noProof/>
                <w:webHidden/>
              </w:rPr>
              <w:instrText xml:space="preserve"> PAGEREF _Toc406497973 \h </w:instrText>
            </w:r>
            <w:r>
              <w:rPr>
                <w:noProof/>
                <w:webHidden/>
              </w:rPr>
            </w:r>
            <w:r>
              <w:rPr>
                <w:noProof/>
                <w:webHidden/>
              </w:rPr>
              <w:fldChar w:fldCharType="separate"/>
            </w:r>
            <w:r>
              <w:rPr>
                <w:noProof/>
                <w:webHidden/>
              </w:rPr>
              <w:t>18</w:t>
            </w:r>
            <w:r>
              <w:rPr>
                <w:noProof/>
                <w:webHidden/>
              </w:rPr>
              <w:fldChar w:fldCharType="end"/>
            </w:r>
          </w:hyperlink>
        </w:p>
        <w:p w:rsidR="00194B83" w:rsidRDefault="00194B83">
          <w:pPr>
            <w:pStyle w:val="TOC1"/>
            <w:tabs>
              <w:tab w:val="left" w:pos="480"/>
              <w:tab w:val="right" w:leader="dot" w:pos="9350"/>
            </w:tabs>
            <w:rPr>
              <w:rFonts w:asciiTheme="minorHAnsi" w:eastAsiaTheme="minorEastAsia" w:hAnsiTheme="minorHAnsi"/>
              <w:noProof/>
              <w:sz w:val="22"/>
              <w:lang w:val="de-DE" w:eastAsia="de-DE"/>
            </w:rPr>
          </w:pPr>
          <w:hyperlink w:anchor="_Toc406497974" w:history="1">
            <w:r w:rsidRPr="00947156">
              <w:rPr>
                <w:rStyle w:val="Hyperlink"/>
                <w:noProof/>
              </w:rPr>
              <w:t>4</w:t>
            </w:r>
            <w:r>
              <w:rPr>
                <w:rFonts w:asciiTheme="minorHAnsi" w:eastAsiaTheme="minorEastAsia" w:hAnsiTheme="minorHAnsi"/>
                <w:noProof/>
                <w:sz w:val="22"/>
                <w:lang w:val="de-DE" w:eastAsia="de-DE"/>
              </w:rPr>
              <w:tab/>
            </w:r>
            <w:r w:rsidRPr="00947156">
              <w:rPr>
                <w:rStyle w:val="Hyperlink"/>
                <w:noProof/>
              </w:rPr>
              <w:t>HF Strategy</w:t>
            </w:r>
            <w:r>
              <w:rPr>
                <w:noProof/>
                <w:webHidden/>
              </w:rPr>
              <w:tab/>
            </w:r>
            <w:r>
              <w:rPr>
                <w:noProof/>
                <w:webHidden/>
              </w:rPr>
              <w:fldChar w:fldCharType="begin"/>
            </w:r>
            <w:r>
              <w:rPr>
                <w:noProof/>
                <w:webHidden/>
              </w:rPr>
              <w:instrText xml:space="preserve"> PAGEREF _Toc406497974 \h </w:instrText>
            </w:r>
            <w:r>
              <w:rPr>
                <w:noProof/>
                <w:webHidden/>
              </w:rPr>
            </w:r>
            <w:r>
              <w:rPr>
                <w:noProof/>
                <w:webHidden/>
              </w:rPr>
              <w:fldChar w:fldCharType="separate"/>
            </w:r>
            <w:r>
              <w:rPr>
                <w:noProof/>
                <w:webHidden/>
              </w:rPr>
              <w:t>19</w:t>
            </w:r>
            <w:r>
              <w:rPr>
                <w:noProof/>
                <w:webHidden/>
              </w:rPr>
              <w:fldChar w:fldCharType="end"/>
            </w:r>
          </w:hyperlink>
        </w:p>
        <w:p w:rsidR="00194B83" w:rsidRDefault="00194B83">
          <w:pPr>
            <w:pStyle w:val="TOC2"/>
            <w:tabs>
              <w:tab w:val="left" w:pos="880"/>
              <w:tab w:val="right" w:leader="dot" w:pos="9350"/>
            </w:tabs>
            <w:rPr>
              <w:rFonts w:asciiTheme="minorHAnsi" w:eastAsiaTheme="minorEastAsia" w:hAnsiTheme="minorHAnsi"/>
              <w:noProof/>
              <w:sz w:val="22"/>
              <w:lang w:val="de-DE" w:eastAsia="de-DE"/>
            </w:rPr>
          </w:pPr>
          <w:hyperlink w:anchor="_Toc406497975" w:history="1">
            <w:r w:rsidRPr="00947156">
              <w:rPr>
                <w:rStyle w:val="Hyperlink"/>
                <w:noProof/>
              </w:rPr>
              <w:t>4.1</w:t>
            </w:r>
            <w:r>
              <w:rPr>
                <w:rFonts w:asciiTheme="minorHAnsi" w:eastAsiaTheme="minorEastAsia" w:hAnsiTheme="minorHAnsi"/>
                <w:noProof/>
                <w:sz w:val="22"/>
                <w:lang w:val="de-DE" w:eastAsia="de-DE"/>
              </w:rPr>
              <w:tab/>
            </w:r>
            <w:r w:rsidRPr="00947156">
              <w:rPr>
                <w:rStyle w:val="Hyperlink"/>
                <w:noProof/>
              </w:rPr>
              <w:t>Vision and Mission</w:t>
            </w:r>
            <w:r>
              <w:rPr>
                <w:noProof/>
                <w:webHidden/>
              </w:rPr>
              <w:tab/>
            </w:r>
            <w:r>
              <w:rPr>
                <w:noProof/>
                <w:webHidden/>
              </w:rPr>
              <w:fldChar w:fldCharType="begin"/>
            </w:r>
            <w:r>
              <w:rPr>
                <w:noProof/>
                <w:webHidden/>
              </w:rPr>
              <w:instrText xml:space="preserve"> PAGEREF _Toc406497975 \h </w:instrText>
            </w:r>
            <w:r>
              <w:rPr>
                <w:noProof/>
                <w:webHidden/>
              </w:rPr>
            </w:r>
            <w:r>
              <w:rPr>
                <w:noProof/>
                <w:webHidden/>
              </w:rPr>
              <w:fldChar w:fldCharType="separate"/>
            </w:r>
            <w:r>
              <w:rPr>
                <w:noProof/>
                <w:webHidden/>
              </w:rPr>
              <w:t>19</w:t>
            </w:r>
            <w:r>
              <w:rPr>
                <w:noProof/>
                <w:webHidden/>
              </w:rPr>
              <w:fldChar w:fldCharType="end"/>
            </w:r>
          </w:hyperlink>
        </w:p>
        <w:p w:rsidR="00194B83" w:rsidRDefault="00194B83">
          <w:pPr>
            <w:pStyle w:val="TOC2"/>
            <w:tabs>
              <w:tab w:val="left" w:pos="880"/>
              <w:tab w:val="right" w:leader="dot" w:pos="9350"/>
            </w:tabs>
            <w:rPr>
              <w:rFonts w:asciiTheme="minorHAnsi" w:eastAsiaTheme="minorEastAsia" w:hAnsiTheme="minorHAnsi"/>
              <w:noProof/>
              <w:sz w:val="22"/>
              <w:lang w:val="de-DE" w:eastAsia="de-DE"/>
            </w:rPr>
          </w:pPr>
          <w:hyperlink w:anchor="_Toc406497976" w:history="1">
            <w:r w:rsidRPr="00947156">
              <w:rPr>
                <w:rStyle w:val="Hyperlink"/>
                <w:noProof/>
              </w:rPr>
              <w:t>4.2</w:t>
            </w:r>
            <w:r>
              <w:rPr>
                <w:rFonts w:asciiTheme="minorHAnsi" w:eastAsiaTheme="minorEastAsia" w:hAnsiTheme="minorHAnsi"/>
                <w:noProof/>
                <w:sz w:val="22"/>
                <w:lang w:val="de-DE" w:eastAsia="de-DE"/>
              </w:rPr>
              <w:tab/>
            </w:r>
            <w:r w:rsidRPr="00947156">
              <w:rPr>
                <w:rStyle w:val="Hyperlink"/>
                <w:noProof/>
              </w:rPr>
              <w:t>Goal</w:t>
            </w:r>
            <w:r>
              <w:rPr>
                <w:noProof/>
                <w:webHidden/>
              </w:rPr>
              <w:tab/>
            </w:r>
            <w:r>
              <w:rPr>
                <w:noProof/>
                <w:webHidden/>
              </w:rPr>
              <w:fldChar w:fldCharType="begin"/>
            </w:r>
            <w:r>
              <w:rPr>
                <w:noProof/>
                <w:webHidden/>
              </w:rPr>
              <w:instrText xml:space="preserve"> PAGEREF _Toc406497976 \h </w:instrText>
            </w:r>
            <w:r>
              <w:rPr>
                <w:noProof/>
                <w:webHidden/>
              </w:rPr>
            </w:r>
            <w:r>
              <w:rPr>
                <w:noProof/>
                <w:webHidden/>
              </w:rPr>
              <w:fldChar w:fldCharType="separate"/>
            </w:r>
            <w:r>
              <w:rPr>
                <w:noProof/>
                <w:webHidden/>
              </w:rPr>
              <w:t>19</w:t>
            </w:r>
            <w:r>
              <w:rPr>
                <w:noProof/>
                <w:webHidden/>
              </w:rPr>
              <w:fldChar w:fldCharType="end"/>
            </w:r>
          </w:hyperlink>
        </w:p>
        <w:p w:rsidR="00194B83" w:rsidRDefault="00194B83">
          <w:pPr>
            <w:pStyle w:val="TOC2"/>
            <w:tabs>
              <w:tab w:val="left" w:pos="880"/>
              <w:tab w:val="right" w:leader="dot" w:pos="9350"/>
            </w:tabs>
            <w:rPr>
              <w:rFonts w:asciiTheme="minorHAnsi" w:eastAsiaTheme="minorEastAsia" w:hAnsiTheme="minorHAnsi"/>
              <w:noProof/>
              <w:sz w:val="22"/>
              <w:lang w:val="de-DE" w:eastAsia="de-DE"/>
            </w:rPr>
          </w:pPr>
          <w:hyperlink w:anchor="_Toc406497977" w:history="1">
            <w:r w:rsidRPr="00947156">
              <w:rPr>
                <w:rStyle w:val="Hyperlink"/>
                <w:noProof/>
              </w:rPr>
              <w:t>4.3</w:t>
            </w:r>
            <w:r>
              <w:rPr>
                <w:rFonts w:asciiTheme="minorHAnsi" w:eastAsiaTheme="minorEastAsia" w:hAnsiTheme="minorHAnsi"/>
                <w:noProof/>
                <w:sz w:val="22"/>
                <w:lang w:val="de-DE" w:eastAsia="de-DE"/>
              </w:rPr>
              <w:tab/>
            </w:r>
            <w:r w:rsidRPr="00947156">
              <w:rPr>
                <w:rStyle w:val="Hyperlink"/>
                <w:noProof/>
              </w:rPr>
              <w:t>Objectives</w:t>
            </w:r>
            <w:r>
              <w:rPr>
                <w:noProof/>
                <w:webHidden/>
              </w:rPr>
              <w:tab/>
            </w:r>
            <w:r>
              <w:rPr>
                <w:noProof/>
                <w:webHidden/>
              </w:rPr>
              <w:fldChar w:fldCharType="begin"/>
            </w:r>
            <w:r>
              <w:rPr>
                <w:noProof/>
                <w:webHidden/>
              </w:rPr>
              <w:instrText xml:space="preserve"> PAGEREF _Toc406497977 \h </w:instrText>
            </w:r>
            <w:r>
              <w:rPr>
                <w:noProof/>
                <w:webHidden/>
              </w:rPr>
            </w:r>
            <w:r>
              <w:rPr>
                <w:noProof/>
                <w:webHidden/>
              </w:rPr>
              <w:fldChar w:fldCharType="separate"/>
            </w:r>
            <w:r>
              <w:rPr>
                <w:noProof/>
                <w:webHidden/>
              </w:rPr>
              <w:t>19</w:t>
            </w:r>
            <w:r>
              <w:rPr>
                <w:noProof/>
                <w:webHidden/>
              </w:rPr>
              <w:fldChar w:fldCharType="end"/>
            </w:r>
          </w:hyperlink>
        </w:p>
        <w:p w:rsidR="00194B83" w:rsidRDefault="00194B83">
          <w:pPr>
            <w:pStyle w:val="TOC2"/>
            <w:tabs>
              <w:tab w:val="left" w:pos="880"/>
              <w:tab w:val="right" w:leader="dot" w:pos="9350"/>
            </w:tabs>
            <w:rPr>
              <w:rFonts w:asciiTheme="minorHAnsi" w:eastAsiaTheme="minorEastAsia" w:hAnsiTheme="minorHAnsi"/>
              <w:noProof/>
              <w:sz w:val="22"/>
              <w:lang w:val="de-DE" w:eastAsia="de-DE"/>
            </w:rPr>
          </w:pPr>
          <w:hyperlink w:anchor="_Toc406497978" w:history="1">
            <w:r w:rsidRPr="00947156">
              <w:rPr>
                <w:rStyle w:val="Hyperlink"/>
                <w:noProof/>
              </w:rPr>
              <w:t>4.4</w:t>
            </w:r>
            <w:r>
              <w:rPr>
                <w:rFonts w:asciiTheme="minorHAnsi" w:eastAsiaTheme="minorEastAsia" w:hAnsiTheme="minorHAnsi"/>
                <w:noProof/>
                <w:sz w:val="22"/>
                <w:lang w:val="de-DE" w:eastAsia="de-DE"/>
              </w:rPr>
              <w:tab/>
            </w:r>
            <w:r w:rsidRPr="00947156">
              <w:rPr>
                <w:rStyle w:val="Hyperlink"/>
                <w:noProof/>
              </w:rPr>
              <w:t>Guiding Principles and Values</w:t>
            </w:r>
            <w:r>
              <w:rPr>
                <w:noProof/>
                <w:webHidden/>
              </w:rPr>
              <w:tab/>
            </w:r>
            <w:r>
              <w:rPr>
                <w:noProof/>
                <w:webHidden/>
              </w:rPr>
              <w:fldChar w:fldCharType="begin"/>
            </w:r>
            <w:r>
              <w:rPr>
                <w:noProof/>
                <w:webHidden/>
              </w:rPr>
              <w:instrText xml:space="preserve"> PAGEREF _Toc406497978 \h </w:instrText>
            </w:r>
            <w:r>
              <w:rPr>
                <w:noProof/>
                <w:webHidden/>
              </w:rPr>
            </w:r>
            <w:r>
              <w:rPr>
                <w:noProof/>
                <w:webHidden/>
              </w:rPr>
              <w:fldChar w:fldCharType="separate"/>
            </w:r>
            <w:r>
              <w:rPr>
                <w:noProof/>
                <w:webHidden/>
              </w:rPr>
              <w:t>20</w:t>
            </w:r>
            <w:r>
              <w:rPr>
                <w:noProof/>
                <w:webHidden/>
              </w:rPr>
              <w:fldChar w:fldCharType="end"/>
            </w:r>
          </w:hyperlink>
        </w:p>
        <w:p w:rsidR="00194B83" w:rsidRDefault="00194B83">
          <w:pPr>
            <w:pStyle w:val="TOC1"/>
            <w:tabs>
              <w:tab w:val="left" w:pos="480"/>
              <w:tab w:val="right" w:leader="dot" w:pos="9350"/>
            </w:tabs>
            <w:rPr>
              <w:rFonts w:asciiTheme="minorHAnsi" w:eastAsiaTheme="minorEastAsia" w:hAnsiTheme="minorHAnsi"/>
              <w:noProof/>
              <w:sz w:val="22"/>
              <w:lang w:val="de-DE" w:eastAsia="de-DE"/>
            </w:rPr>
          </w:pPr>
          <w:hyperlink w:anchor="_Toc406497979" w:history="1">
            <w:r w:rsidRPr="00947156">
              <w:rPr>
                <w:rStyle w:val="Hyperlink"/>
                <w:noProof/>
              </w:rPr>
              <w:t>5</w:t>
            </w:r>
            <w:r>
              <w:rPr>
                <w:rFonts w:asciiTheme="minorHAnsi" w:eastAsiaTheme="minorEastAsia" w:hAnsiTheme="minorHAnsi"/>
                <w:noProof/>
                <w:sz w:val="22"/>
                <w:lang w:val="de-DE" w:eastAsia="de-DE"/>
              </w:rPr>
              <w:tab/>
            </w:r>
            <w:r w:rsidRPr="00947156">
              <w:rPr>
                <w:rStyle w:val="Hyperlink"/>
                <w:noProof/>
              </w:rPr>
              <w:t>Strategic Interventions</w:t>
            </w:r>
            <w:r>
              <w:rPr>
                <w:noProof/>
                <w:webHidden/>
              </w:rPr>
              <w:tab/>
            </w:r>
            <w:r>
              <w:rPr>
                <w:noProof/>
                <w:webHidden/>
              </w:rPr>
              <w:fldChar w:fldCharType="begin"/>
            </w:r>
            <w:r>
              <w:rPr>
                <w:noProof/>
                <w:webHidden/>
              </w:rPr>
              <w:instrText xml:space="preserve"> PAGEREF _Toc406497979 \h </w:instrText>
            </w:r>
            <w:r>
              <w:rPr>
                <w:noProof/>
                <w:webHidden/>
              </w:rPr>
            </w:r>
            <w:r>
              <w:rPr>
                <w:noProof/>
                <w:webHidden/>
              </w:rPr>
              <w:fldChar w:fldCharType="separate"/>
            </w:r>
            <w:r>
              <w:rPr>
                <w:noProof/>
                <w:webHidden/>
              </w:rPr>
              <w:t>20</w:t>
            </w:r>
            <w:r>
              <w:rPr>
                <w:noProof/>
                <w:webHidden/>
              </w:rPr>
              <w:fldChar w:fldCharType="end"/>
            </w:r>
          </w:hyperlink>
        </w:p>
        <w:p w:rsidR="00194B83" w:rsidRDefault="00194B83">
          <w:pPr>
            <w:pStyle w:val="TOC2"/>
            <w:tabs>
              <w:tab w:val="left" w:pos="880"/>
              <w:tab w:val="right" w:leader="dot" w:pos="9350"/>
            </w:tabs>
            <w:rPr>
              <w:rFonts w:asciiTheme="minorHAnsi" w:eastAsiaTheme="minorEastAsia" w:hAnsiTheme="minorHAnsi"/>
              <w:noProof/>
              <w:sz w:val="22"/>
              <w:lang w:val="de-DE" w:eastAsia="de-DE"/>
            </w:rPr>
          </w:pPr>
          <w:hyperlink w:anchor="_Toc406497980" w:history="1">
            <w:r w:rsidRPr="00947156">
              <w:rPr>
                <w:rStyle w:val="Hyperlink"/>
                <w:noProof/>
              </w:rPr>
              <w:t>5.1</w:t>
            </w:r>
            <w:r>
              <w:rPr>
                <w:rFonts w:asciiTheme="minorHAnsi" w:eastAsiaTheme="minorEastAsia" w:hAnsiTheme="minorHAnsi"/>
                <w:noProof/>
                <w:sz w:val="22"/>
                <w:lang w:val="de-DE" w:eastAsia="de-DE"/>
              </w:rPr>
              <w:tab/>
            </w:r>
            <w:r w:rsidRPr="00947156">
              <w:rPr>
                <w:rStyle w:val="Hyperlink"/>
                <w:noProof/>
              </w:rPr>
              <w:t>Governance</w:t>
            </w:r>
            <w:r>
              <w:rPr>
                <w:noProof/>
                <w:webHidden/>
              </w:rPr>
              <w:tab/>
            </w:r>
            <w:r>
              <w:rPr>
                <w:noProof/>
                <w:webHidden/>
              </w:rPr>
              <w:fldChar w:fldCharType="begin"/>
            </w:r>
            <w:r>
              <w:rPr>
                <w:noProof/>
                <w:webHidden/>
              </w:rPr>
              <w:instrText xml:space="preserve"> PAGEREF _Toc406497980 \h </w:instrText>
            </w:r>
            <w:r>
              <w:rPr>
                <w:noProof/>
                <w:webHidden/>
              </w:rPr>
            </w:r>
            <w:r>
              <w:rPr>
                <w:noProof/>
                <w:webHidden/>
              </w:rPr>
              <w:fldChar w:fldCharType="separate"/>
            </w:r>
            <w:r>
              <w:rPr>
                <w:noProof/>
                <w:webHidden/>
              </w:rPr>
              <w:t>23</w:t>
            </w:r>
            <w:r>
              <w:rPr>
                <w:noProof/>
                <w:webHidden/>
              </w:rPr>
              <w:fldChar w:fldCharType="end"/>
            </w:r>
          </w:hyperlink>
        </w:p>
        <w:p w:rsidR="00194B83" w:rsidRDefault="00194B83">
          <w:pPr>
            <w:pStyle w:val="TOC3"/>
            <w:tabs>
              <w:tab w:val="left" w:pos="1320"/>
              <w:tab w:val="right" w:leader="dot" w:pos="9350"/>
            </w:tabs>
            <w:rPr>
              <w:rFonts w:asciiTheme="minorHAnsi" w:eastAsiaTheme="minorEastAsia" w:hAnsiTheme="minorHAnsi"/>
              <w:noProof/>
              <w:sz w:val="22"/>
              <w:lang w:val="de-DE" w:eastAsia="de-DE"/>
            </w:rPr>
          </w:pPr>
          <w:hyperlink w:anchor="_Toc406497981" w:history="1">
            <w:r w:rsidRPr="00947156">
              <w:rPr>
                <w:rStyle w:val="Hyperlink"/>
                <w:noProof/>
              </w:rPr>
              <w:t>5.1.1</w:t>
            </w:r>
            <w:r>
              <w:rPr>
                <w:rFonts w:asciiTheme="minorHAnsi" w:eastAsiaTheme="minorEastAsia" w:hAnsiTheme="minorHAnsi"/>
                <w:noProof/>
                <w:sz w:val="22"/>
                <w:lang w:val="de-DE" w:eastAsia="de-DE"/>
              </w:rPr>
              <w:tab/>
            </w:r>
            <w:r w:rsidRPr="00947156">
              <w:rPr>
                <w:rStyle w:val="Hyperlink"/>
                <w:noProof/>
              </w:rPr>
              <w:t>Strategy 1: Provide an adequate legal and regulatory framework and institutional set up for the reformed social health protection system</w:t>
            </w:r>
            <w:r>
              <w:rPr>
                <w:noProof/>
                <w:webHidden/>
              </w:rPr>
              <w:tab/>
            </w:r>
            <w:r>
              <w:rPr>
                <w:noProof/>
                <w:webHidden/>
              </w:rPr>
              <w:fldChar w:fldCharType="begin"/>
            </w:r>
            <w:r>
              <w:rPr>
                <w:noProof/>
                <w:webHidden/>
              </w:rPr>
              <w:instrText xml:space="preserve"> PAGEREF _Toc406497981 \h </w:instrText>
            </w:r>
            <w:r>
              <w:rPr>
                <w:noProof/>
                <w:webHidden/>
              </w:rPr>
            </w:r>
            <w:r>
              <w:rPr>
                <w:noProof/>
                <w:webHidden/>
              </w:rPr>
              <w:fldChar w:fldCharType="separate"/>
            </w:r>
            <w:r>
              <w:rPr>
                <w:noProof/>
                <w:webHidden/>
              </w:rPr>
              <w:t>23</w:t>
            </w:r>
            <w:r>
              <w:rPr>
                <w:noProof/>
                <w:webHidden/>
              </w:rPr>
              <w:fldChar w:fldCharType="end"/>
            </w:r>
          </w:hyperlink>
        </w:p>
        <w:p w:rsidR="00194B83" w:rsidRDefault="00194B83">
          <w:pPr>
            <w:pStyle w:val="TOC2"/>
            <w:tabs>
              <w:tab w:val="left" w:pos="880"/>
              <w:tab w:val="right" w:leader="dot" w:pos="9350"/>
            </w:tabs>
            <w:rPr>
              <w:rFonts w:asciiTheme="minorHAnsi" w:eastAsiaTheme="minorEastAsia" w:hAnsiTheme="minorHAnsi"/>
              <w:noProof/>
              <w:sz w:val="22"/>
              <w:lang w:val="de-DE" w:eastAsia="de-DE"/>
            </w:rPr>
          </w:pPr>
          <w:hyperlink w:anchor="_Toc406497982" w:history="1">
            <w:r w:rsidRPr="00947156">
              <w:rPr>
                <w:rStyle w:val="Hyperlink"/>
                <w:noProof/>
              </w:rPr>
              <w:t>5.2</w:t>
            </w:r>
            <w:r>
              <w:rPr>
                <w:rFonts w:asciiTheme="minorHAnsi" w:eastAsiaTheme="minorEastAsia" w:hAnsiTheme="minorHAnsi"/>
                <w:noProof/>
                <w:sz w:val="22"/>
                <w:lang w:val="de-DE" w:eastAsia="de-DE"/>
              </w:rPr>
              <w:tab/>
            </w:r>
            <w:r w:rsidRPr="00947156">
              <w:rPr>
                <w:rStyle w:val="Hyperlink"/>
                <w:noProof/>
              </w:rPr>
              <w:t>Revenue Collection</w:t>
            </w:r>
            <w:r>
              <w:rPr>
                <w:noProof/>
                <w:webHidden/>
              </w:rPr>
              <w:tab/>
            </w:r>
            <w:r>
              <w:rPr>
                <w:noProof/>
                <w:webHidden/>
              </w:rPr>
              <w:fldChar w:fldCharType="begin"/>
            </w:r>
            <w:r>
              <w:rPr>
                <w:noProof/>
                <w:webHidden/>
              </w:rPr>
              <w:instrText xml:space="preserve"> PAGEREF _Toc406497982 \h </w:instrText>
            </w:r>
            <w:r>
              <w:rPr>
                <w:noProof/>
                <w:webHidden/>
              </w:rPr>
            </w:r>
            <w:r>
              <w:rPr>
                <w:noProof/>
                <w:webHidden/>
              </w:rPr>
              <w:fldChar w:fldCharType="separate"/>
            </w:r>
            <w:r>
              <w:rPr>
                <w:noProof/>
                <w:webHidden/>
              </w:rPr>
              <w:t>26</w:t>
            </w:r>
            <w:r>
              <w:rPr>
                <w:noProof/>
                <w:webHidden/>
              </w:rPr>
              <w:fldChar w:fldCharType="end"/>
            </w:r>
          </w:hyperlink>
        </w:p>
        <w:p w:rsidR="00194B83" w:rsidRDefault="00194B83">
          <w:pPr>
            <w:pStyle w:val="TOC3"/>
            <w:tabs>
              <w:tab w:val="left" w:pos="1320"/>
              <w:tab w:val="right" w:leader="dot" w:pos="9350"/>
            </w:tabs>
            <w:rPr>
              <w:rFonts w:asciiTheme="minorHAnsi" w:eastAsiaTheme="minorEastAsia" w:hAnsiTheme="minorHAnsi"/>
              <w:noProof/>
              <w:sz w:val="22"/>
              <w:lang w:val="de-DE" w:eastAsia="de-DE"/>
            </w:rPr>
          </w:pPr>
          <w:hyperlink w:anchor="_Toc406497983" w:history="1">
            <w:r w:rsidRPr="00947156">
              <w:rPr>
                <w:rStyle w:val="Hyperlink"/>
                <w:noProof/>
              </w:rPr>
              <w:t>5.2.1</w:t>
            </w:r>
            <w:r>
              <w:rPr>
                <w:rFonts w:asciiTheme="minorHAnsi" w:eastAsiaTheme="minorEastAsia" w:hAnsiTheme="minorHAnsi"/>
                <w:noProof/>
                <w:sz w:val="22"/>
                <w:lang w:val="de-DE" w:eastAsia="de-DE"/>
              </w:rPr>
              <w:tab/>
            </w:r>
            <w:r w:rsidRPr="00947156">
              <w:rPr>
                <w:rStyle w:val="Hyperlink"/>
                <w:noProof/>
              </w:rPr>
              <w:t>Strategy 2: Increase revenues for health</w:t>
            </w:r>
            <w:r>
              <w:rPr>
                <w:noProof/>
                <w:webHidden/>
              </w:rPr>
              <w:tab/>
            </w:r>
            <w:r>
              <w:rPr>
                <w:noProof/>
                <w:webHidden/>
              </w:rPr>
              <w:fldChar w:fldCharType="begin"/>
            </w:r>
            <w:r>
              <w:rPr>
                <w:noProof/>
                <w:webHidden/>
              </w:rPr>
              <w:instrText xml:space="preserve"> PAGEREF _Toc406497983 \h </w:instrText>
            </w:r>
            <w:r>
              <w:rPr>
                <w:noProof/>
                <w:webHidden/>
              </w:rPr>
            </w:r>
            <w:r>
              <w:rPr>
                <w:noProof/>
                <w:webHidden/>
              </w:rPr>
              <w:fldChar w:fldCharType="separate"/>
            </w:r>
            <w:r>
              <w:rPr>
                <w:noProof/>
                <w:webHidden/>
              </w:rPr>
              <w:t>26</w:t>
            </w:r>
            <w:r>
              <w:rPr>
                <w:noProof/>
                <w:webHidden/>
              </w:rPr>
              <w:fldChar w:fldCharType="end"/>
            </w:r>
          </w:hyperlink>
        </w:p>
        <w:p w:rsidR="00194B83" w:rsidRDefault="00194B83">
          <w:pPr>
            <w:pStyle w:val="TOC3"/>
            <w:tabs>
              <w:tab w:val="right" w:leader="dot" w:pos="9350"/>
            </w:tabs>
            <w:rPr>
              <w:rFonts w:asciiTheme="minorHAnsi" w:eastAsiaTheme="minorEastAsia" w:hAnsiTheme="minorHAnsi"/>
              <w:noProof/>
              <w:sz w:val="22"/>
              <w:lang w:val="de-DE" w:eastAsia="de-DE"/>
            </w:rPr>
          </w:pPr>
          <w:hyperlink w:anchor="_Toc406497984" w:history="1">
            <w:r w:rsidRPr="00947156">
              <w:rPr>
                <w:rStyle w:val="Hyperlink"/>
                <w:noProof/>
              </w:rPr>
              <w:t>Mobilise additional alternative resources for the sector</w:t>
            </w:r>
            <w:r>
              <w:rPr>
                <w:noProof/>
                <w:webHidden/>
              </w:rPr>
              <w:tab/>
            </w:r>
            <w:r>
              <w:rPr>
                <w:noProof/>
                <w:webHidden/>
              </w:rPr>
              <w:fldChar w:fldCharType="begin"/>
            </w:r>
            <w:r>
              <w:rPr>
                <w:noProof/>
                <w:webHidden/>
              </w:rPr>
              <w:instrText xml:space="preserve"> PAGEREF _Toc406497984 \h </w:instrText>
            </w:r>
            <w:r>
              <w:rPr>
                <w:noProof/>
                <w:webHidden/>
              </w:rPr>
            </w:r>
            <w:r>
              <w:rPr>
                <w:noProof/>
                <w:webHidden/>
              </w:rPr>
              <w:fldChar w:fldCharType="separate"/>
            </w:r>
            <w:r>
              <w:rPr>
                <w:noProof/>
                <w:webHidden/>
              </w:rPr>
              <w:t>27</w:t>
            </w:r>
            <w:r>
              <w:rPr>
                <w:noProof/>
                <w:webHidden/>
              </w:rPr>
              <w:fldChar w:fldCharType="end"/>
            </w:r>
          </w:hyperlink>
        </w:p>
        <w:p w:rsidR="00194B83" w:rsidRDefault="00194B83">
          <w:pPr>
            <w:pStyle w:val="TOC3"/>
            <w:tabs>
              <w:tab w:val="left" w:pos="1320"/>
              <w:tab w:val="right" w:leader="dot" w:pos="9350"/>
            </w:tabs>
            <w:rPr>
              <w:rFonts w:asciiTheme="minorHAnsi" w:eastAsiaTheme="minorEastAsia" w:hAnsiTheme="minorHAnsi"/>
              <w:noProof/>
              <w:sz w:val="22"/>
              <w:lang w:val="de-DE" w:eastAsia="de-DE"/>
            </w:rPr>
          </w:pPr>
          <w:hyperlink w:anchor="_Toc406497985" w:history="1">
            <w:r w:rsidRPr="00947156">
              <w:rPr>
                <w:rStyle w:val="Hyperlink"/>
                <w:noProof/>
              </w:rPr>
              <w:t>5.2.2</w:t>
            </w:r>
            <w:r>
              <w:rPr>
                <w:rFonts w:asciiTheme="minorHAnsi" w:eastAsiaTheme="minorEastAsia" w:hAnsiTheme="minorHAnsi"/>
                <w:noProof/>
                <w:sz w:val="22"/>
                <w:lang w:val="de-DE" w:eastAsia="de-DE"/>
              </w:rPr>
              <w:tab/>
            </w:r>
            <w:r w:rsidRPr="00947156">
              <w:rPr>
                <w:rStyle w:val="Hyperlink"/>
                <w:noProof/>
              </w:rPr>
              <w:t>Strategy 3: Introduction of mandatory contribution system</w:t>
            </w:r>
            <w:r>
              <w:rPr>
                <w:noProof/>
                <w:webHidden/>
              </w:rPr>
              <w:tab/>
            </w:r>
            <w:r>
              <w:rPr>
                <w:noProof/>
                <w:webHidden/>
              </w:rPr>
              <w:fldChar w:fldCharType="begin"/>
            </w:r>
            <w:r>
              <w:rPr>
                <w:noProof/>
                <w:webHidden/>
              </w:rPr>
              <w:instrText xml:space="preserve"> PAGEREF _Toc406497985 \h </w:instrText>
            </w:r>
            <w:r>
              <w:rPr>
                <w:noProof/>
                <w:webHidden/>
              </w:rPr>
            </w:r>
            <w:r>
              <w:rPr>
                <w:noProof/>
                <w:webHidden/>
              </w:rPr>
              <w:fldChar w:fldCharType="separate"/>
            </w:r>
            <w:r>
              <w:rPr>
                <w:noProof/>
                <w:webHidden/>
              </w:rPr>
              <w:t>28</w:t>
            </w:r>
            <w:r>
              <w:rPr>
                <w:noProof/>
                <w:webHidden/>
              </w:rPr>
              <w:fldChar w:fldCharType="end"/>
            </w:r>
          </w:hyperlink>
        </w:p>
        <w:p w:rsidR="00194B83" w:rsidRDefault="00194B83">
          <w:pPr>
            <w:pStyle w:val="TOC3"/>
            <w:tabs>
              <w:tab w:val="left" w:pos="1320"/>
              <w:tab w:val="right" w:leader="dot" w:pos="9350"/>
            </w:tabs>
            <w:rPr>
              <w:rFonts w:asciiTheme="minorHAnsi" w:eastAsiaTheme="minorEastAsia" w:hAnsiTheme="minorHAnsi"/>
              <w:noProof/>
              <w:sz w:val="22"/>
              <w:lang w:val="de-DE" w:eastAsia="de-DE"/>
            </w:rPr>
          </w:pPr>
          <w:hyperlink w:anchor="_Toc406497986" w:history="1">
            <w:r w:rsidRPr="00947156">
              <w:rPr>
                <w:rStyle w:val="Hyperlink"/>
                <w:noProof/>
              </w:rPr>
              <w:t>5.2.3</w:t>
            </w:r>
            <w:r>
              <w:rPr>
                <w:rFonts w:asciiTheme="minorHAnsi" w:eastAsiaTheme="minorEastAsia" w:hAnsiTheme="minorHAnsi"/>
                <w:noProof/>
                <w:sz w:val="22"/>
                <w:lang w:val="de-DE" w:eastAsia="de-DE"/>
              </w:rPr>
              <w:tab/>
            </w:r>
            <w:r w:rsidRPr="00947156">
              <w:rPr>
                <w:rStyle w:val="Hyperlink"/>
                <w:noProof/>
              </w:rPr>
              <w:t>Strategy 4: Identify and ensure coverage of the poor</w:t>
            </w:r>
            <w:r>
              <w:rPr>
                <w:noProof/>
                <w:webHidden/>
              </w:rPr>
              <w:tab/>
            </w:r>
            <w:r>
              <w:rPr>
                <w:noProof/>
                <w:webHidden/>
              </w:rPr>
              <w:fldChar w:fldCharType="begin"/>
            </w:r>
            <w:r>
              <w:rPr>
                <w:noProof/>
                <w:webHidden/>
              </w:rPr>
              <w:instrText xml:space="preserve"> PAGEREF _Toc406497986 \h </w:instrText>
            </w:r>
            <w:r>
              <w:rPr>
                <w:noProof/>
                <w:webHidden/>
              </w:rPr>
            </w:r>
            <w:r>
              <w:rPr>
                <w:noProof/>
                <w:webHidden/>
              </w:rPr>
              <w:fldChar w:fldCharType="separate"/>
            </w:r>
            <w:r>
              <w:rPr>
                <w:noProof/>
                <w:webHidden/>
              </w:rPr>
              <w:t>28</w:t>
            </w:r>
            <w:r>
              <w:rPr>
                <w:noProof/>
                <w:webHidden/>
              </w:rPr>
              <w:fldChar w:fldCharType="end"/>
            </w:r>
          </w:hyperlink>
        </w:p>
        <w:p w:rsidR="00194B83" w:rsidRDefault="00194B83">
          <w:pPr>
            <w:pStyle w:val="TOC2"/>
            <w:tabs>
              <w:tab w:val="left" w:pos="880"/>
              <w:tab w:val="right" w:leader="dot" w:pos="9350"/>
            </w:tabs>
            <w:rPr>
              <w:rFonts w:asciiTheme="minorHAnsi" w:eastAsiaTheme="minorEastAsia" w:hAnsiTheme="minorHAnsi"/>
              <w:noProof/>
              <w:sz w:val="22"/>
              <w:lang w:val="de-DE" w:eastAsia="de-DE"/>
            </w:rPr>
          </w:pPr>
          <w:hyperlink w:anchor="_Toc406497987" w:history="1">
            <w:r w:rsidRPr="00947156">
              <w:rPr>
                <w:rStyle w:val="Hyperlink"/>
                <w:noProof/>
              </w:rPr>
              <w:t>5.3</w:t>
            </w:r>
            <w:r>
              <w:rPr>
                <w:rFonts w:asciiTheme="minorHAnsi" w:eastAsiaTheme="minorEastAsia" w:hAnsiTheme="minorHAnsi"/>
                <w:noProof/>
                <w:sz w:val="22"/>
                <w:lang w:val="de-DE" w:eastAsia="de-DE"/>
              </w:rPr>
              <w:tab/>
            </w:r>
            <w:r w:rsidRPr="00947156">
              <w:rPr>
                <w:rStyle w:val="Hyperlink"/>
                <w:noProof/>
              </w:rPr>
              <w:t>Pooling of Funds</w:t>
            </w:r>
            <w:r>
              <w:rPr>
                <w:noProof/>
                <w:webHidden/>
              </w:rPr>
              <w:tab/>
            </w:r>
            <w:r>
              <w:rPr>
                <w:noProof/>
                <w:webHidden/>
              </w:rPr>
              <w:fldChar w:fldCharType="begin"/>
            </w:r>
            <w:r>
              <w:rPr>
                <w:noProof/>
                <w:webHidden/>
              </w:rPr>
              <w:instrText xml:space="preserve"> PAGEREF _Toc406497987 \h </w:instrText>
            </w:r>
            <w:r>
              <w:rPr>
                <w:noProof/>
                <w:webHidden/>
              </w:rPr>
            </w:r>
            <w:r>
              <w:rPr>
                <w:noProof/>
                <w:webHidden/>
              </w:rPr>
              <w:fldChar w:fldCharType="separate"/>
            </w:r>
            <w:r>
              <w:rPr>
                <w:noProof/>
                <w:webHidden/>
              </w:rPr>
              <w:t>29</w:t>
            </w:r>
            <w:r>
              <w:rPr>
                <w:noProof/>
                <w:webHidden/>
              </w:rPr>
              <w:fldChar w:fldCharType="end"/>
            </w:r>
          </w:hyperlink>
        </w:p>
        <w:p w:rsidR="00194B83" w:rsidRDefault="00194B83">
          <w:pPr>
            <w:pStyle w:val="TOC3"/>
            <w:tabs>
              <w:tab w:val="left" w:pos="1320"/>
              <w:tab w:val="right" w:leader="dot" w:pos="9350"/>
            </w:tabs>
            <w:rPr>
              <w:rFonts w:asciiTheme="minorHAnsi" w:eastAsiaTheme="minorEastAsia" w:hAnsiTheme="minorHAnsi"/>
              <w:noProof/>
              <w:sz w:val="22"/>
              <w:lang w:val="de-DE" w:eastAsia="de-DE"/>
            </w:rPr>
          </w:pPr>
          <w:hyperlink w:anchor="_Toc406497988" w:history="1">
            <w:r w:rsidRPr="00947156">
              <w:rPr>
                <w:rStyle w:val="Hyperlink"/>
                <w:noProof/>
              </w:rPr>
              <w:t>5.3.1</w:t>
            </w:r>
            <w:r>
              <w:rPr>
                <w:rFonts w:asciiTheme="minorHAnsi" w:eastAsiaTheme="minorEastAsia" w:hAnsiTheme="minorHAnsi"/>
                <w:noProof/>
                <w:sz w:val="22"/>
                <w:lang w:val="de-DE" w:eastAsia="de-DE"/>
              </w:rPr>
              <w:tab/>
            </w:r>
            <w:r w:rsidRPr="00947156">
              <w:rPr>
                <w:rStyle w:val="Hyperlink"/>
                <w:noProof/>
              </w:rPr>
              <w:t>Strategy 5: Decrease the fragmentation of risk pools</w:t>
            </w:r>
            <w:r>
              <w:rPr>
                <w:noProof/>
                <w:webHidden/>
              </w:rPr>
              <w:tab/>
            </w:r>
            <w:r>
              <w:rPr>
                <w:noProof/>
                <w:webHidden/>
              </w:rPr>
              <w:fldChar w:fldCharType="begin"/>
            </w:r>
            <w:r>
              <w:rPr>
                <w:noProof/>
                <w:webHidden/>
              </w:rPr>
              <w:instrText xml:space="preserve"> PAGEREF _Toc406497988 \h </w:instrText>
            </w:r>
            <w:r>
              <w:rPr>
                <w:noProof/>
                <w:webHidden/>
              </w:rPr>
            </w:r>
            <w:r>
              <w:rPr>
                <w:noProof/>
                <w:webHidden/>
              </w:rPr>
              <w:fldChar w:fldCharType="separate"/>
            </w:r>
            <w:r>
              <w:rPr>
                <w:noProof/>
                <w:webHidden/>
              </w:rPr>
              <w:t>29</w:t>
            </w:r>
            <w:r>
              <w:rPr>
                <w:noProof/>
                <w:webHidden/>
              </w:rPr>
              <w:fldChar w:fldCharType="end"/>
            </w:r>
          </w:hyperlink>
        </w:p>
        <w:p w:rsidR="00194B83" w:rsidRDefault="00194B83">
          <w:pPr>
            <w:pStyle w:val="TOC2"/>
            <w:tabs>
              <w:tab w:val="left" w:pos="880"/>
              <w:tab w:val="right" w:leader="dot" w:pos="9350"/>
            </w:tabs>
            <w:rPr>
              <w:rFonts w:asciiTheme="minorHAnsi" w:eastAsiaTheme="minorEastAsia" w:hAnsiTheme="minorHAnsi"/>
              <w:noProof/>
              <w:sz w:val="22"/>
              <w:lang w:val="de-DE" w:eastAsia="de-DE"/>
            </w:rPr>
          </w:pPr>
          <w:hyperlink w:anchor="_Toc406497989" w:history="1">
            <w:r w:rsidRPr="00947156">
              <w:rPr>
                <w:rStyle w:val="Hyperlink"/>
                <w:rFonts w:ascii="Cambria" w:eastAsia="Times New Roman" w:hAnsi="Cambria" w:cs="Times New Roman"/>
                <w:noProof/>
              </w:rPr>
              <w:t>5.4</w:t>
            </w:r>
            <w:r>
              <w:rPr>
                <w:rFonts w:asciiTheme="minorHAnsi" w:eastAsiaTheme="minorEastAsia" w:hAnsiTheme="minorHAnsi"/>
                <w:noProof/>
                <w:sz w:val="22"/>
                <w:lang w:val="de-DE" w:eastAsia="de-DE"/>
              </w:rPr>
              <w:tab/>
            </w:r>
            <w:r w:rsidRPr="00947156">
              <w:rPr>
                <w:rStyle w:val="Hyperlink"/>
                <w:rFonts w:ascii="Cambria" w:eastAsia="Times New Roman" w:hAnsi="Cambria" w:cs="Times New Roman"/>
                <w:noProof/>
              </w:rPr>
              <w:t>Health Care Purchasing</w:t>
            </w:r>
            <w:r>
              <w:rPr>
                <w:noProof/>
                <w:webHidden/>
              </w:rPr>
              <w:tab/>
            </w:r>
            <w:r>
              <w:rPr>
                <w:noProof/>
                <w:webHidden/>
              </w:rPr>
              <w:fldChar w:fldCharType="begin"/>
            </w:r>
            <w:r>
              <w:rPr>
                <w:noProof/>
                <w:webHidden/>
              </w:rPr>
              <w:instrText xml:space="preserve"> PAGEREF _Toc406497989 \h </w:instrText>
            </w:r>
            <w:r>
              <w:rPr>
                <w:noProof/>
                <w:webHidden/>
              </w:rPr>
            </w:r>
            <w:r>
              <w:rPr>
                <w:noProof/>
                <w:webHidden/>
              </w:rPr>
              <w:fldChar w:fldCharType="separate"/>
            </w:r>
            <w:r>
              <w:rPr>
                <w:noProof/>
                <w:webHidden/>
              </w:rPr>
              <w:t>29</w:t>
            </w:r>
            <w:r>
              <w:rPr>
                <w:noProof/>
                <w:webHidden/>
              </w:rPr>
              <w:fldChar w:fldCharType="end"/>
            </w:r>
          </w:hyperlink>
        </w:p>
        <w:p w:rsidR="00194B83" w:rsidRPr="00194B83" w:rsidRDefault="00194B83">
          <w:pPr>
            <w:pStyle w:val="TOC3"/>
            <w:tabs>
              <w:tab w:val="left" w:pos="1320"/>
              <w:tab w:val="right" w:leader="dot" w:pos="9350"/>
            </w:tabs>
            <w:rPr>
              <w:rStyle w:val="Hyperlink"/>
            </w:rPr>
          </w:pPr>
          <w:hyperlink w:anchor="_Toc406497990" w:history="1">
            <w:r w:rsidRPr="00194B83">
              <w:rPr>
                <w:rStyle w:val="Hyperlink"/>
                <w:noProof/>
              </w:rPr>
              <w:t>5.4.1</w:t>
            </w:r>
            <w:r w:rsidRPr="00194B83">
              <w:rPr>
                <w:rStyle w:val="Hyperlink"/>
              </w:rPr>
              <w:tab/>
            </w:r>
            <w:r w:rsidRPr="00194B83">
              <w:rPr>
                <w:rStyle w:val="Hyperlink"/>
                <w:noProof/>
              </w:rPr>
              <w:t>Strategy 6: Implement a standard Minimum Benefit Package</w:t>
            </w:r>
            <w:r w:rsidRPr="00194B83">
              <w:rPr>
                <w:rStyle w:val="Hyperlink"/>
                <w:webHidden/>
              </w:rPr>
              <w:tab/>
            </w:r>
            <w:r w:rsidRPr="00194B83">
              <w:rPr>
                <w:rStyle w:val="Hyperlink"/>
                <w:webHidden/>
              </w:rPr>
              <w:fldChar w:fldCharType="begin"/>
            </w:r>
            <w:r w:rsidRPr="00194B83">
              <w:rPr>
                <w:rStyle w:val="Hyperlink"/>
                <w:webHidden/>
              </w:rPr>
              <w:instrText xml:space="preserve"> PAGEREF _Toc406497990 \h </w:instrText>
            </w:r>
            <w:r w:rsidRPr="00194B83">
              <w:rPr>
                <w:rStyle w:val="Hyperlink"/>
                <w:webHidden/>
              </w:rPr>
            </w:r>
            <w:r w:rsidRPr="00194B83">
              <w:rPr>
                <w:rStyle w:val="Hyperlink"/>
                <w:webHidden/>
              </w:rPr>
              <w:fldChar w:fldCharType="separate"/>
            </w:r>
            <w:r w:rsidRPr="00194B83">
              <w:rPr>
                <w:rStyle w:val="Hyperlink"/>
                <w:webHidden/>
              </w:rPr>
              <w:t>29</w:t>
            </w:r>
            <w:r w:rsidRPr="00194B83">
              <w:rPr>
                <w:rStyle w:val="Hyperlink"/>
                <w:webHidden/>
              </w:rPr>
              <w:fldChar w:fldCharType="end"/>
            </w:r>
          </w:hyperlink>
        </w:p>
        <w:p w:rsidR="00194B83" w:rsidRPr="00194B83" w:rsidRDefault="00194B83">
          <w:pPr>
            <w:pStyle w:val="TOC3"/>
            <w:tabs>
              <w:tab w:val="left" w:pos="1320"/>
              <w:tab w:val="right" w:leader="dot" w:pos="9350"/>
            </w:tabs>
            <w:rPr>
              <w:rStyle w:val="Hyperlink"/>
            </w:rPr>
          </w:pPr>
          <w:hyperlink w:anchor="_Toc406497991" w:history="1">
            <w:r w:rsidRPr="00194B83">
              <w:rPr>
                <w:rStyle w:val="Hyperlink"/>
                <w:noProof/>
              </w:rPr>
              <w:t>5.4.2</w:t>
            </w:r>
            <w:r w:rsidRPr="00194B83">
              <w:rPr>
                <w:rStyle w:val="Hyperlink"/>
              </w:rPr>
              <w:tab/>
            </w:r>
            <w:r w:rsidRPr="00194B83">
              <w:rPr>
                <w:rStyle w:val="Hyperlink"/>
                <w:noProof/>
              </w:rPr>
              <w:t>Strategy 7: Establish effective provider payment arrangements</w:t>
            </w:r>
            <w:r w:rsidRPr="00194B83">
              <w:rPr>
                <w:rStyle w:val="Hyperlink"/>
                <w:webHidden/>
              </w:rPr>
              <w:tab/>
            </w:r>
            <w:r w:rsidRPr="00194B83">
              <w:rPr>
                <w:rStyle w:val="Hyperlink"/>
                <w:webHidden/>
              </w:rPr>
              <w:fldChar w:fldCharType="begin"/>
            </w:r>
            <w:r w:rsidRPr="00194B83">
              <w:rPr>
                <w:rStyle w:val="Hyperlink"/>
                <w:webHidden/>
              </w:rPr>
              <w:instrText xml:space="preserve"> PAGEREF _Toc406497991 \h </w:instrText>
            </w:r>
            <w:r w:rsidRPr="00194B83">
              <w:rPr>
                <w:rStyle w:val="Hyperlink"/>
                <w:webHidden/>
              </w:rPr>
            </w:r>
            <w:r w:rsidRPr="00194B83">
              <w:rPr>
                <w:rStyle w:val="Hyperlink"/>
                <w:webHidden/>
              </w:rPr>
              <w:fldChar w:fldCharType="separate"/>
            </w:r>
            <w:r w:rsidRPr="00194B83">
              <w:rPr>
                <w:rStyle w:val="Hyperlink"/>
                <w:webHidden/>
              </w:rPr>
              <w:t>32</w:t>
            </w:r>
            <w:r w:rsidRPr="00194B83">
              <w:rPr>
                <w:rStyle w:val="Hyperlink"/>
                <w:webHidden/>
              </w:rPr>
              <w:fldChar w:fldCharType="end"/>
            </w:r>
          </w:hyperlink>
        </w:p>
        <w:p w:rsidR="00194B83" w:rsidRPr="00194B83" w:rsidRDefault="00194B83">
          <w:pPr>
            <w:pStyle w:val="TOC3"/>
            <w:tabs>
              <w:tab w:val="left" w:pos="1320"/>
              <w:tab w:val="right" w:leader="dot" w:pos="9350"/>
            </w:tabs>
            <w:rPr>
              <w:rStyle w:val="Hyperlink"/>
            </w:rPr>
          </w:pPr>
          <w:hyperlink w:anchor="_Toc406497992" w:history="1">
            <w:r w:rsidRPr="00194B83">
              <w:rPr>
                <w:rStyle w:val="Hyperlink"/>
                <w:noProof/>
              </w:rPr>
              <w:t>5.4.3</w:t>
            </w:r>
            <w:r w:rsidRPr="00194B83">
              <w:rPr>
                <w:rStyle w:val="Hyperlink"/>
              </w:rPr>
              <w:tab/>
            </w:r>
            <w:r w:rsidRPr="00194B83">
              <w:rPr>
                <w:rStyle w:val="Hyperlink"/>
                <w:noProof/>
              </w:rPr>
              <w:t>Strategy 8: Improve public resource allocation and expenditures</w:t>
            </w:r>
            <w:r w:rsidRPr="00194B83">
              <w:rPr>
                <w:rStyle w:val="Hyperlink"/>
                <w:webHidden/>
              </w:rPr>
              <w:tab/>
            </w:r>
            <w:r w:rsidRPr="00194B83">
              <w:rPr>
                <w:rStyle w:val="Hyperlink"/>
                <w:webHidden/>
              </w:rPr>
              <w:fldChar w:fldCharType="begin"/>
            </w:r>
            <w:r w:rsidRPr="00194B83">
              <w:rPr>
                <w:rStyle w:val="Hyperlink"/>
                <w:webHidden/>
              </w:rPr>
              <w:instrText xml:space="preserve"> PAGEREF _Toc406497992 \h </w:instrText>
            </w:r>
            <w:r w:rsidRPr="00194B83">
              <w:rPr>
                <w:rStyle w:val="Hyperlink"/>
                <w:webHidden/>
              </w:rPr>
            </w:r>
            <w:r w:rsidRPr="00194B83">
              <w:rPr>
                <w:rStyle w:val="Hyperlink"/>
                <w:webHidden/>
              </w:rPr>
              <w:fldChar w:fldCharType="separate"/>
            </w:r>
            <w:r w:rsidRPr="00194B83">
              <w:rPr>
                <w:rStyle w:val="Hyperlink"/>
                <w:webHidden/>
              </w:rPr>
              <w:t>33</w:t>
            </w:r>
            <w:r w:rsidRPr="00194B83">
              <w:rPr>
                <w:rStyle w:val="Hyperlink"/>
                <w:webHidden/>
              </w:rPr>
              <w:fldChar w:fldCharType="end"/>
            </w:r>
          </w:hyperlink>
        </w:p>
        <w:p w:rsidR="00194B83" w:rsidRPr="00194B83" w:rsidRDefault="00194B83">
          <w:pPr>
            <w:pStyle w:val="TOC3"/>
            <w:tabs>
              <w:tab w:val="left" w:pos="1320"/>
              <w:tab w:val="right" w:leader="dot" w:pos="9350"/>
            </w:tabs>
            <w:rPr>
              <w:rStyle w:val="Hyperlink"/>
            </w:rPr>
          </w:pPr>
          <w:hyperlink w:anchor="_Toc406497993" w:history="1">
            <w:r w:rsidRPr="00194B83">
              <w:rPr>
                <w:rStyle w:val="Hyperlink"/>
                <w:noProof/>
              </w:rPr>
              <w:t>5.4.4</w:t>
            </w:r>
            <w:r w:rsidRPr="00194B83">
              <w:rPr>
                <w:rStyle w:val="Hyperlink"/>
              </w:rPr>
              <w:tab/>
            </w:r>
            <w:r w:rsidRPr="00194B83">
              <w:rPr>
                <w:rStyle w:val="Hyperlink"/>
                <w:noProof/>
              </w:rPr>
              <w:t>Strategy 9: Improve public financial management</w:t>
            </w:r>
            <w:r w:rsidRPr="00194B83">
              <w:rPr>
                <w:rStyle w:val="Hyperlink"/>
                <w:webHidden/>
              </w:rPr>
              <w:tab/>
            </w:r>
            <w:r w:rsidRPr="00194B83">
              <w:rPr>
                <w:rStyle w:val="Hyperlink"/>
                <w:webHidden/>
              </w:rPr>
              <w:fldChar w:fldCharType="begin"/>
            </w:r>
            <w:r w:rsidRPr="00194B83">
              <w:rPr>
                <w:rStyle w:val="Hyperlink"/>
                <w:webHidden/>
              </w:rPr>
              <w:instrText xml:space="preserve"> PAGEREF _Toc406497993 \h </w:instrText>
            </w:r>
            <w:r w:rsidRPr="00194B83">
              <w:rPr>
                <w:rStyle w:val="Hyperlink"/>
                <w:webHidden/>
              </w:rPr>
            </w:r>
            <w:r w:rsidRPr="00194B83">
              <w:rPr>
                <w:rStyle w:val="Hyperlink"/>
                <w:webHidden/>
              </w:rPr>
              <w:fldChar w:fldCharType="separate"/>
            </w:r>
            <w:r w:rsidRPr="00194B83">
              <w:rPr>
                <w:rStyle w:val="Hyperlink"/>
                <w:webHidden/>
              </w:rPr>
              <w:t>34</w:t>
            </w:r>
            <w:r w:rsidRPr="00194B83">
              <w:rPr>
                <w:rStyle w:val="Hyperlink"/>
                <w:webHidden/>
              </w:rPr>
              <w:fldChar w:fldCharType="end"/>
            </w:r>
          </w:hyperlink>
        </w:p>
        <w:p w:rsidR="00194B83" w:rsidRPr="00194B83" w:rsidRDefault="00194B83">
          <w:pPr>
            <w:pStyle w:val="TOC3"/>
            <w:tabs>
              <w:tab w:val="left" w:pos="1320"/>
              <w:tab w:val="right" w:leader="dot" w:pos="9350"/>
            </w:tabs>
            <w:rPr>
              <w:rStyle w:val="Hyperlink"/>
            </w:rPr>
          </w:pPr>
          <w:hyperlink w:anchor="_Toc406497994" w:history="1">
            <w:r w:rsidRPr="00194B83">
              <w:rPr>
                <w:rStyle w:val="Hyperlink"/>
                <w:noProof/>
              </w:rPr>
              <w:t>5.4.5</w:t>
            </w:r>
            <w:r w:rsidRPr="00194B83">
              <w:rPr>
                <w:rStyle w:val="Hyperlink"/>
              </w:rPr>
              <w:tab/>
            </w:r>
            <w:r w:rsidRPr="00194B83">
              <w:rPr>
                <w:rStyle w:val="Hyperlink"/>
                <w:noProof/>
              </w:rPr>
              <w:t>Strategy10: Improve use of information for evidence-based policy</w:t>
            </w:r>
            <w:r w:rsidRPr="00194B83">
              <w:rPr>
                <w:rStyle w:val="Hyperlink"/>
                <w:webHidden/>
              </w:rPr>
              <w:tab/>
            </w:r>
            <w:r w:rsidRPr="00194B83">
              <w:rPr>
                <w:rStyle w:val="Hyperlink"/>
                <w:webHidden/>
              </w:rPr>
              <w:fldChar w:fldCharType="begin"/>
            </w:r>
            <w:r w:rsidRPr="00194B83">
              <w:rPr>
                <w:rStyle w:val="Hyperlink"/>
                <w:webHidden/>
              </w:rPr>
              <w:instrText xml:space="preserve"> PAGEREF _Toc406497994 \h </w:instrText>
            </w:r>
            <w:r w:rsidRPr="00194B83">
              <w:rPr>
                <w:rStyle w:val="Hyperlink"/>
                <w:webHidden/>
              </w:rPr>
            </w:r>
            <w:r w:rsidRPr="00194B83">
              <w:rPr>
                <w:rStyle w:val="Hyperlink"/>
                <w:webHidden/>
              </w:rPr>
              <w:fldChar w:fldCharType="separate"/>
            </w:r>
            <w:r w:rsidRPr="00194B83">
              <w:rPr>
                <w:rStyle w:val="Hyperlink"/>
                <w:webHidden/>
              </w:rPr>
              <w:t>34</w:t>
            </w:r>
            <w:r w:rsidRPr="00194B83">
              <w:rPr>
                <w:rStyle w:val="Hyperlink"/>
                <w:webHidden/>
              </w:rPr>
              <w:fldChar w:fldCharType="end"/>
            </w:r>
          </w:hyperlink>
        </w:p>
        <w:p w:rsidR="00194B83" w:rsidRDefault="00194B83">
          <w:pPr>
            <w:pStyle w:val="TOC1"/>
            <w:tabs>
              <w:tab w:val="left" w:pos="480"/>
              <w:tab w:val="right" w:leader="dot" w:pos="9350"/>
            </w:tabs>
            <w:rPr>
              <w:rFonts w:asciiTheme="minorHAnsi" w:eastAsiaTheme="minorEastAsia" w:hAnsiTheme="minorHAnsi"/>
              <w:noProof/>
              <w:sz w:val="22"/>
              <w:lang w:val="de-DE" w:eastAsia="de-DE"/>
            </w:rPr>
          </w:pPr>
          <w:hyperlink w:anchor="_Toc406497995" w:history="1">
            <w:r w:rsidRPr="00947156">
              <w:rPr>
                <w:rStyle w:val="Hyperlink"/>
                <w:noProof/>
              </w:rPr>
              <w:t>6</w:t>
            </w:r>
            <w:r>
              <w:rPr>
                <w:rFonts w:asciiTheme="minorHAnsi" w:eastAsiaTheme="minorEastAsia" w:hAnsiTheme="minorHAnsi"/>
                <w:noProof/>
                <w:sz w:val="22"/>
                <w:lang w:val="de-DE" w:eastAsia="de-DE"/>
              </w:rPr>
              <w:tab/>
            </w:r>
            <w:r w:rsidRPr="00947156">
              <w:rPr>
                <w:rStyle w:val="Hyperlink"/>
                <w:noProof/>
              </w:rPr>
              <w:t>Institutional Arrangements, Roles and Responsibilities</w:t>
            </w:r>
            <w:r>
              <w:rPr>
                <w:noProof/>
                <w:webHidden/>
              </w:rPr>
              <w:tab/>
            </w:r>
            <w:r>
              <w:rPr>
                <w:noProof/>
                <w:webHidden/>
              </w:rPr>
              <w:fldChar w:fldCharType="begin"/>
            </w:r>
            <w:r>
              <w:rPr>
                <w:noProof/>
                <w:webHidden/>
              </w:rPr>
              <w:instrText xml:space="preserve"> PAGEREF _Toc406497995 \h </w:instrText>
            </w:r>
            <w:r>
              <w:rPr>
                <w:noProof/>
                <w:webHidden/>
              </w:rPr>
            </w:r>
            <w:r>
              <w:rPr>
                <w:noProof/>
                <w:webHidden/>
              </w:rPr>
              <w:fldChar w:fldCharType="separate"/>
            </w:r>
            <w:r>
              <w:rPr>
                <w:noProof/>
                <w:webHidden/>
              </w:rPr>
              <w:t>36</w:t>
            </w:r>
            <w:r>
              <w:rPr>
                <w:noProof/>
                <w:webHidden/>
              </w:rPr>
              <w:fldChar w:fldCharType="end"/>
            </w:r>
          </w:hyperlink>
        </w:p>
        <w:p w:rsidR="00194B83" w:rsidRDefault="00194B83">
          <w:pPr>
            <w:pStyle w:val="TOC2"/>
            <w:tabs>
              <w:tab w:val="left" w:pos="880"/>
              <w:tab w:val="right" w:leader="dot" w:pos="9350"/>
            </w:tabs>
            <w:rPr>
              <w:rFonts w:asciiTheme="minorHAnsi" w:eastAsiaTheme="minorEastAsia" w:hAnsiTheme="minorHAnsi"/>
              <w:noProof/>
              <w:sz w:val="22"/>
              <w:lang w:val="de-DE" w:eastAsia="de-DE"/>
            </w:rPr>
          </w:pPr>
          <w:hyperlink w:anchor="_Toc406497996" w:history="1">
            <w:r w:rsidRPr="00947156">
              <w:rPr>
                <w:rStyle w:val="Hyperlink"/>
                <w:noProof/>
              </w:rPr>
              <w:t>6.1</w:t>
            </w:r>
            <w:r>
              <w:rPr>
                <w:rFonts w:asciiTheme="minorHAnsi" w:eastAsiaTheme="minorEastAsia" w:hAnsiTheme="minorHAnsi"/>
                <w:noProof/>
                <w:sz w:val="22"/>
                <w:lang w:val="de-DE" w:eastAsia="de-DE"/>
              </w:rPr>
              <w:tab/>
            </w:r>
            <w:r w:rsidRPr="00947156">
              <w:rPr>
                <w:rStyle w:val="Hyperlink"/>
                <w:noProof/>
              </w:rPr>
              <w:t>Implementation Plan</w:t>
            </w:r>
            <w:r>
              <w:rPr>
                <w:noProof/>
                <w:webHidden/>
              </w:rPr>
              <w:tab/>
            </w:r>
            <w:r>
              <w:rPr>
                <w:noProof/>
                <w:webHidden/>
              </w:rPr>
              <w:fldChar w:fldCharType="begin"/>
            </w:r>
            <w:r>
              <w:rPr>
                <w:noProof/>
                <w:webHidden/>
              </w:rPr>
              <w:instrText xml:space="preserve"> PAGEREF _Toc406497996 \h </w:instrText>
            </w:r>
            <w:r>
              <w:rPr>
                <w:noProof/>
                <w:webHidden/>
              </w:rPr>
            </w:r>
            <w:r>
              <w:rPr>
                <w:noProof/>
                <w:webHidden/>
              </w:rPr>
              <w:fldChar w:fldCharType="separate"/>
            </w:r>
            <w:r>
              <w:rPr>
                <w:noProof/>
                <w:webHidden/>
              </w:rPr>
              <w:t>36</w:t>
            </w:r>
            <w:r>
              <w:rPr>
                <w:noProof/>
                <w:webHidden/>
              </w:rPr>
              <w:fldChar w:fldCharType="end"/>
            </w:r>
          </w:hyperlink>
        </w:p>
        <w:p w:rsidR="00194B83" w:rsidRDefault="00194B83">
          <w:pPr>
            <w:pStyle w:val="TOC1"/>
            <w:tabs>
              <w:tab w:val="left" w:pos="480"/>
              <w:tab w:val="right" w:leader="dot" w:pos="9350"/>
            </w:tabs>
            <w:rPr>
              <w:rFonts w:asciiTheme="minorHAnsi" w:eastAsiaTheme="minorEastAsia" w:hAnsiTheme="minorHAnsi"/>
              <w:noProof/>
              <w:sz w:val="22"/>
              <w:lang w:val="de-DE" w:eastAsia="de-DE"/>
            </w:rPr>
          </w:pPr>
          <w:hyperlink w:anchor="_Toc406497997" w:history="1">
            <w:r w:rsidRPr="00947156">
              <w:rPr>
                <w:rStyle w:val="Hyperlink"/>
                <w:noProof/>
              </w:rPr>
              <w:t>7</w:t>
            </w:r>
            <w:r>
              <w:rPr>
                <w:rFonts w:asciiTheme="minorHAnsi" w:eastAsiaTheme="minorEastAsia" w:hAnsiTheme="minorHAnsi"/>
                <w:noProof/>
                <w:sz w:val="22"/>
                <w:lang w:val="de-DE" w:eastAsia="de-DE"/>
              </w:rPr>
              <w:tab/>
            </w:r>
            <w:r w:rsidRPr="00947156">
              <w:rPr>
                <w:rStyle w:val="Hyperlink"/>
                <w:noProof/>
              </w:rPr>
              <w:t>Results framework: Priority Interventions, Results and Indicators</w:t>
            </w:r>
            <w:r>
              <w:rPr>
                <w:noProof/>
                <w:webHidden/>
              </w:rPr>
              <w:tab/>
            </w:r>
            <w:r>
              <w:rPr>
                <w:noProof/>
                <w:webHidden/>
              </w:rPr>
              <w:fldChar w:fldCharType="begin"/>
            </w:r>
            <w:r>
              <w:rPr>
                <w:noProof/>
                <w:webHidden/>
              </w:rPr>
              <w:instrText xml:space="preserve"> PAGEREF _Toc406497997 \h </w:instrText>
            </w:r>
            <w:r>
              <w:rPr>
                <w:noProof/>
                <w:webHidden/>
              </w:rPr>
            </w:r>
            <w:r>
              <w:rPr>
                <w:noProof/>
                <w:webHidden/>
              </w:rPr>
              <w:fldChar w:fldCharType="separate"/>
            </w:r>
            <w:r>
              <w:rPr>
                <w:noProof/>
                <w:webHidden/>
              </w:rPr>
              <w:t>36</w:t>
            </w:r>
            <w:r>
              <w:rPr>
                <w:noProof/>
                <w:webHidden/>
              </w:rPr>
              <w:fldChar w:fldCharType="end"/>
            </w:r>
          </w:hyperlink>
        </w:p>
        <w:p w:rsidR="00194B83" w:rsidRDefault="00194B83">
          <w:pPr>
            <w:pStyle w:val="TOC2"/>
            <w:tabs>
              <w:tab w:val="left" w:pos="880"/>
              <w:tab w:val="right" w:leader="dot" w:pos="9350"/>
            </w:tabs>
            <w:rPr>
              <w:rFonts w:asciiTheme="minorHAnsi" w:eastAsiaTheme="minorEastAsia" w:hAnsiTheme="minorHAnsi"/>
              <w:noProof/>
              <w:sz w:val="22"/>
              <w:lang w:val="de-DE" w:eastAsia="de-DE"/>
            </w:rPr>
          </w:pPr>
          <w:hyperlink w:anchor="_Toc406497998" w:history="1">
            <w:r w:rsidRPr="00947156">
              <w:rPr>
                <w:rStyle w:val="Hyperlink"/>
                <w:noProof/>
              </w:rPr>
              <w:t>7.1</w:t>
            </w:r>
            <w:r>
              <w:rPr>
                <w:rFonts w:asciiTheme="minorHAnsi" w:eastAsiaTheme="minorEastAsia" w:hAnsiTheme="minorHAnsi"/>
                <w:noProof/>
                <w:sz w:val="22"/>
                <w:lang w:val="de-DE" w:eastAsia="de-DE"/>
              </w:rPr>
              <w:tab/>
            </w:r>
            <w:r w:rsidRPr="00947156">
              <w:rPr>
                <w:rStyle w:val="Hyperlink"/>
                <w:noProof/>
              </w:rPr>
              <w:t>Governance</w:t>
            </w:r>
            <w:r>
              <w:rPr>
                <w:noProof/>
                <w:webHidden/>
              </w:rPr>
              <w:tab/>
            </w:r>
            <w:r>
              <w:rPr>
                <w:noProof/>
                <w:webHidden/>
              </w:rPr>
              <w:fldChar w:fldCharType="begin"/>
            </w:r>
            <w:r>
              <w:rPr>
                <w:noProof/>
                <w:webHidden/>
              </w:rPr>
              <w:instrText xml:space="preserve"> PAGEREF _Toc406497998 \h </w:instrText>
            </w:r>
            <w:r>
              <w:rPr>
                <w:noProof/>
                <w:webHidden/>
              </w:rPr>
            </w:r>
            <w:r>
              <w:rPr>
                <w:noProof/>
                <w:webHidden/>
              </w:rPr>
              <w:fldChar w:fldCharType="separate"/>
            </w:r>
            <w:r>
              <w:rPr>
                <w:noProof/>
                <w:webHidden/>
              </w:rPr>
              <w:t>36</w:t>
            </w:r>
            <w:r>
              <w:rPr>
                <w:noProof/>
                <w:webHidden/>
              </w:rPr>
              <w:fldChar w:fldCharType="end"/>
            </w:r>
          </w:hyperlink>
        </w:p>
        <w:p w:rsidR="00194B83" w:rsidRDefault="00194B83">
          <w:pPr>
            <w:pStyle w:val="TOC2"/>
            <w:tabs>
              <w:tab w:val="left" w:pos="880"/>
              <w:tab w:val="right" w:leader="dot" w:pos="9350"/>
            </w:tabs>
            <w:rPr>
              <w:rFonts w:asciiTheme="minorHAnsi" w:eastAsiaTheme="minorEastAsia" w:hAnsiTheme="minorHAnsi"/>
              <w:noProof/>
              <w:sz w:val="22"/>
              <w:lang w:val="de-DE" w:eastAsia="de-DE"/>
            </w:rPr>
          </w:pPr>
          <w:hyperlink w:anchor="_Toc406497999" w:history="1">
            <w:r w:rsidRPr="00947156">
              <w:rPr>
                <w:rStyle w:val="Hyperlink"/>
                <w:noProof/>
              </w:rPr>
              <w:t>7.2</w:t>
            </w:r>
            <w:r>
              <w:rPr>
                <w:rFonts w:asciiTheme="minorHAnsi" w:eastAsiaTheme="minorEastAsia" w:hAnsiTheme="minorHAnsi"/>
                <w:noProof/>
                <w:sz w:val="22"/>
                <w:lang w:val="de-DE" w:eastAsia="de-DE"/>
              </w:rPr>
              <w:tab/>
            </w:r>
            <w:r w:rsidRPr="00947156">
              <w:rPr>
                <w:rStyle w:val="Hyperlink"/>
                <w:noProof/>
              </w:rPr>
              <w:t>Revenue Collection</w:t>
            </w:r>
            <w:r>
              <w:rPr>
                <w:noProof/>
                <w:webHidden/>
              </w:rPr>
              <w:tab/>
            </w:r>
            <w:r>
              <w:rPr>
                <w:noProof/>
                <w:webHidden/>
              </w:rPr>
              <w:fldChar w:fldCharType="begin"/>
            </w:r>
            <w:r>
              <w:rPr>
                <w:noProof/>
                <w:webHidden/>
              </w:rPr>
              <w:instrText xml:space="preserve"> PAGEREF _Toc406497999 \h </w:instrText>
            </w:r>
            <w:r>
              <w:rPr>
                <w:noProof/>
                <w:webHidden/>
              </w:rPr>
            </w:r>
            <w:r>
              <w:rPr>
                <w:noProof/>
                <w:webHidden/>
              </w:rPr>
              <w:fldChar w:fldCharType="separate"/>
            </w:r>
            <w:r>
              <w:rPr>
                <w:noProof/>
                <w:webHidden/>
              </w:rPr>
              <w:t>37</w:t>
            </w:r>
            <w:r>
              <w:rPr>
                <w:noProof/>
                <w:webHidden/>
              </w:rPr>
              <w:fldChar w:fldCharType="end"/>
            </w:r>
          </w:hyperlink>
        </w:p>
        <w:p w:rsidR="00194B83" w:rsidRDefault="00194B83">
          <w:pPr>
            <w:pStyle w:val="TOC2"/>
            <w:tabs>
              <w:tab w:val="right" w:leader="dot" w:pos="9350"/>
            </w:tabs>
            <w:rPr>
              <w:rFonts w:asciiTheme="minorHAnsi" w:eastAsiaTheme="minorEastAsia" w:hAnsiTheme="minorHAnsi"/>
              <w:noProof/>
              <w:sz w:val="22"/>
              <w:lang w:val="de-DE" w:eastAsia="de-DE"/>
            </w:rPr>
          </w:pPr>
          <w:hyperlink w:anchor="_Toc406498000" w:history="1">
            <w:r w:rsidRPr="00947156">
              <w:rPr>
                <w:rStyle w:val="Hyperlink"/>
                <w:noProof/>
              </w:rPr>
              <w:t>7.3 Pooling</w:t>
            </w:r>
            <w:r>
              <w:rPr>
                <w:noProof/>
                <w:webHidden/>
              </w:rPr>
              <w:tab/>
            </w:r>
            <w:r>
              <w:rPr>
                <w:noProof/>
                <w:webHidden/>
              </w:rPr>
              <w:fldChar w:fldCharType="begin"/>
            </w:r>
            <w:r>
              <w:rPr>
                <w:noProof/>
                <w:webHidden/>
              </w:rPr>
              <w:instrText xml:space="preserve"> PAGEREF _Toc406498000 \h </w:instrText>
            </w:r>
            <w:r>
              <w:rPr>
                <w:noProof/>
                <w:webHidden/>
              </w:rPr>
            </w:r>
            <w:r>
              <w:rPr>
                <w:noProof/>
                <w:webHidden/>
              </w:rPr>
              <w:fldChar w:fldCharType="separate"/>
            </w:r>
            <w:r>
              <w:rPr>
                <w:noProof/>
                <w:webHidden/>
              </w:rPr>
              <w:t>38</w:t>
            </w:r>
            <w:r>
              <w:rPr>
                <w:noProof/>
                <w:webHidden/>
              </w:rPr>
              <w:fldChar w:fldCharType="end"/>
            </w:r>
          </w:hyperlink>
        </w:p>
        <w:p w:rsidR="00F45012" w:rsidRDefault="00F936E6">
          <w:r>
            <w:rPr>
              <w:b/>
              <w:bCs/>
              <w:noProof/>
            </w:rPr>
            <w:fldChar w:fldCharType="end"/>
          </w:r>
        </w:p>
      </w:sdtContent>
    </w:sdt>
    <w:p w:rsidR="00F45012" w:rsidRDefault="00F45012">
      <w:pPr>
        <w:spacing w:after="200"/>
        <w:jc w:val="left"/>
        <w:rPr>
          <w:rFonts w:asciiTheme="majorHAnsi" w:eastAsiaTheme="majorEastAsia" w:hAnsiTheme="majorHAnsi" w:cstheme="majorBidi"/>
          <w:color w:val="17365D" w:themeColor="text2" w:themeShade="BF"/>
          <w:spacing w:val="5"/>
          <w:kern w:val="28"/>
          <w:sz w:val="32"/>
          <w:szCs w:val="52"/>
        </w:rPr>
      </w:pPr>
      <w:r>
        <w:br w:type="page"/>
      </w:r>
    </w:p>
    <w:p w:rsidR="000913DF" w:rsidRPr="00EB4F0C" w:rsidRDefault="0026550B" w:rsidP="0066032E">
      <w:pPr>
        <w:pStyle w:val="Title"/>
      </w:pPr>
      <w:r w:rsidRPr="00EB4F0C">
        <w:lastRenderedPageBreak/>
        <w:t>Preface</w:t>
      </w:r>
    </w:p>
    <w:p w:rsidR="006D3B28" w:rsidRPr="00EB4F0C" w:rsidRDefault="006D3B28" w:rsidP="002E07C5">
      <w:pPr>
        <w:pStyle w:val="ListParagraph"/>
        <w:rPr>
          <w:rFonts w:cs="Arial"/>
          <w:szCs w:val="24"/>
        </w:rPr>
      </w:pPr>
    </w:p>
    <w:p w:rsidR="00393F1C" w:rsidRPr="00EB4F0C" w:rsidRDefault="00FC53F9" w:rsidP="0066032E">
      <w:pPr>
        <w:pStyle w:val="Heading1"/>
      </w:pPr>
      <w:bookmarkStart w:id="0" w:name="_Toc406497957"/>
      <w:r w:rsidRPr="00EB4F0C">
        <w:t>Background</w:t>
      </w:r>
      <w:bookmarkEnd w:id="0"/>
    </w:p>
    <w:p w:rsidR="0023565D" w:rsidRPr="0023565D" w:rsidRDefault="0023565D" w:rsidP="0066032E">
      <w:pPr>
        <w:pStyle w:val="Heading2"/>
        <w:rPr>
          <w:rFonts w:eastAsia="Calibri"/>
        </w:rPr>
      </w:pPr>
      <w:bookmarkStart w:id="1" w:name="_Toc406497958"/>
      <w:r w:rsidRPr="0023565D">
        <w:rPr>
          <w:rFonts w:eastAsia="Calibri"/>
        </w:rPr>
        <w:t>Rational</w:t>
      </w:r>
      <w:r w:rsidR="003A7987">
        <w:rPr>
          <w:rFonts w:eastAsia="Calibri"/>
        </w:rPr>
        <w:t>e</w:t>
      </w:r>
      <w:r w:rsidRPr="0023565D">
        <w:rPr>
          <w:rFonts w:eastAsia="Calibri"/>
        </w:rPr>
        <w:t xml:space="preserve"> for the H</w:t>
      </w:r>
      <w:r w:rsidR="00D10884">
        <w:rPr>
          <w:rFonts w:eastAsia="Calibri"/>
        </w:rPr>
        <w:t xml:space="preserve">ealth </w:t>
      </w:r>
      <w:r w:rsidRPr="0023565D">
        <w:rPr>
          <w:rFonts w:eastAsia="Calibri"/>
        </w:rPr>
        <w:t>F</w:t>
      </w:r>
      <w:r w:rsidR="00D10884">
        <w:rPr>
          <w:rFonts w:eastAsia="Calibri"/>
        </w:rPr>
        <w:t xml:space="preserve">inancing </w:t>
      </w:r>
      <w:r w:rsidRPr="0023565D">
        <w:rPr>
          <w:rFonts w:eastAsia="Calibri"/>
        </w:rPr>
        <w:t>S</w:t>
      </w:r>
      <w:r w:rsidR="00D10884">
        <w:rPr>
          <w:rFonts w:eastAsia="Calibri"/>
        </w:rPr>
        <w:t>trategy</w:t>
      </w:r>
      <w:bookmarkEnd w:id="1"/>
    </w:p>
    <w:p w:rsidR="0023565D" w:rsidRDefault="003A7987" w:rsidP="00BD52C4">
      <w:r>
        <w:t>In 2007</w:t>
      </w:r>
      <w:r w:rsidR="0023565D" w:rsidRPr="0023565D">
        <w:t xml:space="preserve">, the Government of Tanzania </w:t>
      </w:r>
      <w:r w:rsidR="009E163C">
        <w:t xml:space="preserve">(GOT) </w:t>
      </w:r>
      <w:r w:rsidR="0023565D" w:rsidRPr="0023565D">
        <w:t xml:space="preserve">adopted a Health Policy with the policy vision </w:t>
      </w:r>
      <w:r w:rsidR="0023565D" w:rsidRPr="009E163C">
        <w:rPr>
          <w:i/>
        </w:rPr>
        <w:t xml:space="preserve">“to improve the health and </w:t>
      </w:r>
      <w:r w:rsidRPr="009E163C">
        <w:rPr>
          <w:i/>
        </w:rPr>
        <w:t>well-being</w:t>
      </w:r>
      <w:r w:rsidR="0023565D" w:rsidRPr="009E163C">
        <w:rPr>
          <w:i/>
        </w:rPr>
        <w:t xml:space="preserve"> of all Tanzanians with a focus on those most at risk […]”</w:t>
      </w:r>
      <w:r w:rsidR="0023565D" w:rsidRPr="0023565D">
        <w:t>. This vision remains valid and</w:t>
      </w:r>
      <w:r w:rsidR="00490D91">
        <w:t xml:space="preserve"> the</w:t>
      </w:r>
      <w:r w:rsidR="0023565D" w:rsidRPr="0023565D">
        <w:t xml:space="preserve"> GOT is committed to moving towards Universal Health Coverage </w:t>
      </w:r>
      <w:r w:rsidR="009E163C">
        <w:t xml:space="preserve">(UHC) </w:t>
      </w:r>
      <w:r w:rsidR="00490D91">
        <w:t xml:space="preserve">by making sure that everybody has access to needed health services of high quality and is protected against financial risks that could arise as a result of paying of health care. </w:t>
      </w:r>
      <w:r w:rsidR="0023565D" w:rsidRPr="0023565D">
        <w:t>As part of the Health Sector Strategic Plan III</w:t>
      </w:r>
      <w:r w:rsidR="00BD52C4">
        <w:t xml:space="preserve"> (2009-2015) (HSSP III)</w:t>
      </w:r>
      <w:r w:rsidR="0023565D" w:rsidRPr="0023565D">
        <w:t xml:space="preserve">, a decision was taken to develop a </w:t>
      </w:r>
      <w:r w:rsidR="0023565D" w:rsidRPr="0023565D">
        <w:rPr>
          <w:b/>
        </w:rPr>
        <w:t>Health Financing Strategy</w:t>
      </w:r>
      <w:r w:rsidR="0023565D" w:rsidRPr="0023565D">
        <w:t xml:space="preserve"> to ensure that this vision </w:t>
      </w:r>
      <w:r w:rsidR="00793C1A">
        <w:t>is realized</w:t>
      </w:r>
      <w:r w:rsidR="0023565D" w:rsidRPr="0023565D">
        <w:t>.</w:t>
      </w:r>
    </w:p>
    <w:p w:rsidR="0023565D" w:rsidRPr="0023565D" w:rsidRDefault="0023565D" w:rsidP="002E07C5">
      <w:pPr>
        <w:autoSpaceDE w:val="0"/>
        <w:autoSpaceDN w:val="0"/>
        <w:adjustRightInd w:val="0"/>
        <w:spacing w:line="240" w:lineRule="auto"/>
        <w:rPr>
          <w:rFonts w:eastAsia="Calibri" w:cs="Arial"/>
          <w:szCs w:val="24"/>
        </w:rPr>
      </w:pPr>
    </w:p>
    <w:p w:rsidR="00A37771" w:rsidRDefault="00A37771" w:rsidP="00BD52C4">
      <w:r w:rsidRPr="00A37771">
        <w:t xml:space="preserve">Tanzania is entering a new phase of health financing reforms based on </w:t>
      </w:r>
      <w:r w:rsidR="00BD52C4">
        <w:t xml:space="preserve">those </w:t>
      </w:r>
      <w:r w:rsidRPr="00A37771">
        <w:t>undertaken since the early 1990’s. The first phase of reforms moved the Tanzanian health financ</w:t>
      </w:r>
      <w:r w:rsidR="00BD52C4">
        <w:t>ing system from a purely budget-</w:t>
      </w:r>
      <w:r w:rsidRPr="00A37771">
        <w:t>financed system to a mixed financing model with the hope of increasing availability and quality of care. In this first phase, user-fees (in 1993), Community Health Funds (CHFs – from 199</w:t>
      </w:r>
      <w:r w:rsidR="0056345C">
        <w:t>6</w:t>
      </w:r>
      <w:r w:rsidRPr="00A37771">
        <w:t xml:space="preserve"> onwards) and the National Health Insurance Fund (NHIF – in 1999) were introduced in order to leverage additional funds, build community ownership</w:t>
      </w:r>
      <w:r w:rsidR="000F4A1D">
        <w:t>,</w:t>
      </w:r>
      <w:r w:rsidRPr="00A37771">
        <w:t xml:space="preserve"> and create stronger accountability of service providers.</w:t>
      </w:r>
      <w:r>
        <w:t xml:space="preserve"> However, these mechanisms have largely failed to achieve significant population coverage and thus adequate social health protection. </w:t>
      </w:r>
      <w:r w:rsidRPr="00A37771">
        <w:t xml:space="preserve"> </w:t>
      </w:r>
    </w:p>
    <w:p w:rsidR="00A37771" w:rsidRDefault="00A37771" w:rsidP="001514DE">
      <w:pPr>
        <w:autoSpaceDE w:val="0"/>
        <w:autoSpaceDN w:val="0"/>
        <w:adjustRightInd w:val="0"/>
        <w:spacing w:line="240" w:lineRule="auto"/>
        <w:rPr>
          <w:rFonts w:eastAsia="Calibri" w:cs="Arial"/>
          <w:szCs w:val="24"/>
        </w:rPr>
      </w:pPr>
    </w:p>
    <w:p w:rsidR="001514DE" w:rsidRDefault="00170579" w:rsidP="00BD52C4">
      <w:r>
        <w:t>A</w:t>
      </w:r>
      <w:r w:rsidR="001514DE" w:rsidRPr="001514DE">
        <w:t xml:space="preserve"> large body of evidence shows that spending from public sources, especially </w:t>
      </w:r>
      <w:r w:rsidR="00AE632A">
        <w:t xml:space="preserve">from </w:t>
      </w:r>
      <w:r w:rsidR="001514DE" w:rsidRPr="001514DE">
        <w:t>domestic</w:t>
      </w:r>
      <w:r w:rsidR="00AE632A">
        <w:t xml:space="preserve"> sources</w:t>
      </w:r>
      <w:r w:rsidR="001514DE" w:rsidRPr="001514DE">
        <w:t>, is still too low to finance a package of essential health services</w:t>
      </w:r>
      <w:r w:rsidR="00AE632A">
        <w:t>. U</w:t>
      </w:r>
      <w:r w:rsidR="001514DE" w:rsidRPr="001514DE">
        <w:t xml:space="preserve">ser-fees are </w:t>
      </w:r>
      <w:r w:rsidR="00AE632A">
        <w:t xml:space="preserve">still </w:t>
      </w:r>
      <w:r w:rsidR="001514DE" w:rsidRPr="001514DE">
        <w:t>a barrier to access</w:t>
      </w:r>
      <w:r w:rsidR="00AE632A">
        <w:t xml:space="preserve"> especially among the poor while</w:t>
      </w:r>
      <w:r w:rsidR="001514DE" w:rsidRPr="001514DE">
        <w:t xml:space="preserve"> coverage of pre-payment schemes is low, funding is not distributed equitably between and within districts, and the limited funds available are not used efficiently to achieve the maximum effect</w:t>
      </w:r>
      <w:r w:rsidR="000F4A1D">
        <w:t xml:space="preserve"> </w:t>
      </w:r>
      <w:r w:rsidR="00861DC9">
        <w:t>(NHA 2010).</w:t>
      </w:r>
      <w:r w:rsidR="001514DE" w:rsidRPr="001514DE">
        <w:t xml:space="preserve"> Accountability and transparency can also still be improved.</w:t>
      </w:r>
      <w:r w:rsidR="00490D91">
        <w:t xml:space="preserve"> The above challenges are to a large extent a result of a highly fragmented health financing system whereby a lot of small funding pools financing health care needs of different small segments of the population.</w:t>
      </w:r>
    </w:p>
    <w:p w:rsidR="000A3D12" w:rsidRPr="001514DE" w:rsidRDefault="000A3D12" w:rsidP="001514DE">
      <w:pPr>
        <w:autoSpaceDE w:val="0"/>
        <w:autoSpaceDN w:val="0"/>
        <w:adjustRightInd w:val="0"/>
        <w:spacing w:line="240" w:lineRule="auto"/>
        <w:rPr>
          <w:rFonts w:eastAsia="Calibri" w:cs="Arial"/>
          <w:szCs w:val="24"/>
        </w:rPr>
      </w:pPr>
    </w:p>
    <w:p w:rsidR="00E11DC7" w:rsidRPr="0023565D" w:rsidRDefault="00E11DC7" w:rsidP="002E07C5">
      <w:pPr>
        <w:autoSpaceDE w:val="0"/>
        <w:autoSpaceDN w:val="0"/>
        <w:adjustRightInd w:val="0"/>
        <w:spacing w:line="240" w:lineRule="auto"/>
        <w:rPr>
          <w:rFonts w:eastAsia="Calibri" w:cs="Arial"/>
          <w:szCs w:val="24"/>
        </w:rPr>
      </w:pPr>
    </w:p>
    <w:p w:rsidR="0023565D" w:rsidRPr="0023565D" w:rsidRDefault="00861DC9" w:rsidP="00BD52C4">
      <w:pPr>
        <w:pStyle w:val="Heading2"/>
        <w:rPr>
          <w:rFonts w:eastAsia="Calibri"/>
        </w:rPr>
      </w:pPr>
      <w:bookmarkStart w:id="2" w:name="_Toc406497959"/>
      <w:r>
        <w:rPr>
          <w:rFonts w:eastAsia="Calibri"/>
        </w:rPr>
        <w:t>The P</w:t>
      </w:r>
      <w:r w:rsidR="0023565D" w:rsidRPr="0023565D">
        <w:rPr>
          <w:rFonts w:eastAsia="Calibri"/>
        </w:rPr>
        <w:t xml:space="preserve">rocess </w:t>
      </w:r>
      <w:r w:rsidR="00BD52C4">
        <w:rPr>
          <w:rFonts w:eastAsia="Calibri"/>
        </w:rPr>
        <w:t xml:space="preserve">of </w:t>
      </w:r>
      <w:r>
        <w:rPr>
          <w:rFonts w:eastAsia="Calibri"/>
        </w:rPr>
        <w:t>D</w:t>
      </w:r>
      <w:r w:rsidR="0023565D" w:rsidRPr="0023565D">
        <w:rPr>
          <w:rFonts w:eastAsia="Calibri"/>
        </w:rPr>
        <w:t xml:space="preserve">eveloping </w:t>
      </w:r>
      <w:r w:rsidR="00193D08">
        <w:rPr>
          <w:rFonts w:eastAsia="Calibri"/>
        </w:rPr>
        <w:t xml:space="preserve">the </w:t>
      </w:r>
      <w:r w:rsidR="0023565D" w:rsidRPr="0023565D">
        <w:rPr>
          <w:rFonts w:eastAsia="Calibri"/>
        </w:rPr>
        <w:t>HFS</w:t>
      </w:r>
      <w:bookmarkEnd w:id="2"/>
      <w:r w:rsidR="00C01A39">
        <w:rPr>
          <w:rFonts w:eastAsia="Calibri"/>
        </w:rPr>
        <w:t xml:space="preserve"> </w:t>
      </w:r>
    </w:p>
    <w:p w:rsidR="0095453D" w:rsidRDefault="0095453D" w:rsidP="0095453D">
      <w:pPr>
        <w:rPr>
          <w:rFonts w:eastAsia="Calibri" w:cs="Arial"/>
          <w:szCs w:val="24"/>
        </w:rPr>
      </w:pPr>
      <w:r w:rsidRPr="00301084">
        <w:rPr>
          <w:rFonts w:eastAsia="Calibri" w:cs="Arial"/>
          <w:szCs w:val="24"/>
        </w:rPr>
        <w:t xml:space="preserve">The </w:t>
      </w:r>
      <w:r>
        <w:rPr>
          <w:rFonts w:eastAsia="Calibri" w:cs="Arial"/>
          <w:szCs w:val="24"/>
        </w:rPr>
        <w:t xml:space="preserve">need to </w:t>
      </w:r>
      <w:r w:rsidRPr="00301084">
        <w:rPr>
          <w:rFonts w:eastAsia="Calibri" w:cs="Arial"/>
          <w:szCs w:val="24"/>
        </w:rPr>
        <w:t xml:space="preserve">develop </w:t>
      </w:r>
      <w:r>
        <w:rPr>
          <w:rFonts w:eastAsia="Calibri" w:cs="Arial"/>
          <w:szCs w:val="24"/>
        </w:rPr>
        <w:t>a</w:t>
      </w:r>
      <w:r w:rsidRPr="00301084">
        <w:rPr>
          <w:rFonts w:eastAsia="Calibri" w:cs="Arial"/>
          <w:szCs w:val="24"/>
        </w:rPr>
        <w:t xml:space="preserve"> </w:t>
      </w:r>
      <w:r>
        <w:rPr>
          <w:rFonts w:eastAsia="Calibri" w:cs="Arial"/>
          <w:szCs w:val="24"/>
        </w:rPr>
        <w:t>H</w:t>
      </w:r>
      <w:r w:rsidRPr="00301084">
        <w:rPr>
          <w:rFonts w:eastAsia="Calibri" w:cs="Arial"/>
          <w:szCs w:val="24"/>
        </w:rPr>
        <w:t xml:space="preserve">ealth Financing </w:t>
      </w:r>
      <w:r>
        <w:rPr>
          <w:rFonts w:eastAsia="Calibri" w:cs="Arial"/>
          <w:szCs w:val="24"/>
        </w:rPr>
        <w:t>S</w:t>
      </w:r>
      <w:r w:rsidRPr="00301084">
        <w:rPr>
          <w:rFonts w:eastAsia="Calibri" w:cs="Arial"/>
          <w:szCs w:val="24"/>
        </w:rPr>
        <w:t xml:space="preserve">trategy was spelt out in </w:t>
      </w:r>
      <w:r>
        <w:rPr>
          <w:rFonts w:eastAsia="Calibri" w:cs="Arial"/>
          <w:szCs w:val="24"/>
        </w:rPr>
        <w:t xml:space="preserve">HSSP III </w:t>
      </w:r>
      <w:r w:rsidRPr="00E342DF">
        <w:rPr>
          <w:rFonts w:eastAsia="Calibri" w:cs="Arial"/>
          <w:szCs w:val="24"/>
        </w:rPr>
        <w:t>(p</w:t>
      </w:r>
      <w:r w:rsidR="00E342DF" w:rsidRPr="00E342DF">
        <w:rPr>
          <w:rFonts w:eastAsia="Calibri" w:cs="Arial"/>
          <w:szCs w:val="24"/>
        </w:rPr>
        <w:t>32</w:t>
      </w:r>
      <w:r w:rsidRPr="00E342DF">
        <w:rPr>
          <w:rFonts w:eastAsia="Calibri" w:cs="Arial"/>
          <w:szCs w:val="24"/>
        </w:rPr>
        <w:t>)</w:t>
      </w:r>
      <w:r>
        <w:rPr>
          <w:rFonts w:eastAsia="Calibri" w:cs="Arial"/>
          <w:szCs w:val="24"/>
        </w:rPr>
        <w:t>,</w:t>
      </w:r>
      <w:r w:rsidR="00AE632A">
        <w:rPr>
          <w:rFonts w:eastAsia="Calibri" w:cs="Arial"/>
          <w:szCs w:val="24"/>
        </w:rPr>
        <w:t xml:space="preserve"> and</w:t>
      </w:r>
      <w:r>
        <w:rPr>
          <w:rFonts w:eastAsia="Calibri" w:cs="Arial"/>
          <w:szCs w:val="24"/>
        </w:rPr>
        <w:t xml:space="preserve"> the pr</w:t>
      </w:r>
      <w:r w:rsidR="00F46CE5">
        <w:rPr>
          <w:rFonts w:eastAsia="Calibri" w:cs="Arial"/>
          <w:szCs w:val="24"/>
        </w:rPr>
        <w:t>ocess started in</w:t>
      </w:r>
      <w:r w:rsidR="00AE632A">
        <w:rPr>
          <w:rFonts w:eastAsia="Calibri" w:cs="Arial"/>
          <w:szCs w:val="24"/>
        </w:rPr>
        <w:t xml:space="preserve"> 2012</w:t>
      </w:r>
      <w:r w:rsidR="00F46CE5">
        <w:rPr>
          <w:rFonts w:eastAsia="Calibri" w:cs="Arial"/>
          <w:szCs w:val="24"/>
        </w:rPr>
        <w:t xml:space="preserve"> </w:t>
      </w:r>
      <w:r>
        <w:rPr>
          <w:rFonts w:eastAsia="Calibri" w:cs="Arial"/>
          <w:szCs w:val="24"/>
        </w:rPr>
        <w:t xml:space="preserve">with background studies, initial consultations, and efforts to </w:t>
      </w:r>
      <w:r>
        <w:rPr>
          <w:rFonts w:eastAsia="Calibri" w:cs="Arial"/>
          <w:szCs w:val="24"/>
        </w:rPr>
        <w:lastRenderedPageBreak/>
        <w:t>learn from other countries</w:t>
      </w:r>
      <w:r w:rsidR="00F869D7">
        <w:rPr>
          <w:rFonts w:eastAsia="Calibri" w:cs="Arial"/>
          <w:szCs w:val="24"/>
        </w:rPr>
        <w:t xml:space="preserve"> as part of capacity building (Figure 1)</w:t>
      </w:r>
      <w:r>
        <w:rPr>
          <w:rFonts w:eastAsia="Calibri" w:cs="Arial"/>
          <w:szCs w:val="24"/>
        </w:rPr>
        <w:t xml:space="preserve">. </w:t>
      </w:r>
      <w:r w:rsidR="00F869D7">
        <w:rPr>
          <w:rFonts w:eastAsia="Calibri" w:cs="Arial"/>
          <w:szCs w:val="24"/>
        </w:rPr>
        <w:t xml:space="preserve">In order to </w:t>
      </w:r>
      <w:r>
        <w:rPr>
          <w:rFonts w:eastAsia="Calibri" w:cs="Arial"/>
          <w:szCs w:val="24"/>
        </w:rPr>
        <w:t>ensure high level, multi-</w:t>
      </w:r>
      <w:proofErr w:type="spellStart"/>
      <w:r>
        <w:rPr>
          <w:rFonts w:eastAsia="Calibri" w:cs="Arial"/>
          <w:szCs w:val="24"/>
        </w:rPr>
        <w:t>sectoral</w:t>
      </w:r>
      <w:proofErr w:type="spellEnd"/>
      <w:r>
        <w:rPr>
          <w:rFonts w:eastAsia="Calibri" w:cs="Arial"/>
          <w:szCs w:val="24"/>
        </w:rPr>
        <w:t xml:space="preserve"> Government ownership and oversight of the process</w:t>
      </w:r>
      <w:r w:rsidR="00F869D7">
        <w:rPr>
          <w:rFonts w:eastAsia="Calibri" w:cs="Arial"/>
          <w:szCs w:val="24"/>
        </w:rPr>
        <w:t xml:space="preserve">, </w:t>
      </w:r>
      <w:r>
        <w:rPr>
          <w:rFonts w:eastAsia="Calibri" w:cs="Arial"/>
          <w:szCs w:val="24"/>
        </w:rPr>
        <w:t>the M</w:t>
      </w:r>
      <w:r w:rsidR="00861DC9">
        <w:rPr>
          <w:rFonts w:eastAsia="Calibri" w:cs="Arial"/>
          <w:szCs w:val="24"/>
        </w:rPr>
        <w:t>inistry of Health and Social Welfare</w:t>
      </w:r>
      <w:r w:rsidR="002F41E2">
        <w:rPr>
          <w:rFonts w:eastAsia="Calibri" w:cs="Arial"/>
          <w:szCs w:val="24"/>
        </w:rPr>
        <w:t xml:space="preserve"> (MOHSW)</w:t>
      </w:r>
      <w:r w:rsidR="00861DC9">
        <w:rPr>
          <w:rFonts w:eastAsia="Calibri" w:cs="Arial"/>
          <w:szCs w:val="24"/>
        </w:rPr>
        <w:t xml:space="preserve"> </w:t>
      </w:r>
      <w:r>
        <w:rPr>
          <w:rFonts w:eastAsia="Calibri" w:cs="Arial"/>
          <w:szCs w:val="24"/>
        </w:rPr>
        <w:t>inaugurat</w:t>
      </w:r>
      <w:r w:rsidR="00F869D7">
        <w:rPr>
          <w:rFonts w:eastAsia="Calibri" w:cs="Arial"/>
          <w:szCs w:val="24"/>
        </w:rPr>
        <w:t xml:space="preserve">ed </w:t>
      </w:r>
      <w:r>
        <w:rPr>
          <w:rFonts w:eastAsia="Calibri" w:cs="Arial"/>
          <w:szCs w:val="24"/>
        </w:rPr>
        <w:t xml:space="preserve">an </w:t>
      </w:r>
      <w:r w:rsidRPr="00301084">
        <w:rPr>
          <w:rFonts w:eastAsia="Calibri" w:cs="Arial"/>
          <w:szCs w:val="24"/>
        </w:rPr>
        <w:t xml:space="preserve">Inter-Ministerial Steering Committee </w:t>
      </w:r>
      <w:r>
        <w:rPr>
          <w:rFonts w:eastAsia="Calibri" w:cs="Arial"/>
          <w:szCs w:val="24"/>
        </w:rPr>
        <w:t>(ISC)</w:t>
      </w:r>
      <w:r w:rsidR="00F46CE5">
        <w:rPr>
          <w:rStyle w:val="FootnoteReference"/>
          <w:rFonts w:eastAsia="Calibri" w:cs="Arial"/>
          <w:szCs w:val="24"/>
        </w:rPr>
        <w:footnoteReference w:id="1"/>
      </w:r>
      <w:r w:rsidR="00AE632A">
        <w:rPr>
          <w:rFonts w:eastAsia="Calibri" w:cs="Arial"/>
          <w:szCs w:val="24"/>
        </w:rPr>
        <w:t xml:space="preserve"> In August 2012. </w:t>
      </w:r>
      <w:r w:rsidRPr="0095453D">
        <w:t>The ISC comprises repres</w:t>
      </w:r>
      <w:r w:rsidR="00861DC9">
        <w:t>entatives of key Ministries, D</w:t>
      </w:r>
      <w:r w:rsidR="00F46CE5">
        <w:t>epartments and agencies</w:t>
      </w:r>
      <w:r w:rsidRPr="0095453D">
        <w:t xml:space="preserve"> to ensure that proposed reforms are comprehensive, accepted and implemented by all stakeholders. Its role was to provide leadership, ensure national ownership of the process, coordinate technical level activities, provide guidance on policy direction and act as a transmission mechanism</w:t>
      </w:r>
      <w:r w:rsidRPr="00301084">
        <w:rPr>
          <w:rFonts w:eastAsia="Calibri" w:cs="Arial"/>
          <w:szCs w:val="24"/>
        </w:rPr>
        <w:t xml:space="preserve"> between </w:t>
      </w:r>
      <w:r>
        <w:rPr>
          <w:rFonts w:eastAsia="Calibri" w:cs="Arial"/>
          <w:szCs w:val="24"/>
        </w:rPr>
        <w:t xml:space="preserve">a </w:t>
      </w:r>
      <w:r w:rsidRPr="00301084">
        <w:rPr>
          <w:rFonts w:eastAsia="Calibri" w:cs="Arial"/>
          <w:szCs w:val="24"/>
        </w:rPr>
        <w:t xml:space="preserve">technical Secretariat and </w:t>
      </w:r>
      <w:r>
        <w:rPr>
          <w:rFonts w:eastAsia="Calibri" w:cs="Arial"/>
          <w:szCs w:val="24"/>
        </w:rPr>
        <w:t>the high-</w:t>
      </w:r>
      <w:r w:rsidRPr="00301084">
        <w:rPr>
          <w:rFonts w:eastAsia="Calibri" w:cs="Arial"/>
          <w:szCs w:val="24"/>
        </w:rPr>
        <w:t>level decision mak</w:t>
      </w:r>
      <w:r>
        <w:rPr>
          <w:rFonts w:eastAsia="Calibri" w:cs="Arial"/>
          <w:szCs w:val="24"/>
        </w:rPr>
        <w:t>ers.</w:t>
      </w:r>
      <w:r w:rsidR="00AE632A">
        <w:rPr>
          <w:rFonts w:eastAsia="Calibri" w:cs="Arial"/>
          <w:szCs w:val="24"/>
        </w:rPr>
        <w:t xml:space="preserve"> </w:t>
      </w:r>
    </w:p>
    <w:p w:rsidR="0095453D" w:rsidRPr="00301084" w:rsidRDefault="0095453D" w:rsidP="0095453D">
      <w:pPr>
        <w:rPr>
          <w:rFonts w:eastAsia="Calibri" w:cs="Arial"/>
          <w:szCs w:val="24"/>
        </w:rPr>
      </w:pPr>
    </w:p>
    <w:p w:rsidR="0095453D" w:rsidRDefault="0095453D" w:rsidP="0095453D">
      <w:pPr>
        <w:pStyle w:val="Caption"/>
        <w:rPr>
          <w:rFonts w:eastAsia="Calibri" w:cs="Arial"/>
          <w:sz w:val="24"/>
          <w:szCs w:val="24"/>
        </w:rPr>
      </w:pPr>
      <w:r>
        <w:t xml:space="preserve">Figure </w:t>
      </w:r>
      <w:r w:rsidR="00F936E6">
        <w:fldChar w:fldCharType="begin"/>
      </w:r>
      <w:r w:rsidR="00434E4F">
        <w:instrText xml:space="preserve"> SEQ Figure \* ARABIC </w:instrText>
      </w:r>
      <w:r w:rsidR="00F936E6">
        <w:fldChar w:fldCharType="separate"/>
      </w:r>
      <w:r w:rsidR="005E5054">
        <w:rPr>
          <w:noProof/>
        </w:rPr>
        <w:t>1</w:t>
      </w:r>
      <w:r w:rsidR="00F936E6">
        <w:rPr>
          <w:noProof/>
        </w:rPr>
        <w:fldChar w:fldCharType="end"/>
      </w:r>
      <w:r>
        <w:t xml:space="preserve"> Process </w:t>
      </w:r>
      <w:r>
        <w:rPr>
          <w:rFonts w:eastAsia="Calibri" w:cs="Arial"/>
          <w:sz w:val="24"/>
          <w:szCs w:val="24"/>
        </w:rPr>
        <w:t>of de</w:t>
      </w:r>
      <w:r w:rsidRPr="008F29EC">
        <w:rPr>
          <w:rFonts w:eastAsia="Calibri" w:cs="Arial"/>
          <w:sz w:val="24"/>
          <w:szCs w:val="24"/>
        </w:rPr>
        <w:t xml:space="preserve">veloping </w:t>
      </w:r>
      <w:r>
        <w:rPr>
          <w:rFonts w:eastAsia="Calibri" w:cs="Arial"/>
          <w:sz w:val="24"/>
          <w:szCs w:val="24"/>
        </w:rPr>
        <w:t xml:space="preserve">the </w:t>
      </w:r>
      <w:r w:rsidRPr="008F29EC">
        <w:rPr>
          <w:rFonts w:eastAsia="Calibri" w:cs="Arial"/>
          <w:sz w:val="24"/>
          <w:szCs w:val="24"/>
        </w:rPr>
        <w:t>Health Financing Strategy</w:t>
      </w:r>
    </w:p>
    <w:p w:rsidR="0095453D" w:rsidRPr="0095453D" w:rsidRDefault="0095453D" w:rsidP="0095453D">
      <w:pPr>
        <w:rPr>
          <w:lang w:bidi="en-US"/>
        </w:rPr>
      </w:pPr>
    </w:p>
    <w:p w:rsidR="0095453D" w:rsidRPr="00005EAF" w:rsidRDefault="0095453D" w:rsidP="0095453D">
      <w:pPr>
        <w:pStyle w:val="ListParagraph"/>
        <w:jc w:val="center"/>
        <w:rPr>
          <w:rFonts w:eastAsia="Calibri" w:cs="Arial"/>
          <w:szCs w:val="24"/>
          <w:highlight w:val="yellow"/>
        </w:rPr>
      </w:pPr>
      <w:r>
        <w:rPr>
          <w:noProof/>
          <w:lang w:val="de-DE" w:eastAsia="de-DE"/>
        </w:rPr>
        <w:drawing>
          <wp:inline distT="0" distB="0" distL="0" distR="0">
            <wp:extent cx="4451075" cy="1991238"/>
            <wp:effectExtent l="0" t="0" r="6985" b="9525"/>
            <wp:docPr id="4" name="Picture 4" descr="C:\Tanzania Technical\Files Kai Straehler-Pohl\Af2_Tanzania\3-HF_Policy\1-HCF Strategy\0_HFS_StrategyProcessPlanning\TZ_HFStrategyProcess_Mar20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Tanzania Technical\Files Kai Straehler-Pohl\Af2_Tanzania\3-HF_Policy\1-HCF Strategy\0_HFS_StrategyProcessPlanning\TZ_HFStrategyProcess_Mar2013.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59775" cy="1995130"/>
                    </a:xfrm>
                    <a:prstGeom prst="rect">
                      <a:avLst/>
                    </a:prstGeom>
                    <a:noFill/>
                    <a:ln>
                      <a:noFill/>
                    </a:ln>
                  </pic:spPr>
                </pic:pic>
              </a:graphicData>
            </a:graphic>
          </wp:inline>
        </w:drawing>
      </w:r>
    </w:p>
    <w:p w:rsidR="0095453D" w:rsidRPr="00005EAF" w:rsidRDefault="0095453D" w:rsidP="0095453D">
      <w:pPr>
        <w:rPr>
          <w:rFonts w:eastAsia="Calibri" w:cs="Arial"/>
          <w:szCs w:val="24"/>
        </w:rPr>
      </w:pPr>
      <w:r>
        <w:rPr>
          <w:rFonts w:eastAsia="Calibri" w:cs="Arial"/>
          <w:szCs w:val="24"/>
        </w:rPr>
        <w:t xml:space="preserve"> </w:t>
      </w:r>
    </w:p>
    <w:p w:rsidR="00005EAF" w:rsidRDefault="00F869D7" w:rsidP="009E163C">
      <w:pPr>
        <w:rPr>
          <w:rFonts w:eastAsia="Calibri" w:cs="Arial"/>
          <w:szCs w:val="24"/>
        </w:rPr>
      </w:pPr>
      <w:r w:rsidRPr="00301084">
        <w:rPr>
          <w:rFonts w:eastAsia="Calibri" w:cs="Arial"/>
          <w:szCs w:val="24"/>
        </w:rPr>
        <w:t>A</w:t>
      </w:r>
      <w:r>
        <w:rPr>
          <w:rFonts w:eastAsia="Calibri" w:cs="Arial"/>
          <w:szCs w:val="24"/>
        </w:rPr>
        <w:t xml:space="preserve">n early task of the ISC was to </w:t>
      </w:r>
      <w:r w:rsidRPr="00301084">
        <w:rPr>
          <w:rFonts w:eastAsia="Calibri" w:cs="Arial"/>
          <w:szCs w:val="24"/>
        </w:rPr>
        <w:t xml:space="preserve">identify eleven reform areas and commission </w:t>
      </w:r>
      <w:r>
        <w:rPr>
          <w:rFonts w:eastAsia="Calibri" w:cs="Arial"/>
          <w:szCs w:val="24"/>
        </w:rPr>
        <w:t xml:space="preserve">a number of studies and option papers in order to generate </w:t>
      </w:r>
      <w:r w:rsidRPr="00301084">
        <w:rPr>
          <w:rFonts w:eastAsia="Calibri" w:cs="Arial"/>
          <w:szCs w:val="24"/>
        </w:rPr>
        <w:t xml:space="preserve">evidence </w:t>
      </w:r>
      <w:r>
        <w:rPr>
          <w:rFonts w:eastAsia="Calibri" w:cs="Arial"/>
          <w:szCs w:val="24"/>
        </w:rPr>
        <w:t xml:space="preserve">to inform key </w:t>
      </w:r>
      <w:r w:rsidRPr="00301084">
        <w:rPr>
          <w:rFonts w:eastAsia="Calibri" w:cs="Arial"/>
          <w:szCs w:val="24"/>
        </w:rPr>
        <w:t xml:space="preserve">decisions on these areas. </w:t>
      </w:r>
      <w:r>
        <w:rPr>
          <w:rFonts w:eastAsia="Calibri" w:cs="Arial"/>
          <w:szCs w:val="24"/>
        </w:rPr>
        <w:t>These included papers outlining options for the health insurance market, CHF reform, inclusion of the poor, and the minimum benefit package, among others</w:t>
      </w:r>
      <w:r>
        <w:rPr>
          <w:rStyle w:val="FootnoteReference"/>
          <w:rFonts w:eastAsia="Calibri" w:cs="Arial"/>
          <w:szCs w:val="24"/>
        </w:rPr>
        <w:footnoteReference w:id="2"/>
      </w:r>
      <w:r>
        <w:rPr>
          <w:rFonts w:eastAsia="Calibri" w:cs="Arial"/>
          <w:szCs w:val="24"/>
        </w:rPr>
        <w:t>.  S</w:t>
      </w:r>
      <w:r w:rsidRPr="00301084">
        <w:rPr>
          <w:rFonts w:eastAsia="Calibri" w:cs="Arial"/>
          <w:szCs w:val="24"/>
        </w:rPr>
        <w:t>tud</w:t>
      </w:r>
      <w:r>
        <w:rPr>
          <w:rFonts w:eastAsia="Calibri" w:cs="Arial"/>
          <w:szCs w:val="24"/>
        </w:rPr>
        <w:t xml:space="preserve">y findings </w:t>
      </w:r>
      <w:r w:rsidRPr="00301084">
        <w:rPr>
          <w:rFonts w:eastAsia="Calibri" w:cs="Arial"/>
          <w:szCs w:val="24"/>
        </w:rPr>
        <w:t xml:space="preserve">were </w:t>
      </w:r>
      <w:r>
        <w:rPr>
          <w:rFonts w:eastAsia="Calibri" w:cs="Arial"/>
          <w:szCs w:val="24"/>
        </w:rPr>
        <w:t xml:space="preserve">discussed and </w:t>
      </w:r>
      <w:r w:rsidRPr="00301084">
        <w:rPr>
          <w:rFonts w:eastAsia="Calibri" w:cs="Arial"/>
          <w:szCs w:val="24"/>
        </w:rPr>
        <w:t>validated with national stakeholders and form the basis for choosing the proposed social health insurance structure.</w:t>
      </w:r>
    </w:p>
    <w:p w:rsidR="00F869D7" w:rsidRDefault="00F869D7" w:rsidP="009E163C">
      <w:pPr>
        <w:rPr>
          <w:rFonts w:eastAsia="Calibri" w:cs="Arial"/>
          <w:szCs w:val="24"/>
        </w:rPr>
      </w:pPr>
    </w:p>
    <w:p w:rsidR="00F869D7" w:rsidRDefault="00F869D7" w:rsidP="009E163C">
      <w:pPr>
        <w:rPr>
          <w:rFonts w:eastAsia="Calibri" w:cs="Arial"/>
          <w:szCs w:val="24"/>
        </w:rPr>
      </w:pPr>
      <w:r>
        <w:rPr>
          <w:rFonts w:eastAsia="Calibri" w:cs="Arial"/>
          <w:szCs w:val="24"/>
        </w:rPr>
        <w:t>The proposed social health insurance structure was again comprehensively discussed by stakeholders at the national and district levels for further inputs before coming up with a refined final structure that is presented in this strategy.</w:t>
      </w:r>
    </w:p>
    <w:p w:rsidR="00F869D7" w:rsidRPr="009E163C" w:rsidRDefault="00F869D7" w:rsidP="009E163C">
      <w:pPr>
        <w:rPr>
          <w:rFonts w:eastAsia="Calibri" w:cs="Arial"/>
          <w:szCs w:val="24"/>
        </w:rPr>
      </w:pPr>
    </w:p>
    <w:p w:rsidR="0023565D" w:rsidRPr="0023565D" w:rsidRDefault="0023565D" w:rsidP="000F4A1D">
      <w:pPr>
        <w:pStyle w:val="Heading2"/>
        <w:rPr>
          <w:rFonts w:eastAsia="Times New Roman"/>
        </w:rPr>
      </w:pPr>
      <w:bookmarkStart w:id="3" w:name="_Toc319926138"/>
      <w:bookmarkStart w:id="4" w:name="_Toc406497960"/>
      <w:r w:rsidRPr="0023565D">
        <w:rPr>
          <w:rFonts w:eastAsia="Times New Roman"/>
        </w:rPr>
        <w:lastRenderedPageBreak/>
        <w:t>Demographi</w:t>
      </w:r>
      <w:r w:rsidR="000F4A1D">
        <w:rPr>
          <w:rFonts w:eastAsia="Times New Roman"/>
        </w:rPr>
        <w:t>c t</w:t>
      </w:r>
      <w:r w:rsidRPr="0023565D">
        <w:rPr>
          <w:rFonts w:eastAsia="Times New Roman"/>
        </w:rPr>
        <w:t>rends</w:t>
      </w:r>
      <w:bookmarkEnd w:id="3"/>
      <w:bookmarkEnd w:id="4"/>
      <w:r w:rsidR="003324EA">
        <w:rPr>
          <w:rFonts w:eastAsia="Times New Roman"/>
        </w:rPr>
        <w:t xml:space="preserve"> </w:t>
      </w:r>
    </w:p>
    <w:p w:rsidR="00202C85" w:rsidRDefault="002F41E2" w:rsidP="000F4A1D">
      <w:r>
        <w:t xml:space="preserve">According to the 2012 Tanzania Mainland where this HFS applies had a population of </w:t>
      </w:r>
      <w:r w:rsidRPr="0023565D">
        <w:t>43,625,434</w:t>
      </w:r>
      <w:r>
        <w:t xml:space="preserve"> people </w:t>
      </w:r>
      <w:r w:rsidR="00861DC9" w:rsidRPr="0023565D">
        <w:t>(</w:t>
      </w:r>
      <w:proofErr w:type="spellStart"/>
      <w:r>
        <w:t>NB</w:t>
      </w:r>
      <w:r w:rsidR="000A60D7">
        <w:t>o</w:t>
      </w:r>
      <w:r>
        <w:t>S</w:t>
      </w:r>
      <w:proofErr w:type="spellEnd"/>
      <w:r>
        <w:t xml:space="preserve"> 2013). This is an increase of about 30% compared to the 2002 population census. The population annual growth stand at </w:t>
      </w:r>
      <w:r w:rsidR="0023565D" w:rsidRPr="0023565D">
        <w:t>2.7</w:t>
      </w:r>
      <w:r w:rsidR="00267347">
        <w:t xml:space="preserve"> </w:t>
      </w:r>
      <w:r>
        <w:t xml:space="preserve">which is a small reduction compared to the 2.9 percent growth estimated in 2002. Average household size is about 4.8 with variations between urban (5.3) and rural (1.8). About </w:t>
      </w:r>
      <w:r w:rsidR="00B55AC7">
        <w:t>29.6</w:t>
      </w:r>
      <w:r w:rsidR="00267347">
        <w:t xml:space="preserve"> percent</w:t>
      </w:r>
      <w:r w:rsidR="00B55AC7">
        <w:t xml:space="preserve"> of the </w:t>
      </w:r>
      <w:r>
        <w:t>population lives</w:t>
      </w:r>
      <w:r w:rsidR="00B55AC7">
        <w:t xml:space="preserve"> in urban areas </w:t>
      </w:r>
      <w:r>
        <w:t>and</w:t>
      </w:r>
      <w:r w:rsidR="00B55AC7">
        <w:t xml:space="preserve"> 70.4</w:t>
      </w:r>
      <w:r w:rsidR="00267347">
        <w:t xml:space="preserve"> percent</w:t>
      </w:r>
      <w:r w:rsidR="00B55AC7">
        <w:t xml:space="preserve"> </w:t>
      </w:r>
      <w:r>
        <w:t xml:space="preserve">in rural localities. About </w:t>
      </w:r>
      <w:r w:rsidR="00774B30">
        <w:t>50</w:t>
      </w:r>
      <w:r>
        <w:t>.1</w:t>
      </w:r>
      <w:r w:rsidR="00267347">
        <w:t xml:space="preserve"> percent</w:t>
      </w:r>
      <w:r w:rsidR="0023565D" w:rsidRPr="0023565D">
        <w:t xml:space="preserve"> of the </w:t>
      </w:r>
      <w:r w:rsidR="00C01A39" w:rsidRPr="0023565D">
        <w:t>population is</w:t>
      </w:r>
      <w:r w:rsidR="0023565D" w:rsidRPr="0023565D">
        <w:t xml:space="preserve"> below </w:t>
      </w:r>
      <w:r w:rsidR="00BD41A1">
        <w:t>18</w:t>
      </w:r>
      <w:r w:rsidR="0023565D" w:rsidRPr="0023565D">
        <w:t xml:space="preserve"> years of age</w:t>
      </w:r>
      <w:r w:rsidR="00606DDA">
        <w:t xml:space="preserve">, </w:t>
      </w:r>
      <w:r w:rsidR="00774B30">
        <w:t>16.2</w:t>
      </w:r>
      <w:r w:rsidR="00267347">
        <w:t xml:space="preserve"> percent</w:t>
      </w:r>
      <w:r w:rsidR="00194B83">
        <w:t xml:space="preserve"> of the popu</w:t>
      </w:r>
      <w:r w:rsidR="00774B30">
        <w:t xml:space="preserve">lation </w:t>
      </w:r>
      <w:r w:rsidR="00606DDA">
        <w:t xml:space="preserve">aged 5 or under, </w:t>
      </w:r>
      <w:r w:rsidR="000F4A1D">
        <w:t xml:space="preserve">while </w:t>
      </w:r>
      <w:r w:rsidR="00774B30">
        <w:t>5.6</w:t>
      </w:r>
      <w:r w:rsidR="00267347">
        <w:t xml:space="preserve"> percent</w:t>
      </w:r>
      <w:r w:rsidR="0023565D" w:rsidRPr="0023565D">
        <w:t xml:space="preserve"> </w:t>
      </w:r>
      <w:r w:rsidR="00202C85">
        <w:t>is</w:t>
      </w:r>
      <w:r w:rsidR="0023565D" w:rsidRPr="0023565D">
        <w:t xml:space="preserve"> aged 6</w:t>
      </w:r>
      <w:r w:rsidR="00774B30">
        <w:t>0</w:t>
      </w:r>
      <w:r w:rsidR="0023565D" w:rsidRPr="0023565D">
        <w:t xml:space="preserve"> years and above. </w:t>
      </w:r>
      <w:r w:rsidR="000A60D7">
        <w:t xml:space="preserve">Life expectancy at birth is estimated at </w:t>
      </w:r>
      <w:r w:rsidR="00D447E5">
        <w:t>61 years</w:t>
      </w:r>
      <w:r w:rsidR="000A60D7">
        <w:t xml:space="preserve"> and increase from 51 years in 2002 </w:t>
      </w:r>
      <w:r w:rsidR="00D447E5">
        <w:t>(</w:t>
      </w:r>
      <w:proofErr w:type="spellStart"/>
      <w:r w:rsidR="00D447E5">
        <w:t>NBoS</w:t>
      </w:r>
      <w:proofErr w:type="spellEnd"/>
      <w:r w:rsidR="00D447E5">
        <w:t xml:space="preserve"> 2014). </w:t>
      </w:r>
    </w:p>
    <w:p w:rsidR="000F4A1D" w:rsidRDefault="000F4A1D" w:rsidP="000F4A1D"/>
    <w:p w:rsidR="000A60D7" w:rsidRDefault="000A60D7" w:rsidP="000A60D7">
      <w:pPr>
        <w:pStyle w:val="Heading2"/>
        <w:rPr>
          <w:rFonts w:eastAsia="Times New Roman"/>
        </w:rPr>
      </w:pPr>
      <w:bookmarkStart w:id="5" w:name="_Toc406497961"/>
      <w:r>
        <w:rPr>
          <w:rFonts w:eastAsia="Times New Roman"/>
        </w:rPr>
        <w:t>Economic Context</w:t>
      </w:r>
      <w:bookmarkEnd w:id="5"/>
      <w:r>
        <w:rPr>
          <w:rFonts w:eastAsia="Times New Roman"/>
        </w:rPr>
        <w:t xml:space="preserve"> </w:t>
      </w:r>
    </w:p>
    <w:p w:rsidR="000A60D7" w:rsidRPr="000A60D7" w:rsidRDefault="000A60D7" w:rsidP="000A60D7"/>
    <w:p w:rsidR="000A60D7" w:rsidRDefault="008B7306" w:rsidP="000F4A1D">
      <w:pPr>
        <w:rPr>
          <w:b/>
        </w:rPr>
      </w:pPr>
      <w:r>
        <w:rPr>
          <w:b/>
        </w:rPr>
        <w:t>GDP and Inflation</w:t>
      </w:r>
    </w:p>
    <w:p w:rsidR="000A60D7" w:rsidRDefault="008B7306" w:rsidP="00194B83">
      <w:pPr>
        <w:spacing w:before="120" w:after="120" w:line="240" w:lineRule="auto"/>
        <w:ind w:right="72"/>
        <w:rPr>
          <w:rFonts w:eastAsia="Calibri"/>
          <w:szCs w:val="24"/>
        </w:rPr>
      </w:pPr>
      <w:r>
        <w:rPr>
          <w:rFonts w:eastAsia="Calibri"/>
          <w:szCs w:val="24"/>
        </w:rPr>
        <w:t xml:space="preserve">In 2013 Tanzania realized a total GDP of </w:t>
      </w:r>
      <w:r w:rsidR="00935384" w:rsidRPr="00CC1E7F">
        <w:rPr>
          <w:rFonts w:eastAsia="Calibri"/>
          <w:szCs w:val="24"/>
        </w:rPr>
        <w:t xml:space="preserve">33bn US dollar, an increase from </w:t>
      </w:r>
      <w:r w:rsidR="00EB674D">
        <w:rPr>
          <w:rFonts w:eastAsia="Calibri"/>
          <w:szCs w:val="24"/>
        </w:rPr>
        <w:t>21</w:t>
      </w:r>
      <w:r w:rsidR="00935384" w:rsidRPr="00CC1E7F">
        <w:rPr>
          <w:rFonts w:eastAsia="Calibri"/>
          <w:szCs w:val="24"/>
        </w:rPr>
        <w:t xml:space="preserve"> billion in </w:t>
      </w:r>
      <w:r>
        <w:rPr>
          <w:rFonts w:eastAsia="Calibri"/>
          <w:szCs w:val="24"/>
        </w:rPr>
        <w:t>in 200</w:t>
      </w:r>
      <w:r w:rsidR="00EB674D">
        <w:rPr>
          <w:rFonts w:eastAsia="Calibri"/>
          <w:szCs w:val="24"/>
        </w:rPr>
        <w:t>9</w:t>
      </w:r>
      <w:r w:rsidR="00935384" w:rsidRPr="00CC1E7F">
        <w:rPr>
          <w:rFonts w:eastAsia="Calibri"/>
          <w:szCs w:val="24"/>
        </w:rPr>
        <w:t xml:space="preserve">. </w:t>
      </w:r>
      <w:r w:rsidR="00C514DF">
        <w:rPr>
          <w:rFonts w:eastAsia="Calibri"/>
          <w:szCs w:val="24"/>
        </w:rPr>
        <w:t xml:space="preserve">GDP growth in 2013 averaged at 7%. </w:t>
      </w:r>
      <w:r w:rsidR="00935384" w:rsidRPr="00CC1E7F">
        <w:rPr>
          <w:rFonts w:eastAsia="Calibri"/>
          <w:szCs w:val="24"/>
        </w:rPr>
        <w:t>The per capita GDP increased from about $</w:t>
      </w:r>
      <w:r w:rsidR="00EB674D">
        <w:rPr>
          <w:rFonts w:eastAsia="Calibri"/>
          <w:szCs w:val="24"/>
        </w:rPr>
        <w:t>500</w:t>
      </w:r>
      <w:r w:rsidR="00935384" w:rsidRPr="00CC1E7F">
        <w:rPr>
          <w:rFonts w:eastAsia="Calibri"/>
          <w:szCs w:val="24"/>
        </w:rPr>
        <w:t xml:space="preserve"> in 200</w:t>
      </w:r>
      <w:r w:rsidR="00EB674D">
        <w:rPr>
          <w:rFonts w:eastAsia="Calibri"/>
          <w:szCs w:val="24"/>
        </w:rPr>
        <w:t>9</w:t>
      </w:r>
      <w:r w:rsidR="00935384" w:rsidRPr="00CC1E7F">
        <w:rPr>
          <w:rFonts w:eastAsia="Calibri"/>
          <w:szCs w:val="24"/>
        </w:rPr>
        <w:t xml:space="preserve"> to about $700 in 2013 d</w:t>
      </w:r>
      <w:r w:rsidR="00EB674D">
        <w:rPr>
          <w:rFonts w:eastAsia="Calibri"/>
          <w:szCs w:val="24"/>
        </w:rPr>
        <w:t>uring the same period</w:t>
      </w:r>
      <w:r w:rsidR="00935384" w:rsidRPr="00CC1E7F">
        <w:rPr>
          <w:rFonts w:eastAsia="Calibri"/>
          <w:szCs w:val="24"/>
        </w:rPr>
        <w:t xml:space="preserve">. </w:t>
      </w:r>
      <w:r w:rsidR="00935384" w:rsidRPr="008F6459">
        <w:rPr>
          <w:rFonts w:eastAsia="Calibri"/>
          <w:szCs w:val="24"/>
        </w:rPr>
        <w:t xml:space="preserve">The growth in GDP </w:t>
      </w:r>
      <w:r w:rsidR="00EB674D">
        <w:rPr>
          <w:rFonts w:eastAsia="Calibri"/>
          <w:szCs w:val="24"/>
        </w:rPr>
        <w:t>is</w:t>
      </w:r>
      <w:r w:rsidR="00935384" w:rsidRPr="008F6459">
        <w:rPr>
          <w:rFonts w:eastAsia="Calibri"/>
          <w:szCs w:val="24"/>
        </w:rPr>
        <w:t xml:space="preserve"> mainly contributed by services sector which accounted for an average of 43.5% of total GDP</w:t>
      </w:r>
      <w:r w:rsidR="00935384">
        <w:rPr>
          <w:rFonts w:eastAsia="Calibri"/>
          <w:szCs w:val="24"/>
        </w:rPr>
        <w:t xml:space="preserve"> </w:t>
      </w:r>
      <w:r w:rsidR="00EB674D">
        <w:rPr>
          <w:rFonts w:eastAsia="Calibri"/>
          <w:szCs w:val="24"/>
        </w:rPr>
        <w:t>during 2009-2013</w:t>
      </w:r>
      <w:r w:rsidR="00935384" w:rsidRPr="008F6459">
        <w:rPr>
          <w:rFonts w:eastAsia="Calibri"/>
          <w:szCs w:val="24"/>
        </w:rPr>
        <w:t xml:space="preserve">. Agriculture and fishing </w:t>
      </w:r>
      <w:r w:rsidR="00EB674D">
        <w:rPr>
          <w:rFonts w:eastAsia="Calibri"/>
          <w:szCs w:val="24"/>
        </w:rPr>
        <w:t>is</w:t>
      </w:r>
      <w:r w:rsidR="00935384" w:rsidRPr="008F6459">
        <w:rPr>
          <w:rFonts w:eastAsia="Calibri"/>
          <w:szCs w:val="24"/>
        </w:rPr>
        <w:t xml:space="preserve"> the second large contributor to the growth with an average of 27.2% </w:t>
      </w:r>
      <w:r w:rsidR="00EB674D">
        <w:rPr>
          <w:rFonts w:eastAsia="Calibri"/>
          <w:szCs w:val="24"/>
        </w:rPr>
        <w:t>during this period. I</w:t>
      </w:r>
      <w:r w:rsidR="00935384" w:rsidRPr="008F6459">
        <w:rPr>
          <w:rFonts w:eastAsia="Calibri"/>
          <w:szCs w:val="24"/>
        </w:rPr>
        <w:t xml:space="preserve">ndustry and construction </w:t>
      </w:r>
      <w:r w:rsidR="00EB674D">
        <w:rPr>
          <w:rFonts w:eastAsia="Calibri"/>
          <w:szCs w:val="24"/>
        </w:rPr>
        <w:t xml:space="preserve">is </w:t>
      </w:r>
      <w:r w:rsidR="00935384" w:rsidRPr="008F6459">
        <w:rPr>
          <w:rFonts w:eastAsia="Calibri"/>
          <w:szCs w:val="24"/>
        </w:rPr>
        <w:t>the third largest contributor with an average of 21.35% (Bank of Tanzania 2013).</w:t>
      </w:r>
    </w:p>
    <w:p w:rsidR="00935384" w:rsidRDefault="00EB674D" w:rsidP="00194B83">
      <w:pPr>
        <w:spacing w:before="120" w:after="120" w:line="240" w:lineRule="auto"/>
        <w:ind w:right="72"/>
        <w:rPr>
          <w:b/>
        </w:rPr>
      </w:pPr>
      <w:r>
        <w:rPr>
          <w:rFonts w:eastAsia="Calibri"/>
          <w:szCs w:val="24"/>
        </w:rPr>
        <w:t>There have been fluctuations in inflation rates over the past ten years. In 2005 inflation rate stood at 4% but this has been increasing over time with the highest infla</w:t>
      </w:r>
      <w:r w:rsidR="00B43E65">
        <w:rPr>
          <w:rFonts w:eastAsia="Calibri"/>
          <w:szCs w:val="24"/>
        </w:rPr>
        <w:t>tion rate of 16% observed in 2012. In 2013 the level of inflation stood at 7.9%.</w:t>
      </w:r>
    </w:p>
    <w:p w:rsidR="000A60D7" w:rsidRDefault="000A60D7" w:rsidP="000F4A1D">
      <w:pPr>
        <w:rPr>
          <w:b/>
        </w:rPr>
      </w:pPr>
    </w:p>
    <w:p w:rsidR="000A60D7" w:rsidRDefault="000A60D7" w:rsidP="000F4A1D">
      <w:pPr>
        <w:rPr>
          <w:b/>
        </w:rPr>
      </w:pPr>
      <w:r w:rsidRPr="000A60D7">
        <w:rPr>
          <w:b/>
        </w:rPr>
        <w:t>Poverty</w:t>
      </w:r>
      <w:r w:rsidR="00C514DF">
        <w:rPr>
          <w:b/>
        </w:rPr>
        <w:t>, Inequality and HDI</w:t>
      </w:r>
    </w:p>
    <w:p w:rsidR="00774B30" w:rsidRDefault="000A60D7" w:rsidP="000F4A1D">
      <w:r>
        <w:t>About 28 percent of the population lives below basic needs poverty line and</w:t>
      </w:r>
      <w:r w:rsidR="00A62A27">
        <w:t xml:space="preserve"> </w:t>
      </w:r>
      <w:r w:rsidR="00774B30">
        <w:t>9.7</w:t>
      </w:r>
      <w:r w:rsidR="00267347">
        <w:t xml:space="preserve"> percent</w:t>
      </w:r>
      <w:r w:rsidR="00774B30">
        <w:t xml:space="preserve"> in extreme poverty</w:t>
      </w:r>
      <w:r>
        <w:t xml:space="preserve"> (food poverty)</w:t>
      </w:r>
      <w:r w:rsidR="00A62A27">
        <w:t xml:space="preserve">. </w:t>
      </w:r>
      <w:r>
        <w:t>There are variations in poverty incidence between urban and rural localities with more poor people located in rural areas compared to urban areas (Table 1).</w:t>
      </w:r>
      <w:r w:rsidR="00774B30">
        <w:t xml:space="preserve"> </w:t>
      </w:r>
      <w:r w:rsidR="00A62A27">
        <w:t xml:space="preserve"> </w:t>
      </w:r>
    </w:p>
    <w:p w:rsidR="00606DDA" w:rsidRDefault="00606DDA" w:rsidP="00606DDA">
      <w:pPr>
        <w:pStyle w:val="Caption"/>
        <w:keepNext/>
      </w:pPr>
    </w:p>
    <w:p w:rsidR="00606DDA" w:rsidRDefault="00606DDA" w:rsidP="00606DDA">
      <w:pPr>
        <w:pStyle w:val="Caption"/>
        <w:keepNext/>
      </w:pPr>
      <w:r>
        <w:t xml:space="preserve">Table </w:t>
      </w:r>
      <w:r w:rsidR="00F936E6">
        <w:fldChar w:fldCharType="begin"/>
      </w:r>
      <w:r w:rsidR="00434E4F">
        <w:instrText xml:space="preserve"> SEQ Table \* ARABIC </w:instrText>
      </w:r>
      <w:r w:rsidR="00F936E6">
        <w:fldChar w:fldCharType="separate"/>
      </w:r>
      <w:r w:rsidR="004C52A2">
        <w:rPr>
          <w:noProof/>
        </w:rPr>
        <w:t>1</w:t>
      </w:r>
      <w:r w:rsidR="00F936E6">
        <w:rPr>
          <w:noProof/>
        </w:rPr>
        <w:fldChar w:fldCharType="end"/>
      </w:r>
      <w:r>
        <w:t xml:space="preserve"> Poverty headcount rates by type of area, 2012</w:t>
      </w:r>
    </w:p>
    <w:tbl>
      <w:tblPr>
        <w:tblStyle w:val="TableGrid"/>
        <w:tblW w:w="0" w:type="auto"/>
        <w:tblLook w:val="04A0" w:firstRow="1" w:lastRow="0" w:firstColumn="1" w:lastColumn="0" w:noHBand="0" w:noVBand="1"/>
      </w:tblPr>
      <w:tblGrid>
        <w:gridCol w:w="2808"/>
        <w:gridCol w:w="1692"/>
        <w:gridCol w:w="1692"/>
        <w:gridCol w:w="1692"/>
        <w:gridCol w:w="1692"/>
      </w:tblGrid>
      <w:tr w:rsidR="00A62A27" w:rsidRPr="00A62A27" w:rsidTr="00A62A27">
        <w:tc>
          <w:tcPr>
            <w:tcW w:w="2808" w:type="dxa"/>
          </w:tcPr>
          <w:p w:rsidR="00A62A27" w:rsidRPr="00A62A27" w:rsidRDefault="00A62A27" w:rsidP="00A62A27">
            <w:pPr>
              <w:rPr>
                <w:sz w:val="20"/>
              </w:rPr>
            </w:pPr>
          </w:p>
        </w:tc>
        <w:tc>
          <w:tcPr>
            <w:tcW w:w="1692" w:type="dxa"/>
          </w:tcPr>
          <w:p w:rsidR="00A62A27" w:rsidRPr="00A62A27" w:rsidRDefault="00A62A27" w:rsidP="00A62A27">
            <w:pPr>
              <w:jc w:val="center"/>
              <w:rPr>
                <w:b/>
                <w:sz w:val="20"/>
              </w:rPr>
            </w:pPr>
            <w:r w:rsidRPr="00A62A27">
              <w:rPr>
                <w:b/>
                <w:sz w:val="20"/>
              </w:rPr>
              <w:t xml:space="preserve">Dar </w:t>
            </w:r>
            <w:proofErr w:type="spellStart"/>
            <w:r w:rsidRPr="00A62A27">
              <w:rPr>
                <w:b/>
                <w:sz w:val="20"/>
              </w:rPr>
              <w:t>es</w:t>
            </w:r>
            <w:proofErr w:type="spellEnd"/>
            <w:r w:rsidRPr="00A62A27">
              <w:rPr>
                <w:b/>
                <w:sz w:val="20"/>
              </w:rPr>
              <w:t xml:space="preserve"> Salaam</w:t>
            </w:r>
          </w:p>
        </w:tc>
        <w:tc>
          <w:tcPr>
            <w:tcW w:w="1692" w:type="dxa"/>
          </w:tcPr>
          <w:p w:rsidR="00A62A27" w:rsidRPr="00A62A27" w:rsidRDefault="00A62A27" w:rsidP="00A62A27">
            <w:pPr>
              <w:jc w:val="center"/>
              <w:rPr>
                <w:b/>
                <w:sz w:val="20"/>
              </w:rPr>
            </w:pPr>
            <w:r w:rsidRPr="00A62A27">
              <w:rPr>
                <w:b/>
                <w:sz w:val="20"/>
              </w:rPr>
              <w:t>Other urban areas</w:t>
            </w:r>
          </w:p>
        </w:tc>
        <w:tc>
          <w:tcPr>
            <w:tcW w:w="1692" w:type="dxa"/>
          </w:tcPr>
          <w:p w:rsidR="00A62A27" w:rsidRPr="00A62A27" w:rsidRDefault="00A62A27" w:rsidP="00A62A27">
            <w:pPr>
              <w:jc w:val="center"/>
              <w:rPr>
                <w:b/>
                <w:sz w:val="20"/>
              </w:rPr>
            </w:pPr>
            <w:r w:rsidRPr="00A62A27">
              <w:rPr>
                <w:b/>
                <w:sz w:val="20"/>
              </w:rPr>
              <w:t>Rural areas</w:t>
            </w:r>
          </w:p>
        </w:tc>
        <w:tc>
          <w:tcPr>
            <w:tcW w:w="1692" w:type="dxa"/>
          </w:tcPr>
          <w:p w:rsidR="00A62A27" w:rsidRPr="00A62A27" w:rsidRDefault="00A62A27" w:rsidP="00A62A27">
            <w:pPr>
              <w:jc w:val="center"/>
              <w:rPr>
                <w:b/>
                <w:sz w:val="20"/>
              </w:rPr>
            </w:pPr>
            <w:r w:rsidRPr="00A62A27">
              <w:rPr>
                <w:b/>
                <w:sz w:val="20"/>
              </w:rPr>
              <w:t>Tanzania mainland</w:t>
            </w:r>
          </w:p>
        </w:tc>
      </w:tr>
      <w:tr w:rsidR="00A62A27" w:rsidRPr="00A62A27" w:rsidTr="00A62A27">
        <w:tc>
          <w:tcPr>
            <w:tcW w:w="2808" w:type="dxa"/>
          </w:tcPr>
          <w:p w:rsidR="00A62A27" w:rsidRPr="00A62A27" w:rsidRDefault="00A62A27" w:rsidP="00A62A27">
            <w:pPr>
              <w:jc w:val="left"/>
              <w:rPr>
                <w:sz w:val="20"/>
              </w:rPr>
            </w:pPr>
            <w:r w:rsidRPr="00A62A27">
              <w:rPr>
                <w:sz w:val="20"/>
              </w:rPr>
              <w:t>Basic needs poverty</w:t>
            </w:r>
          </w:p>
        </w:tc>
        <w:tc>
          <w:tcPr>
            <w:tcW w:w="1692" w:type="dxa"/>
            <w:vAlign w:val="center"/>
          </w:tcPr>
          <w:p w:rsidR="00A62A27" w:rsidRPr="00A62A27" w:rsidRDefault="00A62A27" w:rsidP="00A62A27">
            <w:pPr>
              <w:jc w:val="center"/>
              <w:rPr>
                <w:sz w:val="20"/>
              </w:rPr>
            </w:pPr>
            <w:r>
              <w:rPr>
                <w:sz w:val="20"/>
              </w:rPr>
              <w:t>4.2</w:t>
            </w:r>
            <w:r w:rsidR="00D94F1D">
              <w:rPr>
                <w:sz w:val="20"/>
              </w:rPr>
              <w:t>%</w:t>
            </w:r>
          </w:p>
        </w:tc>
        <w:tc>
          <w:tcPr>
            <w:tcW w:w="1692" w:type="dxa"/>
            <w:vAlign w:val="center"/>
          </w:tcPr>
          <w:p w:rsidR="00A62A27" w:rsidRPr="00A62A27" w:rsidRDefault="00A62A27" w:rsidP="00A62A27">
            <w:pPr>
              <w:jc w:val="center"/>
              <w:rPr>
                <w:sz w:val="20"/>
              </w:rPr>
            </w:pPr>
            <w:r>
              <w:rPr>
                <w:sz w:val="20"/>
              </w:rPr>
              <w:t>21.7</w:t>
            </w:r>
            <w:r w:rsidR="00D94F1D">
              <w:rPr>
                <w:sz w:val="20"/>
              </w:rPr>
              <w:t>%</w:t>
            </w:r>
          </w:p>
        </w:tc>
        <w:tc>
          <w:tcPr>
            <w:tcW w:w="1692" w:type="dxa"/>
            <w:vAlign w:val="center"/>
          </w:tcPr>
          <w:p w:rsidR="00A62A27" w:rsidRPr="00A62A27" w:rsidRDefault="00A62A27" w:rsidP="00A62A27">
            <w:pPr>
              <w:jc w:val="center"/>
              <w:rPr>
                <w:sz w:val="20"/>
              </w:rPr>
            </w:pPr>
            <w:r>
              <w:rPr>
                <w:sz w:val="20"/>
              </w:rPr>
              <w:t>33.3</w:t>
            </w:r>
            <w:r w:rsidR="00D94F1D">
              <w:rPr>
                <w:sz w:val="20"/>
              </w:rPr>
              <w:t>%</w:t>
            </w:r>
          </w:p>
        </w:tc>
        <w:tc>
          <w:tcPr>
            <w:tcW w:w="1692" w:type="dxa"/>
            <w:vAlign w:val="center"/>
          </w:tcPr>
          <w:p w:rsidR="00A62A27" w:rsidRPr="00A62A27" w:rsidRDefault="00A62A27" w:rsidP="00A62A27">
            <w:pPr>
              <w:jc w:val="center"/>
              <w:rPr>
                <w:sz w:val="20"/>
              </w:rPr>
            </w:pPr>
            <w:r>
              <w:rPr>
                <w:sz w:val="20"/>
              </w:rPr>
              <w:t>28.2</w:t>
            </w:r>
            <w:r w:rsidR="00D94F1D">
              <w:rPr>
                <w:sz w:val="20"/>
              </w:rPr>
              <w:t>%</w:t>
            </w:r>
          </w:p>
        </w:tc>
      </w:tr>
      <w:tr w:rsidR="00A62A27" w:rsidRPr="00A62A27" w:rsidTr="00A62A27">
        <w:tc>
          <w:tcPr>
            <w:tcW w:w="2808" w:type="dxa"/>
          </w:tcPr>
          <w:p w:rsidR="00A62A27" w:rsidRPr="00A62A27" w:rsidRDefault="00A62A27" w:rsidP="00A62A27">
            <w:pPr>
              <w:jc w:val="left"/>
              <w:rPr>
                <w:sz w:val="20"/>
              </w:rPr>
            </w:pPr>
            <w:r w:rsidRPr="00A62A27">
              <w:rPr>
                <w:sz w:val="20"/>
              </w:rPr>
              <w:t xml:space="preserve">Food poverty (extreme poverty) </w:t>
            </w:r>
          </w:p>
        </w:tc>
        <w:tc>
          <w:tcPr>
            <w:tcW w:w="1692" w:type="dxa"/>
            <w:vAlign w:val="center"/>
          </w:tcPr>
          <w:p w:rsidR="00A62A27" w:rsidRPr="00A62A27" w:rsidRDefault="00A62A27" w:rsidP="00A62A27">
            <w:pPr>
              <w:jc w:val="center"/>
              <w:rPr>
                <w:sz w:val="20"/>
              </w:rPr>
            </w:pPr>
            <w:r>
              <w:rPr>
                <w:sz w:val="20"/>
              </w:rPr>
              <w:t>1.0</w:t>
            </w:r>
            <w:r w:rsidR="00D94F1D">
              <w:rPr>
                <w:sz w:val="20"/>
              </w:rPr>
              <w:t>%</w:t>
            </w:r>
          </w:p>
        </w:tc>
        <w:tc>
          <w:tcPr>
            <w:tcW w:w="1692" w:type="dxa"/>
            <w:vAlign w:val="center"/>
          </w:tcPr>
          <w:p w:rsidR="00A62A27" w:rsidRPr="00A62A27" w:rsidRDefault="00A62A27" w:rsidP="00A62A27">
            <w:pPr>
              <w:jc w:val="center"/>
              <w:rPr>
                <w:sz w:val="20"/>
              </w:rPr>
            </w:pPr>
            <w:r>
              <w:rPr>
                <w:sz w:val="20"/>
              </w:rPr>
              <w:t>8.7</w:t>
            </w:r>
            <w:r w:rsidR="00D94F1D">
              <w:rPr>
                <w:sz w:val="20"/>
              </w:rPr>
              <w:t>%</w:t>
            </w:r>
          </w:p>
        </w:tc>
        <w:tc>
          <w:tcPr>
            <w:tcW w:w="1692" w:type="dxa"/>
            <w:vAlign w:val="center"/>
          </w:tcPr>
          <w:p w:rsidR="00A62A27" w:rsidRPr="00A62A27" w:rsidRDefault="00A62A27" w:rsidP="00A62A27">
            <w:pPr>
              <w:jc w:val="center"/>
              <w:rPr>
                <w:sz w:val="20"/>
              </w:rPr>
            </w:pPr>
            <w:r>
              <w:rPr>
                <w:sz w:val="20"/>
              </w:rPr>
              <w:t>11.3</w:t>
            </w:r>
            <w:r w:rsidR="00D94F1D">
              <w:rPr>
                <w:sz w:val="20"/>
              </w:rPr>
              <w:t>%</w:t>
            </w:r>
          </w:p>
        </w:tc>
        <w:tc>
          <w:tcPr>
            <w:tcW w:w="1692" w:type="dxa"/>
            <w:vAlign w:val="center"/>
          </w:tcPr>
          <w:p w:rsidR="00A62A27" w:rsidRPr="00A62A27" w:rsidRDefault="00A62A27" w:rsidP="00A62A27">
            <w:pPr>
              <w:jc w:val="center"/>
              <w:rPr>
                <w:sz w:val="20"/>
              </w:rPr>
            </w:pPr>
            <w:r>
              <w:rPr>
                <w:sz w:val="20"/>
              </w:rPr>
              <w:t>9.7</w:t>
            </w:r>
            <w:r w:rsidR="00D94F1D">
              <w:rPr>
                <w:sz w:val="20"/>
              </w:rPr>
              <w:t>%</w:t>
            </w:r>
          </w:p>
        </w:tc>
      </w:tr>
    </w:tbl>
    <w:p w:rsidR="00A62A27" w:rsidRDefault="00A62A27" w:rsidP="00A62A27">
      <w:pPr>
        <w:rPr>
          <w:sz w:val="18"/>
          <w:szCs w:val="18"/>
          <w:lang w:bidi="en-US"/>
        </w:rPr>
      </w:pPr>
      <w:r w:rsidRPr="00A62A27">
        <w:rPr>
          <w:sz w:val="18"/>
          <w:szCs w:val="18"/>
          <w:lang w:bidi="en-US"/>
        </w:rPr>
        <w:t xml:space="preserve">Source: </w:t>
      </w:r>
      <w:proofErr w:type="spellStart"/>
      <w:r w:rsidRPr="00A62A27">
        <w:rPr>
          <w:sz w:val="18"/>
          <w:szCs w:val="18"/>
          <w:lang w:bidi="en-US"/>
        </w:rPr>
        <w:t>NBoS</w:t>
      </w:r>
      <w:proofErr w:type="spellEnd"/>
      <w:r w:rsidRPr="00A62A27">
        <w:rPr>
          <w:sz w:val="18"/>
          <w:szCs w:val="18"/>
          <w:lang w:bidi="en-US"/>
        </w:rPr>
        <w:t xml:space="preserve"> (2013) </w:t>
      </w:r>
      <w:r>
        <w:rPr>
          <w:sz w:val="18"/>
          <w:szCs w:val="18"/>
          <w:lang w:bidi="en-US"/>
        </w:rPr>
        <w:t>Household Budget Survey 2011/12</w:t>
      </w:r>
    </w:p>
    <w:p w:rsidR="008B7306" w:rsidRDefault="008B7306" w:rsidP="00A62A27">
      <w:pPr>
        <w:rPr>
          <w:sz w:val="18"/>
          <w:szCs w:val="18"/>
          <w:lang w:bidi="en-US"/>
        </w:rPr>
      </w:pPr>
    </w:p>
    <w:p w:rsidR="000A60D7" w:rsidRDefault="00B43E65" w:rsidP="00194B83">
      <w:pPr>
        <w:spacing w:before="120" w:after="120" w:line="240" w:lineRule="auto"/>
        <w:rPr>
          <w:szCs w:val="24"/>
        </w:rPr>
      </w:pPr>
      <w:r>
        <w:rPr>
          <w:szCs w:val="24"/>
        </w:rPr>
        <w:t>There ha</w:t>
      </w:r>
      <w:r w:rsidR="00C514DF">
        <w:rPr>
          <w:szCs w:val="24"/>
        </w:rPr>
        <w:t>s</w:t>
      </w:r>
      <w:r>
        <w:rPr>
          <w:szCs w:val="24"/>
        </w:rPr>
        <w:t xml:space="preserve"> not been significant change in income inequality in Tanzania since 1990 although the distribution shows significant inequality. </w:t>
      </w:r>
      <w:r w:rsidR="008B7306">
        <w:rPr>
          <w:szCs w:val="24"/>
        </w:rPr>
        <w:t xml:space="preserve">The degree of income inequality </w:t>
      </w:r>
      <w:r>
        <w:rPr>
          <w:szCs w:val="24"/>
        </w:rPr>
        <w:lastRenderedPageBreak/>
        <w:t>observed in 2012 as measured by the GINI index was 0.34 same to the level observed in 1990 (</w:t>
      </w:r>
      <w:proofErr w:type="spellStart"/>
      <w:r>
        <w:rPr>
          <w:szCs w:val="24"/>
        </w:rPr>
        <w:t>NBoS</w:t>
      </w:r>
      <w:proofErr w:type="spellEnd"/>
      <w:r>
        <w:rPr>
          <w:szCs w:val="24"/>
        </w:rPr>
        <w:t xml:space="preserve"> 2013).</w:t>
      </w:r>
      <w:r w:rsidR="00C514DF">
        <w:rPr>
          <w:szCs w:val="24"/>
        </w:rPr>
        <w:t xml:space="preserve"> Despite the observed </w:t>
      </w:r>
      <w:r w:rsidR="007A3E3D">
        <w:rPr>
          <w:szCs w:val="24"/>
        </w:rPr>
        <w:t xml:space="preserve">inequality in </w:t>
      </w:r>
      <w:r w:rsidR="00C514DF">
        <w:rPr>
          <w:szCs w:val="24"/>
        </w:rPr>
        <w:t xml:space="preserve">income distribution the country has been experiencing and increasing trend in Human Development Index (HDI). In 2012 HDI was 0.48 which is an increase from 0.40 in 2005.  </w:t>
      </w:r>
    </w:p>
    <w:p w:rsidR="00C514DF" w:rsidRDefault="00C514DF" w:rsidP="00A62A27">
      <w:pPr>
        <w:rPr>
          <w:sz w:val="18"/>
          <w:szCs w:val="18"/>
          <w:lang w:bidi="en-US"/>
        </w:rPr>
      </w:pPr>
    </w:p>
    <w:p w:rsidR="000A60D7" w:rsidRPr="000A60D7" w:rsidRDefault="000A60D7" w:rsidP="00A62A27">
      <w:pPr>
        <w:rPr>
          <w:b/>
        </w:rPr>
      </w:pPr>
      <w:commentRangeStart w:id="6"/>
      <w:r w:rsidRPr="000A60D7">
        <w:rPr>
          <w:b/>
        </w:rPr>
        <w:t>Employment</w:t>
      </w:r>
      <w:commentRangeEnd w:id="6"/>
      <w:r w:rsidR="00C514DF">
        <w:rPr>
          <w:rStyle w:val="CommentReference"/>
        </w:rPr>
        <w:commentReference w:id="6"/>
      </w:r>
    </w:p>
    <w:p w:rsidR="00935384" w:rsidRPr="00130E17" w:rsidRDefault="00B43E65" w:rsidP="00194B83">
      <w:pPr>
        <w:spacing w:before="120" w:after="120" w:line="240" w:lineRule="auto"/>
        <w:rPr>
          <w:rFonts w:eastAsia="Symbol"/>
          <w:szCs w:val="24"/>
        </w:rPr>
      </w:pPr>
      <w:r>
        <w:rPr>
          <w:rFonts w:eastAsia="Symbol"/>
          <w:szCs w:val="24"/>
        </w:rPr>
        <w:t xml:space="preserve">About </w:t>
      </w:r>
      <w:r w:rsidR="00935384">
        <w:rPr>
          <w:rFonts w:eastAsia="Symbol"/>
          <w:szCs w:val="24"/>
        </w:rPr>
        <w:t>40</w:t>
      </w:r>
      <w:r w:rsidR="006A2669">
        <w:rPr>
          <w:rFonts w:eastAsia="Symbol"/>
          <w:szCs w:val="24"/>
        </w:rPr>
        <w:t xml:space="preserve"> percent</w:t>
      </w:r>
      <w:r w:rsidR="00935384">
        <w:rPr>
          <w:rFonts w:eastAsia="Symbol"/>
          <w:szCs w:val="24"/>
        </w:rPr>
        <w:t xml:space="preserve"> of </w:t>
      </w:r>
      <w:r>
        <w:rPr>
          <w:rFonts w:eastAsia="Symbol"/>
          <w:szCs w:val="24"/>
        </w:rPr>
        <w:t xml:space="preserve">Tanzania population was employed in the informal sector in 2006, an increase from </w:t>
      </w:r>
      <w:r w:rsidR="00935384">
        <w:rPr>
          <w:rFonts w:eastAsia="Symbol"/>
          <w:szCs w:val="24"/>
        </w:rPr>
        <w:t>35</w:t>
      </w:r>
      <w:r w:rsidR="006A2669">
        <w:rPr>
          <w:rFonts w:eastAsia="Symbol"/>
          <w:szCs w:val="24"/>
        </w:rPr>
        <w:t xml:space="preserve"> percent</w:t>
      </w:r>
      <w:r w:rsidR="00935384">
        <w:rPr>
          <w:rFonts w:eastAsia="Symbol"/>
          <w:szCs w:val="24"/>
        </w:rPr>
        <w:t xml:space="preserve"> in 2001 </w:t>
      </w:r>
      <w:r w:rsidR="00F936E6">
        <w:rPr>
          <w:rFonts w:eastAsia="Symbol"/>
          <w:szCs w:val="24"/>
        </w:rPr>
        <w:fldChar w:fldCharType="begin"/>
      </w:r>
      <w:r w:rsidR="00935384">
        <w:rPr>
          <w:rFonts w:eastAsia="Symbol"/>
          <w:szCs w:val="24"/>
        </w:rPr>
        <w:instrText xml:space="preserve"> ADDIN EN.CITE &lt;EndNote&gt;&lt;Cite&gt;&lt;Author&gt;National Bureau of Statistics&lt;/Author&gt;&lt;Year&gt;2006&lt;/Year&gt;&lt;RecNum&gt;625&lt;/RecNum&gt;&lt;record&gt;&lt;rec-number&gt;625&lt;/rec-number&gt;&lt;ref-type name="Government Document"&gt;46&lt;/ref-type&gt;&lt;contributors&gt;&lt;authors&gt;&lt;author&gt;National Bureau of Statistics,&lt;/author&gt;&lt;/authors&gt;&lt;/contributors&gt;&lt;titles&gt;&lt;title&gt;Integrated Labour Force Survey: analytical report&lt;/title&gt;&lt;/titles&gt;&lt;dates&gt;&lt;year&gt;2006&lt;/year&gt;&lt;/dates&gt;&lt;pub-location&gt;Dar es Salaam&lt;/pub-location&gt;&lt;publisher&gt;National Bureau of Statistics&lt;/publisher&gt;&lt;urls&gt;&lt;/urls&gt;&lt;/record&gt;&lt;/Cite&gt;&lt;/EndNote&gt;</w:instrText>
      </w:r>
      <w:r w:rsidR="00F936E6">
        <w:rPr>
          <w:rFonts w:eastAsia="Symbol"/>
          <w:szCs w:val="24"/>
        </w:rPr>
        <w:fldChar w:fldCharType="separate"/>
      </w:r>
      <w:r w:rsidR="00935384">
        <w:rPr>
          <w:rFonts w:eastAsia="Symbol"/>
          <w:szCs w:val="24"/>
        </w:rPr>
        <w:t>(National Bureau of Statistics 2006)</w:t>
      </w:r>
      <w:r w:rsidR="00F936E6">
        <w:rPr>
          <w:rFonts w:eastAsia="Symbol"/>
          <w:szCs w:val="24"/>
        </w:rPr>
        <w:fldChar w:fldCharType="end"/>
      </w:r>
      <w:r w:rsidR="00935384">
        <w:rPr>
          <w:rFonts w:eastAsia="Symbol"/>
          <w:szCs w:val="24"/>
        </w:rPr>
        <w:t xml:space="preserve">. </w:t>
      </w:r>
      <w:r>
        <w:rPr>
          <w:rFonts w:eastAsia="Symbol"/>
          <w:szCs w:val="24"/>
        </w:rPr>
        <w:t>The proportion of the population working in the informal sector is higher in urban areas (66</w:t>
      </w:r>
      <w:r w:rsidR="006A2669">
        <w:rPr>
          <w:rFonts w:eastAsia="Symbol"/>
          <w:szCs w:val="24"/>
        </w:rPr>
        <w:t xml:space="preserve"> percent</w:t>
      </w:r>
      <w:r>
        <w:rPr>
          <w:rFonts w:eastAsia="Symbol"/>
          <w:szCs w:val="24"/>
        </w:rPr>
        <w:t>) than in rural localities (27</w:t>
      </w:r>
      <w:r w:rsidR="006A2669">
        <w:rPr>
          <w:rFonts w:eastAsia="Symbol"/>
          <w:szCs w:val="24"/>
        </w:rPr>
        <w:t xml:space="preserve"> percent</w:t>
      </w:r>
      <w:r>
        <w:rPr>
          <w:rFonts w:eastAsia="Symbol"/>
          <w:szCs w:val="24"/>
        </w:rPr>
        <w:t xml:space="preserve">). </w:t>
      </w:r>
      <w:r w:rsidR="006A2669">
        <w:rPr>
          <w:rFonts w:eastAsia="Symbol"/>
          <w:szCs w:val="24"/>
        </w:rPr>
        <w:t>About 75 percent of the population works in agriculture sector</w:t>
      </w:r>
      <w:r w:rsidR="00935384">
        <w:rPr>
          <w:rFonts w:eastAsia="Symbol"/>
          <w:szCs w:val="24"/>
        </w:rPr>
        <w:t>.</w:t>
      </w:r>
      <w:r w:rsidR="006A2669">
        <w:rPr>
          <w:rFonts w:eastAsia="Symbol"/>
          <w:szCs w:val="24"/>
        </w:rPr>
        <w:t xml:space="preserve"> Only about 12 percent of the population is employed in the formal sector </w:t>
      </w:r>
      <w:r w:rsidR="00F936E6">
        <w:rPr>
          <w:rFonts w:eastAsia="Symbol"/>
          <w:szCs w:val="24"/>
        </w:rPr>
        <w:fldChar w:fldCharType="begin"/>
      </w:r>
      <w:r w:rsidR="006A2669">
        <w:rPr>
          <w:rFonts w:eastAsia="Symbol"/>
          <w:szCs w:val="24"/>
        </w:rPr>
        <w:instrText xml:space="preserve"> ADDIN EN.CITE &lt;EndNote&gt;&lt;Cite&gt;&lt;Author&gt;National Bureau of Statistics&lt;/Author&gt;&lt;Year&gt;2006&lt;/Year&gt;&lt;RecNum&gt;625&lt;/RecNum&gt;&lt;record&gt;&lt;rec-number&gt;625&lt;/rec-number&gt;&lt;ref-type name="Government Document"&gt;46&lt;/ref-type&gt;&lt;contributors&gt;&lt;authors&gt;&lt;author&gt;National Bureau of Statistics,&lt;/author&gt;&lt;/authors&gt;&lt;/contributors&gt;&lt;titles&gt;&lt;title&gt;Integrated Labour Force Survey: analytical report&lt;/title&gt;&lt;/titles&gt;&lt;dates&gt;&lt;year&gt;2006&lt;/year&gt;&lt;/dates&gt;&lt;pub-location&gt;Dar es Salaam&lt;/pub-location&gt;&lt;publisher&gt;National Bureau of Statistics&lt;/publisher&gt;&lt;urls&gt;&lt;/urls&gt;&lt;/record&gt;&lt;/Cite&gt;&lt;/EndNote&gt;</w:instrText>
      </w:r>
      <w:r w:rsidR="00F936E6">
        <w:rPr>
          <w:rFonts w:eastAsia="Symbol"/>
          <w:szCs w:val="24"/>
        </w:rPr>
        <w:fldChar w:fldCharType="separate"/>
      </w:r>
      <w:r w:rsidR="006A2669">
        <w:rPr>
          <w:rFonts w:eastAsia="Symbol"/>
          <w:szCs w:val="24"/>
        </w:rPr>
        <w:t>(National Bureau of Statistics 2006)</w:t>
      </w:r>
      <w:r w:rsidR="00F936E6">
        <w:rPr>
          <w:rFonts w:eastAsia="Symbol"/>
          <w:szCs w:val="24"/>
        </w:rPr>
        <w:fldChar w:fldCharType="end"/>
      </w:r>
      <w:r w:rsidR="006A2669">
        <w:rPr>
          <w:rFonts w:eastAsia="Symbol"/>
          <w:szCs w:val="24"/>
        </w:rPr>
        <w:t>.</w:t>
      </w:r>
    </w:p>
    <w:p w:rsidR="00CA1A3E" w:rsidRDefault="00CA1A3E" w:rsidP="002C3E91"/>
    <w:p w:rsidR="00194B83" w:rsidRDefault="00194B83" w:rsidP="002C3E91"/>
    <w:p w:rsidR="00194B83" w:rsidRDefault="00194B83" w:rsidP="002C3E91"/>
    <w:p w:rsidR="00194B83" w:rsidRDefault="00194B83" w:rsidP="002C3E91"/>
    <w:p w:rsidR="00194B83" w:rsidRDefault="00194B83" w:rsidP="002C3E91"/>
    <w:p w:rsidR="00194B83" w:rsidRDefault="00194B83" w:rsidP="002C3E91"/>
    <w:p w:rsidR="00194B83" w:rsidRDefault="00194B83" w:rsidP="002C3E91"/>
    <w:p w:rsidR="00194B83" w:rsidRDefault="00194B83" w:rsidP="002C3E91"/>
    <w:p w:rsidR="00194B83" w:rsidRDefault="00194B83" w:rsidP="002C3E91"/>
    <w:p w:rsidR="00194B83" w:rsidRDefault="00194B83" w:rsidP="002C3E91"/>
    <w:p w:rsidR="00194B83" w:rsidRDefault="00194B83" w:rsidP="002C3E91"/>
    <w:p w:rsidR="00194B83" w:rsidRDefault="00194B83" w:rsidP="002C3E91"/>
    <w:p w:rsidR="00194B83" w:rsidRDefault="00194B83" w:rsidP="002C3E91"/>
    <w:p w:rsidR="00194B83" w:rsidRDefault="00194B83" w:rsidP="002C3E91"/>
    <w:p w:rsidR="00194B83" w:rsidRDefault="00194B83" w:rsidP="002C3E91"/>
    <w:p w:rsidR="00194B83" w:rsidRDefault="00194B83" w:rsidP="002C3E91"/>
    <w:p w:rsidR="00194B83" w:rsidRDefault="00194B83" w:rsidP="002C3E91"/>
    <w:p w:rsidR="00194B83" w:rsidRDefault="00194B83" w:rsidP="002C3E91"/>
    <w:p w:rsidR="00194B83" w:rsidRDefault="00194B83" w:rsidP="002C3E91"/>
    <w:p w:rsidR="00194B83" w:rsidRDefault="00194B83" w:rsidP="002C3E91"/>
    <w:p w:rsidR="00194B83" w:rsidRDefault="00194B83" w:rsidP="002C3E91"/>
    <w:p w:rsidR="00194B83" w:rsidRDefault="00194B83" w:rsidP="002C3E91"/>
    <w:p w:rsidR="00194B83" w:rsidRDefault="00194B83" w:rsidP="002C3E91"/>
    <w:p w:rsidR="00194B83" w:rsidRPr="0023565D" w:rsidRDefault="00194B83" w:rsidP="002C3E91"/>
    <w:p w:rsidR="0023565D" w:rsidRPr="0023565D" w:rsidRDefault="002C3E91" w:rsidP="002C3E91">
      <w:pPr>
        <w:pStyle w:val="Heading1"/>
        <w:rPr>
          <w:rFonts w:eastAsia="Calibri"/>
        </w:rPr>
      </w:pPr>
      <w:bookmarkStart w:id="7" w:name="_Toc406497962"/>
      <w:r>
        <w:rPr>
          <w:rFonts w:eastAsia="Calibri"/>
        </w:rPr>
        <w:lastRenderedPageBreak/>
        <w:t>Health Financing Overview</w:t>
      </w:r>
      <w:bookmarkEnd w:id="7"/>
    </w:p>
    <w:p w:rsidR="0023565D" w:rsidRPr="0023565D" w:rsidRDefault="002C3E91" w:rsidP="002C3E91">
      <w:pPr>
        <w:pStyle w:val="Heading2"/>
        <w:rPr>
          <w:rFonts w:eastAsia="Calibri"/>
        </w:rPr>
      </w:pPr>
      <w:bookmarkStart w:id="8" w:name="_Toc406497963"/>
      <w:r>
        <w:rPr>
          <w:rFonts w:eastAsia="Calibri"/>
        </w:rPr>
        <w:t>Governance</w:t>
      </w:r>
      <w:bookmarkEnd w:id="8"/>
    </w:p>
    <w:p w:rsidR="002C3E91" w:rsidRDefault="00C006D8" w:rsidP="00822359">
      <w:pPr>
        <w:autoSpaceDE w:val="0"/>
        <w:autoSpaceDN w:val="0"/>
        <w:adjustRightInd w:val="0"/>
        <w:rPr>
          <w:rFonts w:eastAsia="Calibri" w:cs="Arial"/>
          <w:szCs w:val="24"/>
        </w:rPr>
      </w:pPr>
      <w:r>
        <w:rPr>
          <w:rFonts w:eastAsia="Calibri" w:cs="Arial"/>
          <w:szCs w:val="24"/>
        </w:rPr>
        <w:t>T</w:t>
      </w:r>
      <w:r w:rsidR="0023565D" w:rsidRPr="0023565D">
        <w:rPr>
          <w:rFonts w:eastAsia="Calibri" w:cs="Arial"/>
          <w:szCs w:val="24"/>
        </w:rPr>
        <w:t>he M</w:t>
      </w:r>
      <w:r w:rsidR="0023565D" w:rsidRPr="00822359">
        <w:t>inistry of Health and Social Welfare (</w:t>
      </w:r>
      <w:proofErr w:type="spellStart"/>
      <w:r w:rsidR="0023565D" w:rsidRPr="00822359">
        <w:t>MoHSW</w:t>
      </w:r>
      <w:proofErr w:type="spellEnd"/>
      <w:r w:rsidR="0023565D" w:rsidRPr="00822359">
        <w:t xml:space="preserve">) is </w:t>
      </w:r>
      <w:r w:rsidR="00E665CA">
        <w:t xml:space="preserve">mandated with </w:t>
      </w:r>
      <w:r w:rsidR="0023565D" w:rsidRPr="00822359">
        <w:t xml:space="preserve">overall stewardship of the health sector. The Ministry is responsible for policy development, strategic planning, resource </w:t>
      </w:r>
      <w:r w:rsidR="00E665CA">
        <w:t>mobilization,</w:t>
      </w:r>
      <w:r w:rsidR="0023565D" w:rsidRPr="00822359">
        <w:t xml:space="preserve"> and monitoring and evaluation </w:t>
      </w:r>
      <w:r w:rsidR="00E665CA">
        <w:t xml:space="preserve">for the sector as a whole. </w:t>
      </w:r>
      <w:r w:rsidR="0023565D" w:rsidRPr="00822359">
        <w:t>The relatio</w:t>
      </w:r>
      <w:r w:rsidR="00267347">
        <w:t>nship</w:t>
      </w:r>
      <w:r w:rsidR="0023565D" w:rsidRPr="00822359">
        <w:t xml:space="preserve"> and roles of </w:t>
      </w:r>
      <w:r w:rsidR="00E665CA">
        <w:t xml:space="preserve">different </w:t>
      </w:r>
      <w:r w:rsidR="0023565D" w:rsidRPr="00822359">
        <w:t>M</w:t>
      </w:r>
      <w:r w:rsidR="004C52A2">
        <w:t>inistries, Departments and Agencies (M</w:t>
      </w:r>
      <w:r w:rsidR="0023565D" w:rsidRPr="00822359">
        <w:t>DAs</w:t>
      </w:r>
      <w:r w:rsidR="004C52A2">
        <w:t>)</w:t>
      </w:r>
      <w:r w:rsidR="0023565D" w:rsidRPr="00822359">
        <w:t xml:space="preserve"> in the health sector is shown in Figure </w:t>
      </w:r>
      <w:r w:rsidR="00A62A27">
        <w:t>2</w:t>
      </w:r>
      <w:r w:rsidR="00822359" w:rsidRPr="00822359">
        <w:t xml:space="preserve"> below</w:t>
      </w:r>
      <w:r w:rsidR="0023565D" w:rsidRPr="0023565D">
        <w:rPr>
          <w:rFonts w:eastAsia="Calibri" w:cs="Arial"/>
          <w:szCs w:val="24"/>
        </w:rPr>
        <w:t>.</w:t>
      </w:r>
    </w:p>
    <w:p w:rsidR="00822359" w:rsidRDefault="00822359" w:rsidP="002E07C5">
      <w:pPr>
        <w:autoSpaceDE w:val="0"/>
        <w:autoSpaceDN w:val="0"/>
        <w:adjustRightInd w:val="0"/>
        <w:spacing w:line="240" w:lineRule="auto"/>
        <w:rPr>
          <w:rFonts w:eastAsia="Calibri" w:cs="Arial"/>
          <w:szCs w:val="24"/>
        </w:rPr>
      </w:pPr>
    </w:p>
    <w:p w:rsidR="00822359" w:rsidRDefault="00822359" w:rsidP="00822359">
      <w:pPr>
        <w:pStyle w:val="Caption"/>
        <w:rPr>
          <w:rFonts w:eastAsia="Calibri" w:cs="Arial"/>
          <w:szCs w:val="24"/>
        </w:rPr>
      </w:pPr>
      <w:r>
        <w:t xml:space="preserve">Figure </w:t>
      </w:r>
      <w:r w:rsidR="00F936E6">
        <w:fldChar w:fldCharType="begin"/>
      </w:r>
      <w:r w:rsidR="00434E4F">
        <w:instrText xml:space="preserve"> SEQ Figure \* ARABIC </w:instrText>
      </w:r>
      <w:r w:rsidR="00F936E6">
        <w:fldChar w:fldCharType="separate"/>
      </w:r>
      <w:r w:rsidR="005E5054">
        <w:rPr>
          <w:noProof/>
        </w:rPr>
        <w:t>2</w:t>
      </w:r>
      <w:r w:rsidR="00F936E6">
        <w:rPr>
          <w:noProof/>
        </w:rPr>
        <w:fldChar w:fldCharType="end"/>
      </w:r>
      <w:r>
        <w:t>:  Ministries, Departments and Agencies, and their responsibility in health sector</w:t>
      </w:r>
    </w:p>
    <w:p w:rsidR="0023565D" w:rsidRPr="0023565D" w:rsidRDefault="0023565D" w:rsidP="002E07C5">
      <w:pPr>
        <w:autoSpaceDE w:val="0"/>
        <w:autoSpaceDN w:val="0"/>
        <w:adjustRightInd w:val="0"/>
        <w:spacing w:line="240" w:lineRule="auto"/>
        <w:rPr>
          <w:rFonts w:eastAsia="Calibri" w:cs="Arial"/>
          <w:szCs w:val="24"/>
        </w:rPr>
      </w:pPr>
      <w:r w:rsidRPr="0023565D">
        <w:rPr>
          <w:rFonts w:eastAsia="Calibri" w:cs="Arial"/>
          <w:szCs w:val="24"/>
        </w:rPr>
        <w:t xml:space="preserve">  </w:t>
      </w:r>
    </w:p>
    <w:p w:rsidR="0023565D" w:rsidRPr="0023565D" w:rsidRDefault="00F00E8D" w:rsidP="002E07C5">
      <w:pPr>
        <w:ind w:left="-142"/>
        <w:rPr>
          <w:rFonts w:eastAsia="Calibri" w:cs="Arial"/>
          <w:szCs w:val="24"/>
          <w:lang w:val="en-GB"/>
        </w:rPr>
      </w:pPr>
      <w:r>
        <w:rPr>
          <w:rFonts w:eastAsia="Calibri" w:cs="Arial"/>
          <w:noProof/>
          <w:szCs w:val="24"/>
          <w:lang w:val="de-DE" w:eastAsia="de-DE"/>
        </w:rPr>
        <mc:AlternateContent>
          <mc:Choice Requires="wpc">
            <w:drawing>
              <wp:inline distT="0" distB="0" distL="0" distR="0">
                <wp:extent cx="6689090" cy="5093335"/>
                <wp:effectExtent l="6350" t="0" r="635" b="2540"/>
                <wp:docPr id="37" name="Canvas 103"/>
                <wp:cNvGraphicFramePr>
                  <a:graphicFrameLocks xmlns:a="http://schemas.openxmlformats.org/drawingml/2006/main"/>
                </wp:cNvGraphicFramePr>
                <a:graphic xmlns:a="http://schemas.openxmlformats.org/drawingml/2006/main">
                  <a:graphicData uri="http://schemas.microsoft.com/office/word/2010/wordprocessingCanvas">
                    <wpc:wpc>
                      <wpc:bg>
                        <a:solidFill>
                          <a:srgbClr val="FFFFFF"/>
                        </a:solidFill>
                      </wpc:bg>
                      <wpc:whole/>
                      <wps:wsp>
                        <wps:cNvPr id="1" name="AutoShape 22"/>
                        <wps:cNvCnPr>
                          <a:cxnSpLocks noChangeShapeType="1"/>
                        </wps:cNvCnPr>
                        <wps:spPr bwMode="auto">
                          <a:xfrm rot="16200000" flipH="1">
                            <a:off x="3129744" y="3670224"/>
                            <a:ext cx="434403" cy="313704"/>
                          </a:xfrm>
                          <a:prstGeom prst="bentConnector3">
                            <a:avLst>
                              <a:gd name="adj1" fmla="val 111398"/>
                            </a:avLst>
                          </a:prstGeom>
                          <a:noFill/>
                          <a:ln w="25400">
                            <a:solidFill>
                              <a:srgbClr val="000000"/>
                            </a:solidFill>
                            <a:miter lim="800000"/>
                            <a:headEnd/>
                            <a:tailEnd/>
                          </a:ln>
                          <a:extLst>
                            <a:ext uri="{909E8E84-426E-40DD-AFC4-6F175D3DCCD1}">
                              <a14:hiddenFill xmlns:a14="http://schemas.microsoft.com/office/drawing/2010/main">
                                <a:noFill/>
                              </a14:hiddenFill>
                            </a:ext>
                          </a:extLst>
                        </wps:spPr>
                        <wps:bodyPr/>
                      </wps:wsp>
                      <wps:wsp>
                        <wps:cNvPr id="2" name="AutoShape 31"/>
                        <wps:cNvCnPr>
                          <a:cxnSpLocks noChangeShapeType="1"/>
                        </wps:cNvCnPr>
                        <wps:spPr bwMode="auto">
                          <a:xfrm rot="16200000" flipH="1">
                            <a:off x="5613477" y="2904420"/>
                            <a:ext cx="548604" cy="129502"/>
                          </a:xfrm>
                          <a:prstGeom prst="bentConnector2">
                            <a:avLst/>
                          </a:prstGeom>
                          <a:noFill/>
                          <a:ln w="25400">
                            <a:solidFill>
                              <a:srgbClr val="000000"/>
                            </a:solidFill>
                            <a:miter lim="800000"/>
                            <a:headEnd/>
                            <a:tailEnd/>
                          </a:ln>
                          <a:extLst>
                            <a:ext uri="{909E8E84-426E-40DD-AFC4-6F175D3DCCD1}">
                              <a14:hiddenFill xmlns:a14="http://schemas.microsoft.com/office/drawing/2010/main">
                                <a:noFill/>
                              </a14:hiddenFill>
                            </a:ext>
                          </a:extLst>
                        </wps:spPr>
                        <wps:bodyPr/>
                      </wps:wsp>
                      <wps:wsp>
                        <wps:cNvPr id="5" name="AutoShape 30"/>
                        <wps:cNvCnPr>
                          <a:cxnSpLocks noChangeShapeType="1"/>
                        </wps:cNvCnPr>
                        <wps:spPr bwMode="auto">
                          <a:xfrm rot="16200000" flipH="1">
                            <a:off x="4259659" y="2816818"/>
                            <a:ext cx="547304" cy="306104"/>
                          </a:xfrm>
                          <a:prstGeom prst="bentConnector2">
                            <a:avLst/>
                          </a:prstGeom>
                          <a:noFill/>
                          <a:ln w="25400">
                            <a:solidFill>
                              <a:srgbClr val="000000"/>
                            </a:solidFill>
                            <a:miter lim="800000"/>
                            <a:headEnd/>
                            <a:tailEnd/>
                          </a:ln>
                          <a:extLst>
                            <a:ext uri="{909E8E84-426E-40DD-AFC4-6F175D3DCCD1}">
                              <a14:hiddenFill xmlns:a14="http://schemas.microsoft.com/office/drawing/2010/main">
                                <a:noFill/>
                              </a14:hiddenFill>
                            </a:ext>
                          </a:extLst>
                        </wps:spPr>
                        <wps:bodyPr/>
                      </wps:wsp>
                      <wps:wsp>
                        <wps:cNvPr id="6" name="AutoShape 23"/>
                        <wps:cNvCnPr>
                          <a:cxnSpLocks noChangeShapeType="1"/>
                        </wps:cNvCnPr>
                        <wps:spPr bwMode="auto">
                          <a:xfrm rot="5400000" flipV="1">
                            <a:off x="3375245" y="-1171924"/>
                            <a:ext cx="700" cy="4894666"/>
                          </a:xfrm>
                          <a:prstGeom prst="bentConnector3">
                            <a:avLst>
                              <a:gd name="adj1" fmla="val -36000000"/>
                            </a:avLst>
                          </a:prstGeom>
                          <a:noFill/>
                          <a:ln w="25400">
                            <a:solidFill>
                              <a:srgbClr val="000000"/>
                            </a:solidFill>
                            <a:miter lim="800000"/>
                            <a:headEnd/>
                            <a:tailEnd/>
                          </a:ln>
                          <a:extLst>
                            <a:ext uri="{909E8E84-426E-40DD-AFC4-6F175D3DCCD1}">
                              <a14:hiddenFill xmlns:a14="http://schemas.microsoft.com/office/drawing/2010/main">
                                <a:noFill/>
                              </a14:hiddenFill>
                            </a:ext>
                          </a:extLst>
                        </wps:spPr>
                        <wps:bodyPr/>
                      </wps:wsp>
                      <wps:wsp>
                        <wps:cNvPr id="7" name="AutoShape 24"/>
                        <wps:cNvCnPr>
                          <a:cxnSpLocks noChangeShapeType="1"/>
                        </wps:cNvCnPr>
                        <wps:spPr bwMode="auto">
                          <a:xfrm rot="16200000" flipH="1">
                            <a:off x="985715" y="1638009"/>
                            <a:ext cx="447703" cy="562608"/>
                          </a:xfrm>
                          <a:prstGeom prst="bentConnector3">
                            <a:avLst>
                              <a:gd name="adj1" fmla="val 49931"/>
                            </a:avLst>
                          </a:prstGeom>
                          <a:noFill/>
                          <a:ln w="25400">
                            <a:solidFill>
                              <a:srgbClr val="000000"/>
                            </a:solidFill>
                            <a:miter lim="800000"/>
                            <a:headEnd/>
                            <a:tailEnd/>
                          </a:ln>
                          <a:extLst>
                            <a:ext uri="{909E8E84-426E-40DD-AFC4-6F175D3DCCD1}">
                              <a14:hiddenFill xmlns:a14="http://schemas.microsoft.com/office/drawing/2010/main">
                                <a:noFill/>
                              </a14:hiddenFill>
                            </a:ext>
                          </a:extLst>
                        </wps:spPr>
                        <wps:bodyPr/>
                      </wps:wsp>
                      <wps:wsp>
                        <wps:cNvPr id="8" name="AutoShape 25"/>
                        <wps:cNvCnPr>
                          <a:cxnSpLocks noChangeShapeType="1"/>
                        </wps:cNvCnPr>
                        <wps:spPr bwMode="auto">
                          <a:xfrm rot="5400000">
                            <a:off x="466608" y="1681510"/>
                            <a:ext cx="447703" cy="475606"/>
                          </a:xfrm>
                          <a:prstGeom prst="bentConnector3">
                            <a:avLst>
                              <a:gd name="adj1" fmla="val 49931"/>
                            </a:avLst>
                          </a:prstGeom>
                          <a:noFill/>
                          <a:ln w="25400">
                            <a:solidFill>
                              <a:srgbClr val="000000"/>
                            </a:solidFill>
                            <a:miter lim="800000"/>
                            <a:headEnd/>
                            <a:tailEnd/>
                          </a:ln>
                          <a:extLst>
                            <a:ext uri="{909E8E84-426E-40DD-AFC4-6F175D3DCCD1}">
                              <a14:hiddenFill xmlns:a14="http://schemas.microsoft.com/office/drawing/2010/main">
                                <a:noFill/>
                              </a14:hiddenFill>
                            </a:ext>
                          </a:extLst>
                        </wps:spPr>
                        <wps:bodyPr/>
                      </wps:wsp>
                      <wps:wsp>
                        <wps:cNvPr id="9" name="AutoShape 26"/>
                        <wps:cNvCnPr>
                          <a:cxnSpLocks noChangeShapeType="1"/>
                        </wps:cNvCnPr>
                        <wps:spPr bwMode="auto">
                          <a:xfrm rot="16200000" flipH="1">
                            <a:off x="1304520" y="2881319"/>
                            <a:ext cx="615304" cy="242603"/>
                          </a:xfrm>
                          <a:prstGeom prst="bentConnector2">
                            <a:avLst/>
                          </a:prstGeom>
                          <a:noFill/>
                          <a:ln w="25400">
                            <a:solidFill>
                              <a:srgbClr val="000000"/>
                            </a:solidFill>
                            <a:miter lim="800000"/>
                            <a:headEnd/>
                            <a:tailEnd/>
                          </a:ln>
                          <a:extLst>
                            <a:ext uri="{909E8E84-426E-40DD-AFC4-6F175D3DCCD1}">
                              <a14:hiddenFill xmlns:a14="http://schemas.microsoft.com/office/drawing/2010/main">
                                <a:noFill/>
                              </a14:hiddenFill>
                            </a:ext>
                          </a:extLst>
                        </wps:spPr>
                        <wps:bodyPr/>
                      </wps:wsp>
                      <wps:wsp>
                        <wps:cNvPr id="10" name="AutoShape 27"/>
                        <wps:cNvCnPr>
                          <a:cxnSpLocks noChangeShapeType="1"/>
                        </wps:cNvCnPr>
                        <wps:spPr bwMode="auto">
                          <a:xfrm rot="16200000" flipH="1">
                            <a:off x="161604" y="2986020"/>
                            <a:ext cx="701005" cy="118802"/>
                          </a:xfrm>
                          <a:prstGeom prst="bentConnector2">
                            <a:avLst/>
                          </a:prstGeom>
                          <a:noFill/>
                          <a:ln w="25400">
                            <a:solidFill>
                              <a:srgbClr val="000000"/>
                            </a:solidFill>
                            <a:miter lim="800000"/>
                            <a:headEnd/>
                            <a:tailEnd/>
                          </a:ln>
                          <a:extLst>
                            <a:ext uri="{909E8E84-426E-40DD-AFC4-6F175D3DCCD1}">
                              <a14:hiddenFill xmlns:a14="http://schemas.microsoft.com/office/drawing/2010/main">
                                <a:noFill/>
                              </a14:hiddenFill>
                            </a:ext>
                          </a:extLst>
                        </wps:spPr>
                        <wps:bodyPr/>
                      </wps:wsp>
                      <wps:wsp>
                        <wps:cNvPr id="11" name="AutoShape 28"/>
                        <wps:cNvCnPr>
                          <a:cxnSpLocks noChangeShapeType="1"/>
                        </wps:cNvCnPr>
                        <wps:spPr bwMode="auto">
                          <a:xfrm rot="16200000" flipH="1">
                            <a:off x="-283599" y="3431223"/>
                            <a:ext cx="1591311" cy="118802"/>
                          </a:xfrm>
                          <a:prstGeom prst="bentConnector2">
                            <a:avLst/>
                          </a:prstGeom>
                          <a:noFill/>
                          <a:ln w="25400">
                            <a:solidFill>
                              <a:srgbClr val="000000"/>
                            </a:solidFill>
                            <a:miter lim="800000"/>
                            <a:headEnd/>
                            <a:tailEnd/>
                          </a:ln>
                          <a:extLst>
                            <a:ext uri="{909E8E84-426E-40DD-AFC4-6F175D3DCCD1}">
                              <a14:hiddenFill xmlns:a14="http://schemas.microsoft.com/office/drawing/2010/main">
                                <a:noFill/>
                              </a14:hiddenFill>
                            </a:ext>
                          </a:extLst>
                        </wps:spPr>
                        <wps:bodyPr/>
                      </wps:wsp>
                      <wps:wsp>
                        <wps:cNvPr id="12" name="AutoShape 29"/>
                        <wps:cNvCnPr>
                          <a:cxnSpLocks noChangeShapeType="1"/>
                        </wps:cNvCnPr>
                        <wps:spPr bwMode="auto">
                          <a:xfrm>
                            <a:off x="2954440" y="2420217"/>
                            <a:ext cx="165102" cy="800"/>
                          </a:xfrm>
                          <a:prstGeom prst="straightConnector1">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s:wsp>
                        <wps:cNvPr id="13" name="AutoShape 32"/>
                        <wps:cNvCnPr>
                          <a:cxnSpLocks noChangeShapeType="1"/>
                        </wps:cNvCnPr>
                        <wps:spPr bwMode="auto">
                          <a:xfrm rot="5400000">
                            <a:off x="4256258" y="1152308"/>
                            <a:ext cx="247602" cy="0"/>
                          </a:xfrm>
                          <a:prstGeom prst="straightConnector1">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s:wsp>
                        <wps:cNvPr id="14" name="AutoShape 33"/>
                        <wps:cNvCnPr>
                          <a:cxnSpLocks noChangeShapeType="1"/>
                        </wps:cNvCnPr>
                        <wps:spPr bwMode="auto">
                          <a:xfrm rot="16200000" flipH="1">
                            <a:off x="3005443" y="4298928"/>
                            <a:ext cx="723905" cy="336505"/>
                          </a:xfrm>
                          <a:prstGeom prst="bentConnector2">
                            <a:avLst/>
                          </a:prstGeom>
                          <a:noFill/>
                          <a:ln w="25400">
                            <a:solidFill>
                              <a:srgbClr val="000000"/>
                            </a:solidFill>
                            <a:prstDash val="dash"/>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s:wsp>
                        <wps:cNvPr id="15" name="AutoShape 6"/>
                        <wps:cNvSpPr>
                          <a:spLocks noChangeArrowheads="1"/>
                        </wps:cNvSpPr>
                        <wps:spPr bwMode="auto">
                          <a:xfrm>
                            <a:off x="2067028" y="2142815"/>
                            <a:ext cx="887412" cy="553104"/>
                          </a:xfrm>
                          <a:prstGeom prst="flowChartAlternateProcess">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94B83" w:rsidRPr="0028485C" w:rsidRDefault="00194B83" w:rsidP="0023565D">
                              <w:pPr>
                                <w:jc w:val="center"/>
                                <w:rPr>
                                  <w:sz w:val="16"/>
                                  <w:szCs w:val="16"/>
                                </w:rPr>
                              </w:pPr>
                              <w:r>
                                <w:rPr>
                                  <w:sz w:val="16"/>
                                  <w:szCs w:val="16"/>
                                </w:rPr>
                                <w:t>Regional Health Management Team</w:t>
                              </w:r>
                            </w:p>
                          </w:txbxContent>
                        </wps:txbx>
                        <wps:bodyPr rot="0" vert="horz" wrap="square" lIns="91440" tIns="45720" rIns="91440" bIns="45720" anchor="t" anchorCtr="0" upright="1">
                          <a:noAutofit/>
                        </wps:bodyPr>
                      </wps:wsp>
                      <wps:wsp>
                        <wps:cNvPr id="16" name="AutoShape 7"/>
                        <wps:cNvSpPr>
                          <a:spLocks noChangeArrowheads="1"/>
                        </wps:cNvSpPr>
                        <wps:spPr bwMode="auto">
                          <a:xfrm>
                            <a:off x="1056614" y="2142815"/>
                            <a:ext cx="868412" cy="552304"/>
                          </a:xfrm>
                          <a:prstGeom prst="flowChartAlternateProcess">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94B83" w:rsidRPr="0028485C" w:rsidRDefault="00194B83" w:rsidP="0023565D">
                              <w:pPr>
                                <w:jc w:val="center"/>
                                <w:rPr>
                                  <w:sz w:val="16"/>
                                  <w:szCs w:val="16"/>
                                </w:rPr>
                              </w:pPr>
                              <w:r>
                                <w:rPr>
                                  <w:sz w:val="16"/>
                                  <w:szCs w:val="16"/>
                                </w:rPr>
                                <w:t>National and Regional Hospitals</w:t>
                              </w:r>
                            </w:p>
                          </w:txbxContent>
                        </wps:txbx>
                        <wps:bodyPr rot="0" vert="horz" wrap="square" lIns="91440" tIns="45720" rIns="91440" bIns="45720" anchor="t" anchorCtr="0" upright="1">
                          <a:noAutofit/>
                        </wps:bodyPr>
                      </wps:wsp>
                      <wps:wsp>
                        <wps:cNvPr id="17" name="AutoShape 8"/>
                        <wps:cNvSpPr>
                          <a:spLocks noChangeArrowheads="1"/>
                        </wps:cNvSpPr>
                        <wps:spPr bwMode="auto">
                          <a:xfrm>
                            <a:off x="0" y="2142815"/>
                            <a:ext cx="905512" cy="552304"/>
                          </a:xfrm>
                          <a:prstGeom prst="flowChartAlternateProcess">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94B83" w:rsidRPr="0028485C" w:rsidRDefault="00194B83" w:rsidP="0023565D">
                              <w:pPr>
                                <w:tabs>
                                  <w:tab w:val="left" w:pos="90"/>
                                </w:tabs>
                                <w:jc w:val="center"/>
                                <w:rPr>
                                  <w:sz w:val="16"/>
                                  <w:szCs w:val="16"/>
                                </w:rPr>
                              </w:pPr>
                              <w:r>
                                <w:rPr>
                                  <w:sz w:val="16"/>
                                  <w:szCs w:val="16"/>
                                </w:rPr>
                                <w:t>Departments and Agencies, Training Centers</w:t>
                              </w:r>
                            </w:p>
                          </w:txbxContent>
                        </wps:txbx>
                        <wps:bodyPr rot="0" vert="horz" wrap="square" lIns="91440" tIns="45720" rIns="91440" bIns="45720" anchor="t" anchorCtr="0" upright="1">
                          <a:noAutofit/>
                        </wps:bodyPr>
                      </wps:wsp>
                      <wps:wsp>
                        <wps:cNvPr id="18" name="AutoShape 9"/>
                        <wps:cNvSpPr>
                          <a:spLocks noChangeArrowheads="1"/>
                        </wps:cNvSpPr>
                        <wps:spPr bwMode="auto">
                          <a:xfrm>
                            <a:off x="571208" y="3972127"/>
                            <a:ext cx="752810" cy="628104"/>
                          </a:xfrm>
                          <a:prstGeom prst="flowChartAlternateProcess">
                            <a:avLst/>
                          </a:prstGeom>
                          <a:gradFill rotWithShape="0">
                            <a:gsLst>
                              <a:gs pos="0">
                                <a:srgbClr val="FFFFFF"/>
                              </a:gs>
                              <a:gs pos="100000">
                                <a:srgbClr val="B9CDE5"/>
                              </a:gs>
                            </a:gsLst>
                            <a:lin ang="5400000" scaled="1"/>
                          </a:gradFill>
                          <a:ln w="12700">
                            <a:solidFill>
                              <a:srgbClr val="95B3D7"/>
                            </a:solidFill>
                            <a:miter lim="800000"/>
                            <a:headEnd/>
                            <a:tailEnd/>
                          </a:ln>
                          <a:effectLst>
                            <a:outerShdw dist="28398" dir="3806097" algn="ctr" rotWithShape="0">
                              <a:srgbClr val="254061">
                                <a:alpha val="50000"/>
                              </a:srgbClr>
                            </a:outerShdw>
                          </a:effectLst>
                        </wps:spPr>
                        <wps:txbx>
                          <w:txbxContent>
                            <w:p w:rsidR="00194B83" w:rsidRPr="0028485C" w:rsidRDefault="00194B83" w:rsidP="0023565D">
                              <w:pPr>
                                <w:rPr>
                                  <w:sz w:val="16"/>
                                  <w:szCs w:val="16"/>
                                </w:rPr>
                              </w:pPr>
                              <w:r>
                                <w:rPr>
                                  <w:sz w:val="16"/>
                                  <w:szCs w:val="16"/>
                                </w:rPr>
                                <w:t>Training of Health Staff</w:t>
                              </w:r>
                            </w:p>
                          </w:txbxContent>
                        </wps:txbx>
                        <wps:bodyPr rot="0" vert="horz" wrap="square" lIns="91440" tIns="45720" rIns="91440" bIns="45720" anchor="t" anchorCtr="0" upright="1">
                          <a:noAutofit/>
                        </wps:bodyPr>
                      </wps:wsp>
                      <wps:wsp>
                        <wps:cNvPr id="19" name="AutoShape 10"/>
                        <wps:cNvSpPr>
                          <a:spLocks noChangeArrowheads="1"/>
                        </wps:cNvSpPr>
                        <wps:spPr bwMode="auto">
                          <a:xfrm>
                            <a:off x="571208" y="3009621"/>
                            <a:ext cx="836111" cy="703605"/>
                          </a:xfrm>
                          <a:prstGeom prst="flowChartAlternateProcess">
                            <a:avLst/>
                          </a:prstGeom>
                          <a:gradFill rotWithShape="0">
                            <a:gsLst>
                              <a:gs pos="0">
                                <a:srgbClr val="FFFFFF"/>
                              </a:gs>
                              <a:gs pos="100000">
                                <a:srgbClr val="B9CDE5"/>
                              </a:gs>
                            </a:gsLst>
                            <a:lin ang="5400000" scaled="1"/>
                          </a:gradFill>
                          <a:ln w="12700">
                            <a:solidFill>
                              <a:srgbClr val="95B3D7"/>
                            </a:solidFill>
                            <a:miter lim="800000"/>
                            <a:headEnd/>
                            <a:tailEnd/>
                          </a:ln>
                          <a:effectLst>
                            <a:outerShdw dist="28398" dir="3806097" algn="ctr" rotWithShape="0">
                              <a:srgbClr val="254061">
                                <a:alpha val="50000"/>
                              </a:srgbClr>
                            </a:outerShdw>
                          </a:effectLst>
                        </wps:spPr>
                        <wps:txbx>
                          <w:txbxContent>
                            <w:p w:rsidR="00194B83" w:rsidRPr="0028485C" w:rsidRDefault="00194B83" w:rsidP="0023565D">
                              <w:pPr>
                                <w:jc w:val="center"/>
                                <w:rPr>
                                  <w:sz w:val="16"/>
                                  <w:szCs w:val="16"/>
                                </w:rPr>
                              </w:pPr>
                              <w:r>
                                <w:rPr>
                                  <w:sz w:val="16"/>
                                  <w:szCs w:val="16"/>
                                </w:rPr>
                                <w:t>Support functions in the health sector</w:t>
                              </w:r>
                            </w:p>
                          </w:txbxContent>
                        </wps:txbx>
                        <wps:bodyPr rot="0" vert="horz" wrap="square" lIns="91440" tIns="45720" rIns="91440" bIns="45720" anchor="t" anchorCtr="0" upright="1">
                          <a:noAutofit/>
                        </wps:bodyPr>
                      </wps:wsp>
                      <wps:wsp>
                        <wps:cNvPr id="20" name="AutoShape 11"/>
                        <wps:cNvSpPr>
                          <a:spLocks noChangeArrowheads="1"/>
                        </wps:cNvSpPr>
                        <wps:spPr bwMode="auto">
                          <a:xfrm>
                            <a:off x="5952580" y="2962520"/>
                            <a:ext cx="695909" cy="562204"/>
                          </a:xfrm>
                          <a:prstGeom prst="flowChartAlternateProcess">
                            <a:avLst/>
                          </a:prstGeom>
                          <a:gradFill rotWithShape="0">
                            <a:gsLst>
                              <a:gs pos="0">
                                <a:srgbClr val="FFFFFF"/>
                              </a:gs>
                              <a:gs pos="100000">
                                <a:srgbClr val="B9CDE5"/>
                              </a:gs>
                            </a:gsLst>
                            <a:lin ang="5400000" scaled="1"/>
                          </a:gradFill>
                          <a:ln w="12700">
                            <a:solidFill>
                              <a:srgbClr val="95B3D7"/>
                            </a:solidFill>
                            <a:miter lim="800000"/>
                            <a:headEnd/>
                            <a:tailEnd/>
                          </a:ln>
                          <a:effectLst>
                            <a:outerShdw dist="28398" dir="3806097" algn="ctr" rotWithShape="0">
                              <a:srgbClr val="254061">
                                <a:alpha val="50000"/>
                              </a:srgbClr>
                            </a:outerShdw>
                          </a:effectLst>
                        </wps:spPr>
                        <wps:txbx>
                          <w:txbxContent>
                            <w:p w:rsidR="00194B83" w:rsidRPr="0028485C" w:rsidRDefault="00194B83" w:rsidP="0023565D">
                              <w:pPr>
                                <w:jc w:val="center"/>
                                <w:rPr>
                                  <w:sz w:val="16"/>
                                  <w:szCs w:val="16"/>
                                </w:rPr>
                              </w:pPr>
                              <w:r>
                                <w:rPr>
                                  <w:sz w:val="16"/>
                                  <w:szCs w:val="16"/>
                                </w:rPr>
                                <w:t>Training of Health Staff</w:t>
                              </w:r>
                            </w:p>
                          </w:txbxContent>
                        </wps:txbx>
                        <wps:bodyPr rot="0" vert="horz" wrap="square" lIns="91440" tIns="45720" rIns="91440" bIns="45720" anchor="t" anchorCtr="0" upright="1">
                          <a:noAutofit/>
                        </wps:bodyPr>
                      </wps:wsp>
                      <wps:wsp>
                        <wps:cNvPr id="21" name="AutoShape 12"/>
                        <wps:cNvSpPr>
                          <a:spLocks noChangeArrowheads="1"/>
                        </wps:cNvSpPr>
                        <wps:spPr bwMode="auto">
                          <a:xfrm>
                            <a:off x="4686263" y="2962520"/>
                            <a:ext cx="924612" cy="562204"/>
                          </a:xfrm>
                          <a:prstGeom prst="flowChartAlternateProcess">
                            <a:avLst/>
                          </a:prstGeom>
                          <a:gradFill rotWithShape="0">
                            <a:gsLst>
                              <a:gs pos="0">
                                <a:srgbClr val="FFFFFF"/>
                              </a:gs>
                              <a:gs pos="100000">
                                <a:srgbClr val="B9CDE5"/>
                              </a:gs>
                            </a:gsLst>
                            <a:lin ang="5400000" scaled="1"/>
                          </a:gradFill>
                          <a:ln w="12700">
                            <a:solidFill>
                              <a:srgbClr val="95B3D7"/>
                            </a:solidFill>
                            <a:miter lim="800000"/>
                            <a:headEnd/>
                            <a:tailEnd/>
                          </a:ln>
                          <a:effectLst>
                            <a:outerShdw dist="28398" dir="3806097" algn="ctr" rotWithShape="0">
                              <a:srgbClr val="254061">
                                <a:alpha val="50000"/>
                              </a:srgbClr>
                            </a:outerShdw>
                          </a:effectLst>
                        </wps:spPr>
                        <wps:txbx>
                          <w:txbxContent>
                            <w:p w:rsidR="00194B83" w:rsidRPr="0028485C" w:rsidRDefault="00194B83" w:rsidP="0023565D">
                              <w:pPr>
                                <w:jc w:val="center"/>
                                <w:rPr>
                                  <w:sz w:val="16"/>
                                  <w:szCs w:val="16"/>
                                </w:rPr>
                              </w:pPr>
                              <w:r>
                                <w:rPr>
                                  <w:sz w:val="16"/>
                                  <w:szCs w:val="16"/>
                                </w:rPr>
                                <w:t>Disbursement of funds, financial reporting</w:t>
                              </w:r>
                            </w:p>
                          </w:txbxContent>
                        </wps:txbx>
                        <wps:bodyPr rot="0" vert="horz" wrap="square" lIns="91440" tIns="45720" rIns="91440" bIns="45720" anchor="t" anchorCtr="0" upright="1">
                          <a:noAutofit/>
                        </wps:bodyPr>
                      </wps:wsp>
                      <wps:wsp>
                        <wps:cNvPr id="22" name="AutoShape 13"/>
                        <wps:cNvSpPr>
                          <a:spLocks noChangeArrowheads="1"/>
                        </wps:cNvSpPr>
                        <wps:spPr bwMode="auto">
                          <a:xfrm>
                            <a:off x="1733523" y="3009621"/>
                            <a:ext cx="818811" cy="600304"/>
                          </a:xfrm>
                          <a:prstGeom prst="flowChartAlternateProcess">
                            <a:avLst/>
                          </a:prstGeom>
                          <a:gradFill rotWithShape="0">
                            <a:gsLst>
                              <a:gs pos="0">
                                <a:srgbClr val="FFFFFF"/>
                              </a:gs>
                              <a:gs pos="100000">
                                <a:srgbClr val="B9CDE5"/>
                              </a:gs>
                            </a:gsLst>
                            <a:lin ang="5400000" scaled="1"/>
                          </a:gradFill>
                          <a:ln w="12700">
                            <a:solidFill>
                              <a:srgbClr val="95B3D7"/>
                            </a:solidFill>
                            <a:miter lim="800000"/>
                            <a:headEnd/>
                            <a:tailEnd/>
                          </a:ln>
                          <a:effectLst>
                            <a:outerShdw dist="28398" dir="3806097" algn="ctr" rotWithShape="0">
                              <a:srgbClr val="254061">
                                <a:alpha val="50000"/>
                              </a:srgbClr>
                            </a:outerShdw>
                          </a:effectLst>
                        </wps:spPr>
                        <wps:txbx>
                          <w:txbxContent>
                            <w:p w:rsidR="00194B83" w:rsidRPr="0028485C" w:rsidRDefault="00194B83" w:rsidP="0023565D">
                              <w:pPr>
                                <w:jc w:val="center"/>
                                <w:rPr>
                                  <w:sz w:val="16"/>
                                  <w:szCs w:val="16"/>
                                </w:rPr>
                              </w:pPr>
                              <w:r>
                                <w:rPr>
                                  <w:sz w:val="16"/>
                                  <w:szCs w:val="16"/>
                                </w:rPr>
                                <w:t>Provision of health services</w:t>
                              </w:r>
                            </w:p>
                          </w:txbxContent>
                        </wps:txbx>
                        <wps:bodyPr rot="0" vert="horz" wrap="square" lIns="91440" tIns="45720" rIns="91440" bIns="45720" anchor="t" anchorCtr="0" upright="1">
                          <a:noAutofit/>
                        </wps:bodyPr>
                      </wps:wsp>
                      <wps:wsp>
                        <wps:cNvPr id="23" name="AutoShape 15"/>
                        <wps:cNvSpPr>
                          <a:spLocks noChangeArrowheads="1"/>
                        </wps:cNvSpPr>
                        <wps:spPr bwMode="auto">
                          <a:xfrm>
                            <a:off x="3503947" y="3762926"/>
                            <a:ext cx="1150715" cy="590004"/>
                          </a:xfrm>
                          <a:prstGeom prst="flowChartAlternateProcess">
                            <a:avLst/>
                          </a:prstGeom>
                          <a:gradFill rotWithShape="0">
                            <a:gsLst>
                              <a:gs pos="0">
                                <a:srgbClr val="FFFFFF"/>
                              </a:gs>
                              <a:gs pos="100000">
                                <a:srgbClr val="B9CDE5"/>
                              </a:gs>
                            </a:gsLst>
                            <a:lin ang="5400000" scaled="1"/>
                          </a:gradFill>
                          <a:ln w="12700">
                            <a:solidFill>
                              <a:srgbClr val="95B3D7"/>
                            </a:solidFill>
                            <a:miter lim="800000"/>
                            <a:headEnd/>
                            <a:tailEnd/>
                          </a:ln>
                          <a:effectLst>
                            <a:outerShdw dist="28398" dir="3806097" algn="ctr" rotWithShape="0">
                              <a:srgbClr val="254061">
                                <a:alpha val="50000"/>
                              </a:srgbClr>
                            </a:outerShdw>
                          </a:effectLst>
                        </wps:spPr>
                        <wps:txbx>
                          <w:txbxContent>
                            <w:p w:rsidR="00194B83" w:rsidRPr="0028485C" w:rsidRDefault="00194B83" w:rsidP="0023565D">
                              <w:pPr>
                                <w:jc w:val="center"/>
                                <w:rPr>
                                  <w:sz w:val="16"/>
                                  <w:szCs w:val="16"/>
                                </w:rPr>
                              </w:pPr>
                              <w:r>
                                <w:rPr>
                                  <w:sz w:val="16"/>
                                  <w:szCs w:val="16"/>
                                </w:rPr>
                                <w:t>Provision of primary health and hospital services</w:t>
                              </w:r>
                            </w:p>
                          </w:txbxContent>
                        </wps:txbx>
                        <wps:bodyPr rot="0" vert="horz" wrap="square" lIns="91440" tIns="45720" rIns="91440" bIns="45720" anchor="t" anchorCtr="0" upright="1">
                          <a:noAutofit/>
                        </wps:bodyPr>
                      </wps:wsp>
                      <wps:wsp>
                        <wps:cNvPr id="24" name="AutoShape 16"/>
                        <wps:cNvSpPr>
                          <a:spLocks noChangeArrowheads="1"/>
                        </wps:cNvSpPr>
                        <wps:spPr bwMode="auto">
                          <a:xfrm>
                            <a:off x="3535548" y="4600232"/>
                            <a:ext cx="1151615" cy="457303"/>
                          </a:xfrm>
                          <a:prstGeom prst="flowChartAlternateProcess">
                            <a:avLst/>
                          </a:prstGeom>
                          <a:gradFill rotWithShape="0">
                            <a:gsLst>
                              <a:gs pos="0">
                                <a:srgbClr val="FFFFFF"/>
                              </a:gs>
                              <a:gs pos="100000">
                                <a:srgbClr val="D7E4BD"/>
                              </a:gs>
                            </a:gsLst>
                            <a:lin ang="5400000" scaled="1"/>
                          </a:gradFill>
                          <a:ln w="12700">
                            <a:solidFill>
                              <a:srgbClr val="C3D69B"/>
                            </a:solidFill>
                            <a:miter lim="800000"/>
                            <a:headEnd/>
                            <a:tailEnd/>
                          </a:ln>
                          <a:effectLst>
                            <a:outerShdw dist="28398" dir="3806097" algn="ctr" rotWithShape="0">
                              <a:srgbClr val="4F6228">
                                <a:alpha val="50000"/>
                              </a:srgbClr>
                            </a:outerShdw>
                          </a:effectLst>
                        </wps:spPr>
                        <wps:txbx>
                          <w:txbxContent>
                            <w:p w:rsidR="00194B83" w:rsidRPr="0028485C" w:rsidRDefault="00194B83" w:rsidP="0023565D">
                              <w:pPr>
                                <w:jc w:val="center"/>
                                <w:rPr>
                                  <w:sz w:val="16"/>
                                  <w:szCs w:val="16"/>
                                </w:rPr>
                              </w:pPr>
                              <w:r>
                                <w:rPr>
                                  <w:sz w:val="16"/>
                                  <w:szCs w:val="16"/>
                                </w:rPr>
                                <w:t>Private Health Providers</w:t>
                              </w:r>
                            </w:p>
                          </w:txbxContent>
                        </wps:txbx>
                        <wps:bodyPr rot="0" vert="horz" wrap="square" lIns="91440" tIns="45720" rIns="91440" bIns="45720" anchor="t" anchorCtr="0" upright="1">
                          <a:noAutofit/>
                        </wps:bodyPr>
                      </wps:wsp>
                      <wps:wsp>
                        <wps:cNvPr id="25" name="AutoShape 17"/>
                        <wps:cNvSpPr>
                          <a:spLocks noChangeArrowheads="1"/>
                        </wps:cNvSpPr>
                        <wps:spPr bwMode="auto">
                          <a:xfrm>
                            <a:off x="2552334" y="390403"/>
                            <a:ext cx="1132615" cy="428403"/>
                          </a:xfrm>
                          <a:prstGeom prst="flowChartAlternateProcess">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94B83" w:rsidRPr="00FD6999" w:rsidRDefault="00194B83" w:rsidP="0023565D">
                              <w:pPr>
                                <w:jc w:val="center"/>
                                <w:rPr>
                                  <w:sz w:val="18"/>
                                  <w:szCs w:val="18"/>
                                </w:rPr>
                              </w:pPr>
                              <w:r>
                                <w:rPr>
                                  <w:sz w:val="18"/>
                                  <w:szCs w:val="18"/>
                                </w:rPr>
                                <w:t>Government of Tanzania</w:t>
                              </w:r>
                            </w:p>
                          </w:txbxContent>
                        </wps:txbx>
                        <wps:bodyPr rot="0" vert="horz" wrap="square" lIns="91440" tIns="45720" rIns="91440" bIns="45720" anchor="t" anchorCtr="0" upright="1">
                          <a:noAutofit/>
                        </wps:bodyPr>
                      </wps:wsp>
                      <wps:wsp>
                        <wps:cNvPr id="26" name="AutoShape 18"/>
                        <wps:cNvSpPr>
                          <a:spLocks noChangeArrowheads="1"/>
                        </wps:cNvSpPr>
                        <wps:spPr bwMode="auto">
                          <a:xfrm>
                            <a:off x="5276471" y="1232408"/>
                            <a:ext cx="1093015" cy="779205"/>
                          </a:xfrm>
                          <a:prstGeom prst="flowChartAlternateProcess">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94B83" w:rsidRPr="0087627F" w:rsidRDefault="00194B83" w:rsidP="0023565D">
                              <w:pPr>
                                <w:jc w:val="center"/>
                                <w:rPr>
                                  <w:sz w:val="18"/>
                                  <w:szCs w:val="18"/>
                                </w:rPr>
                              </w:pPr>
                              <w:r w:rsidRPr="0087627F">
                                <w:rPr>
                                  <w:sz w:val="18"/>
                                  <w:szCs w:val="18"/>
                                </w:rPr>
                                <w:t>Ministry of Education and Vocational Training</w:t>
                              </w:r>
                            </w:p>
                          </w:txbxContent>
                        </wps:txbx>
                        <wps:bodyPr rot="0" vert="horz" wrap="square" lIns="91440" tIns="45720" rIns="91440" bIns="45720" anchor="t" anchorCtr="0" upright="1">
                          <a:noAutofit/>
                        </wps:bodyPr>
                      </wps:wsp>
                      <wps:wsp>
                        <wps:cNvPr id="27" name="AutoShape 19"/>
                        <wps:cNvSpPr>
                          <a:spLocks noChangeArrowheads="1"/>
                        </wps:cNvSpPr>
                        <wps:spPr bwMode="auto">
                          <a:xfrm>
                            <a:off x="3836852" y="1276109"/>
                            <a:ext cx="1087215" cy="563804"/>
                          </a:xfrm>
                          <a:prstGeom prst="flowChartAlternateProcess">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94B83" w:rsidRPr="0087627F" w:rsidRDefault="00194B83" w:rsidP="0023565D">
                              <w:pPr>
                                <w:jc w:val="center"/>
                                <w:rPr>
                                  <w:szCs w:val="24"/>
                                </w:rPr>
                              </w:pPr>
                              <w:r w:rsidRPr="0087627F">
                                <w:rPr>
                                  <w:szCs w:val="24"/>
                                </w:rPr>
                                <w:t xml:space="preserve">Ministry of Finance </w:t>
                              </w:r>
                            </w:p>
                          </w:txbxContent>
                        </wps:txbx>
                        <wps:bodyPr rot="0" vert="horz" wrap="square" lIns="91440" tIns="45720" rIns="91440" bIns="45720" anchor="t" anchorCtr="0" upright="1">
                          <a:noAutofit/>
                        </wps:bodyPr>
                      </wps:wsp>
                      <wps:wsp>
                        <wps:cNvPr id="28" name="AutoShape 21"/>
                        <wps:cNvSpPr>
                          <a:spLocks noChangeArrowheads="1"/>
                        </wps:cNvSpPr>
                        <wps:spPr bwMode="auto">
                          <a:xfrm>
                            <a:off x="323504" y="1275309"/>
                            <a:ext cx="1209416" cy="420103"/>
                          </a:xfrm>
                          <a:prstGeom prst="flowChartAlternateProcess">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94B83" w:rsidRPr="002343C4" w:rsidRDefault="00194B83" w:rsidP="0023565D">
                              <w:pPr>
                                <w:jc w:val="center"/>
                                <w:rPr>
                                  <w:szCs w:val="24"/>
                                </w:rPr>
                              </w:pPr>
                              <w:r w:rsidRPr="002343C4">
                                <w:rPr>
                                  <w:szCs w:val="24"/>
                                </w:rPr>
                                <w:t>MOHSW</w:t>
                              </w:r>
                            </w:p>
                          </w:txbxContent>
                        </wps:txbx>
                        <wps:bodyPr rot="0" vert="horz" wrap="square" lIns="91440" tIns="45720" rIns="91440" bIns="45720" anchor="t" anchorCtr="0" upright="1">
                          <a:noAutofit/>
                        </wps:bodyPr>
                      </wps:wsp>
                      <wps:wsp>
                        <wps:cNvPr id="29" name="AutoShape 14"/>
                        <wps:cNvSpPr>
                          <a:spLocks noChangeArrowheads="1"/>
                        </wps:cNvSpPr>
                        <wps:spPr bwMode="auto">
                          <a:xfrm>
                            <a:off x="2695236" y="3009621"/>
                            <a:ext cx="989713" cy="600304"/>
                          </a:xfrm>
                          <a:prstGeom prst="flowChartAlternateProcess">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94B83" w:rsidRPr="0028485C" w:rsidRDefault="00194B83" w:rsidP="0023565D">
                              <w:pPr>
                                <w:jc w:val="center"/>
                                <w:rPr>
                                  <w:sz w:val="16"/>
                                  <w:szCs w:val="16"/>
                                </w:rPr>
                              </w:pPr>
                              <w:r>
                                <w:rPr>
                                  <w:sz w:val="16"/>
                                  <w:szCs w:val="16"/>
                                </w:rPr>
                                <w:t>Local Government Authorities</w:t>
                              </w:r>
                            </w:p>
                          </w:txbxContent>
                        </wps:txbx>
                        <wps:bodyPr rot="0" vert="horz" wrap="square" lIns="91440" tIns="45720" rIns="91440" bIns="45720" anchor="t" anchorCtr="0" upright="1">
                          <a:noAutofit/>
                        </wps:bodyPr>
                      </wps:wsp>
                      <wps:wsp>
                        <wps:cNvPr id="30" name="AutoShape 20"/>
                        <wps:cNvSpPr>
                          <a:spLocks noChangeArrowheads="1"/>
                        </wps:cNvSpPr>
                        <wps:spPr bwMode="auto">
                          <a:xfrm>
                            <a:off x="2552334" y="1275309"/>
                            <a:ext cx="1038514" cy="563004"/>
                          </a:xfrm>
                          <a:prstGeom prst="flowChartAlternateProcess">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94B83" w:rsidRPr="002343C4" w:rsidRDefault="00194B83" w:rsidP="0023565D">
                              <w:pPr>
                                <w:jc w:val="center"/>
                                <w:rPr>
                                  <w:szCs w:val="24"/>
                                </w:rPr>
                              </w:pPr>
                              <w:r w:rsidRPr="002343C4">
                                <w:rPr>
                                  <w:szCs w:val="24"/>
                                </w:rPr>
                                <w:t>PMO-RALG</w:t>
                              </w:r>
                            </w:p>
                          </w:txbxContent>
                        </wps:txbx>
                        <wps:bodyPr rot="0" vert="horz" wrap="square" lIns="91440" tIns="45720" rIns="91440" bIns="45720" anchor="t" anchorCtr="0" upright="1">
                          <a:noAutofit/>
                        </wps:bodyPr>
                      </wps:wsp>
                      <wps:wsp>
                        <wps:cNvPr id="31" name="AutoShape 5"/>
                        <wps:cNvSpPr>
                          <a:spLocks noChangeArrowheads="1"/>
                        </wps:cNvSpPr>
                        <wps:spPr bwMode="auto">
                          <a:xfrm>
                            <a:off x="3836852" y="2238615"/>
                            <a:ext cx="1087215" cy="457303"/>
                          </a:xfrm>
                          <a:prstGeom prst="flowChartAlternateProcess">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94B83" w:rsidRPr="0028485C" w:rsidRDefault="00194B83" w:rsidP="0023565D">
                              <w:pPr>
                                <w:jc w:val="center"/>
                                <w:rPr>
                                  <w:sz w:val="16"/>
                                  <w:szCs w:val="16"/>
                                </w:rPr>
                              </w:pPr>
                              <w:r>
                                <w:rPr>
                                  <w:sz w:val="16"/>
                                  <w:szCs w:val="16"/>
                                </w:rPr>
                                <w:t>Government and Holding Accounts</w:t>
                              </w:r>
                            </w:p>
                          </w:txbxContent>
                        </wps:txbx>
                        <wps:bodyPr rot="0" vert="horz" wrap="square" lIns="91440" tIns="45720" rIns="91440" bIns="45720" anchor="t" anchorCtr="0" upright="1">
                          <a:noAutofit/>
                        </wps:bodyPr>
                      </wps:wsp>
                      <wps:wsp>
                        <wps:cNvPr id="32" name="AutoShape 4"/>
                        <wps:cNvSpPr>
                          <a:spLocks noChangeArrowheads="1"/>
                        </wps:cNvSpPr>
                        <wps:spPr bwMode="auto">
                          <a:xfrm>
                            <a:off x="5276471" y="2236915"/>
                            <a:ext cx="1093015" cy="458203"/>
                          </a:xfrm>
                          <a:prstGeom prst="flowChartAlternateProcess">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94B83" w:rsidRPr="0028485C" w:rsidRDefault="00194B83" w:rsidP="0023565D">
                              <w:pPr>
                                <w:jc w:val="center"/>
                                <w:rPr>
                                  <w:sz w:val="16"/>
                                  <w:szCs w:val="16"/>
                                </w:rPr>
                              </w:pPr>
                              <w:r>
                                <w:rPr>
                                  <w:sz w:val="16"/>
                                  <w:szCs w:val="16"/>
                                </w:rPr>
                                <w:t>Universities and Colleges</w:t>
                              </w:r>
                            </w:p>
                          </w:txbxContent>
                        </wps:txbx>
                        <wps:bodyPr rot="0" vert="horz" wrap="square" lIns="91440" tIns="45720" rIns="91440" bIns="45720" anchor="t" anchorCtr="0" upright="1">
                          <a:noAutofit/>
                        </wps:bodyPr>
                      </wps:wsp>
                      <wps:wsp>
                        <wps:cNvPr id="33" name="AutoShape 36"/>
                        <wps:cNvCnPr>
                          <a:cxnSpLocks noChangeShapeType="1"/>
                        </wps:cNvCnPr>
                        <wps:spPr bwMode="auto">
                          <a:xfrm flipH="1">
                            <a:off x="5822978" y="2011614"/>
                            <a:ext cx="0" cy="225502"/>
                          </a:xfrm>
                          <a:prstGeom prst="straightConnector1">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s:wsp>
                        <wps:cNvPr id="34" name="AutoShape 37"/>
                        <wps:cNvCnPr>
                          <a:cxnSpLocks noChangeShapeType="1"/>
                        </wps:cNvCnPr>
                        <wps:spPr bwMode="auto">
                          <a:xfrm>
                            <a:off x="4380059" y="1839913"/>
                            <a:ext cx="800" cy="398703"/>
                          </a:xfrm>
                          <a:prstGeom prst="straightConnector1">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s:wsp>
                        <wps:cNvPr id="35" name="AutoShape 38"/>
                        <wps:cNvCnPr>
                          <a:cxnSpLocks noChangeShapeType="1"/>
                        </wps:cNvCnPr>
                        <wps:spPr bwMode="auto">
                          <a:xfrm>
                            <a:off x="3119142" y="819106"/>
                            <a:ext cx="600" cy="457203"/>
                          </a:xfrm>
                          <a:prstGeom prst="straightConnector1">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s:wsp>
                        <wps:cNvPr id="36" name="AutoShape 39"/>
                        <wps:cNvCnPr>
                          <a:cxnSpLocks noChangeShapeType="1"/>
                        </wps:cNvCnPr>
                        <wps:spPr bwMode="auto">
                          <a:xfrm>
                            <a:off x="3119542" y="1839913"/>
                            <a:ext cx="800" cy="1180408"/>
                          </a:xfrm>
                          <a:prstGeom prst="straightConnector1">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Canvas 103" o:spid="_x0000_s1026" editas="canvas" style="width:526.7pt;height:401.05pt;mso-position-horizontal-relative:char;mso-position-vertical-relative:line" coordsize="66890,50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6890;height:50933;visibility:visible;mso-wrap-style:square" filled="t">
                  <v:fill o:detectmouseclick="t"/>
                  <v:path o:connecttype="none"/>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2" o:spid="_x0000_s1028" type="#_x0000_t34" style="position:absolute;left:31297;top:36701;width:4344;height:3137;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WfwI8IAAADaAAAADwAAAGRycy9kb3ducmV2LnhtbERPS2vCQBC+F/oflhF6KbqxBanRVYql&#10;pRcFH4jHMTsmwexs2N3GmF/vCkJPw8f3nOm8NZVoyPnSsoLhIAFBnFldcq5gt/3uf4DwAVljZZkU&#10;XMnDfPb8NMVU2wuvqdmEXMQQ9ikqKEKoUyl9VpBBP7A1ceRO1hkMEbpcaoeXGG4q+ZYkI2mw5NhQ&#10;YE2LgrLz5s8oODZdc6Bu341Hy5+v3JWr9/H6VamXXvs5ARGoDf/ih/tXx/lwf+V+5ew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WfwI8IAAADaAAAADwAAAAAAAAAAAAAA&#10;AAChAgAAZHJzL2Rvd25yZXYueG1sUEsFBgAAAAAEAAQA+QAAAJADAAAAAA==&#10;" adj="24062" strokeweight="2pt"/>
                <v:shapetype id="_x0000_t33" coordsize="21600,21600" o:spt="33" o:oned="t" path="m,l21600,r,21600e" filled="f">
                  <v:stroke joinstyle="miter"/>
                  <v:path arrowok="t" fillok="f" o:connecttype="none"/>
                  <o:lock v:ext="edit" shapetype="t"/>
                </v:shapetype>
                <v:shape id="AutoShape 31" o:spid="_x0000_s1029" type="#_x0000_t33" style="position:absolute;left:56135;top:29043;width:5486;height:1295;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z66cIAAADaAAAADwAAAGRycy9kb3ducmV2LnhtbESPQWsCMRSE70L/Q3gFL1KzFd3arVGk&#10;WPDaVXp+JK+bpZuXJUl19983gtDjMDPfMJvd4DpxoRBbzwqe5wUIYu1Ny42C8+njaQ0iJmSDnWdS&#10;MFKE3fZhssHK+Ct/0qVOjcgQjhUqsCn1lZRRW3IY574nzt63Dw5TlqGRJuA1w10nF0VRSoct5wWL&#10;Pb1b0j/1r1PQnsb9aqwP+mW2CmXZ2fXy61UrNX0c9m8gEg3pP3xvH42CBdyu5Bsgt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sz66cIAAADaAAAADwAAAAAAAAAAAAAA&#10;AAChAgAAZHJzL2Rvd25yZXYueG1sUEsFBgAAAAAEAAQA+QAAAJADAAAAAA==&#10;" strokeweight="2pt"/>
                <v:shape id="AutoShape 30" o:spid="_x0000_s1030" type="#_x0000_t33" style="position:absolute;left:42596;top:28168;width:5473;height:3061;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VincIAAADaAAAADwAAAGRycy9kb3ducmV2LnhtbESPwWrDMBBE74X+g9hCL6WRG2o3daOE&#10;EBrItU7IeZG2lqm1MpKa2H8fFQI9DjPzhlmuR9eLM4XYeVbwMitAEGtvOm4VHA+75wWImJAN9p5J&#10;wUQR1qv7uyXWxl/4i85NakWGcKxRgU1pqKWM2pLDOPMDcfa+fXCYsgytNAEvGe56OS+KSjrsOC9Y&#10;HGhrSf80v05Bd5g25dR86renMlRVbxevp3et1OPDuPkAkWhM/+Fbe28UlPB3Jd8Aubo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SVincIAAADaAAAADwAAAAAAAAAAAAAA&#10;AAChAgAAZHJzL2Rvd25yZXYueG1sUEsFBgAAAAAEAAQA+QAAAJADAAAAAA==&#10;" strokeweight="2pt"/>
                <v:shape id="AutoShape 23" o:spid="_x0000_s1031" type="#_x0000_t34" style="position:absolute;left:33752;top:-11720;width:7;height:48947;rotation:-9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230MMAAADaAAAADwAAAGRycy9kb3ducmV2LnhtbESPW2vCQBSE34X+h+UU+mY2LTTY6EZK&#10;L+ibmhbs4yF7csHs2ZDd6vrvXUHwcZiZb5jFMpheHGl0nWUFz0kKgriyuuNGwe/P93QGwnlkjb1l&#10;UnAmB8viYbLAXNsT7+hY+kZECLscFbTeD7mUrmrJoEvsQBy92o4GfZRjI/WIpwg3vXxJ00wa7Dgu&#10;tDjQR0vVofw3Cmr7tdmuyrdZ+Awu++NhL1+3e6WeHsP7HISn4O/hW3utFWRwvRJvgCw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L9t9DDAAAA2gAAAA8AAAAAAAAAAAAA&#10;AAAAoQIAAGRycy9kb3ducmV2LnhtbFBLBQYAAAAABAAEAPkAAACRAwAAAAA=&#10;" adj="-7776000" strokeweight="2pt"/>
                <v:shape id="AutoShape 24" o:spid="_x0000_s1032" type="#_x0000_t34" style="position:absolute;left:9856;top:16380;width:4477;height:5626;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I0zMIAAADaAAAADwAAAGRycy9kb3ducmV2LnhtbESPT2sCMRTE70K/Q3gFL6JZPdR2NUop&#10;CCs9+ac9Pzavm8XNy5Kk7uqnN4LgcZiZ3zDLdW8bcSYfascKppMMBHHpdM2VguNhM34HESKyxsYx&#10;KbhQgPXqZbDEXLuOd3Tex0okCIccFZgY21zKUBqyGCauJU7en/MWY5K+ktpjl+C2kbMse5MWa04L&#10;Blv6MlSe9v9WAZrv4oeuRefj6bq9jH5HH9MZKTV87T8XICL18Rl+tAutYA73K+kGyN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II0zMIAAADaAAAADwAAAAAAAAAAAAAA&#10;AAChAgAAZHJzL2Rvd25yZXYueG1sUEsFBgAAAAAEAAQA+QAAAJADAAAAAA==&#10;" adj="10785" strokeweight="2pt"/>
                <v:shape id="AutoShape 25" o:spid="_x0000_s1033" type="#_x0000_t34" style="position:absolute;left:4665;top:16815;width:4477;height:4756;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KRJsAAAADaAAAADwAAAGRycy9kb3ducmV2LnhtbERPTWvCQBC9F/wPywheim7qobTRVUSQ&#10;6kFKU/E8ZsckmJ0N2dHE/vruQfD4eN/zZe9qdaM2VJ4NvE0SUMS5txUXBg6/m/EHqCDIFmvPZOBO&#10;AZaLwcscU+s7/qFbJoWKIRxSNFCKNKnWIS/JYZj4hjhyZ986lAjbQtsWuxjuaj1NknftsOLYUGJD&#10;65LyS3Z1Bj6zV/Fud5nu/hrZn77qY7f/PhozGvarGSihXp7ih3trDcSt8Uq8AXrx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sikSbAAAAA2gAAAA8AAAAAAAAAAAAAAAAA&#10;oQIAAGRycy9kb3ducmV2LnhtbFBLBQYAAAAABAAEAPkAAACOAwAAAAA=&#10;" adj="10785" strokeweight="2pt"/>
                <v:shape id="AutoShape 26" o:spid="_x0000_s1034" type="#_x0000_t33" style="position:absolute;left:13044;top:28813;width:6153;height:2426;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GhomMIAAADaAAAADwAAAGRycy9kb3ducmV2LnhtbESPQWsCMRSE70L/Q3iFXqRmLbrq1ihS&#10;Wui1q3h+JK+bpZuXJYm6++8bodDjMDPfMNv94DpxpRBbzwrmswIEsfam5UbB6fjxvAYRE7LBzjMp&#10;GCnCfvcw2WJl/I2/6FqnRmQIxwoV2JT6SsqoLTmMM98TZ+/bB4cpy9BIE/CW4a6TL0VRSoct5wWL&#10;Pb1Z0j/1xSloj+NhOdbvejVdhrLs7Hpx3milnh6HwyuIREP6D/+1P42CDdyv5Bsgd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GhomMIAAADaAAAADwAAAAAAAAAAAAAA&#10;AAChAgAAZHJzL2Rvd25yZXYueG1sUEsFBgAAAAAEAAQA+QAAAJADAAAAAA==&#10;" strokeweight="2pt"/>
                <v:shape id="AutoShape 27" o:spid="_x0000_s1035" type="#_x0000_t33" style="position:absolute;left:1616;top:29860;width:7010;height:1188;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fwZIcMAAADbAAAADwAAAGRycy9kb3ducmV2LnhtbESPQU/DMAyF70j8h8hIXNCWgljZyrJp&#10;QiBxpZs4W4lpKhqnSsLW/nt8QOJm6z2/93m7n8KgzpRyH9nA/bICRWyj67kzcDq+LdagckF2OEQm&#10;AzNl2O+ur7bYuHjhDzq3pVMSwrlBA76UsdE6W08B8zKOxKJ9xRSwyJo67RJeJDwM+qGqah2wZ2nw&#10;ONKLJ/vd/gQD/XE+rOb21T7drVJdD379+LmxxtzeTIdnUIWm8m/+u353gi/08osMoH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n8GSHDAAAA2wAAAA8AAAAAAAAAAAAA&#10;AAAAoQIAAGRycy9kb3ducmV2LnhtbFBLBQYAAAAABAAEAPkAAACRAwAAAAA=&#10;" strokeweight="2pt"/>
                <v:shape id="AutoShape 28" o:spid="_x0000_s1036" type="#_x0000_t33" style="position:absolute;left:-2837;top:34312;width:15913;height:1188;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C8usAAAADbAAAADwAAAGRycy9kb3ducmV2LnhtbERPTWsCMRC9F/ofwhR6KZpV6lZXo4i0&#10;0Kur9Dwk42bpZrIkqe7++6ZQ8DaP9zmb3eA6caUQW88KZtMCBLH2puVGwfn0MVmCiAnZYOeZFIwU&#10;Ybd9fNhgZfyNj3StUyNyCMcKFdiU+krKqC05jFPfE2fu4oPDlGFopAl4y+Guk/OiKKXDlnODxZ4O&#10;lvR3/eMUtKdxvxjrd/32sghl2dnl69dKK/X8NOzXIBIN6S7+d3+aPH8Gf7/kA+T2F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awvLrAAAAA2wAAAA8AAAAAAAAAAAAAAAAA&#10;oQIAAGRycy9kb3ducmV2LnhtbFBLBQYAAAAABAAEAPkAAACOAwAAAAA=&#10;" strokeweight="2pt"/>
                <v:shapetype id="_x0000_t32" coordsize="21600,21600" o:spt="32" o:oned="t" path="m,l21600,21600e" filled="f">
                  <v:path arrowok="t" fillok="f" o:connecttype="none"/>
                  <o:lock v:ext="edit" shapetype="t"/>
                </v:shapetype>
                <v:shape id="AutoShape 29" o:spid="_x0000_s1037" type="#_x0000_t32" style="position:absolute;left:29544;top:24202;width:1651;height: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XYcEAAADbAAAADwAAAGRycy9kb3ducmV2LnhtbERPTYvCMBC9C/6HMII3TRVZtRpFFmSX&#10;hVWqotehGdtiMylNrN1/vxEEb/N4n7Nct6YUDdWusKxgNIxAEKdWF5wpOB23gxkI55E1lpZJwR85&#10;WK+6nSXG2j44oebgMxFC2MWoIPe+iqV0aU4G3dBWxIG72tqgD7DOpK7xEcJNKcdR9CENFhwacqzo&#10;M6f0drgbBc3+vJtuq+Zr77PzJPmZzC9ofpXq99rNAoSn1r/FL/e3DvPH8PwlHCB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H6FdhwQAAANsAAAAPAAAAAAAAAAAAAAAA&#10;AKECAABkcnMvZG93bnJldi54bWxQSwUGAAAAAAQABAD5AAAAjwMAAAAA&#10;" strokeweight="2pt"/>
                <v:shape id="AutoShape 32" o:spid="_x0000_s1038" type="#_x0000_t32" style="position:absolute;left:42562;top:11523;width:2476;height:0;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JYlcAAAADbAAAADwAAAGRycy9kb3ducmV2LnhtbERPS2vCQBC+F/wPywi91U0VWkldJQpi&#10;r/UBHofsNBubnQ3ZMab/visIvc3H95zFavCN6qmLdWADr5MMFHEZbM2VgeNh+zIHFQXZYhOYDPxS&#10;hNVy9LTA3IYbf1G/l0qlEI45GnAiba51LB15jJPQEifuO3QeJcGu0rbDWwr3jZ5m2Zv2WHNqcNjS&#10;xlH5s796A6f20EwLXx/tefceLv3FSSFrY57HQ/EBSmiQf/HD/WnT/Bncf0kH6OU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ECWJXAAAAA2wAAAA8AAAAAAAAAAAAAAAAA&#10;oQIAAGRycy9kb3ducmV2LnhtbFBLBQYAAAAABAAEAPkAAACOAwAAAAA=&#10;" strokeweight="2pt"/>
                <v:shape id="AutoShape 33" o:spid="_x0000_s1039" type="#_x0000_t33" style="position:absolute;left:30054;top:42989;width:7239;height:3365;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8O/EsIAAADbAAAADwAAAGRycy9kb3ducmV2LnhtbERP22oCMRB9F/yHMELfNKutF1ajSGuL&#10;+iB4+YBhM24WN5PtJtXt3xtB8G0O5zqzRWNLcaXaF44V9HsJCOLM6YJzBafjd3cCwgdkjaVjUvBP&#10;HhbzdmuGqXY33tP1EHIRQ9inqMCEUKVS+syQRd9zFXHkzq62GCKsc6lrvMVwW8pBkoykxYJjg8GK&#10;Pg1ll8OfVbBqtHnfbnZjVw5/h8nWrL5++hel3jrNcgoiUBNe4qd7reP8D3j8Eg+Q8z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8O/EsIAAADbAAAADwAAAAAAAAAAAAAA&#10;AAChAgAAZHJzL2Rvd25yZXYueG1sUEsFBgAAAAAEAAQA+QAAAJADAAAAAA==&#10;" strokeweight="2pt">
                  <v:stroke dashstyle="dash"/>
                  <v:shadow color="#868686"/>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6" o:spid="_x0000_s1040" type="#_x0000_t176" style="position:absolute;left:20670;top:21428;width:8874;height:55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liwMIA&#10;AADbAAAADwAAAGRycy9kb3ducmV2LnhtbERPyW7CMBC9I/UfrKnUW3GoWKqAQRWlVTkSuPQ2iiex&#10;IR6nsQvh72ukStzm6a2zWPWuEWfqgvWsYDTMQBCXXluuFRz2H8+vIEJE1th4JgVXCrBaPgwWmGt/&#10;4R2di1iLFMIhRwUmxjaXMpSGHIahb4kTV/nOYUywq6Xu8JLCXSNfsmwqHVpODQZbWhsqT8WvU1BV&#10;ZmqpmczGx8/N/lte7fbnfa3U02P/NgcRqY938b/7S6f5E7j9kg6Qy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6WLAwgAAANsAAAAPAAAAAAAAAAAAAAAAAJgCAABkcnMvZG93&#10;bnJldi54bWxQSwUGAAAAAAQABAD1AAAAhwMAAAAA&#10;" filled="f">
                  <v:textbox>
                    <w:txbxContent>
                      <w:p w:rsidR="00194B83" w:rsidRPr="0028485C" w:rsidRDefault="00194B83" w:rsidP="0023565D">
                        <w:pPr>
                          <w:jc w:val="center"/>
                          <w:rPr>
                            <w:sz w:val="16"/>
                            <w:szCs w:val="16"/>
                          </w:rPr>
                        </w:pPr>
                        <w:r>
                          <w:rPr>
                            <w:sz w:val="16"/>
                            <w:szCs w:val="16"/>
                          </w:rPr>
                          <w:t>Regional Health Management Team</w:t>
                        </w:r>
                      </w:p>
                    </w:txbxContent>
                  </v:textbox>
                </v:shape>
                <v:shape id="AutoShape 7" o:spid="_x0000_s1041" type="#_x0000_t176" style="position:absolute;left:10566;top:21428;width:8684;height:55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v8t8EA&#10;AADbAAAADwAAAGRycy9kb3ducmV2LnhtbERPPW/CMBDdkfgP1iF1A4eqpFXAIEQLasdCF7ZTfInd&#10;xuc0NhD+fV0Jie2e3uctVr1rxJm6YD0rmE4yEMSl15ZrBV+H7fgFRIjIGhvPpOBKAVbL4WCBhfYX&#10;/qTzPtYihXAoUIGJsS2kDKUhh2HiW+LEVb5zGBPsaqk7vKRw18jHLMulQ8upwWBLG0Plz/7kFFSV&#10;yS01s+en793b4Siv9uP3daPUw6hfz0FE6uNdfHO/6zQ/h/9f0gF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I7/LfBAAAA2wAAAA8AAAAAAAAAAAAAAAAAmAIAAGRycy9kb3du&#10;cmV2LnhtbFBLBQYAAAAABAAEAPUAAACGAwAAAAA=&#10;" filled="f">
                  <v:textbox>
                    <w:txbxContent>
                      <w:p w:rsidR="00194B83" w:rsidRPr="0028485C" w:rsidRDefault="00194B83" w:rsidP="0023565D">
                        <w:pPr>
                          <w:jc w:val="center"/>
                          <w:rPr>
                            <w:sz w:val="16"/>
                            <w:szCs w:val="16"/>
                          </w:rPr>
                        </w:pPr>
                        <w:r>
                          <w:rPr>
                            <w:sz w:val="16"/>
                            <w:szCs w:val="16"/>
                          </w:rPr>
                          <w:t>National and Regional Hospitals</w:t>
                        </w:r>
                      </w:p>
                    </w:txbxContent>
                  </v:textbox>
                </v:shape>
                <v:shape id="AutoShape 8" o:spid="_x0000_s1042" type="#_x0000_t176" style="position:absolute;top:21428;width:9055;height:55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dZLMEA&#10;AADbAAAADwAAAGRycy9kb3ducmV2LnhtbERPyW7CMBC9V+o/WFOpt+JQsVQBgyoKiB5ZLr2N4kls&#10;iMdp7EL4e4xUids8vXWm887V4kxtsJ4V9HsZCOLCa8uVgsN+9fYBIkRkjbVnUnClAPPZ89MUc+0v&#10;vKXzLlYihXDIUYGJscmlDIUhh6HnG+LElb51GBNsK6lbvKRwV8v3LBtJh5ZTg8GGFoaK0+7PKShL&#10;M7JUD8eD43q5/5FX+/37tVDq9aX7nICI1MWH+N+90Wn+GO6/pAPk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13WSzBAAAA2wAAAA8AAAAAAAAAAAAAAAAAmAIAAGRycy9kb3du&#10;cmV2LnhtbFBLBQYAAAAABAAEAPUAAACGAwAAAAA=&#10;" filled="f">
                  <v:textbox>
                    <w:txbxContent>
                      <w:p w:rsidR="00194B83" w:rsidRPr="0028485C" w:rsidRDefault="00194B83" w:rsidP="0023565D">
                        <w:pPr>
                          <w:tabs>
                            <w:tab w:val="left" w:pos="90"/>
                          </w:tabs>
                          <w:jc w:val="center"/>
                          <w:rPr>
                            <w:sz w:val="16"/>
                            <w:szCs w:val="16"/>
                          </w:rPr>
                        </w:pPr>
                        <w:r>
                          <w:rPr>
                            <w:sz w:val="16"/>
                            <w:szCs w:val="16"/>
                          </w:rPr>
                          <w:t>Departments and Agencies, Training Centers</w:t>
                        </w:r>
                      </w:p>
                    </w:txbxContent>
                  </v:textbox>
                </v:shape>
                <v:shape id="AutoShape 9" o:spid="_x0000_s1043" type="#_x0000_t176" style="position:absolute;left:5712;top:39721;width:7528;height:6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FbesYA&#10;AADbAAAADwAAAGRycy9kb3ducmV2LnhtbESPQWvCQBCF7wX/wzJCb7qxhyKpq5SC4MGWNrHQ3sbd&#10;MYlmZ0N2q7G/vnMQepvhvXnvm8Vq8K06Ux+bwAZm0wwUsQ2u4crArlxP5qBiQnbYBiYDV4qwWo7u&#10;Fpi7cOEPOhepUhLCMUcDdUpdrnW0NXmM09ARi3YIvccka19p1+NFwn2rH7LsUXtsWBpq7OilJnsq&#10;fryB18/fsjhuv9/LtD+uv65v81hZa8z9eHh+ApVoSP/m2/XGCb7Ayi8ygF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DFbesYAAADbAAAADwAAAAAAAAAAAAAAAACYAgAAZHJz&#10;L2Rvd25yZXYueG1sUEsFBgAAAAAEAAQA9QAAAIsDAAAAAA==&#10;" strokecolor="#95b3d7" strokeweight="1pt">
                  <v:fill color2="#b9cde5" focus="100%" type="gradient"/>
                  <v:shadow on="t" color="#254061" opacity=".5" offset="1pt"/>
                  <v:textbox>
                    <w:txbxContent>
                      <w:p w:rsidR="00194B83" w:rsidRPr="0028485C" w:rsidRDefault="00194B83" w:rsidP="0023565D">
                        <w:pPr>
                          <w:rPr>
                            <w:sz w:val="16"/>
                            <w:szCs w:val="16"/>
                          </w:rPr>
                        </w:pPr>
                        <w:r>
                          <w:rPr>
                            <w:sz w:val="16"/>
                            <w:szCs w:val="16"/>
                          </w:rPr>
                          <w:t>Training of Health Staff</w:t>
                        </w:r>
                      </w:p>
                    </w:txbxContent>
                  </v:textbox>
                </v:shape>
                <v:shape id="AutoShape 10" o:spid="_x0000_s1044" type="#_x0000_t176" style="position:absolute;left:5712;top:30096;width:8361;height:70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3+4cMA&#10;AADbAAAADwAAAGRycy9kb3ducmV2LnhtbERPTWvCQBC9C/0PyxR60409FBtdRQShh1baREFv4+6Y&#10;RLOzIbtq7K/vFgRv83ifM5l1thYXan3lWMFwkIAg1s5UXChY58v+CIQPyAZrx6TgRh5m06feBFPj&#10;rvxDlywUIoawT1FBGUKTSul1SRb9wDXEkTu41mKIsC2kafEaw20tX5PkTVqsODaU2NCiJH3KzlbB&#10;1+Y3z46fu+887I/L7W018oXWSr08d/MxiEBdeIjv7g8T57/D/y/xAD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33+4cMAAADbAAAADwAAAAAAAAAAAAAAAACYAgAAZHJzL2Rv&#10;d25yZXYueG1sUEsFBgAAAAAEAAQA9QAAAIgDAAAAAA==&#10;" strokecolor="#95b3d7" strokeweight="1pt">
                  <v:fill color2="#b9cde5" focus="100%" type="gradient"/>
                  <v:shadow on="t" color="#254061" opacity=".5" offset="1pt"/>
                  <v:textbox>
                    <w:txbxContent>
                      <w:p w:rsidR="00194B83" w:rsidRPr="0028485C" w:rsidRDefault="00194B83" w:rsidP="0023565D">
                        <w:pPr>
                          <w:jc w:val="center"/>
                          <w:rPr>
                            <w:sz w:val="16"/>
                            <w:szCs w:val="16"/>
                          </w:rPr>
                        </w:pPr>
                        <w:r>
                          <w:rPr>
                            <w:sz w:val="16"/>
                            <w:szCs w:val="16"/>
                          </w:rPr>
                          <w:t>Support functions in the health sector</w:t>
                        </w:r>
                      </w:p>
                    </w:txbxContent>
                  </v:textbox>
                </v:shape>
                <v:shape id="AutoShape 11" o:spid="_x0000_s1045" type="#_x0000_t176" style="position:absolute;left:59525;top:29625;width:6959;height:56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udwcIA&#10;AADbAAAADwAAAGRycy9kb3ducmV2LnhtbERPz2vCMBS+C/sfwhvsZtN5GNIZRQRhB5WtVdhub8mz&#10;rTYvpYla/evNQfD48f2ezHrbiDN1vnas4D1JQRBrZ2ouFWyL5XAMwgdkg41jUnAlD7Ppy2CCmXEX&#10;/qFzHkoRQ9hnqKAKoc2k9Loiiz5xLXHk9q6zGCLsSmk6vMRw28hRmn5IizXHhgpbWlSkj/nJKljv&#10;bkV+WP19F+H/sPy9bsa+1Fqpt9d+/gkiUB+e4of7yygYxfXxS/wBcn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K53BwgAAANsAAAAPAAAAAAAAAAAAAAAAAJgCAABkcnMvZG93&#10;bnJldi54bWxQSwUGAAAAAAQABAD1AAAAhwMAAAAA&#10;" strokecolor="#95b3d7" strokeweight="1pt">
                  <v:fill color2="#b9cde5" focus="100%" type="gradient"/>
                  <v:shadow on="t" color="#254061" opacity=".5" offset="1pt"/>
                  <v:textbox>
                    <w:txbxContent>
                      <w:p w:rsidR="00194B83" w:rsidRPr="0028485C" w:rsidRDefault="00194B83" w:rsidP="0023565D">
                        <w:pPr>
                          <w:jc w:val="center"/>
                          <w:rPr>
                            <w:sz w:val="16"/>
                            <w:szCs w:val="16"/>
                          </w:rPr>
                        </w:pPr>
                        <w:r>
                          <w:rPr>
                            <w:sz w:val="16"/>
                            <w:szCs w:val="16"/>
                          </w:rPr>
                          <w:t>Training of Health Staff</w:t>
                        </w:r>
                      </w:p>
                    </w:txbxContent>
                  </v:textbox>
                </v:shape>
                <v:shape id="AutoShape 12" o:spid="_x0000_s1046" type="#_x0000_t176" style="position:absolute;left:46862;top:29625;width:9246;height:56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c4WsYA&#10;AADbAAAADwAAAGRycy9kb3ducmV2LnhtbESPT2sCMRTE74LfITyhN83qochqlCIseLCl3W3B3l6T&#10;1/3j5mXZpLr20zcFweMwM79h1tvBtuJMva8dK5jPEhDE2pmaSwXvRTZdgvAB2WDrmBRcycN2Mx6t&#10;MTXuwm90zkMpIoR9igqqELpUSq8rsuhnriOO3rfrLYYo+1KaHi8Rblu5SJJHabHmuFBhR7uK9Cn/&#10;sQqeP36LvDl8vhbhq8mO15elL7VW6mEyPK1ABBrCPXxr742CxRz+v8QfID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2c4WsYAAADbAAAADwAAAAAAAAAAAAAAAACYAgAAZHJz&#10;L2Rvd25yZXYueG1sUEsFBgAAAAAEAAQA9QAAAIsDAAAAAA==&#10;" strokecolor="#95b3d7" strokeweight="1pt">
                  <v:fill color2="#b9cde5" focus="100%" type="gradient"/>
                  <v:shadow on="t" color="#254061" opacity=".5" offset="1pt"/>
                  <v:textbox>
                    <w:txbxContent>
                      <w:p w:rsidR="00194B83" w:rsidRPr="0028485C" w:rsidRDefault="00194B83" w:rsidP="0023565D">
                        <w:pPr>
                          <w:jc w:val="center"/>
                          <w:rPr>
                            <w:sz w:val="16"/>
                            <w:szCs w:val="16"/>
                          </w:rPr>
                        </w:pPr>
                        <w:r>
                          <w:rPr>
                            <w:sz w:val="16"/>
                            <w:szCs w:val="16"/>
                          </w:rPr>
                          <w:t>Disbursement of funds, financial reporting</w:t>
                        </w:r>
                      </w:p>
                    </w:txbxContent>
                  </v:textbox>
                </v:shape>
                <v:shape id="AutoShape 13" o:spid="_x0000_s1047" type="#_x0000_t176" style="position:absolute;left:17335;top:30096;width:8188;height:60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WmLcUA&#10;AADbAAAADwAAAGRycy9kb3ducmV2LnhtbESPQWvCQBSE74X+h+UVvNWNOYikriKC4MGKTSzo7bn7&#10;TKLZtyG71dhf3y0Uehxm5htmOu9tI27U+dqxgtEwAUGsnam5VLAvVq8TED4gG2wck4IHeZjPnp+m&#10;mBl35w+65aEUEcI+QwVVCG0mpdcVWfRD1xJH7+w6iyHKrpSmw3uE20amSTKWFmuOCxW2tKxIX/Mv&#10;q+D987vIL5vjrginy+rw2E58qbVSg5d+8QYiUB/+w3/ttVGQpvD7Jf4AOf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taYtxQAAANsAAAAPAAAAAAAAAAAAAAAAAJgCAABkcnMv&#10;ZG93bnJldi54bWxQSwUGAAAAAAQABAD1AAAAigMAAAAA&#10;" strokecolor="#95b3d7" strokeweight="1pt">
                  <v:fill color2="#b9cde5" focus="100%" type="gradient"/>
                  <v:shadow on="t" color="#254061" opacity=".5" offset="1pt"/>
                  <v:textbox>
                    <w:txbxContent>
                      <w:p w:rsidR="00194B83" w:rsidRPr="0028485C" w:rsidRDefault="00194B83" w:rsidP="0023565D">
                        <w:pPr>
                          <w:jc w:val="center"/>
                          <w:rPr>
                            <w:sz w:val="16"/>
                            <w:szCs w:val="16"/>
                          </w:rPr>
                        </w:pPr>
                        <w:r>
                          <w:rPr>
                            <w:sz w:val="16"/>
                            <w:szCs w:val="16"/>
                          </w:rPr>
                          <w:t>Provision of health services</w:t>
                        </w:r>
                      </w:p>
                    </w:txbxContent>
                  </v:textbox>
                </v:shape>
                <v:shape id="AutoShape 15" o:spid="_x0000_s1048" type="#_x0000_t176" style="position:absolute;left:35039;top:37629;width:11507;height:5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kDtsUA&#10;AADbAAAADwAAAGRycy9kb3ducmV2LnhtbESPQWvCQBSE7wX/w/IEb3WjQpHoKkUQPLTSJi3o7bn7&#10;mkSzb0N21dhf3y0IHoeZ+YaZLztbiwu1vnKsYDRMQBBrZyouFHzl6+cpCB+QDdaOScGNPCwXvac5&#10;psZd+ZMuWShEhLBPUUEZQpNK6XVJFv3QNcTR+3GtxRBlW0jT4jXCbS3HSfIiLVYcF0psaFWSPmVn&#10;q+D9+zfPjm/7jzwcjuvdbTv1hdZKDfrd6wxEoC48wvf2xigYT+D/S/wB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QO2xQAAANsAAAAPAAAAAAAAAAAAAAAAAJgCAABkcnMv&#10;ZG93bnJldi54bWxQSwUGAAAAAAQABAD1AAAAigMAAAAA&#10;" strokecolor="#95b3d7" strokeweight="1pt">
                  <v:fill color2="#b9cde5" focus="100%" type="gradient"/>
                  <v:shadow on="t" color="#254061" opacity=".5" offset="1pt"/>
                  <v:textbox>
                    <w:txbxContent>
                      <w:p w:rsidR="00194B83" w:rsidRPr="0028485C" w:rsidRDefault="00194B83" w:rsidP="0023565D">
                        <w:pPr>
                          <w:jc w:val="center"/>
                          <w:rPr>
                            <w:sz w:val="16"/>
                            <w:szCs w:val="16"/>
                          </w:rPr>
                        </w:pPr>
                        <w:r>
                          <w:rPr>
                            <w:sz w:val="16"/>
                            <w:szCs w:val="16"/>
                          </w:rPr>
                          <w:t>Provision of primary health and hospital services</w:t>
                        </w:r>
                      </w:p>
                    </w:txbxContent>
                  </v:textbox>
                </v:shape>
                <v:shape id="AutoShape 16" o:spid="_x0000_s1049" type="#_x0000_t176" style="position:absolute;left:35355;top:46002;width:11516;height:45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T6ksYA&#10;AADbAAAADwAAAGRycy9kb3ducmV2LnhtbESPQWvCQBSE7wX/w/KEXkQ3CUXa6CpiKbQqhWoPPT6y&#10;zySYfRuy2yTNr3cFocdhZr5hluveVKKlxpWWFcSzCARxZnXJuYLv09v0GYTzyBory6TgjxysV6OH&#10;JabadvxF7dHnIkDYpaig8L5OpXRZQQbdzNbEwTvbxqAPssmlbrALcFPJJIrm0mDJYaHAmrYFZZfj&#10;r1Hwuv/ZTGj7MachGlx/+YxfdodYqcdxv1mA8NT7//C9/a4VJE9w+xJ+gF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wT6ksYAAADbAAAADwAAAAAAAAAAAAAAAACYAgAAZHJz&#10;L2Rvd25yZXYueG1sUEsFBgAAAAAEAAQA9QAAAIsDAAAAAA==&#10;" strokecolor="#c3d69b" strokeweight="1pt">
                  <v:fill color2="#d7e4bd" focus="100%" type="gradient"/>
                  <v:shadow on="t" color="#4f6228" opacity=".5" offset="1pt"/>
                  <v:textbox>
                    <w:txbxContent>
                      <w:p w:rsidR="00194B83" w:rsidRPr="0028485C" w:rsidRDefault="00194B83" w:rsidP="0023565D">
                        <w:pPr>
                          <w:jc w:val="center"/>
                          <w:rPr>
                            <w:sz w:val="16"/>
                            <w:szCs w:val="16"/>
                          </w:rPr>
                        </w:pPr>
                        <w:r>
                          <w:rPr>
                            <w:sz w:val="16"/>
                            <w:szCs w:val="16"/>
                          </w:rPr>
                          <w:t>Private Health Providers</w:t>
                        </w:r>
                      </w:p>
                    </w:txbxContent>
                  </v:textbox>
                </v:shape>
                <v:shape id="AutoShape 17" o:spid="_x0000_s1050" type="#_x0000_t176" style="position:absolute;left:25523;top:3904;width:11326;height:4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WofcMA&#10;AADbAAAADwAAAGRycy9kb3ducmV2LnhtbESPzW7CMBCE70i8g7VIvYEDKlAFDEL0R+UI9MJtFW9i&#10;t/E6jV0Ib18jIXEczcw3muW6c7U4UxusZwXjUQaCuPDacqXg6/g+fAERIrLG2jMpuFKA9arfW2Ku&#10;/YX3dD7ESiQIhxwVmBibXMpQGHIYRr4hTl7pW4cxybaSusVLgrtaTrJsJh1aTgsGG9oaKn4Of05B&#10;WZqZpXo6f/7+eDue5NXufl+3Sj0Nus0CRKQuPsL39qdWMJnC7Uv6AXL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IWofcMAAADbAAAADwAAAAAAAAAAAAAAAACYAgAAZHJzL2Rv&#10;d25yZXYueG1sUEsFBgAAAAAEAAQA9QAAAIgDAAAAAA==&#10;" filled="f">
                  <v:textbox>
                    <w:txbxContent>
                      <w:p w:rsidR="00194B83" w:rsidRPr="00FD6999" w:rsidRDefault="00194B83" w:rsidP="0023565D">
                        <w:pPr>
                          <w:jc w:val="center"/>
                          <w:rPr>
                            <w:sz w:val="18"/>
                            <w:szCs w:val="18"/>
                          </w:rPr>
                        </w:pPr>
                        <w:r>
                          <w:rPr>
                            <w:sz w:val="18"/>
                            <w:szCs w:val="18"/>
                          </w:rPr>
                          <w:t>Government of Tanzania</w:t>
                        </w:r>
                      </w:p>
                    </w:txbxContent>
                  </v:textbox>
                </v:shape>
                <v:shape id="AutoShape 18" o:spid="_x0000_s1051" type="#_x0000_t176" style="position:absolute;left:52764;top:12324;width:10930;height:77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c2CsQA&#10;AADbAAAADwAAAGRycy9kb3ducmV2LnhtbESPS2/CMBCE75X4D9YicQOniIYqxaCKPgRHHpfeVvEm&#10;dhuv09iF8O8xElKPo5n5RrNY9a4RJ+qC9azgcZKBIC69tlwrOB4+xs8gQkTW2HgmBRcKsFoOHhZY&#10;aH/mHZ32sRYJwqFABSbGtpAylIYcholviZNX+c5hTLKrpe7wnOCukdMsy6VDy2nBYEtrQ+XP/s8p&#10;qCqTW2qe5rPvz/fDl7zY7e/bWqnRsH99ARGpj//he3ujFUxzuH1JP0Au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XNgrEAAAA2wAAAA8AAAAAAAAAAAAAAAAAmAIAAGRycy9k&#10;b3ducmV2LnhtbFBLBQYAAAAABAAEAPUAAACJAwAAAAA=&#10;" filled="f">
                  <v:textbox>
                    <w:txbxContent>
                      <w:p w:rsidR="00194B83" w:rsidRPr="0087627F" w:rsidRDefault="00194B83" w:rsidP="0023565D">
                        <w:pPr>
                          <w:jc w:val="center"/>
                          <w:rPr>
                            <w:sz w:val="18"/>
                            <w:szCs w:val="18"/>
                          </w:rPr>
                        </w:pPr>
                        <w:r w:rsidRPr="0087627F">
                          <w:rPr>
                            <w:sz w:val="18"/>
                            <w:szCs w:val="18"/>
                          </w:rPr>
                          <w:t>Ministry of Education and Vocational Training</w:t>
                        </w:r>
                      </w:p>
                    </w:txbxContent>
                  </v:textbox>
                </v:shape>
                <v:shape id="AutoShape 19" o:spid="_x0000_s1052" type="#_x0000_t176" style="position:absolute;left:38368;top:12761;width:10872;height:5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uTkcMA&#10;AADbAAAADwAAAGRycy9kb3ducmV2LnhtbESPQWsCMRSE74L/ITyhN80qrZbVKKJt0WO1F2+PzdtN&#10;2s3Lukl1/feNIPQ4zMw3zGLVuVpcqA3Ws4LxKANBXHhtuVLwdXwfvoIIEVlj7ZkU3CjAatnvLTDX&#10;/sqfdDnESiQIhxwVmBibXMpQGHIYRr4hTl7pW4cxybaSusVrgrtaTrJsKh1aTgsGG9oYKn4Ov05B&#10;WZqppfpl9vz98XY8yZvdn7cbpZ4G3XoOIlIX/8OP9k4rmMzg/iX9AL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xuTkcMAAADbAAAADwAAAAAAAAAAAAAAAACYAgAAZHJzL2Rv&#10;d25yZXYueG1sUEsFBgAAAAAEAAQA9QAAAIgDAAAAAA==&#10;" filled="f">
                  <v:textbox>
                    <w:txbxContent>
                      <w:p w:rsidR="00194B83" w:rsidRPr="0087627F" w:rsidRDefault="00194B83" w:rsidP="0023565D">
                        <w:pPr>
                          <w:jc w:val="center"/>
                          <w:rPr>
                            <w:szCs w:val="24"/>
                          </w:rPr>
                        </w:pPr>
                        <w:r w:rsidRPr="0087627F">
                          <w:rPr>
                            <w:szCs w:val="24"/>
                          </w:rPr>
                          <w:t xml:space="preserve">Ministry of Finance </w:t>
                        </w:r>
                      </w:p>
                    </w:txbxContent>
                  </v:textbox>
                </v:shape>
                <v:shape id="AutoShape 21" o:spid="_x0000_s1053" type="#_x0000_t176" style="position:absolute;left:3235;top:12753;width:12094;height:42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QH48AA&#10;AADbAAAADwAAAGRycy9kb3ducmV2LnhtbERPu27CMBTdkfoP1q3EVpwiHlXAoIoCakegC9tVfBMb&#10;4us0NhD+Hg+VGI/Oe77sXC2u1AbrWcH7IANBXHhtuVLwe9i8fYAIEVlj7ZkU3CnAcvHSm2Ou/Y13&#10;dN3HSqQQDjkqMDE2uZShMOQwDHxDnLjStw5jgm0ldYu3FO5qOcyyiXRoOTUYbGhlqDjvL05BWZqJ&#10;pXo8HZ2268NR3u3P39dKqf5r9zkDEamLT/G/+1srGKax6Uv6AXL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oQH48AAAADbAAAADwAAAAAAAAAAAAAAAACYAgAAZHJzL2Rvd25y&#10;ZXYueG1sUEsFBgAAAAAEAAQA9QAAAIUDAAAAAA==&#10;" filled="f">
                  <v:textbox>
                    <w:txbxContent>
                      <w:p w:rsidR="00194B83" w:rsidRPr="002343C4" w:rsidRDefault="00194B83" w:rsidP="0023565D">
                        <w:pPr>
                          <w:jc w:val="center"/>
                          <w:rPr>
                            <w:szCs w:val="24"/>
                          </w:rPr>
                        </w:pPr>
                        <w:r w:rsidRPr="002343C4">
                          <w:rPr>
                            <w:szCs w:val="24"/>
                          </w:rPr>
                          <w:t>MOHSW</w:t>
                        </w:r>
                      </w:p>
                    </w:txbxContent>
                  </v:textbox>
                </v:shape>
                <v:shape id="AutoShape 14" o:spid="_x0000_s1054" type="#_x0000_t176" style="position:absolute;left:26952;top:30096;width:9897;height:60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iieMQA&#10;AADbAAAADwAAAGRycy9kb3ducmV2LnhtbESPS2/CMBCE75X4D9YicSsOiPIIGIToQ+2xwIXbKt7E&#10;hnidxi6Ef19XqtTjaGa+0aw2navFldpgPSsYDTMQxIXXlisFx8Pr4xxEiMgaa8+k4E4BNuvewwpz&#10;7W/8Sdd9rESCcMhRgYmxyaUMhSGHYegb4uSVvnUYk2wrqVu8Jbir5TjLptKh5bRgsKGdoeKy/3YK&#10;ytJMLdVPs8n57eVwknf78fW8U2rQ77ZLEJG6+B/+a79rBeMF/H5JP0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3IonjEAAAA2wAAAA8AAAAAAAAAAAAAAAAAmAIAAGRycy9k&#10;b3ducmV2LnhtbFBLBQYAAAAABAAEAPUAAACJAwAAAAA=&#10;" filled="f">
                  <v:textbox>
                    <w:txbxContent>
                      <w:p w:rsidR="00194B83" w:rsidRPr="0028485C" w:rsidRDefault="00194B83" w:rsidP="0023565D">
                        <w:pPr>
                          <w:jc w:val="center"/>
                          <w:rPr>
                            <w:sz w:val="16"/>
                            <w:szCs w:val="16"/>
                          </w:rPr>
                        </w:pPr>
                        <w:r>
                          <w:rPr>
                            <w:sz w:val="16"/>
                            <w:szCs w:val="16"/>
                          </w:rPr>
                          <w:t>Local Government Authorities</w:t>
                        </w:r>
                      </w:p>
                    </w:txbxContent>
                  </v:textbox>
                </v:shape>
                <v:shape id="AutoShape 20" o:spid="_x0000_s1055" type="#_x0000_t176" style="position:absolute;left:25523;top:12753;width:10385;height:56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udOMEA&#10;AADbAAAADwAAAGRycy9kb3ducmV2LnhtbERPPW/CMBDdkfgP1iF1A6eUhipgEKKlascCS7dTfIlN&#10;43MauxD+fT0gMT697+W6d404UxesZwWPkwwEcem15VrB8bAbv4AIEVlj45kUXCnAejUcLLHQ/sJf&#10;dN7HWqQQDgUqMDG2hZShNOQwTHxLnLjKdw5jgl0tdYeXFO4aOc2yXDq0nBoMtrQ1VP7s/5yCqjK5&#10;peZ5Pju9vx2+5dV+/r5ulXoY9ZsFiEh9vItv7g+t4CmtT1/SD5C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rnTjBAAAA2wAAAA8AAAAAAAAAAAAAAAAAmAIAAGRycy9kb3du&#10;cmV2LnhtbFBLBQYAAAAABAAEAPUAAACGAwAAAAA=&#10;" filled="f">
                  <v:textbox>
                    <w:txbxContent>
                      <w:p w:rsidR="00194B83" w:rsidRPr="002343C4" w:rsidRDefault="00194B83" w:rsidP="0023565D">
                        <w:pPr>
                          <w:jc w:val="center"/>
                          <w:rPr>
                            <w:szCs w:val="24"/>
                          </w:rPr>
                        </w:pPr>
                        <w:r w:rsidRPr="002343C4">
                          <w:rPr>
                            <w:szCs w:val="24"/>
                          </w:rPr>
                          <w:t>PMO-RALG</w:t>
                        </w:r>
                      </w:p>
                    </w:txbxContent>
                  </v:textbox>
                </v:shape>
                <v:shape id="AutoShape 5" o:spid="_x0000_s1056" type="#_x0000_t176" style="position:absolute;left:38368;top:22386;width:10872;height:45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c4o8QA&#10;AADbAAAADwAAAGRycy9kb3ducmV2LnhtbESPwW7CMBBE70j9B2sr9QYOtKUoYBCCFsGx0Etvq3gT&#10;u43XIXYh/D1GqsRxNDNvNLNF52pxojZYzwqGgwwEceG15UrB1+GjPwERIrLG2jMpuFCAxfyhN8Nc&#10;+zN/0mkfK5EgHHJUYGJscilDYchhGPiGOHmlbx3GJNtK6hbPCe5qOcqysXRoOS0YbGhlqPjd/zkF&#10;ZWnGlurXt5efzfvhW17s7rheKfX02C2nICJ18R7+b2+1guch3L6kHyD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nOKPEAAAA2wAAAA8AAAAAAAAAAAAAAAAAmAIAAGRycy9k&#10;b3ducmV2LnhtbFBLBQYAAAAABAAEAPUAAACJAwAAAAA=&#10;" filled="f">
                  <v:textbox>
                    <w:txbxContent>
                      <w:p w:rsidR="00194B83" w:rsidRPr="0028485C" w:rsidRDefault="00194B83" w:rsidP="0023565D">
                        <w:pPr>
                          <w:jc w:val="center"/>
                          <w:rPr>
                            <w:sz w:val="16"/>
                            <w:szCs w:val="16"/>
                          </w:rPr>
                        </w:pPr>
                        <w:r>
                          <w:rPr>
                            <w:sz w:val="16"/>
                            <w:szCs w:val="16"/>
                          </w:rPr>
                          <w:t>Government and Holding Accounts</w:t>
                        </w:r>
                      </w:p>
                    </w:txbxContent>
                  </v:textbox>
                </v:shape>
                <v:shape id="AutoShape 4" o:spid="_x0000_s1057" type="#_x0000_t176" style="position:absolute;left:52764;top:22369;width:10930;height:45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Wm1MQA&#10;AADbAAAADwAAAGRycy9kb3ducmV2LnhtbESPS2/CMBCE75X4D9YicSsO0AIKGIToQ+2Rx4XbKt7E&#10;hnidxi6Ef19XqtTjaGa+0SzXnavFldpgPSsYDTMQxIXXlisFx8Pb4xxEiMgaa8+k4E4B1qvewxJz&#10;7W+8o+s+ViJBOOSowMTY5FKGwpDDMPQNcfJK3zqMSbaV1C3eEtzVcpxlU+nQclow2NDWUHHZfzsF&#10;ZWmmlurn2dP5/fVwknf7+fWyVWrQ7zYLEJG6+B/+a39oBZMx/H5JP0C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1ptTEAAAA2wAAAA8AAAAAAAAAAAAAAAAAmAIAAGRycy9k&#10;b3ducmV2LnhtbFBLBQYAAAAABAAEAPUAAACJAwAAAAA=&#10;" filled="f">
                  <v:textbox>
                    <w:txbxContent>
                      <w:p w:rsidR="00194B83" w:rsidRPr="0028485C" w:rsidRDefault="00194B83" w:rsidP="0023565D">
                        <w:pPr>
                          <w:jc w:val="center"/>
                          <w:rPr>
                            <w:sz w:val="16"/>
                            <w:szCs w:val="16"/>
                          </w:rPr>
                        </w:pPr>
                        <w:r>
                          <w:rPr>
                            <w:sz w:val="16"/>
                            <w:szCs w:val="16"/>
                          </w:rPr>
                          <w:t>Universities and Colleges</w:t>
                        </w:r>
                      </w:p>
                    </w:txbxContent>
                  </v:textbox>
                </v:shape>
                <v:shape id="AutoShape 36" o:spid="_x0000_s1058" type="#_x0000_t32" style="position:absolute;left:58229;top:20116;width:0;height:225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StR08IAAADbAAAADwAAAGRycy9kb3ducmV2LnhtbESP3WoCMRSE7wu+QzhC72rWbimymhUR&#10;RCmU4ip4e9ic/cHkZNmkGt++KRR6OczMN8xqHa0RNxp971jBfJaBIK6d7rlVcD7tXhYgfEDWaByT&#10;ggd5WJeTpxUW2t35SLcqtCJB2BeooAthKKT0dUcW/cwNxMlr3GgxJDm2Uo94T3Br5GuWvUuLPaeF&#10;DgfadlRfq2+r4Cvfm7eI2sTq0izwcfz8kFYr9TyNmyWIQDH8h//aB60gz+H3S/oBsv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StR08IAAADbAAAADwAAAAAAAAAAAAAA&#10;AAChAgAAZHJzL2Rvd25yZXYueG1sUEsFBgAAAAAEAAQA+QAAAJADAAAAAA==&#10;" strokeweight="2pt"/>
                <v:shape id="AutoShape 37" o:spid="_x0000_s1059" type="#_x0000_t32" style="position:absolute;left:43800;top:18399;width:8;height:398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g27sQAAADbAAAADwAAAGRycy9kb3ducmV2LnhtbESPQWvCQBSE74L/YXmCN91YQ21jVpGC&#10;WApVtCVeH9lnEsy+Ddk1pv++Wyh4HGbmGyZd96YWHbWusqxgNo1AEOdWV1wo+P7aTl5AOI+ssbZM&#10;Cn7IwXo1HKSYaHvnI3UnX4gAYZeggtL7JpHS5SUZdFPbEAfvYluDPsi2kLrFe4CbWj5F0bM0WHFY&#10;KLGht5Ly6+lmFHSHbL/YNt3u4IssPn7Er2c0n0qNR/1mCcJT7x/h//a7VjCP4e9L+AFy9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DbuxAAAANsAAAAPAAAAAAAAAAAA&#10;AAAAAKECAABkcnMvZG93bnJldi54bWxQSwUGAAAAAAQABAD5AAAAkgMAAAAA&#10;" strokeweight="2pt"/>
                <v:shape id="AutoShape 38" o:spid="_x0000_s1060" type="#_x0000_t32" style="position:absolute;left:31191;top:8191;width:6;height:457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7STdcUAAADbAAAADwAAAGRycy9kb3ducmV2LnhtbESP3WrCQBSE7wXfYTlC73TT1p+aukop&#10;iFJog6mkt4fsaRKaPRuya4xv3xUEL4eZ+YZZbXpTi45aV1lW8DiJQBDnVldcKDh+b8cvIJxH1lhb&#10;JgUXcrBZDwcrjLU984G61BciQNjFqKD0vomldHlJBt3ENsTB+7WtQR9kW0jd4jnATS2fomguDVYc&#10;Fkps6L2k/C89GQVdkn0ttk23S3yRTQ8f0+UPmk+lHkb92ysIT72/h2/tvVbwPIPrl/AD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7STdcUAAADbAAAADwAAAAAAAAAA&#10;AAAAAAChAgAAZHJzL2Rvd25yZXYueG1sUEsFBgAAAAAEAAQA+QAAAJMDAAAAAA==&#10;" strokeweight="2pt"/>
                <v:shape id="AutoShape 39" o:spid="_x0000_s1061" type="#_x0000_t32" style="position:absolute;left:31195;top:18399;width:8;height:1180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2YNAsUAAADbAAAADwAAAGRycy9kb3ducmV2LnhtbESPS2vDMBCE74X8B7GB3mo5jcnDiRJK&#10;ILQU2pAHznWxNraJtTKWarv/vioUehxm5htmvR1MLTpqXWVZwSSKQRDnVldcKLic908LEM4ja6wt&#10;k4JvcrDdjB7WmGrb85G6ky9EgLBLUUHpfZNK6fKSDLrINsTBu9nWoA+yLaRusQ9wU8vnOJ5JgxWH&#10;hRIb2pWU309fRkF3yD7n+6Z7PfgiS47vyfKK5kOpx/HwsgLhafD/4b/2m1YwncHvl/AD5OY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2YNAsUAAADbAAAADwAAAAAAAAAA&#10;AAAAAAChAgAAZHJzL2Rvd25yZXYueG1sUEsFBgAAAAAEAAQA+QAAAJMDAAAAAA==&#10;" strokeweight="2pt"/>
                <w10:anchorlock/>
              </v:group>
            </w:pict>
          </mc:Fallback>
        </mc:AlternateContent>
      </w:r>
    </w:p>
    <w:p w:rsidR="0023565D" w:rsidRPr="0023565D" w:rsidRDefault="0023565D" w:rsidP="002E07C5">
      <w:pPr>
        <w:autoSpaceDE w:val="0"/>
        <w:autoSpaceDN w:val="0"/>
        <w:adjustRightInd w:val="0"/>
        <w:spacing w:line="240" w:lineRule="auto"/>
        <w:rPr>
          <w:rFonts w:eastAsia="Calibri" w:cs="Arial"/>
          <w:szCs w:val="24"/>
        </w:rPr>
      </w:pPr>
    </w:p>
    <w:p w:rsidR="0023565D" w:rsidRPr="0023565D" w:rsidRDefault="00E665CA" w:rsidP="00A62A27">
      <w:r>
        <w:t xml:space="preserve">Under the GOT </w:t>
      </w:r>
      <w:r w:rsidR="0023565D" w:rsidRPr="0023565D">
        <w:t>policy of devolution</w:t>
      </w:r>
      <w:r>
        <w:t xml:space="preserve">, </w:t>
      </w:r>
      <w:r w:rsidR="0023565D" w:rsidRPr="0023565D">
        <w:t xml:space="preserve">LGAs </w:t>
      </w:r>
      <w:r>
        <w:t xml:space="preserve">are </w:t>
      </w:r>
      <w:r w:rsidR="0023565D" w:rsidRPr="0023565D">
        <w:t xml:space="preserve">responsible for </w:t>
      </w:r>
      <w:r>
        <w:t xml:space="preserve">the operation and management of primary level </w:t>
      </w:r>
      <w:r w:rsidR="0023565D" w:rsidRPr="0023565D">
        <w:t xml:space="preserve">health services, </w:t>
      </w:r>
      <w:r>
        <w:t xml:space="preserve">while </w:t>
      </w:r>
      <w:r w:rsidR="0023565D" w:rsidRPr="0023565D">
        <w:t xml:space="preserve">regions </w:t>
      </w:r>
      <w:r>
        <w:t xml:space="preserve">are </w:t>
      </w:r>
      <w:r w:rsidR="0023565D" w:rsidRPr="0023565D">
        <w:t xml:space="preserve">responsible for </w:t>
      </w:r>
      <w:r w:rsidR="004C52A2">
        <w:t xml:space="preserve">LGA </w:t>
      </w:r>
      <w:r w:rsidR="0023565D" w:rsidRPr="0023565D">
        <w:t>supervision</w:t>
      </w:r>
      <w:r w:rsidR="004C52A2">
        <w:t>, and also management of the regional hospitals</w:t>
      </w:r>
      <w:r w:rsidR="0023565D" w:rsidRPr="0023565D">
        <w:t xml:space="preserve">. The </w:t>
      </w:r>
      <w:proofErr w:type="spellStart"/>
      <w:r w:rsidR="0023565D" w:rsidRPr="0023565D">
        <w:t>MoHSW</w:t>
      </w:r>
      <w:proofErr w:type="spellEnd"/>
      <w:r w:rsidR="0023565D" w:rsidRPr="0023565D">
        <w:t xml:space="preserve"> plays a major </w:t>
      </w:r>
      <w:r w:rsidR="0023565D" w:rsidRPr="0023565D">
        <w:lastRenderedPageBreak/>
        <w:t>role in policy</w:t>
      </w:r>
      <w:r w:rsidR="0023565D" w:rsidRPr="0023565D">
        <w:rPr>
          <w:lang w:val="en-GB"/>
        </w:rPr>
        <w:t xml:space="preserve"> </w:t>
      </w:r>
      <w:r w:rsidR="0023565D" w:rsidRPr="0023565D">
        <w:t>development and articulating the case of health</w:t>
      </w:r>
      <w:r w:rsidR="004C52A2">
        <w:t>,</w:t>
      </w:r>
      <w:r w:rsidR="0023565D" w:rsidRPr="0023565D">
        <w:t xml:space="preserve"> and shares regulatory and accountability functions with other Government MDAs, especially with the Prime Minister’s Office for Regional Administration and Local Government (PMO-RALG).</w:t>
      </w:r>
    </w:p>
    <w:p w:rsidR="0023565D" w:rsidRPr="0023565D" w:rsidRDefault="0023565D" w:rsidP="00A62A27"/>
    <w:p w:rsidR="0023565D" w:rsidRPr="0023565D" w:rsidRDefault="0023565D" w:rsidP="00A62A27">
      <w:r w:rsidRPr="0023565D">
        <w:t xml:space="preserve">At the local level, the MOHSW maintains technical relations with the Regional Health Management Team (RHMT) and the Council Health Management Team (CHMT).  </w:t>
      </w:r>
    </w:p>
    <w:p w:rsidR="0023565D" w:rsidRPr="0023565D" w:rsidRDefault="0023565D" w:rsidP="00A62A27"/>
    <w:p w:rsidR="0023565D" w:rsidRPr="0023565D" w:rsidRDefault="004C52A2" w:rsidP="00A62A27">
      <w:r>
        <w:t>A</w:t>
      </w:r>
      <w:r w:rsidR="0023565D" w:rsidRPr="0023565D">
        <w:t>ll Councils produce a</w:t>
      </w:r>
      <w:r>
        <w:t xml:space="preserve">n annual </w:t>
      </w:r>
      <w:r w:rsidR="0023565D" w:rsidRPr="0023565D">
        <w:t xml:space="preserve">Comprehensive Council Health Plan (CCHP), which incorporates all activities </w:t>
      </w:r>
      <w:r>
        <w:t xml:space="preserve">related to </w:t>
      </w:r>
      <w:r w:rsidR="0023565D" w:rsidRPr="0023565D">
        <w:t xml:space="preserve">District Health Services, and all sources of funding at the council level (government funds, locally generated funds, local donor funds, etc.). </w:t>
      </w:r>
    </w:p>
    <w:p w:rsidR="0023565D" w:rsidRPr="0023565D" w:rsidRDefault="0023565D" w:rsidP="002E07C5">
      <w:pPr>
        <w:autoSpaceDE w:val="0"/>
        <w:autoSpaceDN w:val="0"/>
        <w:adjustRightInd w:val="0"/>
        <w:spacing w:line="240" w:lineRule="auto"/>
        <w:rPr>
          <w:rFonts w:eastAsia="Calibri" w:cs="Arial"/>
          <w:szCs w:val="24"/>
        </w:rPr>
      </w:pPr>
    </w:p>
    <w:p w:rsidR="0023565D" w:rsidRPr="0023565D" w:rsidRDefault="0023565D" w:rsidP="004C52A2">
      <w:r w:rsidRPr="0023565D">
        <w:t>Important in the governance structure of the health sector in Tanzania is the use of a Sector Wide Approach (SWAp)</w:t>
      </w:r>
      <w:r w:rsidR="00C006D8">
        <w:t xml:space="preserve"> since </w:t>
      </w:r>
      <w:r w:rsidR="004C52A2">
        <w:t xml:space="preserve">the mid-late 1990s. </w:t>
      </w:r>
      <w:r w:rsidRPr="0023565D">
        <w:t>The SWAp provides the framework of collaboration among stakeholders</w:t>
      </w:r>
      <w:r w:rsidR="004C52A2">
        <w:t xml:space="preserve"> including </w:t>
      </w:r>
      <w:r w:rsidRPr="0023565D">
        <w:t>MOHSW, PMO-RALG, Ministry of Finance (</w:t>
      </w:r>
      <w:proofErr w:type="spellStart"/>
      <w:r w:rsidRPr="0023565D">
        <w:t>MoF</w:t>
      </w:r>
      <w:proofErr w:type="spellEnd"/>
      <w:r w:rsidRPr="0023565D">
        <w:t xml:space="preserve">), civil society, private sector and Development Partners (DPs) including United Nations (UN) agencies active in Health. It </w:t>
      </w:r>
      <w:r w:rsidR="00C006D8">
        <w:t xml:space="preserve">aims to </w:t>
      </w:r>
      <w:r w:rsidRPr="0023565D">
        <w:t>coordinat</w:t>
      </w:r>
      <w:r w:rsidR="00C006D8">
        <w:t>e</w:t>
      </w:r>
      <w:r w:rsidRPr="0023565D">
        <w:t xml:space="preserve"> financing, planning, and monitoring mechanisms. </w:t>
      </w:r>
    </w:p>
    <w:p w:rsidR="0023565D" w:rsidRPr="0023565D" w:rsidRDefault="0023565D" w:rsidP="004C52A2"/>
    <w:p w:rsidR="0023565D" w:rsidRDefault="0023565D" w:rsidP="004C52A2">
      <w:r w:rsidRPr="0023565D">
        <w:t xml:space="preserve">Other key stakeholders in the health governance structure include the Tanzania Insurance Regulatory Authority (TIRA) and the Social Security Regulatory Authority (SSRA) which deals with the specifics of health insurance </w:t>
      </w:r>
      <w:r w:rsidR="00C006D8">
        <w:t xml:space="preserve">regulation. </w:t>
      </w:r>
    </w:p>
    <w:p w:rsidR="00656F50" w:rsidRDefault="00656F50" w:rsidP="004C52A2">
      <w:pPr>
        <w:rPr>
          <w:lang w:val="en-GB"/>
        </w:rPr>
      </w:pPr>
    </w:p>
    <w:p w:rsidR="00E20319" w:rsidRDefault="003926A3" w:rsidP="004C52A2">
      <w:pPr>
        <w:rPr>
          <w:lang w:val="en-GB"/>
        </w:rPr>
      </w:pPr>
      <w:r>
        <w:rPr>
          <w:lang w:val="en-GB"/>
        </w:rPr>
        <w:t>NHIF was tasked in 2009 b</w:t>
      </w:r>
      <w:r w:rsidR="00E20319" w:rsidRPr="006878E5">
        <w:rPr>
          <w:lang w:val="en-GB"/>
        </w:rPr>
        <w:t>y M</w:t>
      </w:r>
      <w:r w:rsidR="004C52A2">
        <w:rPr>
          <w:lang w:val="en-GB"/>
        </w:rPr>
        <w:t>emorandum of Understanding (MO</w:t>
      </w:r>
      <w:r w:rsidR="00E20319" w:rsidRPr="006878E5">
        <w:rPr>
          <w:lang w:val="en-GB"/>
        </w:rPr>
        <w:t>U</w:t>
      </w:r>
      <w:r w:rsidR="004C52A2">
        <w:rPr>
          <w:lang w:val="en-GB"/>
        </w:rPr>
        <w:t>)</w:t>
      </w:r>
      <w:r w:rsidR="00E20319" w:rsidRPr="006878E5">
        <w:rPr>
          <w:lang w:val="en-GB"/>
        </w:rPr>
        <w:t xml:space="preserve">, </w:t>
      </w:r>
      <w:r>
        <w:rPr>
          <w:lang w:val="en-GB"/>
        </w:rPr>
        <w:t xml:space="preserve">to administratively manage CHF. </w:t>
      </w:r>
      <w:r w:rsidR="00E20319" w:rsidRPr="006878E5">
        <w:rPr>
          <w:lang w:val="en-GB"/>
        </w:rPr>
        <w:t xml:space="preserve"> </w:t>
      </w:r>
      <w:r>
        <w:rPr>
          <w:lang w:val="en-GB"/>
        </w:rPr>
        <w:t xml:space="preserve">However, its </w:t>
      </w:r>
      <w:r w:rsidRPr="006878E5">
        <w:rPr>
          <w:lang w:val="en-GB"/>
        </w:rPr>
        <w:t>core</w:t>
      </w:r>
      <w:r w:rsidR="00E20319" w:rsidRPr="006878E5">
        <w:rPr>
          <w:lang w:val="en-GB"/>
        </w:rPr>
        <w:t xml:space="preserve"> business focuses on its public health insurance administration</w:t>
      </w:r>
      <w:r>
        <w:rPr>
          <w:lang w:val="en-GB"/>
        </w:rPr>
        <w:t xml:space="preserve">. </w:t>
      </w:r>
      <w:r w:rsidR="00E20319" w:rsidRPr="006878E5">
        <w:rPr>
          <w:lang w:val="en-GB"/>
        </w:rPr>
        <w:t xml:space="preserve"> </w:t>
      </w:r>
    </w:p>
    <w:p w:rsidR="00656F50" w:rsidRPr="0023565D" w:rsidRDefault="00656F50" w:rsidP="002E07C5">
      <w:pPr>
        <w:autoSpaceDE w:val="0"/>
        <w:autoSpaceDN w:val="0"/>
        <w:adjustRightInd w:val="0"/>
        <w:spacing w:line="240" w:lineRule="auto"/>
        <w:ind w:left="284"/>
        <w:rPr>
          <w:rFonts w:eastAsia="Calibri" w:cs="Arial"/>
          <w:szCs w:val="24"/>
        </w:rPr>
      </w:pPr>
    </w:p>
    <w:p w:rsidR="006878E5" w:rsidRPr="003926A3" w:rsidRDefault="0023565D" w:rsidP="006878E5">
      <w:pPr>
        <w:rPr>
          <w:rFonts w:eastAsia="Calibri" w:cs="Arial"/>
          <w:b/>
          <w:szCs w:val="24"/>
          <w:lang w:val="en-GB"/>
        </w:rPr>
      </w:pPr>
      <w:r w:rsidRPr="003926A3">
        <w:rPr>
          <w:rFonts w:eastAsia="Calibri" w:cs="Arial"/>
          <w:b/>
          <w:szCs w:val="24"/>
          <w:lang w:val="en-GB"/>
        </w:rPr>
        <w:t>Challenges</w:t>
      </w:r>
    </w:p>
    <w:p w:rsidR="00E66A06" w:rsidRDefault="006878E5" w:rsidP="002766DA">
      <w:pPr>
        <w:rPr>
          <w:rFonts w:eastAsia="Calibri" w:cs="Arial"/>
          <w:szCs w:val="24"/>
          <w:lang w:val="en-GB"/>
        </w:rPr>
      </w:pPr>
      <w:r w:rsidRPr="006878E5">
        <w:rPr>
          <w:rFonts w:eastAsia="Calibri" w:cs="Arial"/>
          <w:szCs w:val="24"/>
          <w:lang w:val="en-GB"/>
        </w:rPr>
        <w:t xml:space="preserve">The </w:t>
      </w:r>
      <w:r w:rsidR="00EC1BCF">
        <w:rPr>
          <w:rFonts w:eastAsia="Calibri" w:cs="Arial"/>
          <w:szCs w:val="24"/>
          <w:lang w:val="en-GB"/>
        </w:rPr>
        <w:t xml:space="preserve">reforms necessary to implement the HFS </w:t>
      </w:r>
      <w:r w:rsidRPr="006878E5">
        <w:rPr>
          <w:rFonts w:eastAsia="Calibri" w:cs="Arial"/>
          <w:szCs w:val="24"/>
          <w:lang w:val="en-GB"/>
        </w:rPr>
        <w:t xml:space="preserve">will pose serious challenges to the existing governance structures. In the area of insurance regulation, for example, SSRA and TIRA will be challenged with the regulation of a </w:t>
      </w:r>
      <w:r w:rsidR="00C006D8" w:rsidRPr="006878E5">
        <w:rPr>
          <w:rFonts w:eastAsia="Calibri" w:cs="Arial"/>
          <w:szCs w:val="24"/>
          <w:lang w:val="en-GB"/>
        </w:rPr>
        <w:t xml:space="preserve">full-blown </w:t>
      </w:r>
      <w:r w:rsidRPr="006878E5">
        <w:rPr>
          <w:rFonts w:eastAsia="Calibri" w:cs="Arial"/>
          <w:szCs w:val="24"/>
          <w:lang w:val="en-GB"/>
        </w:rPr>
        <w:t>insurance</w:t>
      </w:r>
      <w:r w:rsidR="00C006D8" w:rsidRPr="006878E5">
        <w:rPr>
          <w:rFonts w:eastAsia="Calibri" w:cs="Arial"/>
          <w:szCs w:val="24"/>
          <w:lang w:val="en-GB"/>
        </w:rPr>
        <w:t xml:space="preserve"> covering the entire population (</w:t>
      </w:r>
      <w:r w:rsidR="00960DFE">
        <w:rPr>
          <w:rFonts w:eastAsia="Calibri" w:cs="Arial"/>
          <w:szCs w:val="24"/>
          <w:lang w:val="en-GB"/>
        </w:rPr>
        <w:t>Mtei and Bultman 2013)</w:t>
      </w:r>
      <w:r>
        <w:rPr>
          <w:rFonts w:eastAsia="Calibri" w:cs="Arial"/>
          <w:szCs w:val="24"/>
          <w:lang w:val="en-GB"/>
        </w:rPr>
        <w:t xml:space="preserve">. </w:t>
      </w:r>
      <w:r w:rsidR="00490DC8">
        <w:rPr>
          <w:rFonts w:eastAsia="Calibri" w:cs="Arial"/>
          <w:szCs w:val="24"/>
          <w:lang w:val="en-GB"/>
        </w:rPr>
        <w:t xml:space="preserve">With regards to the devolution of functions, </w:t>
      </w:r>
      <w:commentRangeStart w:id="9"/>
      <w:r w:rsidR="00490DC8">
        <w:rPr>
          <w:rFonts w:eastAsia="Calibri" w:cs="Arial"/>
          <w:szCs w:val="24"/>
          <w:lang w:val="en-GB"/>
        </w:rPr>
        <w:t>there is currently a strong r</w:t>
      </w:r>
      <w:r w:rsidR="0023565D" w:rsidRPr="0023565D">
        <w:rPr>
          <w:rFonts w:eastAsia="Calibri" w:cs="Arial"/>
          <w:szCs w:val="24"/>
          <w:lang w:val="en-GB"/>
        </w:rPr>
        <w:t>esistance to shifting spending powers to health facilities</w:t>
      </w:r>
      <w:commentRangeEnd w:id="9"/>
      <w:r w:rsidR="007A3E3D">
        <w:rPr>
          <w:rStyle w:val="CommentReference"/>
        </w:rPr>
        <w:commentReference w:id="9"/>
      </w:r>
      <w:r w:rsidR="0023565D" w:rsidRPr="0023565D">
        <w:rPr>
          <w:rFonts w:eastAsia="Calibri" w:cs="Arial"/>
          <w:szCs w:val="24"/>
          <w:lang w:val="en-GB"/>
        </w:rPr>
        <w:t xml:space="preserve"> to improve service delivery by speeding up Decentralization by Devolution (D</w:t>
      </w:r>
      <w:r w:rsidR="00960DFE">
        <w:rPr>
          <w:rFonts w:eastAsia="Calibri" w:cs="Arial"/>
          <w:szCs w:val="24"/>
          <w:lang w:val="en-GB"/>
        </w:rPr>
        <w:t>-</w:t>
      </w:r>
      <w:r w:rsidR="0023565D" w:rsidRPr="0023565D">
        <w:rPr>
          <w:rFonts w:eastAsia="Calibri" w:cs="Arial"/>
          <w:szCs w:val="24"/>
          <w:lang w:val="en-GB"/>
        </w:rPr>
        <w:t>by</w:t>
      </w:r>
      <w:r w:rsidR="00960DFE">
        <w:rPr>
          <w:rFonts w:eastAsia="Calibri" w:cs="Arial"/>
          <w:szCs w:val="24"/>
          <w:lang w:val="en-GB"/>
        </w:rPr>
        <w:t>-</w:t>
      </w:r>
      <w:r w:rsidR="0023565D" w:rsidRPr="0023565D">
        <w:rPr>
          <w:rFonts w:eastAsia="Calibri" w:cs="Arial"/>
          <w:szCs w:val="24"/>
          <w:lang w:val="en-GB"/>
        </w:rPr>
        <w:t>D) to local levels.</w:t>
      </w:r>
      <w:r>
        <w:rPr>
          <w:rFonts w:eastAsia="Calibri" w:cs="Arial"/>
          <w:szCs w:val="24"/>
          <w:lang w:val="en-GB"/>
        </w:rPr>
        <w:t xml:space="preserve"> </w:t>
      </w:r>
    </w:p>
    <w:p w:rsidR="002766DA" w:rsidRPr="002766DA" w:rsidRDefault="002766DA" w:rsidP="002766DA">
      <w:pPr>
        <w:rPr>
          <w:rFonts w:cs="Arial"/>
          <w:szCs w:val="24"/>
          <w:lang w:val="en-GB"/>
        </w:rPr>
      </w:pPr>
    </w:p>
    <w:p w:rsidR="0033102B" w:rsidRPr="00EB4F0C" w:rsidRDefault="00C9337F" w:rsidP="002C3E91">
      <w:pPr>
        <w:pStyle w:val="Heading1"/>
      </w:pPr>
      <w:bookmarkStart w:id="10" w:name="_Toc406497964"/>
      <w:r w:rsidRPr="00EB4F0C">
        <w:lastRenderedPageBreak/>
        <w:t>Health Financing System Overview</w:t>
      </w:r>
      <w:r w:rsidR="00EE64AA" w:rsidRPr="00EB4F0C">
        <w:t xml:space="preserve"> and Challenges</w:t>
      </w:r>
      <w:bookmarkEnd w:id="10"/>
      <w:r w:rsidR="00476E03" w:rsidRPr="00EB4F0C">
        <w:t xml:space="preserve"> </w:t>
      </w:r>
    </w:p>
    <w:p w:rsidR="0023565D" w:rsidRDefault="00556535" w:rsidP="002C3E91">
      <w:pPr>
        <w:pStyle w:val="Heading2"/>
        <w:rPr>
          <w:rFonts w:eastAsiaTheme="minorHAnsi"/>
        </w:rPr>
      </w:pPr>
      <w:bookmarkStart w:id="11" w:name="_Toc406497965"/>
      <w:r>
        <w:rPr>
          <w:rFonts w:eastAsiaTheme="minorHAnsi"/>
        </w:rPr>
        <w:t>Revenue collection</w:t>
      </w:r>
      <w:bookmarkEnd w:id="11"/>
    </w:p>
    <w:p w:rsidR="005607ED" w:rsidRPr="003D2CE4" w:rsidRDefault="0044796F" w:rsidP="003D2CE4">
      <w:pPr>
        <w:pStyle w:val="Heading3"/>
        <w:rPr>
          <w:rFonts w:eastAsiaTheme="minorHAnsi"/>
        </w:rPr>
      </w:pPr>
      <w:bookmarkStart w:id="12" w:name="_Toc406497966"/>
      <w:r w:rsidRPr="003D2CE4">
        <w:rPr>
          <w:rFonts w:eastAsiaTheme="minorHAnsi"/>
        </w:rPr>
        <w:t>Government funding</w:t>
      </w:r>
      <w:bookmarkEnd w:id="12"/>
    </w:p>
    <w:p w:rsidR="003D2CE4" w:rsidRPr="00EB4F0C" w:rsidRDefault="003D2CE4" w:rsidP="003D2CE4">
      <w:pPr>
        <w:rPr>
          <w:b/>
          <w:lang w:val="en-GB" w:eastAsia="zh-CN"/>
        </w:rPr>
      </w:pPr>
      <w:r w:rsidRPr="00EB4F0C">
        <w:rPr>
          <w:lang w:val="en-GB" w:eastAsia="zh-CN"/>
        </w:rPr>
        <w:t xml:space="preserve">The Health </w:t>
      </w:r>
      <w:r>
        <w:rPr>
          <w:lang w:val="en-GB" w:eastAsia="zh-CN"/>
        </w:rPr>
        <w:t xml:space="preserve">sector government funding is comprised of central tax </w:t>
      </w:r>
      <w:proofErr w:type="gramStart"/>
      <w:r>
        <w:rPr>
          <w:lang w:val="en-GB" w:eastAsia="zh-CN"/>
        </w:rPr>
        <w:t xml:space="preserve">revenue </w:t>
      </w:r>
      <w:r w:rsidRPr="00EB4F0C">
        <w:rPr>
          <w:lang w:val="en-GB" w:eastAsia="zh-CN"/>
        </w:rPr>
        <w:t xml:space="preserve"> is</w:t>
      </w:r>
      <w:proofErr w:type="gramEnd"/>
      <w:r w:rsidRPr="00EB4F0C">
        <w:rPr>
          <w:lang w:val="en-GB" w:eastAsia="zh-CN"/>
        </w:rPr>
        <w:t xml:space="preserve"> financed by GOT general </w:t>
      </w:r>
      <w:r>
        <w:rPr>
          <w:lang w:val="en-GB" w:eastAsia="zh-CN"/>
        </w:rPr>
        <w:t xml:space="preserve">tax </w:t>
      </w:r>
      <w:r w:rsidRPr="00EB4F0C">
        <w:rPr>
          <w:lang w:val="en-GB" w:eastAsia="zh-CN"/>
        </w:rPr>
        <w:t>revenue and Development Partners (DPs)</w:t>
      </w:r>
      <w:r>
        <w:rPr>
          <w:lang w:val="en-GB" w:eastAsia="zh-CN"/>
        </w:rPr>
        <w:t xml:space="preserve"> support</w:t>
      </w:r>
      <w:r w:rsidRPr="00EB4F0C">
        <w:rPr>
          <w:lang w:val="en-GB" w:eastAsia="zh-CN"/>
        </w:rPr>
        <w:t>.</w:t>
      </w:r>
      <w:r w:rsidRPr="00EB4F0C">
        <w:rPr>
          <w:vertAlign w:val="superscript"/>
          <w:lang w:eastAsia="zh-CN"/>
        </w:rPr>
        <w:t xml:space="preserve"> </w:t>
      </w:r>
      <w:r w:rsidRPr="00EB4F0C">
        <w:rPr>
          <w:lang w:val="en-GB" w:eastAsia="zh-CN"/>
        </w:rPr>
        <w:t>DP</w:t>
      </w:r>
      <w:r>
        <w:rPr>
          <w:lang w:val="en-GB" w:eastAsia="zh-CN"/>
        </w:rPr>
        <w:t xml:space="preserve">s pool funding both through General Budget Support (GBS), and the </w:t>
      </w:r>
      <w:r w:rsidRPr="00EB4F0C">
        <w:rPr>
          <w:lang w:val="en-GB" w:eastAsia="zh-CN"/>
        </w:rPr>
        <w:t>Health Basket Fund</w:t>
      </w:r>
      <w:r>
        <w:rPr>
          <w:lang w:val="en-GB" w:eastAsia="zh-CN"/>
        </w:rPr>
        <w:t xml:space="preserve"> (HBF), a form of Sector Budget Support. </w:t>
      </w:r>
    </w:p>
    <w:p w:rsidR="003D2CE4" w:rsidRPr="00EB4F0C" w:rsidRDefault="003D2CE4" w:rsidP="003D2CE4">
      <w:pPr>
        <w:spacing w:line="240" w:lineRule="auto"/>
        <w:ind w:left="709"/>
        <w:rPr>
          <w:rFonts w:eastAsia="SimSun" w:cs="Arial"/>
          <w:b/>
          <w:color w:val="000000"/>
          <w:szCs w:val="24"/>
          <w:lang w:val="en-GB" w:eastAsia="zh-CN"/>
        </w:rPr>
      </w:pPr>
    </w:p>
    <w:p w:rsidR="003D2CE4" w:rsidRDefault="003D2CE4" w:rsidP="003D2CE4">
      <w:pPr>
        <w:rPr>
          <w:lang w:eastAsia="zh-CN"/>
        </w:rPr>
      </w:pPr>
      <w:r w:rsidRPr="008E6F5D">
        <w:rPr>
          <w:lang w:eastAsia="zh-CN"/>
        </w:rPr>
        <w:t>The share of public health budget in total government budget, excluding the Consolidated Fund Services (CFS) decreased from 11.6% in FY2009/10 to 10.8% in FY2013/14.  Similarly, the share of actual health spending in total government spending (excluding CFS) declined from 13.1% in 2009/10 to 11.0% in 2012/13, while with CFS included, the share of health spending declined from 9.9% in 2009/10 to 8.7% in 2012/13</w:t>
      </w:r>
      <w:r>
        <w:rPr>
          <w:lang w:eastAsia="zh-CN"/>
        </w:rPr>
        <w:t>.</w:t>
      </w:r>
    </w:p>
    <w:p w:rsidR="003D2CE4" w:rsidRDefault="003D2CE4" w:rsidP="003D2CE4">
      <w:pPr>
        <w:rPr>
          <w:lang w:eastAsia="zh-CN"/>
        </w:rPr>
      </w:pPr>
    </w:p>
    <w:p w:rsidR="003D2CE4" w:rsidRPr="00EB4F0C" w:rsidRDefault="003D2CE4" w:rsidP="003D2CE4">
      <w:pPr>
        <w:rPr>
          <w:lang w:eastAsia="zh-CN"/>
        </w:rPr>
      </w:pPr>
      <w:r w:rsidRPr="00DB7EEB">
        <w:rPr>
          <w:lang w:eastAsia="zh-CN"/>
        </w:rPr>
        <w:t>The nominal health budget and expenditures allocations per capita increased from TZS 22,655 (USD 17.92) in 2009/10 to TZS 31,715 (USD 19.20) in 2012/13. whereby actual per capita has increased from TZS 22,483 (USD 17.79) 2009/10 to TZS 24,409 (USD 15.31) in 2012/13 which is the decrease of 15% in USD terms. Nevertheless, actual per capita health expenditure in real terms decreased from T</w:t>
      </w:r>
      <w:r>
        <w:rPr>
          <w:lang w:eastAsia="zh-CN"/>
        </w:rPr>
        <w:t>ZS 12,060, in 2009/10 to 11,001</w:t>
      </w:r>
      <w:r w:rsidRPr="00DB7EEB">
        <w:rPr>
          <w:lang w:eastAsia="zh-CN"/>
        </w:rPr>
        <w:t xml:space="preserve"> in 2012/13</w:t>
      </w:r>
      <w:r>
        <w:rPr>
          <w:lang w:eastAsia="zh-CN"/>
        </w:rPr>
        <w:t>)</w:t>
      </w:r>
    </w:p>
    <w:p w:rsidR="003D2CE4" w:rsidRPr="00EB4F0C" w:rsidRDefault="003D2CE4" w:rsidP="003D2CE4">
      <w:pPr>
        <w:spacing w:line="240" w:lineRule="auto"/>
        <w:ind w:left="284"/>
        <w:rPr>
          <w:rFonts w:eastAsia="SimSun" w:cs="Arial"/>
          <w:szCs w:val="24"/>
          <w:lang w:eastAsia="zh-CN"/>
        </w:rPr>
      </w:pPr>
    </w:p>
    <w:p w:rsidR="003D2CE4" w:rsidRDefault="003D2CE4" w:rsidP="003D2CE4">
      <w:pPr>
        <w:pStyle w:val="Caption"/>
      </w:pPr>
      <w:r>
        <w:t xml:space="preserve">Figure </w:t>
      </w:r>
      <w:fldSimple w:instr=" SEQ Figure \* ARABIC ">
        <w:r>
          <w:rPr>
            <w:noProof/>
          </w:rPr>
          <w:t>3</w:t>
        </w:r>
      </w:fldSimple>
      <w:r>
        <w:t xml:space="preserve">  Health sector as a share of Total Government Budget </w:t>
      </w:r>
    </w:p>
    <w:p w:rsidR="003D2CE4" w:rsidRPr="00EB4F0C" w:rsidRDefault="003D2CE4" w:rsidP="003D2CE4">
      <w:pPr>
        <w:spacing w:line="240" w:lineRule="auto"/>
        <w:ind w:left="709"/>
        <w:rPr>
          <w:rFonts w:eastAsia="SimSun" w:cs="Arial"/>
          <w:szCs w:val="24"/>
          <w:lang w:val="en-GB" w:eastAsia="zh-CN"/>
        </w:rPr>
      </w:pPr>
      <w:r w:rsidRPr="00EB4F0C">
        <w:rPr>
          <w:rFonts w:eastAsia="SimSun" w:cs="Arial"/>
          <w:noProof/>
          <w:szCs w:val="24"/>
          <w:lang w:val="de-DE" w:eastAsia="de-DE"/>
        </w:rPr>
        <w:drawing>
          <wp:inline distT="0" distB="0" distL="0" distR="0">
            <wp:extent cx="4210050" cy="2105025"/>
            <wp:effectExtent l="0" t="0" r="0" b="952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233560" cy="2116780"/>
                    </a:xfrm>
                    <a:prstGeom prst="rect">
                      <a:avLst/>
                    </a:prstGeom>
                    <a:noFill/>
                    <a:ln>
                      <a:noFill/>
                    </a:ln>
                  </pic:spPr>
                </pic:pic>
              </a:graphicData>
            </a:graphic>
          </wp:inline>
        </w:drawing>
      </w:r>
    </w:p>
    <w:p w:rsidR="003D2CE4" w:rsidRPr="00EB4F0C" w:rsidRDefault="003D2CE4" w:rsidP="003D2CE4">
      <w:pPr>
        <w:spacing w:line="240" w:lineRule="auto"/>
        <w:ind w:left="709"/>
        <w:rPr>
          <w:rFonts w:eastAsia="SimSun" w:cs="Arial"/>
          <w:szCs w:val="24"/>
          <w:lang w:eastAsia="zh-CN"/>
        </w:rPr>
      </w:pPr>
      <w:r w:rsidRPr="00EB4F0C">
        <w:rPr>
          <w:rFonts w:eastAsia="SimSun" w:cs="Arial"/>
          <w:szCs w:val="24"/>
          <w:lang w:val="en-GB" w:eastAsia="zh-CN"/>
        </w:rPr>
        <w:t>Source: MTR Financing Report 2013</w:t>
      </w:r>
    </w:p>
    <w:p w:rsidR="003D2CE4" w:rsidRPr="00EB4F0C" w:rsidRDefault="003D2CE4" w:rsidP="003D2CE4">
      <w:pPr>
        <w:spacing w:line="240" w:lineRule="auto"/>
        <w:ind w:left="709"/>
        <w:rPr>
          <w:rFonts w:eastAsia="SimSun" w:cs="Arial"/>
          <w:szCs w:val="24"/>
          <w:lang w:eastAsia="zh-CN"/>
        </w:rPr>
      </w:pPr>
    </w:p>
    <w:p w:rsidR="003D2CE4" w:rsidRPr="002C3E91" w:rsidRDefault="003D2CE4" w:rsidP="003D2CE4">
      <w:r w:rsidRPr="00EB4F0C">
        <w:rPr>
          <w:rFonts w:eastAsia="SimSun" w:cs="Arial"/>
          <w:szCs w:val="24"/>
          <w:lang w:eastAsia="zh-CN"/>
        </w:rPr>
        <w:t xml:space="preserve">Besides block grants and basket </w:t>
      </w:r>
      <w:r w:rsidRPr="002C3E91">
        <w:t>funds, other significant sources of funds at the LGA</w:t>
      </w:r>
      <w:r>
        <w:t xml:space="preserve"> level were the Global Fund , UNICEF, </w:t>
      </w:r>
      <w:r w:rsidRPr="002C3E91">
        <w:t xml:space="preserve">health insurances (CHF </w:t>
      </w:r>
      <w:r>
        <w:t>and NHIF</w:t>
      </w:r>
      <w:r w:rsidRPr="002C3E91">
        <w:t xml:space="preserve">), in-kind, cost sharing, own sources and the Primary Health Services Development Program (in Swahili, acronym MMAM). </w:t>
      </w:r>
    </w:p>
    <w:p w:rsidR="00556535" w:rsidRPr="00C91E2D" w:rsidRDefault="0049535B" w:rsidP="00C91E2D">
      <w:pPr>
        <w:pStyle w:val="Heading3"/>
        <w:ind w:left="720"/>
        <w:rPr>
          <w:rFonts w:eastAsia="SimSun"/>
          <w:lang w:eastAsia="zh-CN"/>
        </w:rPr>
      </w:pPr>
      <w:bookmarkStart w:id="13" w:name="_Toc406497967"/>
      <w:r w:rsidRPr="00C91E2D">
        <w:rPr>
          <w:rFonts w:eastAsia="SimSun"/>
          <w:lang w:eastAsia="zh-CN"/>
        </w:rPr>
        <w:lastRenderedPageBreak/>
        <w:t>Prepayment schemes</w:t>
      </w:r>
      <w:bookmarkEnd w:id="13"/>
    </w:p>
    <w:p w:rsidR="0049535B" w:rsidRDefault="0049535B" w:rsidP="005607ED">
      <w:r>
        <w:t xml:space="preserve">Health insurance system in Tanzania is organized in a two tier systems, formal and informal sector insurance schemes. The NHIF is the largest formal sector schemes targeting public sector employees. Members mandatorily contribute 6% of their salary equally shared between employees and employers. The scheme was introduced under the NHIF act no. 1 of 1999. The low has recently been amended to allow contribution of premium from individuals and non public sector employees on voluntary basis. The SHIB is another form of formal sector health insurance mainly focusing on private employees, parastatals and NGOs. The SHIB is not a standing alone health insurance scheme but rather part of benefit packages provided by the NSSF. Members of NSSF mandatorily contribute 20% to the NSSF, equally shared between employees and employers. Part of these collections is used to fund health insurance benefits for NSSF members. Private for profit health insurance is a third type of health insurance targeting the formal sector. Contribution to private insurance vary across firms and in most cases it is either community rated in case when private employees negotiate for premium or risk rated incase of individual enrolment. </w:t>
      </w:r>
    </w:p>
    <w:p w:rsidR="0049535B" w:rsidRDefault="0049535B" w:rsidP="005607ED"/>
    <w:p w:rsidR="0044796F" w:rsidRDefault="0044796F" w:rsidP="0049535B">
      <w:pPr>
        <w:rPr>
          <w:lang w:val="en-GB"/>
        </w:rPr>
      </w:pPr>
      <w:r>
        <w:rPr>
          <w:lang w:val="en-GB"/>
        </w:rPr>
        <w:t xml:space="preserve">The Community Health Fund (CHF) is the largest informal sector insurance scheme enacted in 2001 under the CHF act no. 8 after a pilot in </w:t>
      </w:r>
      <w:proofErr w:type="spellStart"/>
      <w:r>
        <w:rPr>
          <w:lang w:val="en-GB"/>
        </w:rPr>
        <w:t>Igunga</w:t>
      </w:r>
      <w:proofErr w:type="spellEnd"/>
      <w:r>
        <w:rPr>
          <w:lang w:val="en-GB"/>
        </w:rPr>
        <w:t xml:space="preserve"> district conducted in 1996. </w:t>
      </w:r>
      <w:r w:rsidR="005505D0">
        <w:rPr>
          <w:lang w:val="en-GB"/>
        </w:rPr>
        <w:t xml:space="preserve">The scheme mainly targets the rural population and </w:t>
      </w:r>
      <w:r>
        <w:rPr>
          <w:lang w:val="en-GB"/>
        </w:rPr>
        <w:t>is managed at the council level. Membership is at household level whereby households voluntarily contribute a flat rate Premium amount as decided by the district authority after consultation with the community members. Currently the level of premium contribution across councils vary from 5000 TZS per household per annum to 15</w:t>
      </w:r>
      <w:proofErr w:type="gramStart"/>
      <w:r>
        <w:rPr>
          <w:lang w:val="en-GB"/>
        </w:rPr>
        <w:t>,0000</w:t>
      </w:r>
      <w:proofErr w:type="gramEnd"/>
      <w:r>
        <w:rPr>
          <w:lang w:val="en-GB"/>
        </w:rPr>
        <w:t xml:space="preserve"> TZS per household per annum. </w:t>
      </w:r>
      <w:r w:rsidR="005505D0" w:rsidRPr="00CD35F8">
        <w:rPr>
          <w:lang w:val="en-GB"/>
        </w:rPr>
        <w:t xml:space="preserve">A counterpart scheme, TIKA was also introduced in 2009 </w:t>
      </w:r>
      <w:r w:rsidR="00F936E6" w:rsidRPr="00CD35F8">
        <w:rPr>
          <w:lang w:val="en-GB"/>
        </w:rPr>
        <w:fldChar w:fldCharType="begin"/>
      </w:r>
      <w:r w:rsidR="005505D0">
        <w:rPr>
          <w:lang w:val="en-GB"/>
        </w:rPr>
        <w:instrText xml:space="preserve"> ADDIN EN.CITE &lt;EndNote&gt;&lt;Cite&gt;&lt;Author&gt;Borghi&lt;/Author&gt;&lt;Year&gt;2012&lt;/Year&gt;&lt;RecNum&gt;639&lt;/RecNum&gt;&lt;record&gt;&lt;rec-number&gt;639&lt;/rec-number&gt;&lt;ref-type name="Journal Article"&gt;17&lt;/ref-type&gt;&lt;contributors&gt;&lt;authors&gt;&lt;author&gt;Borghi, Josephine&lt;/author&gt;&lt;author&gt;Mtei, Gemini&lt;/author&gt;&lt;author&gt;Ally, Mariam&lt;/author&gt;&lt;/authors&gt;&lt;/contributors&gt;&lt;titles&gt;&lt;title&gt;Modelling the implications of moving towards universal coverage in Tanzania&lt;/title&gt;&lt;secondary-title&gt;Health Policy and Planning&lt;/secondary-title&gt;&lt;/titles&gt;&lt;periodical&gt;&lt;full-title&gt;Health Policy and Planning&lt;/full-title&gt;&lt;/periodical&gt;&lt;pages&gt;i88-i100&lt;/pages&gt;&lt;volume&gt;27&lt;/volume&gt;&lt;number&gt;suppl 1&lt;/number&gt;&lt;dates&gt;&lt;year&gt;2012&lt;/year&gt;&lt;pub-dates&gt;&lt;date&gt;March 1, 2012&lt;/date&gt;&lt;/pub-dates&gt;&lt;/dates&gt;&lt;urls&gt;&lt;related-urls&gt;&lt;url&gt;http://heapol.oxfordjournals.org/content/27/suppl_1/i88.abstract&lt;/url&gt;&lt;url&gt;http://heapol.oxfordjournals.org/content/27/suppl_1/i88&lt;/url&gt;&lt;url&gt;http://heapol.oxfordjournals.org/content/27/suppl_1/i88.full.pdf&lt;/url&gt;&lt;/related-urls&gt;&lt;pdf-urls&gt;&lt;url&gt;internal-pdf://Borghi-2012-Modelling the implic-2552596992/Borghi-2012-Modelling the implic.pdf&lt;/url&gt;&lt;/pdf-urls&gt;&lt;/urls&gt;&lt;electronic-resource-num&gt;10.1093/heapol/czs009&lt;/electronic-resource-num&gt;&lt;/record&gt;&lt;/Cite&gt;&lt;/EndNote&gt;</w:instrText>
      </w:r>
      <w:r w:rsidR="00F936E6" w:rsidRPr="00CD35F8">
        <w:rPr>
          <w:lang w:val="en-GB"/>
        </w:rPr>
        <w:fldChar w:fldCharType="separate"/>
      </w:r>
      <w:r w:rsidR="005505D0" w:rsidRPr="00CD35F8">
        <w:rPr>
          <w:lang w:val="en-GB"/>
        </w:rPr>
        <w:t>(Borghi, Mtei et al. 2012)</w:t>
      </w:r>
      <w:r w:rsidR="00F936E6" w:rsidRPr="00CD35F8">
        <w:rPr>
          <w:lang w:val="en-GB"/>
        </w:rPr>
        <w:fldChar w:fldCharType="end"/>
      </w:r>
      <w:r w:rsidR="005505D0" w:rsidRPr="00CD35F8">
        <w:rPr>
          <w:lang w:val="en-GB"/>
        </w:rPr>
        <w:t xml:space="preserve"> for urban informal population with the same objectives as CHF</w:t>
      </w:r>
      <w:r w:rsidR="005505D0">
        <w:rPr>
          <w:lang w:val="en-GB"/>
        </w:rPr>
        <w:t xml:space="preserve"> except that enrolment to TIKA is on individual basis. In addition to CHF there </w:t>
      </w:r>
      <w:proofErr w:type="gramStart"/>
      <w:r w:rsidR="005505D0">
        <w:rPr>
          <w:lang w:val="en-GB"/>
        </w:rPr>
        <w:t>is</w:t>
      </w:r>
      <w:proofErr w:type="gramEnd"/>
      <w:r w:rsidR="005505D0" w:rsidRPr="005505D0">
        <w:rPr>
          <w:lang w:val="en-GB"/>
        </w:rPr>
        <w:t xml:space="preserve"> </w:t>
      </w:r>
      <w:r w:rsidR="005505D0" w:rsidRPr="00CD35F8">
        <w:rPr>
          <w:lang w:val="en-GB"/>
        </w:rPr>
        <w:t xml:space="preserve">a number of other Community Based Health Insurance (CBHI) schemes </w:t>
      </w:r>
      <w:r w:rsidR="005505D0">
        <w:rPr>
          <w:lang w:val="en-GB"/>
        </w:rPr>
        <w:t xml:space="preserve">established to </w:t>
      </w:r>
      <w:r w:rsidR="005505D0" w:rsidRPr="00CD35F8">
        <w:rPr>
          <w:lang w:val="en-GB"/>
        </w:rPr>
        <w:t xml:space="preserve">cater for health care costs across different groups in the informal sector. The commonly known schemes include VIBINDO which brings together workers in small scale industries and petty business and UMASITA which covers wider informal sector groups. It is estimated that in 2007 there were about 12 CBHI registered by the Tanzania Network of Community Health Funds (TNCHF) </w:t>
      </w:r>
      <w:r w:rsidR="00F936E6" w:rsidRPr="00CD35F8">
        <w:rPr>
          <w:lang w:val="en-GB"/>
        </w:rPr>
        <w:fldChar w:fldCharType="begin"/>
      </w:r>
      <w:r w:rsidR="005505D0">
        <w:rPr>
          <w:lang w:val="en-GB"/>
        </w:rPr>
        <w:instrText xml:space="preserve"> ADDIN EN.CITE &lt;EndNote&gt;&lt;Cite&gt;&lt;Author&gt;PHRplus&lt;/Author&gt;&lt;Year&gt;2006&lt;/Year&gt;&lt;RecNum&gt;60&lt;/RecNum&gt;&lt;record&gt;&lt;rec-number&gt;60&lt;/rec-number&gt;&lt;ref-type name="Report"&gt;27&lt;/ref-type&gt;&lt;contributors&gt;&lt;authors&gt;&lt;author&gt;PHRplus&lt;/author&gt;&lt;/authors&gt;&lt;/contributors&gt;&lt;titles&gt;&lt;title&gt;Catalogue of Community Based Health Financing Schemes Tanzania&lt;/title&gt;&lt;/titles&gt;&lt;dates&gt;&lt;year&gt;2006&lt;/year&gt;&lt;pub-dates&gt;&lt;date&gt;June&lt;/date&gt;&lt;/pub-dates&gt;&lt;/dates&gt;&lt;publisher&gt;PHRplus and CHeFA-EA&lt;/publisher&gt;&lt;urls&gt;&lt;/urls&gt;&lt;/record&gt;&lt;/Cite&gt;&lt;/EndNote&gt;</w:instrText>
      </w:r>
      <w:r w:rsidR="00F936E6" w:rsidRPr="00CD35F8">
        <w:rPr>
          <w:lang w:val="en-GB"/>
        </w:rPr>
        <w:fldChar w:fldCharType="separate"/>
      </w:r>
      <w:r w:rsidR="005505D0" w:rsidRPr="00CD35F8">
        <w:rPr>
          <w:lang w:val="en-GB"/>
        </w:rPr>
        <w:t>(PHRplus 2006)</w:t>
      </w:r>
      <w:r w:rsidR="00F936E6" w:rsidRPr="00CD35F8">
        <w:rPr>
          <w:lang w:val="en-GB"/>
        </w:rPr>
        <w:fldChar w:fldCharType="end"/>
      </w:r>
      <w:r w:rsidR="005505D0" w:rsidRPr="00CD35F8">
        <w:rPr>
          <w:lang w:val="en-GB"/>
        </w:rPr>
        <w:t xml:space="preserve">. </w:t>
      </w:r>
      <w:r w:rsidR="005505D0">
        <w:rPr>
          <w:lang w:val="en-GB"/>
        </w:rPr>
        <w:t xml:space="preserve">In 2010 these kind of schemes were about </w:t>
      </w:r>
      <w:r w:rsidR="005505D0" w:rsidRPr="00CD35F8">
        <w:rPr>
          <w:lang w:val="en-GB"/>
        </w:rPr>
        <w:t xml:space="preserve">43 </w:t>
      </w:r>
      <w:r w:rsidR="005505D0">
        <w:rPr>
          <w:lang w:val="en-GB"/>
        </w:rPr>
        <w:t>in number</w:t>
      </w:r>
      <w:r w:rsidR="005505D0" w:rsidRPr="00CD35F8">
        <w:rPr>
          <w:lang w:val="en-GB"/>
        </w:rPr>
        <w:t xml:space="preserve"> </w:t>
      </w:r>
      <w:r w:rsidR="00F936E6" w:rsidRPr="00CD35F8">
        <w:rPr>
          <w:lang w:val="en-GB"/>
        </w:rPr>
        <w:fldChar w:fldCharType="begin"/>
      </w:r>
      <w:r w:rsidR="005505D0">
        <w:rPr>
          <w:lang w:val="en-GB"/>
        </w:rPr>
        <w:instrText xml:space="preserve"> ADDIN EN.CITE &lt;EndNote&gt;&lt;Cite&gt;&lt;Author&gt;Toutant&lt;/Author&gt;&lt;Year&gt;2010&lt;/Year&gt;&lt;RecNum&gt;784&lt;/RecNum&gt;&lt;record&gt;&lt;rec-number&gt;784&lt;/rec-number&gt;&lt;ref-type name="Report"&gt;27&lt;/ref-type&gt;&lt;contributors&gt;&lt;authors&gt;&lt;author&gt;Toutant, Rita &lt;/author&gt;&lt;/authors&gt;&lt;/contributors&gt;&lt;titles&gt;&lt;title&gt;Tanzania Network of Community Health Funds: CEO progress report&lt;/title&gt;&lt;/titles&gt;&lt;dates&gt;&lt;year&gt;2010&lt;/year&gt;&lt;/dates&gt;&lt;pub-location&gt;Dar es Salaam&lt;/pub-location&gt;&lt;publisher&gt;TNCHF&lt;/publisher&gt;&lt;urls&gt;&lt;/urls&gt;&lt;/record&gt;&lt;/Cite&gt;&lt;/EndNote&gt;</w:instrText>
      </w:r>
      <w:r w:rsidR="00F936E6" w:rsidRPr="00CD35F8">
        <w:rPr>
          <w:lang w:val="en-GB"/>
        </w:rPr>
        <w:fldChar w:fldCharType="separate"/>
      </w:r>
      <w:r w:rsidR="005505D0" w:rsidRPr="00CD35F8">
        <w:rPr>
          <w:lang w:val="en-GB"/>
        </w:rPr>
        <w:t>(Toutant 2010)</w:t>
      </w:r>
      <w:r w:rsidR="00F936E6" w:rsidRPr="00CD35F8">
        <w:rPr>
          <w:lang w:val="en-GB"/>
        </w:rPr>
        <w:fldChar w:fldCharType="end"/>
      </w:r>
      <w:r w:rsidR="005505D0">
        <w:rPr>
          <w:lang w:val="en-GB"/>
        </w:rPr>
        <w:t>.</w:t>
      </w:r>
    </w:p>
    <w:p w:rsidR="0044796F" w:rsidRDefault="0044796F" w:rsidP="0049535B">
      <w:pPr>
        <w:rPr>
          <w:lang w:val="en-GB"/>
        </w:rPr>
      </w:pPr>
    </w:p>
    <w:p w:rsidR="00DF2353" w:rsidRDefault="00DF2353" w:rsidP="00DF2353">
      <w:pPr>
        <w:pStyle w:val="Heading3"/>
      </w:pPr>
      <w:bookmarkStart w:id="14" w:name="_Toc406497968"/>
      <w:r>
        <w:t>Health financing composition</w:t>
      </w:r>
      <w:bookmarkEnd w:id="14"/>
    </w:p>
    <w:p w:rsidR="00DF2353" w:rsidRDefault="00DF2353" w:rsidP="00DF2353">
      <w:r>
        <w:t xml:space="preserve">The 2011/12 National Health Account (NHA) data shows increase on donor dependence to fund health care in Tanzania. This source accounted for about 48% of total health sector resources envelop in 2011/12, an increase from 40% in 2009/10. The </w:t>
      </w:r>
      <w:r>
        <w:lastRenderedPageBreak/>
        <w:t xml:space="preserve">share of out-of-pocket is still on a higher side, accounting for about 27% of total health sector financing but there has been a decrease compared to 2009/10 share of total financing (34%). Contributions from total general tax revenue remains slow accounting about 21% of total health financing; which is a decrease compared to the 24% in 2009/10. Health insurance schemes contribution is insignificant </w:t>
      </w:r>
      <w:r w:rsidR="003B487A">
        <w:t>accounting for about 3% of total health sector financing. This low contribution level of prepayment schemes is a result of limited health insurance coverage which is estimated at 19% of total population.</w:t>
      </w:r>
    </w:p>
    <w:p w:rsidR="00DF2353" w:rsidRDefault="00DF2353" w:rsidP="00DF2353"/>
    <w:p w:rsidR="003B487A" w:rsidRDefault="003B487A" w:rsidP="003B487A">
      <w:pPr>
        <w:pStyle w:val="Caption"/>
        <w:rPr>
          <w:rFonts w:eastAsia="Times New Roman" w:cs="Arial"/>
          <w:bCs w:val="0"/>
          <w:szCs w:val="24"/>
          <w:lang w:val="en-GB"/>
        </w:rPr>
      </w:pPr>
      <w:bookmarkStart w:id="15" w:name="_Toc366569984"/>
      <w:r>
        <w:t xml:space="preserve">Table </w:t>
      </w:r>
      <w:fldSimple w:instr=" SEQ Table \* ARABIC ">
        <w:r>
          <w:rPr>
            <w:noProof/>
          </w:rPr>
          <w:t>2</w:t>
        </w:r>
      </w:fldSimple>
      <w:r w:rsidRPr="00EB4F0C">
        <w:rPr>
          <w:rFonts w:eastAsia="Times New Roman" w:cs="Arial"/>
          <w:bCs w:val="0"/>
          <w:szCs w:val="24"/>
          <w:lang w:val="en-GB"/>
        </w:rPr>
        <w:t xml:space="preserve"> Total Health Expenditures by </w:t>
      </w:r>
      <w:r>
        <w:rPr>
          <w:rFonts w:eastAsia="Times New Roman" w:cs="Arial"/>
          <w:bCs w:val="0"/>
          <w:szCs w:val="24"/>
          <w:lang w:val="en-GB"/>
        </w:rPr>
        <w:t>S</w:t>
      </w:r>
      <w:r w:rsidRPr="00EB4F0C">
        <w:rPr>
          <w:rFonts w:eastAsia="Times New Roman" w:cs="Arial"/>
          <w:bCs w:val="0"/>
          <w:szCs w:val="24"/>
          <w:lang w:val="en-GB"/>
        </w:rPr>
        <w:t>ource</w:t>
      </w:r>
      <w:bookmarkEnd w:id="15"/>
      <w:r w:rsidRPr="00EB4F0C">
        <w:rPr>
          <w:rFonts w:eastAsia="Times New Roman" w:cs="Arial"/>
          <w:bCs w:val="0"/>
          <w:szCs w:val="24"/>
          <w:lang w:val="en-GB"/>
        </w:rPr>
        <w:t xml:space="preserve"> (</w:t>
      </w:r>
      <w:r>
        <w:rPr>
          <w:rFonts w:eastAsia="Times New Roman" w:cs="Arial"/>
          <w:bCs w:val="0"/>
          <w:szCs w:val="24"/>
          <w:lang w:val="en-GB"/>
        </w:rPr>
        <w:t>percent</w:t>
      </w:r>
      <w:r w:rsidRPr="00EB4F0C">
        <w:rPr>
          <w:rFonts w:eastAsia="Times New Roman" w:cs="Arial"/>
          <w:bCs w:val="0"/>
          <w:szCs w:val="24"/>
          <w:lang w:val="en-GB"/>
        </w:rPr>
        <w:t>)</w:t>
      </w:r>
    </w:p>
    <w:tbl>
      <w:tblPr>
        <w:tblStyle w:val="TableGrid"/>
        <w:tblW w:w="0" w:type="auto"/>
        <w:tblLook w:val="04A0" w:firstRow="1" w:lastRow="0" w:firstColumn="1" w:lastColumn="0" w:noHBand="0" w:noVBand="1"/>
      </w:tblPr>
      <w:tblGrid>
        <w:gridCol w:w="2005"/>
        <w:gridCol w:w="1978"/>
        <w:gridCol w:w="1977"/>
        <w:gridCol w:w="1977"/>
        <w:gridCol w:w="1639"/>
      </w:tblGrid>
      <w:tr w:rsidR="003B487A" w:rsidRPr="00830EB8" w:rsidTr="00506C0A">
        <w:tc>
          <w:tcPr>
            <w:tcW w:w="2005" w:type="dxa"/>
          </w:tcPr>
          <w:p w:rsidR="003B487A" w:rsidRPr="00830EB8" w:rsidRDefault="003B487A" w:rsidP="00506C0A">
            <w:pPr>
              <w:rPr>
                <w:b/>
                <w:sz w:val="20"/>
                <w:lang w:val="en-GB"/>
              </w:rPr>
            </w:pPr>
          </w:p>
        </w:tc>
        <w:tc>
          <w:tcPr>
            <w:tcW w:w="1978" w:type="dxa"/>
          </w:tcPr>
          <w:p w:rsidR="003B487A" w:rsidRPr="00830EB8" w:rsidRDefault="003B487A" w:rsidP="00506C0A">
            <w:pPr>
              <w:spacing w:line="276" w:lineRule="auto"/>
              <w:jc w:val="center"/>
              <w:rPr>
                <w:b/>
                <w:sz w:val="20"/>
                <w:lang w:val="en-GB"/>
              </w:rPr>
            </w:pPr>
            <w:r w:rsidRPr="00830EB8">
              <w:rPr>
                <w:b/>
                <w:sz w:val="20"/>
                <w:lang w:val="en-GB"/>
              </w:rPr>
              <w:t>FY2002/03</w:t>
            </w:r>
          </w:p>
        </w:tc>
        <w:tc>
          <w:tcPr>
            <w:tcW w:w="1977" w:type="dxa"/>
          </w:tcPr>
          <w:p w:rsidR="003B487A" w:rsidRPr="00830EB8" w:rsidRDefault="003B487A" w:rsidP="00506C0A">
            <w:pPr>
              <w:jc w:val="center"/>
              <w:rPr>
                <w:b/>
                <w:sz w:val="20"/>
                <w:lang w:val="en-GB"/>
              </w:rPr>
            </w:pPr>
            <w:r w:rsidRPr="00830EB8">
              <w:rPr>
                <w:b/>
                <w:sz w:val="20"/>
                <w:lang w:val="en-GB"/>
              </w:rPr>
              <w:t>FY2005/06</w:t>
            </w:r>
          </w:p>
        </w:tc>
        <w:tc>
          <w:tcPr>
            <w:tcW w:w="1977" w:type="dxa"/>
          </w:tcPr>
          <w:p w:rsidR="003B487A" w:rsidRPr="00830EB8" w:rsidRDefault="003B487A" w:rsidP="00506C0A">
            <w:pPr>
              <w:jc w:val="center"/>
              <w:rPr>
                <w:b/>
                <w:sz w:val="20"/>
                <w:lang w:val="en-GB"/>
              </w:rPr>
            </w:pPr>
            <w:r w:rsidRPr="00830EB8">
              <w:rPr>
                <w:b/>
                <w:sz w:val="20"/>
                <w:lang w:val="en-GB"/>
              </w:rPr>
              <w:t>FY2009/10</w:t>
            </w:r>
          </w:p>
        </w:tc>
        <w:tc>
          <w:tcPr>
            <w:tcW w:w="1639" w:type="dxa"/>
          </w:tcPr>
          <w:p w:rsidR="003B487A" w:rsidRPr="003B487A" w:rsidRDefault="003B487A" w:rsidP="00506C0A">
            <w:pPr>
              <w:jc w:val="center"/>
              <w:rPr>
                <w:b/>
                <w:sz w:val="20"/>
                <w:lang w:val="en-GB"/>
              </w:rPr>
            </w:pPr>
            <w:r w:rsidRPr="003B487A">
              <w:rPr>
                <w:b/>
                <w:sz w:val="20"/>
                <w:lang w:val="en-GB"/>
              </w:rPr>
              <w:t>FY2011/12</w:t>
            </w:r>
          </w:p>
        </w:tc>
      </w:tr>
      <w:tr w:rsidR="003B487A" w:rsidRPr="00830EB8" w:rsidTr="00506C0A">
        <w:tc>
          <w:tcPr>
            <w:tcW w:w="2005" w:type="dxa"/>
          </w:tcPr>
          <w:p w:rsidR="003B487A" w:rsidRPr="00830EB8" w:rsidRDefault="003B487A" w:rsidP="00506C0A">
            <w:pPr>
              <w:rPr>
                <w:sz w:val="20"/>
                <w:lang w:val="en-GB"/>
              </w:rPr>
            </w:pPr>
            <w:r w:rsidRPr="00830EB8">
              <w:rPr>
                <w:sz w:val="20"/>
                <w:lang w:val="en-GB"/>
              </w:rPr>
              <w:t>Households</w:t>
            </w:r>
          </w:p>
        </w:tc>
        <w:tc>
          <w:tcPr>
            <w:tcW w:w="1978" w:type="dxa"/>
          </w:tcPr>
          <w:p w:rsidR="003B487A" w:rsidRPr="00830EB8" w:rsidRDefault="003B487A" w:rsidP="00506C0A">
            <w:pPr>
              <w:spacing w:line="276" w:lineRule="auto"/>
              <w:jc w:val="center"/>
              <w:rPr>
                <w:sz w:val="20"/>
                <w:lang w:val="en-GB"/>
              </w:rPr>
            </w:pPr>
            <w:r w:rsidRPr="00830EB8">
              <w:rPr>
                <w:sz w:val="20"/>
                <w:lang w:val="en-GB"/>
              </w:rPr>
              <w:t>42</w:t>
            </w:r>
            <w:r>
              <w:rPr>
                <w:sz w:val="20"/>
                <w:lang w:val="en-GB"/>
              </w:rPr>
              <w:t xml:space="preserve"> %</w:t>
            </w:r>
          </w:p>
        </w:tc>
        <w:tc>
          <w:tcPr>
            <w:tcW w:w="1977" w:type="dxa"/>
          </w:tcPr>
          <w:p w:rsidR="003B487A" w:rsidRPr="00830EB8" w:rsidRDefault="003B487A" w:rsidP="00506C0A">
            <w:pPr>
              <w:jc w:val="center"/>
              <w:rPr>
                <w:sz w:val="20"/>
                <w:lang w:val="en-GB"/>
              </w:rPr>
            </w:pPr>
            <w:r w:rsidRPr="00830EB8">
              <w:rPr>
                <w:sz w:val="20"/>
                <w:lang w:val="en-GB"/>
              </w:rPr>
              <w:t>25</w:t>
            </w:r>
            <w:r>
              <w:rPr>
                <w:sz w:val="20"/>
                <w:lang w:val="en-GB"/>
              </w:rPr>
              <w:t xml:space="preserve"> %</w:t>
            </w:r>
          </w:p>
        </w:tc>
        <w:tc>
          <w:tcPr>
            <w:tcW w:w="1977" w:type="dxa"/>
          </w:tcPr>
          <w:p w:rsidR="003B487A" w:rsidRPr="00830EB8" w:rsidRDefault="003B487A" w:rsidP="00506C0A">
            <w:pPr>
              <w:jc w:val="center"/>
              <w:rPr>
                <w:sz w:val="20"/>
                <w:lang w:val="en-GB"/>
              </w:rPr>
            </w:pPr>
            <w:r w:rsidRPr="00830EB8">
              <w:rPr>
                <w:sz w:val="20"/>
                <w:lang w:val="en-GB"/>
              </w:rPr>
              <w:t>32</w:t>
            </w:r>
            <w:r>
              <w:rPr>
                <w:sz w:val="20"/>
                <w:lang w:val="en-GB"/>
              </w:rPr>
              <w:t xml:space="preserve"> %</w:t>
            </w:r>
          </w:p>
        </w:tc>
        <w:tc>
          <w:tcPr>
            <w:tcW w:w="1639" w:type="dxa"/>
          </w:tcPr>
          <w:p w:rsidR="003B487A" w:rsidRPr="003B487A" w:rsidRDefault="003B487A" w:rsidP="003B487A">
            <w:pPr>
              <w:jc w:val="center"/>
              <w:rPr>
                <w:sz w:val="20"/>
                <w:lang w:val="en-GB"/>
              </w:rPr>
            </w:pPr>
            <w:r w:rsidRPr="003B487A">
              <w:rPr>
                <w:sz w:val="20"/>
                <w:lang w:val="en-GB"/>
              </w:rPr>
              <w:t>27%</w:t>
            </w:r>
          </w:p>
        </w:tc>
      </w:tr>
      <w:tr w:rsidR="003B487A" w:rsidRPr="00830EB8" w:rsidTr="00506C0A">
        <w:tc>
          <w:tcPr>
            <w:tcW w:w="2005" w:type="dxa"/>
          </w:tcPr>
          <w:p w:rsidR="003B487A" w:rsidRPr="00830EB8" w:rsidRDefault="003B487A" w:rsidP="00506C0A">
            <w:pPr>
              <w:rPr>
                <w:sz w:val="20"/>
                <w:lang w:val="en-GB"/>
              </w:rPr>
            </w:pPr>
            <w:r w:rsidRPr="00830EB8">
              <w:rPr>
                <w:sz w:val="20"/>
                <w:lang w:val="en-GB"/>
              </w:rPr>
              <w:t>DPs</w:t>
            </w:r>
          </w:p>
        </w:tc>
        <w:tc>
          <w:tcPr>
            <w:tcW w:w="1978" w:type="dxa"/>
          </w:tcPr>
          <w:p w:rsidR="003B487A" w:rsidRPr="00830EB8" w:rsidRDefault="003B487A" w:rsidP="00506C0A">
            <w:pPr>
              <w:spacing w:line="276" w:lineRule="auto"/>
              <w:jc w:val="center"/>
              <w:rPr>
                <w:sz w:val="20"/>
                <w:lang w:val="en-GB"/>
              </w:rPr>
            </w:pPr>
            <w:r w:rsidRPr="00830EB8">
              <w:rPr>
                <w:sz w:val="20"/>
                <w:lang w:val="en-GB"/>
              </w:rPr>
              <w:t>27</w:t>
            </w:r>
            <w:r>
              <w:rPr>
                <w:sz w:val="20"/>
                <w:lang w:val="en-GB"/>
              </w:rPr>
              <w:t xml:space="preserve"> %</w:t>
            </w:r>
          </w:p>
        </w:tc>
        <w:tc>
          <w:tcPr>
            <w:tcW w:w="1977" w:type="dxa"/>
          </w:tcPr>
          <w:p w:rsidR="003B487A" w:rsidRPr="00830EB8" w:rsidRDefault="003B487A" w:rsidP="00506C0A">
            <w:pPr>
              <w:jc w:val="center"/>
              <w:rPr>
                <w:sz w:val="20"/>
                <w:lang w:val="en-GB"/>
              </w:rPr>
            </w:pPr>
            <w:r w:rsidRPr="00830EB8">
              <w:rPr>
                <w:sz w:val="20"/>
                <w:lang w:val="en-GB"/>
              </w:rPr>
              <w:t>44</w:t>
            </w:r>
            <w:r>
              <w:rPr>
                <w:sz w:val="20"/>
                <w:lang w:val="en-GB"/>
              </w:rPr>
              <w:t xml:space="preserve"> %</w:t>
            </w:r>
          </w:p>
        </w:tc>
        <w:tc>
          <w:tcPr>
            <w:tcW w:w="1977" w:type="dxa"/>
          </w:tcPr>
          <w:p w:rsidR="003B487A" w:rsidRPr="00830EB8" w:rsidRDefault="003B487A" w:rsidP="00506C0A">
            <w:pPr>
              <w:jc w:val="center"/>
              <w:rPr>
                <w:sz w:val="20"/>
                <w:lang w:val="en-GB"/>
              </w:rPr>
            </w:pPr>
            <w:r w:rsidRPr="00830EB8">
              <w:rPr>
                <w:sz w:val="20"/>
                <w:lang w:val="en-GB"/>
              </w:rPr>
              <w:t>40</w:t>
            </w:r>
            <w:r>
              <w:rPr>
                <w:sz w:val="20"/>
                <w:lang w:val="en-GB"/>
              </w:rPr>
              <w:t xml:space="preserve"> %</w:t>
            </w:r>
          </w:p>
        </w:tc>
        <w:tc>
          <w:tcPr>
            <w:tcW w:w="1639" w:type="dxa"/>
          </w:tcPr>
          <w:p w:rsidR="003B487A" w:rsidRPr="003B487A" w:rsidRDefault="003B487A" w:rsidP="003B487A">
            <w:pPr>
              <w:jc w:val="center"/>
              <w:rPr>
                <w:sz w:val="20"/>
                <w:lang w:val="en-GB"/>
              </w:rPr>
            </w:pPr>
            <w:r w:rsidRPr="003B487A">
              <w:rPr>
                <w:sz w:val="20"/>
                <w:lang w:val="en-GB"/>
              </w:rPr>
              <w:t>47%</w:t>
            </w:r>
          </w:p>
        </w:tc>
      </w:tr>
      <w:tr w:rsidR="003B487A" w:rsidRPr="00830EB8" w:rsidTr="00506C0A">
        <w:tc>
          <w:tcPr>
            <w:tcW w:w="2005" w:type="dxa"/>
          </w:tcPr>
          <w:p w:rsidR="003B487A" w:rsidRPr="00830EB8" w:rsidRDefault="003B487A" w:rsidP="00506C0A">
            <w:pPr>
              <w:rPr>
                <w:sz w:val="20"/>
                <w:lang w:val="en-GB"/>
              </w:rPr>
            </w:pPr>
            <w:r w:rsidRPr="00830EB8">
              <w:rPr>
                <w:sz w:val="20"/>
                <w:lang w:val="en-GB"/>
              </w:rPr>
              <w:t>MOF</w:t>
            </w:r>
          </w:p>
        </w:tc>
        <w:tc>
          <w:tcPr>
            <w:tcW w:w="1978" w:type="dxa"/>
          </w:tcPr>
          <w:p w:rsidR="003B487A" w:rsidRPr="00830EB8" w:rsidRDefault="003B487A" w:rsidP="00506C0A">
            <w:pPr>
              <w:spacing w:line="276" w:lineRule="auto"/>
              <w:jc w:val="center"/>
              <w:rPr>
                <w:sz w:val="20"/>
                <w:lang w:val="en-GB"/>
              </w:rPr>
            </w:pPr>
            <w:r w:rsidRPr="00830EB8">
              <w:rPr>
                <w:sz w:val="20"/>
                <w:lang w:val="en-GB"/>
              </w:rPr>
              <w:t>25</w:t>
            </w:r>
            <w:r>
              <w:rPr>
                <w:sz w:val="20"/>
                <w:lang w:val="en-GB"/>
              </w:rPr>
              <w:t xml:space="preserve"> %</w:t>
            </w:r>
          </w:p>
        </w:tc>
        <w:tc>
          <w:tcPr>
            <w:tcW w:w="1977" w:type="dxa"/>
          </w:tcPr>
          <w:p w:rsidR="003B487A" w:rsidRPr="00830EB8" w:rsidRDefault="003B487A" w:rsidP="00506C0A">
            <w:pPr>
              <w:jc w:val="center"/>
              <w:rPr>
                <w:sz w:val="20"/>
                <w:lang w:val="en-GB"/>
              </w:rPr>
            </w:pPr>
            <w:r w:rsidRPr="00830EB8">
              <w:rPr>
                <w:sz w:val="20"/>
                <w:lang w:val="en-GB"/>
              </w:rPr>
              <w:t>28</w:t>
            </w:r>
            <w:r>
              <w:rPr>
                <w:sz w:val="20"/>
                <w:lang w:val="en-GB"/>
              </w:rPr>
              <w:t xml:space="preserve"> %</w:t>
            </w:r>
          </w:p>
        </w:tc>
        <w:tc>
          <w:tcPr>
            <w:tcW w:w="1977" w:type="dxa"/>
          </w:tcPr>
          <w:p w:rsidR="003B487A" w:rsidRPr="00830EB8" w:rsidRDefault="003B487A" w:rsidP="00506C0A">
            <w:pPr>
              <w:jc w:val="center"/>
              <w:rPr>
                <w:sz w:val="20"/>
                <w:lang w:val="en-GB"/>
              </w:rPr>
            </w:pPr>
            <w:r w:rsidRPr="00830EB8">
              <w:rPr>
                <w:sz w:val="20"/>
                <w:lang w:val="en-GB"/>
              </w:rPr>
              <w:t>26</w:t>
            </w:r>
            <w:r>
              <w:rPr>
                <w:sz w:val="20"/>
                <w:lang w:val="en-GB"/>
              </w:rPr>
              <w:t xml:space="preserve"> %</w:t>
            </w:r>
          </w:p>
        </w:tc>
        <w:tc>
          <w:tcPr>
            <w:tcW w:w="1639" w:type="dxa"/>
          </w:tcPr>
          <w:p w:rsidR="003B487A" w:rsidRPr="003B487A" w:rsidRDefault="003B487A" w:rsidP="00506C0A">
            <w:pPr>
              <w:jc w:val="center"/>
              <w:rPr>
                <w:sz w:val="20"/>
                <w:lang w:val="en-GB"/>
              </w:rPr>
            </w:pPr>
            <w:r w:rsidRPr="003B487A">
              <w:rPr>
                <w:sz w:val="20"/>
                <w:lang w:val="en-GB"/>
              </w:rPr>
              <w:t>21%</w:t>
            </w:r>
          </w:p>
        </w:tc>
      </w:tr>
      <w:tr w:rsidR="003B487A" w:rsidRPr="00830EB8" w:rsidTr="00506C0A">
        <w:tc>
          <w:tcPr>
            <w:tcW w:w="2005" w:type="dxa"/>
          </w:tcPr>
          <w:p w:rsidR="003B487A" w:rsidRPr="00830EB8" w:rsidRDefault="003B487A" w:rsidP="003B487A">
            <w:pPr>
              <w:rPr>
                <w:sz w:val="20"/>
                <w:lang w:val="en-GB"/>
              </w:rPr>
            </w:pPr>
            <w:r w:rsidRPr="00830EB8">
              <w:rPr>
                <w:sz w:val="20"/>
                <w:lang w:val="en-GB"/>
              </w:rPr>
              <w:t xml:space="preserve">Other </w:t>
            </w:r>
          </w:p>
        </w:tc>
        <w:tc>
          <w:tcPr>
            <w:tcW w:w="1978" w:type="dxa"/>
          </w:tcPr>
          <w:p w:rsidR="003B487A" w:rsidRPr="00830EB8" w:rsidRDefault="003B487A" w:rsidP="00506C0A">
            <w:pPr>
              <w:spacing w:line="276" w:lineRule="auto"/>
              <w:jc w:val="center"/>
              <w:rPr>
                <w:sz w:val="20"/>
                <w:lang w:val="en-GB"/>
              </w:rPr>
            </w:pPr>
            <w:r>
              <w:rPr>
                <w:sz w:val="20"/>
                <w:lang w:val="en-GB"/>
              </w:rPr>
              <w:t>5 %</w:t>
            </w:r>
          </w:p>
        </w:tc>
        <w:tc>
          <w:tcPr>
            <w:tcW w:w="1977" w:type="dxa"/>
          </w:tcPr>
          <w:p w:rsidR="003B487A" w:rsidRPr="00830EB8" w:rsidRDefault="003B487A" w:rsidP="00506C0A">
            <w:pPr>
              <w:jc w:val="center"/>
              <w:rPr>
                <w:sz w:val="20"/>
                <w:lang w:val="en-GB"/>
              </w:rPr>
            </w:pPr>
            <w:r w:rsidRPr="00830EB8">
              <w:rPr>
                <w:sz w:val="20"/>
                <w:lang w:val="en-GB"/>
              </w:rPr>
              <w:t>3</w:t>
            </w:r>
            <w:r>
              <w:rPr>
                <w:sz w:val="20"/>
                <w:lang w:val="en-GB"/>
              </w:rPr>
              <w:t xml:space="preserve"> %</w:t>
            </w:r>
          </w:p>
        </w:tc>
        <w:tc>
          <w:tcPr>
            <w:tcW w:w="1977" w:type="dxa"/>
          </w:tcPr>
          <w:p w:rsidR="003B487A" w:rsidRPr="00830EB8" w:rsidRDefault="003B487A" w:rsidP="00506C0A">
            <w:pPr>
              <w:jc w:val="center"/>
              <w:rPr>
                <w:sz w:val="20"/>
                <w:lang w:val="en-GB"/>
              </w:rPr>
            </w:pPr>
            <w:r w:rsidRPr="00830EB8">
              <w:rPr>
                <w:sz w:val="20"/>
                <w:lang w:val="en-GB"/>
              </w:rPr>
              <w:t>2</w:t>
            </w:r>
            <w:r>
              <w:rPr>
                <w:sz w:val="20"/>
                <w:lang w:val="en-GB"/>
              </w:rPr>
              <w:t xml:space="preserve"> %</w:t>
            </w:r>
          </w:p>
        </w:tc>
        <w:tc>
          <w:tcPr>
            <w:tcW w:w="1639" w:type="dxa"/>
          </w:tcPr>
          <w:p w:rsidR="003B487A" w:rsidRPr="003B487A" w:rsidRDefault="003B487A" w:rsidP="00506C0A">
            <w:pPr>
              <w:jc w:val="center"/>
              <w:rPr>
                <w:sz w:val="20"/>
                <w:lang w:val="en-GB"/>
              </w:rPr>
            </w:pPr>
            <w:r w:rsidRPr="003B487A">
              <w:rPr>
                <w:sz w:val="20"/>
                <w:lang w:val="en-GB"/>
              </w:rPr>
              <w:t>5%</w:t>
            </w:r>
          </w:p>
        </w:tc>
      </w:tr>
      <w:tr w:rsidR="003B487A" w:rsidRPr="00830EB8" w:rsidTr="00506C0A">
        <w:tc>
          <w:tcPr>
            <w:tcW w:w="2005" w:type="dxa"/>
          </w:tcPr>
          <w:p w:rsidR="003B487A" w:rsidRPr="00830EB8" w:rsidRDefault="003B487A" w:rsidP="00506C0A">
            <w:pPr>
              <w:rPr>
                <w:b/>
                <w:sz w:val="20"/>
                <w:lang w:val="en-GB"/>
              </w:rPr>
            </w:pPr>
            <w:r w:rsidRPr="00830EB8">
              <w:rPr>
                <w:b/>
                <w:sz w:val="20"/>
                <w:lang w:val="en-GB"/>
              </w:rPr>
              <w:t>TOTAL</w:t>
            </w:r>
          </w:p>
        </w:tc>
        <w:tc>
          <w:tcPr>
            <w:tcW w:w="1978" w:type="dxa"/>
          </w:tcPr>
          <w:p w:rsidR="003B487A" w:rsidRPr="00830EB8" w:rsidRDefault="003B487A" w:rsidP="00506C0A">
            <w:pPr>
              <w:spacing w:line="276" w:lineRule="auto"/>
              <w:jc w:val="center"/>
              <w:rPr>
                <w:b/>
                <w:sz w:val="20"/>
                <w:lang w:val="en-GB"/>
              </w:rPr>
            </w:pPr>
            <w:r w:rsidRPr="00830EB8">
              <w:rPr>
                <w:b/>
                <w:sz w:val="20"/>
                <w:lang w:val="en-GB"/>
              </w:rPr>
              <w:t>100</w:t>
            </w:r>
            <w:r>
              <w:rPr>
                <w:b/>
                <w:sz w:val="20"/>
                <w:lang w:val="en-GB"/>
              </w:rPr>
              <w:t xml:space="preserve"> %</w:t>
            </w:r>
          </w:p>
        </w:tc>
        <w:tc>
          <w:tcPr>
            <w:tcW w:w="1977" w:type="dxa"/>
          </w:tcPr>
          <w:p w:rsidR="003B487A" w:rsidRPr="00830EB8" w:rsidRDefault="003B487A" w:rsidP="00506C0A">
            <w:pPr>
              <w:jc w:val="center"/>
              <w:rPr>
                <w:b/>
                <w:sz w:val="20"/>
                <w:lang w:val="en-GB"/>
              </w:rPr>
            </w:pPr>
            <w:r w:rsidRPr="00830EB8">
              <w:rPr>
                <w:b/>
                <w:sz w:val="20"/>
                <w:lang w:val="en-GB"/>
              </w:rPr>
              <w:t>100</w:t>
            </w:r>
            <w:r>
              <w:rPr>
                <w:b/>
                <w:sz w:val="20"/>
                <w:lang w:val="en-GB"/>
              </w:rPr>
              <w:t xml:space="preserve"> %</w:t>
            </w:r>
          </w:p>
        </w:tc>
        <w:tc>
          <w:tcPr>
            <w:tcW w:w="1977" w:type="dxa"/>
          </w:tcPr>
          <w:p w:rsidR="003B487A" w:rsidRPr="00830EB8" w:rsidRDefault="003B487A" w:rsidP="00506C0A">
            <w:pPr>
              <w:jc w:val="center"/>
              <w:rPr>
                <w:b/>
                <w:sz w:val="20"/>
                <w:lang w:val="en-GB"/>
              </w:rPr>
            </w:pPr>
            <w:r w:rsidRPr="00830EB8">
              <w:rPr>
                <w:b/>
                <w:sz w:val="20"/>
                <w:lang w:val="en-GB"/>
              </w:rPr>
              <w:t>100</w:t>
            </w:r>
            <w:r>
              <w:rPr>
                <w:b/>
                <w:sz w:val="20"/>
                <w:lang w:val="en-GB"/>
              </w:rPr>
              <w:t xml:space="preserve"> %</w:t>
            </w:r>
          </w:p>
        </w:tc>
        <w:tc>
          <w:tcPr>
            <w:tcW w:w="1639" w:type="dxa"/>
          </w:tcPr>
          <w:p w:rsidR="003B487A" w:rsidRPr="003B487A" w:rsidRDefault="003B487A" w:rsidP="00506C0A">
            <w:pPr>
              <w:jc w:val="center"/>
              <w:rPr>
                <w:b/>
                <w:sz w:val="20"/>
                <w:lang w:val="en-GB"/>
              </w:rPr>
            </w:pPr>
            <w:r w:rsidRPr="003B487A">
              <w:rPr>
                <w:b/>
                <w:sz w:val="20"/>
                <w:lang w:val="en-GB"/>
              </w:rPr>
              <w:t>100%</w:t>
            </w:r>
          </w:p>
        </w:tc>
      </w:tr>
    </w:tbl>
    <w:p w:rsidR="003B487A" w:rsidRPr="00830EB8" w:rsidRDefault="003B487A" w:rsidP="003B487A">
      <w:pPr>
        <w:rPr>
          <w:sz w:val="18"/>
          <w:szCs w:val="18"/>
          <w:lang w:val="en-GB" w:bidi="en-US"/>
        </w:rPr>
      </w:pPr>
      <w:r w:rsidRPr="003B487A">
        <w:rPr>
          <w:sz w:val="18"/>
          <w:szCs w:val="18"/>
          <w:lang w:val="en-GB" w:bidi="en-US"/>
        </w:rPr>
        <w:t>Source: NHA (2014)</w:t>
      </w:r>
    </w:p>
    <w:p w:rsidR="003B487A" w:rsidRPr="00EB4F0C" w:rsidRDefault="003B487A" w:rsidP="003B487A">
      <w:pPr>
        <w:spacing w:line="240" w:lineRule="auto"/>
        <w:ind w:left="709"/>
        <w:rPr>
          <w:rFonts w:eastAsia="SimSun" w:cs="Arial"/>
          <w:i/>
          <w:szCs w:val="24"/>
          <w:lang w:eastAsia="zh-CN"/>
        </w:rPr>
      </w:pPr>
    </w:p>
    <w:p w:rsidR="00B77A24" w:rsidRPr="00EB4F0C" w:rsidRDefault="00B77A24" w:rsidP="002E07C5">
      <w:pPr>
        <w:spacing w:line="240" w:lineRule="auto"/>
        <w:rPr>
          <w:rFonts w:eastAsia="SimSun" w:cs="Arial"/>
          <w:szCs w:val="24"/>
          <w:lang w:eastAsia="zh-CN"/>
        </w:rPr>
      </w:pPr>
    </w:p>
    <w:p w:rsidR="0023565D" w:rsidRPr="00EB4F0C" w:rsidRDefault="0023565D" w:rsidP="002E07C5">
      <w:pPr>
        <w:spacing w:line="240" w:lineRule="auto"/>
        <w:rPr>
          <w:rFonts w:eastAsia="SimSun" w:cs="Arial"/>
          <w:b/>
          <w:szCs w:val="24"/>
          <w:lang w:eastAsia="zh-CN"/>
        </w:rPr>
      </w:pPr>
      <w:r w:rsidRPr="00EB4F0C">
        <w:rPr>
          <w:rFonts w:eastAsia="SimSun" w:cs="Arial"/>
          <w:b/>
          <w:szCs w:val="24"/>
          <w:lang w:eastAsia="zh-CN"/>
        </w:rPr>
        <w:t>Challenges</w:t>
      </w:r>
    </w:p>
    <w:p w:rsidR="0023565D" w:rsidRPr="00EB4F0C" w:rsidRDefault="002A066C" w:rsidP="00183E26">
      <w:r>
        <w:rPr>
          <w:lang w:eastAsia="zh-CN"/>
        </w:rPr>
        <w:t>There is still a significant level of dependence on external partners to financing health care while the share of domestic tax sources is still very low. A significant proportion of donor funding support goes to vertical programs hence only a small segment of the population benefit leaving broad health system improvement with limited resources. This poses a threat to the sustainability of the system. Further the level of dependence on out-of-pocket payment is still high and it is commonly understood</w:t>
      </w:r>
      <w:r w:rsidR="005607ED">
        <w:rPr>
          <w:lang w:eastAsia="zh-CN"/>
        </w:rPr>
        <w:t xml:space="preserve"> that</w:t>
      </w:r>
      <w:r>
        <w:rPr>
          <w:lang w:eastAsia="zh-CN"/>
        </w:rPr>
        <w:t xml:space="preserve"> high dependence on out-of-pocket payments is a major cause of inequities in access to health care and high degree of financial risk. </w:t>
      </w:r>
      <w:r w:rsidR="0023565D" w:rsidRPr="00EB4F0C">
        <w:t xml:space="preserve">With regards to the existing health insurance schemes, </w:t>
      </w:r>
      <w:r w:rsidR="0023565D" w:rsidRPr="00EB4F0C">
        <w:rPr>
          <w:lang w:val="en-GB" w:eastAsia="zh-CN"/>
        </w:rPr>
        <w:t xml:space="preserve">enrolment is still considerably low. </w:t>
      </w:r>
      <w:r w:rsidR="0023565D" w:rsidRPr="00EB4F0C">
        <w:rPr>
          <w:lang w:val="en-GB"/>
        </w:rPr>
        <w:t xml:space="preserve">Studies </w:t>
      </w:r>
      <w:r w:rsidR="0023565D" w:rsidRPr="00EB4F0C">
        <w:rPr>
          <w:lang w:val="en-GB" w:eastAsia="zh-CN"/>
        </w:rPr>
        <w:t>conducted have identified several reasons for the low enrolment including poor quality of service coupled with frequent drug stock-outs in health facilities, weak design and management, poor understanding of the concept of risk pooling, and unattractive benefits package.</w:t>
      </w:r>
      <w:r w:rsidR="0023565D" w:rsidRPr="00EB4F0C">
        <w:rPr>
          <w:vertAlign w:val="superscript"/>
          <w:lang w:val="en-GB" w:eastAsia="zh-CN"/>
        </w:rPr>
        <w:footnoteReference w:id="3"/>
      </w:r>
      <w:r w:rsidR="0023565D" w:rsidRPr="00EB4F0C">
        <w:t xml:space="preserve"> </w:t>
      </w:r>
    </w:p>
    <w:p w:rsidR="0023565D" w:rsidRDefault="0023565D" w:rsidP="00183E26">
      <w:pPr>
        <w:rPr>
          <w:color w:val="000000"/>
          <w:lang w:eastAsia="zh-CN"/>
        </w:rPr>
      </w:pPr>
    </w:p>
    <w:p w:rsidR="0023565D" w:rsidRPr="00EB4F0C" w:rsidRDefault="0023565D" w:rsidP="00183E26">
      <w:pPr>
        <w:pStyle w:val="Heading2"/>
      </w:pPr>
      <w:bookmarkStart w:id="16" w:name="_Toc406497969"/>
      <w:r w:rsidRPr="00EB4F0C">
        <w:t>Pooling</w:t>
      </w:r>
      <w:bookmarkEnd w:id="16"/>
      <w:r w:rsidRPr="00EB4F0C">
        <w:t xml:space="preserve"> </w:t>
      </w:r>
    </w:p>
    <w:p w:rsidR="000B3D91" w:rsidRDefault="0023565D" w:rsidP="00183E26">
      <w:r w:rsidRPr="00EB4F0C">
        <w:t xml:space="preserve">The </w:t>
      </w:r>
      <w:r w:rsidR="000B3D91">
        <w:t xml:space="preserve">health financing landscape in Tanzania is heavily </w:t>
      </w:r>
      <w:r w:rsidRPr="00EB4F0C">
        <w:t>fragmented</w:t>
      </w:r>
      <w:r w:rsidR="00183E26">
        <w:t xml:space="preserve">, not </w:t>
      </w:r>
      <w:r w:rsidR="000B3D91">
        <w:t xml:space="preserve">only among </w:t>
      </w:r>
      <w:r w:rsidR="00183E26">
        <w:t xml:space="preserve">existing </w:t>
      </w:r>
      <w:r w:rsidR="000B3D91">
        <w:t>health insurance funds</w:t>
      </w:r>
      <w:r w:rsidR="00183E26">
        <w:t>,</w:t>
      </w:r>
      <w:r w:rsidR="000B3D91">
        <w:t xml:space="preserve"> but also among different vertical project funds, basket funds and </w:t>
      </w:r>
      <w:r w:rsidR="00183E26">
        <w:t xml:space="preserve">government budgetary funds to central and lower levels. The current funding flows are shown in Figure 4 below. </w:t>
      </w:r>
    </w:p>
    <w:p w:rsidR="00183E26" w:rsidRDefault="00183E26" w:rsidP="000B3D91">
      <w:pPr>
        <w:spacing w:line="240" w:lineRule="auto"/>
        <w:rPr>
          <w:rFonts w:cs="Arial"/>
          <w:color w:val="000000" w:themeColor="text1"/>
          <w:szCs w:val="24"/>
        </w:rPr>
      </w:pPr>
    </w:p>
    <w:p w:rsidR="0023565D" w:rsidRPr="00EB4F0C" w:rsidRDefault="00183E26" w:rsidP="00183E26">
      <w:pPr>
        <w:pStyle w:val="Caption"/>
        <w:rPr>
          <w:rFonts w:cs="Arial"/>
          <w:b w:val="0"/>
          <w:szCs w:val="24"/>
        </w:rPr>
      </w:pPr>
      <w:r>
        <w:t xml:space="preserve">Figure </w:t>
      </w:r>
      <w:r w:rsidR="00F936E6">
        <w:fldChar w:fldCharType="begin"/>
      </w:r>
      <w:r w:rsidR="00434E4F">
        <w:instrText xml:space="preserve"> SEQ Figure \* ARABIC </w:instrText>
      </w:r>
      <w:r w:rsidR="00F936E6">
        <w:fldChar w:fldCharType="separate"/>
      </w:r>
      <w:r w:rsidR="005E5054">
        <w:rPr>
          <w:noProof/>
        </w:rPr>
        <w:t>4</w:t>
      </w:r>
      <w:r w:rsidR="00F936E6">
        <w:rPr>
          <w:noProof/>
        </w:rPr>
        <w:fldChar w:fldCharType="end"/>
      </w:r>
      <w:r w:rsidR="00124264">
        <w:rPr>
          <w:noProof/>
        </w:rPr>
        <w:t>:</w:t>
      </w:r>
      <w:r>
        <w:t xml:space="preserve">  Current health financing </w:t>
      </w:r>
      <w:commentRangeStart w:id="17"/>
      <w:r>
        <w:t>structure</w:t>
      </w:r>
      <w:commentRangeEnd w:id="17"/>
      <w:r>
        <w:rPr>
          <w:rStyle w:val="CommentReference"/>
          <w:rFonts w:eastAsiaTheme="minorHAnsi"/>
          <w:b w:val="0"/>
          <w:bCs w:val="0"/>
          <w:lang w:bidi="ar-SA"/>
        </w:rPr>
        <w:commentReference w:id="17"/>
      </w:r>
    </w:p>
    <w:p w:rsidR="0023565D" w:rsidRPr="00EB4F0C" w:rsidRDefault="00730A9C" w:rsidP="002E07C5">
      <w:pPr>
        <w:ind w:left="709"/>
        <w:rPr>
          <w:rFonts w:cs="Arial"/>
          <w:szCs w:val="24"/>
          <w:lang w:val="en-GB"/>
        </w:rPr>
      </w:pPr>
      <w:r w:rsidRPr="00730A9C">
        <w:rPr>
          <w:rFonts w:cs="Arial"/>
          <w:noProof/>
          <w:szCs w:val="24"/>
          <w:lang w:val="de-DE" w:eastAsia="de-DE"/>
        </w:rPr>
        <w:lastRenderedPageBreak/>
        <w:drawing>
          <wp:inline distT="0" distB="0" distL="0" distR="0">
            <wp:extent cx="5943600" cy="3333115"/>
            <wp:effectExtent l="0" t="0" r="0" b="635"/>
            <wp:docPr id="9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2" cstate="print"/>
                    <a:stretch>
                      <a:fillRect/>
                    </a:stretch>
                  </pic:blipFill>
                  <pic:spPr>
                    <a:xfrm>
                      <a:off x="0" y="0"/>
                      <a:ext cx="5943600" cy="3333115"/>
                    </a:xfrm>
                    <a:prstGeom prst="rect">
                      <a:avLst/>
                    </a:prstGeom>
                  </pic:spPr>
                </pic:pic>
              </a:graphicData>
            </a:graphic>
          </wp:inline>
        </w:drawing>
      </w:r>
    </w:p>
    <w:p w:rsidR="00183E26" w:rsidRDefault="0023565D" w:rsidP="002E07C5">
      <w:pPr>
        <w:tabs>
          <w:tab w:val="left" w:pos="284"/>
        </w:tabs>
      </w:pPr>
      <w:r w:rsidRPr="00E01E41">
        <w:rPr>
          <w:rFonts w:cs="Arial"/>
          <w:szCs w:val="24"/>
          <w:lang w:val="en-GB"/>
        </w:rPr>
        <w:t>CHF</w:t>
      </w:r>
      <w:r w:rsidRPr="00EB4F0C">
        <w:rPr>
          <w:rFonts w:cs="Arial"/>
          <w:szCs w:val="24"/>
          <w:lang w:val="en-GB"/>
        </w:rPr>
        <w:t xml:space="preserve"> premiums </w:t>
      </w:r>
      <w:r w:rsidR="000015A6" w:rsidRPr="00183E26">
        <w:t xml:space="preserve">are </w:t>
      </w:r>
      <w:r w:rsidRPr="00183E26">
        <w:t xml:space="preserve">collected </w:t>
      </w:r>
      <w:r w:rsidR="000015A6" w:rsidRPr="00183E26">
        <w:t>from members at health facilities and matched 100</w:t>
      </w:r>
      <w:r w:rsidR="00267347">
        <w:t xml:space="preserve"> percent</w:t>
      </w:r>
      <w:r w:rsidR="000015A6" w:rsidRPr="00183E26">
        <w:t xml:space="preserve"> by the government (administered by NHIF).</w:t>
      </w:r>
      <w:r w:rsidR="005607ED">
        <w:t xml:space="preserve"> With the current fragmented district CHF pools, the </w:t>
      </w:r>
      <w:r w:rsidR="005607ED" w:rsidRPr="00183E26">
        <w:t xml:space="preserve">richer </w:t>
      </w:r>
      <w:r w:rsidR="005607ED">
        <w:t>c</w:t>
      </w:r>
      <w:r w:rsidR="005607ED" w:rsidRPr="00183E26">
        <w:t xml:space="preserve">ouncils receive higher </w:t>
      </w:r>
      <w:r w:rsidR="005607ED">
        <w:t xml:space="preserve">matching funds (as </w:t>
      </w:r>
      <w:r w:rsidR="005607ED" w:rsidRPr="00183E26">
        <w:t>subsidies</w:t>
      </w:r>
      <w:r w:rsidR="005607ED">
        <w:t xml:space="preserve">) compared to the </w:t>
      </w:r>
      <w:r w:rsidR="005607ED" w:rsidRPr="00183E26">
        <w:t xml:space="preserve">poor </w:t>
      </w:r>
      <w:r w:rsidR="005607ED">
        <w:t>c</w:t>
      </w:r>
      <w:r w:rsidR="005607ED" w:rsidRPr="00183E26">
        <w:t>ouncils.</w:t>
      </w:r>
      <w:r w:rsidR="005607ED">
        <w:t xml:space="preserve"> </w:t>
      </w:r>
      <w:r w:rsidR="000015A6" w:rsidRPr="00183E26">
        <w:t xml:space="preserve">Collected premiums </w:t>
      </w:r>
      <w:r w:rsidRPr="00183E26">
        <w:t xml:space="preserve">are submitted to the </w:t>
      </w:r>
      <w:r w:rsidR="00183E26" w:rsidRPr="00183E26">
        <w:t xml:space="preserve">LGA </w:t>
      </w:r>
      <w:r w:rsidRPr="00183E26">
        <w:t xml:space="preserve">cost-sharing account, where they are pooled with user-fees. </w:t>
      </w:r>
      <w:r w:rsidR="005607ED" w:rsidRPr="00183E26">
        <w:t xml:space="preserve">At the </w:t>
      </w:r>
      <w:r w:rsidR="005607ED">
        <w:t xml:space="preserve">moment CHF </w:t>
      </w:r>
      <w:r w:rsidR="005607ED" w:rsidRPr="00183E26">
        <w:t>risk pools are relatively small and cover mostly the middle-income groups – the poorer often stay out and the richer are covered by the NHIF or private insurance.</w:t>
      </w:r>
      <w:r w:rsidR="005607ED">
        <w:t xml:space="preserve"> </w:t>
      </w:r>
    </w:p>
    <w:p w:rsidR="005607ED" w:rsidRPr="00EB4F0C" w:rsidRDefault="005607ED" w:rsidP="002E07C5">
      <w:pPr>
        <w:tabs>
          <w:tab w:val="left" w:pos="284"/>
        </w:tabs>
        <w:rPr>
          <w:rFonts w:cs="Arial"/>
          <w:szCs w:val="24"/>
          <w:lang w:val="en-GB"/>
        </w:rPr>
      </w:pPr>
    </w:p>
    <w:p w:rsidR="0023565D" w:rsidRDefault="0023565D" w:rsidP="002E07C5">
      <w:pPr>
        <w:rPr>
          <w:rFonts w:cs="Arial"/>
          <w:szCs w:val="24"/>
          <w:lang w:val="en-GB"/>
        </w:rPr>
      </w:pPr>
      <w:r w:rsidRPr="00EB4F0C">
        <w:rPr>
          <w:rFonts w:cs="Arial"/>
          <w:szCs w:val="24"/>
          <w:lang w:val="en-GB"/>
        </w:rPr>
        <w:t xml:space="preserve">The </w:t>
      </w:r>
      <w:r w:rsidRPr="00E01E41">
        <w:rPr>
          <w:rFonts w:cs="Arial"/>
          <w:szCs w:val="24"/>
          <w:lang w:val="en-GB"/>
        </w:rPr>
        <w:t>NHIF</w:t>
      </w:r>
      <w:r w:rsidRPr="00EB4F0C">
        <w:rPr>
          <w:rFonts w:cs="Arial"/>
          <w:szCs w:val="24"/>
          <w:lang w:val="en-GB"/>
        </w:rPr>
        <w:t xml:space="preserve"> has one nation-wide pool into which all </w:t>
      </w:r>
      <w:r w:rsidR="005607ED">
        <w:rPr>
          <w:rFonts w:cs="Arial"/>
          <w:szCs w:val="24"/>
          <w:lang w:val="en-GB"/>
        </w:rPr>
        <w:t xml:space="preserve">premium revenue collected together with returns from investments </w:t>
      </w:r>
      <w:proofErr w:type="gramStart"/>
      <w:r w:rsidR="005607ED">
        <w:rPr>
          <w:rFonts w:cs="Arial"/>
          <w:szCs w:val="24"/>
          <w:lang w:val="en-GB"/>
        </w:rPr>
        <w:t>are</w:t>
      </w:r>
      <w:proofErr w:type="gramEnd"/>
      <w:r w:rsidR="005607ED">
        <w:rPr>
          <w:rFonts w:cs="Arial"/>
          <w:szCs w:val="24"/>
          <w:lang w:val="en-GB"/>
        </w:rPr>
        <w:t xml:space="preserve"> deposited. </w:t>
      </w:r>
      <w:proofErr w:type="gramStart"/>
      <w:r w:rsidRPr="00EB4F0C">
        <w:rPr>
          <w:rFonts w:cs="Arial"/>
          <w:szCs w:val="24"/>
          <w:lang w:val="en-GB"/>
        </w:rPr>
        <w:t>public</w:t>
      </w:r>
      <w:proofErr w:type="gramEnd"/>
      <w:r w:rsidRPr="00EB4F0C">
        <w:rPr>
          <w:rFonts w:cs="Arial"/>
          <w:szCs w:val="24"/>
          <w:lang w:val="en-GB"/>
        </w:rPr>
        <w:t xml:space="preserve"> employees</w:t>
      </w:r>
      <w:r w:rsidR="005607ED">
        <w:rPr>
          <w:rFonts w:cs="Arial"/>
          <w:szCs w:val="24"/>
          <w:lang w:val="en-GB"/>
        </w:rPr>
        <w:t xml:space="preserve"> mandatorily contribute</w:t>
      </w:r>
      <w:r w:rsidRPr="00EB4F0C">
        <w:rPr>
          <w:rFonts w:cs="Arial"/>
          <w:szCs w:val="24"/>
          <w:lang w:val="en-GB"/>
        </w:rPr>
        <w:t xml:space="preserve"> pay and from which all members draw. The </w:t>
      </w:r>
      <w:r w:rsidR="000015A6">
        <w:rPr>
          <w:rFonts w:cs="Arial"/>
          <w:szCs w:val="24"/>
          <w:lang w:val="en-GB"/>
        </w:rPr>
        <w:t xml:space="preserve">relatively </w:t>
      </w:r>
      <w:r w:rsidRPr="00EB4F0C">
        <w:rPr>
          <w:rFonts w:cs="Arial"/>
          <w:szCs w:val="24"/>
          <w:lang w:val="en-GB"/>
        </w:rPr>
        <w:t xml:space="preserve">large pool gives it financial viability. </w:t>
      </w:r>
      <w:r w:rsidR="0056567B">
        <w:rPr>
          <w:rFonts w:cs="Arial"/>
          <w:szCs w:val="24"/>
          <w:lang w:val="en-GB"/>
        </w:rPr>
        <w:t xml:space="preserve">SHIB </w:t>
      </w:r>
      <w:r w:rsidR="00E01E41">
        <w:rPr>
          <w:rFonts w:cs="Arial"/>
          <w:szCs w:val="24"/>
          <w:lang w:val="en-GB"/>
        </w:rPr>
        <w:t xml:space="preserve">and </w:t>
      </w:r>
      <w:r w:rsidR="0056567B">
        <w:rPr>
          <w:rFonts w:cs="Arial"/>
          <w:szCs w:val="24"/>
          <w:lang w:val="en-GB"/>
        </w:rPr>
        <w:t xml:space="preserve">the </w:t>
      </w:r>
      <w:r w:rsidR="00E01E41">
        <w:rPr>
          <w:rFonts w:cs="Arial"/>
          <w:szCs w:val="24"/>
          <w:lang w:val="en-GB"/>
        </w:rPr>
        <w:t xml:space="preserve">isolated community-based or mutual health insurance schemes (CBHI/MHIS) </w:t>
      </w:r>
      <w:r w:rsidRPr="00EB4F0C">
        <w:rPr>
          <w:rFonts w:cs="Arial"/>
          <w:szCs w:val="24"/>
          <w:lang w:val="en-GB"/>
        </w:rPr>
        <w:t>on the contrary have small risk pools. In the case of CBHI/MHIS, the small size of the pool</w:t>
      </w:r>
      <w:r w:rsidR="000015A6">
        <w:rPr>
          <w:rFonts w:cs="Arial"/>
          <w:szCs w:val="24"/>
          <w:lang w:val="en-GB"/>
        </w:rPr>
        <w:t>s</w:t>
      </w:r>
      <w:r w:rsidRPr="00EB4F0C">
        <w:rPr>
          <w:rFonts w:cs="Arial"/>
          <w:szCs w:val="24"/>
          <w:lang w:val="en-GB"/>
        </w:rPr>
        <w:t xml:space="preserve"> makes pooling inefficient due to the low financial stability and sustainability, as well as limits equity effects through redistribution. In the case of </w:t>
      </w:r>
      <w:r w:rsidRPr="00EB4F0C">
        <w:rPr>
          <w:rFonts w:cs="Arial"/>
          <w:b/>
          <w:szCs w:val="24"/>
          <w:lang w:val="en-GB"/>
        </w:rPr>
        <w:t>private insurance</w:t>
      </w:r>
      <w:r w:rsidRPr="00EB4F0C">
        <w:rPr>
          <w:rFonts w:cs="Arial"/>
          <w:szCs w:val="24"/>
          <w:lang w:val="en-GB"/>
        </w:rPr>
        <w:t xml:space="preserve">, the risk-pool is only balancing risks partially as insurance contracts are written individually, negotiated between the company </w:t>
      </w:r>
      <w:proofErr w:type="gramStart"/>
      <w:r w:rsidRPr="00EB4F0C">
        <w:rPr>
          <w:rFonts w:cs="Arial"/>
          <w:szCs w:val="24"/>
          <w:lang w:val="en-GB"/>
        </w:rPr>
        <w:t>or</w:t>
      </w:r>
      <w:proofErr w:type="gramEnd"/>
      <w:r w:rsidRPr="00EB4F0C">
        <w:rPr>
          <w:rFonts w:cs="Arial"/>
          <w:szCs w:val="24"/>
          <w:lang w:val="en-GB"/>
        </w:rPr>
        <w:t xml:space="preserve"> individual seeking insurance cover.</w:t>
      </w:r>
    </w:p>
    <w:p w:rsidR="00E01E41" w:rsidRPr="00EB4F0C" w:rsidRDefault="00E01E41" w:rsidP="002E07C5">
      <w:pPr>
        <w:rPr>
          <w:rFonts w:cs="Arial"/>
          <w:szCs w:val="24"/>
          <w:lang w:val="en-GB"/>
        </w:rPr>
      </w:pPr>
    </w:p>
    <w:p w:rsidR="00E01E41" w:rsidRPr="00E01E41" w:rsidRDefault="00E01E41" w:rsidP="00E01E41">
      <w:pPr>
        <w:spacing w:after="120"/>
        <w:rPr>
          <w:rFonts w:cs="Arial"/>
          <w:b/>
          <w:color w:val="000000" w:themeColor="text1"/>
          <w:szCs w:val="24"/>
        </w:rPr>
      </w:pPr>
      <w:r w:rsidRPr="00E01E41">
        <w:rPr>
          <w:rFonts w:cs="Arial"/>
          <w:b/>
          <w:color w:val="000000" w:themeColor="text1"/>
          <w:szCs w:val="24"/>
        </w:rPr>
        <w:t>Challenges</w:t>
      </w:r>
    </w:p>
    <w:p w:rsidR="0023565D" w:rsidRPr="00EB4F0C" w:rsidRDefault="0023565D" w:rsidP="00E01E41">
      <w:r w:rsidRPr="00EB4F0C">
        <w:t xml:space="preserve">The main challenge observed is the fragmentation of the </w:t>
      </w:r>
      <w:r w:rsidR="000015A6">
        <w:t>health insurance landscape</w:t>
      </w:r>
      <w:r w:rsidRPr="00EB4F0C">
        <w:t xml:space="preserve">. This fragmentation begins from the </w:t>
      </w:r>
      <w:r w:rsidR="000015A6">
        <w:t>governance structures of the schemes</w:t>
      </w:r>
      <w:r w:rsidRPr="00EB4F0C">
        <w:t>, where different ministries are responsible for different health insurance</w:t>
      </w:r>
      <w:r w:rsidR="000015A6">
        <w:t>s</w:t>
      </w:r>
      <w:r w:rsidRPr="00EB4F0C">
        <w:t xml:space="preserve"> including the </w:t>
      </w:r>
      <w:proofErr w:type="spellStart"/>
      <w:r w:rsidRPr="00EB4F0C">
        <w:t>MoHSW</w:t>
      </w:r>
      <w:proofErr w:type="spellEnd"/>
      <w:r w:rsidRPr="00EB4F0C">
        <w:t xml:space="preserve">, </w:t>
      </w:r>
      <w:r w:rsidRPr="00EB4F0C">
        <w:lastRenderedPageBreak/>
        <w:t xml:space="preserve">MOF, MOL and PMO-RALG. Fragmentation within the </w:t>
      </w:r>
      <w:r w:rsidR="000015A6">
        <w:t>health insurance landscape</w:t>
      </w:r>
      <w:r w:rsidRPr="00EB4F0C">
        <w:t xml:space="preserve"> manifests itself in coordination difficulties of strategizing, resources and functions amongst the actors, duplication of activities and processes, not profiting from economies of scale, wastage of resources in the absence of an integrated approach and a strategy to achieve formulated policy goals. Another significant challenge posed by fragmentation is the lack of cross-subsidization from the wealthy to the poor. </w:t>
      </w:r>
    </w:p>
    <w:p w:rsidR="00611A58" w:rsidRPr="00EB4F0C" w:rsidRDefault="00611A58" w:rsidP="00E01E41"/>
    <w:p w:rsidR="0023565D" w:rsidRPr="00EB4F0C" w:rsidRDefault="0023565D" w:rsidP="00E01E41">
      <w:pPr>
        <w:pStyle w:val="Heading2"/>
      </w:pPr>
      <w:bookmarkStart w:id="18" w:name="_Toc406497970"/>
      <w:r w:rsidRPr="00EB4F0C">
        <w:t xml:space="preserve">Purchasing, </w:t>
      </w:r>
      <w:r w:rsidR="00E01E41">
        <w:t>p</w:t>
      </w:r>
      <w:r w:rsidRPr="00EB4F0C">
        <w:t xml:space="preserve">ayment, </w:t>
      </w:r>
      <w:r w:rsidR="00E01E41">
        <w:t>and a</w:t>
      </w:r>
      <w:r w:rsidRPr="00EB4F0C">
        <w:t>llocation of resources</w:t>
      </w:r>
      <w:bookmarkEnd w:id="18"/>
    </w:p>
    <w:p w:rsidR="00905546" w:rsidRDefault="00905546" w:rsidP="00905546">
      <w:pPr>
        <w:pStyle w:val="Heading3"/>
      </w:pPr>
      <w:bookmarkStart w:id="19" w:name="_Toc406497971"/>
      <w:r>
        <w:t>Provider payment mechanisms and</w:t>
      </w:r>
      <w:bookmarkEnd w:id="19"/>
      <w:r>
        <w:t xml:space="preserve"> </w:t>
      </w:r>
    </w:p>
    <w:p w:rsidR="005607ED" w:rsidRDefault="005607ED" w:rsidP="002E07C5">
      <w:pPr>
        <w:rPr>
          <w:rFonts w:cs="Arial"/>
          <w:szCs w:val="24"/>
        </w:rPr>
      </w:pPr>
      <w:r>
        <w:rPr>
          <w:rFonts w:cs="Arial"/>
          <w:szCs w:val="24"/>
        </w:rPr>
        <w:t xml:space="preserve">CHF funds </w:t>
      </w:r>
      <w:r w:rsidRPr="00183E26">
        <w:t>flow back to health facilities through CCHP activities budgeted from cost-sharing funds.</w:t>
      </w:r>
      <w:r>
        <w:t xml:space="preserve"> There is no clear separation between a purchaser of health care services and providers.</w:t>
      </w:r>
      <w:r w:rsidRPr="00183E26">
        <w:t xml:space="preserve"> </w:t>
      </w:r>
      <w:r>
        <w:t xml:space="preserve">In the majority of councils CHF cards are not portable across providers and benefit package is limited to one primary facility of household choice. </w:t>
      </w:r>
      <w:r w:rsidRPr="00183E26">
        <w:t>In addition, the limited portability of benefits undermines the risk-pooling potential of CHF/</w:t>
      </w:r>
      <w:r>
        <w:t>T</w:t>
      </w:r>
      <w:r w:rsidRPr="00183E26">
        <w:t>IKA.</w:t>
      </w:r>
    </w:p>
    <w:p w:rsidR="005607ED" w:rsidRDefault="005607ED" w:rsidP="002E07C5">
      <w:pPr>
        <w:rPr>
          <w:rFonts w:cs="Arial"/>
          <w:szCs w:val="24"/>
        </w:rPr>
      </w:pPr>
    </w:p>
    <w:p w:rsidR="001D4B9E" w:rsidRDefault="0023565D" w:rsidP="002E07C5">
      <w:pPr>
        <w:rPr>
          <w:rFonts w:cs="Arial"/>
          <w:szCs w:val="24"/>
        </w:rPr>
      </w:pPr>
      <w:r w:rsidRPr="00EB4F0C">
        <w:rPr>
          <w:rFonts w:cs="Arial"/>
          <w:szCs w:val="24"/>
        </w:rPr>
        <w:t>There is currently no single provider payment mechanism in Tanzania and each insurance scheme has its own pr</w:t>
      </w:r>
      <w:r w:rsidR="002307C4">
        <w:rPr>
          <w:rFonts w:cs="Arial"/>
          <w:szCs w:val="24"/>
        </w:rPr>
        <w:t>ovider payment system. While CHF</w:t>
      </w:r>
      <w:r w:rsidRPr="00EB4F0C">
        <w:rPr>
          <w:rFonts w:cs="Arial"/>
          <w:szCs w:val="24"/>
        </w:rPr>
        <w:t>, SHIB and CBHI use capitation, NHI</w:t>
      </w:r>
      <w:r w:rsidR="00E01E41">
        <w:rPr>
          <w:rFonts w:cs="Arial"/>
          <w:szCs w:val="24"/>
        </w:rPr>
        <w:t>F and private insurance use fee-for-</w:t>
      </w:r>
      <w:r w:rsidRPr="00EB4F0C">
        <w:rPr>
          <w:rFonts w:cs="Arial"/>
          <w:szCs w:val="24"/>
        </w:rPr>
        <w:t xml:space="preserve">service. At the LGA level, </w:t>
      </w:r>
      <w:r w:rsidR="00F653B9">
        <w:rPr>
          <w:rFonts w:cs="Arial"/>
          <w:szCs w:val="24"/>
        </w:rPr>
        <w:t>budget</w:t>
      </w:r>
      <w:r w:rsidR="00E01E41">
        <w:rPr>
          <w:rFonts w:cs="Arial"/>
          <w:szCs w:val="24"/>
        </w:rPr>
        <w:t>ary</w:t>
      </w:r>
      <w:r w:rsidR="00F653B9">
        <w:rPr>
          <w:rFonts w:cs="Arial"/>
          <w:szCs w:val="24"/>
        </w:rPr>
        <w:t xml:space="preserve"> transfer </w:t>
      </w:r>
      <w:r w:rsidRPr="00EB4F0C">
        <w:rPr>
          <w:rFonts w:cs="Arial"/>
          <w:szCs w:val="24"/>
        </w:rPr>
        <w:t>is used for O</w:t>
      </w:r>
      <w:r w:rsidR="00E01E41">
        <w:rPr>
          <w:rFonts w:cs="Arial"/>
          <w:szCs w:val="24"/>
        </w:rPr>
        <w:t xml:space="preserve">ther Charges, the non-salary recurrent costs, </w:t>
      </w:r>
      <w:r w:rsidRPr="00EB4F0C">
        <w:rPr>
          <w:rFonts w:cs="Arial"/>
          <w:szCs w:val="24"/>
        </w:rPr>
        <w:t xml:space="preserve">and </w:t>
      </w:r>
      <w:r w:rsidR="00E01E41">
        <w:rPr>
          <w:rFonts w:cs="Arial"/>
          <w:szCs w:val="24"/>
        </w:rPr>
        <w:t xml:space="preserve">for the </w:t>
      </w:r>
      <w:r w:rsidRPr="00EB4F0C">
        <w:rPr>
          <w:rFonts w:cs="Arial"/>
          <w:szCs w:val="24"/>
        </w:rPr>
        <w:t>HBF, whereas other key flows employ other mechanisms such as user fees and NHIF</w:t>
      </w:r>
      <w:r w:rsidR="00F653B9">
        <w:rPr>
          <w:rFonts w:cs="Arial"/>
          <w:szCs w:val="24"/>
        </w:rPr>
        <w:t xml:space="preserve"> reimbursements, </w:t>
      </w:r>
      <w:commentRangeStart w:id="20"/>
      <w:r w:rsidRPr="00EB4F0C">
        <w:rPr>
          <w:rFonts w:cs="Arial"/>
          <w:szCs w:val="24"/>
        </w:rPr>
        <w:t>fla</w:t>
      </w:r>
      <w:r w:rsidR="00F653B9">
        <w:rPr>
          <w:rFonts w:cs="Arial"/>
          <w:szCs w:val="24"/>
        </w:rPr>
        <w:t>t rate incentive payments (</w:t>
      </w:r>
      <w:r w:rsidR="00194B83">
        <w:rPr>
          <w:rFonts w:cs="Arial"/>
          <w:szCs w:val="24"/>
        </w:rPr>
        <w:t>RBF</w:t>
      </w:r>
      <w:r w:rsidR="00F653B9">
        <w:rPr>
          <w:rFonts w:cs="Arial"/>
          <w:szCs w:val="24"/>
        </w:rPr>
        <w:t>).</w:t>
      </w:r>
      <w:commentRangeEnd w:id="20"/>
      <w:r w:rsidR="00F114B6">
        <w:rPr>
          <w:rStyle w:val="CommentReference"/>
        </w:rPr>
        <w:commentReference w:id="20"/>
      </w:r>
    </w:p>
    <w:p w:rsidR="001D4B9E" w:rsidRPr="00EB4F0C" w:rsidRDefault="001D4B9E" w:rsidP="0056567B">
      <w:pPr>
        <w:rPr>
          <w:rFonts w:cs="Arial"/>
          <w:szCs w:val="24"/>
        </w:rPr>
      </w:pPr>
    </w:p>
    <w:p w:rsidR="001D4B9E" w:rsidRPr="001D4B9E" w:rsidRDefault="001D4B9E" w:rsidP="002E07C5">
      <w:pPr>
        <w:rPr>
          <w:rFonts w:asciiTheme="majorHAnsi" w:eastAsiaTheme="majorEastAsia" w:hAnsiTheme="majorHAnsi" w:cstheme="majorBidi"/>
          <w:b/>
          <w:bCs/>
          <w:color w:val="4F81BD" w:themeColor="accent1"/>
        </w:rPr>
      </w:pPr>
      <w:r w:rsidRPr="001D4B9E">
        <w:rPr>
          <w:rFonts w:asciiTheme="majorHAnsi" w:eastAsia="SimSun" w:hAnsiTheme="majorHAnsi" w:cstheme="majorBidi"/>
          <w:b/>
          <w:bCs/>
          <w:color w:val="4F81BD" w:themeColor="accent1"/>
          <w:lang w:eastAsia="zh-CN"/>
        </w:rPr>
        <w:t>3.3.2</w:t>
      </w:r>
      <w:r w:rsidRPr="001D4B9E">
        <w:rPr>
          <w:rFonts w:asciiTheme="majorHAnsi" w:eastAsiaTheme="majorEastAsia" w:hAnsiTheme="majorHAnsi" w:cstheme="majorBidi"/>
          <w:b/>
          <w:bCs/>
          <w:color w:val="4F81BD" w:themeColor="accent1"/>
        </w:rPr>
        <w:t xml:space="preserve"> </w:t>
      </w:r>
      <w:r w:rsidRPr="001D4B9E">
        <w:rPr>
          <w:rFonts w:asciiTheme="majorHAnsi" w:eastAsiaTheme="majorEastAsia" w:hAnsiTheme="majorHAnsi" w:cstheme="majorBidi"/>
          <w:b/>
          <w:bCs/>
          <w:color w:val="4F81BD" w:themeColor="accent1"/>
        </w:rPr>
        <w:tab/>
        <w:t>Resource Allocation</w:t>
      </w:r>
    </w:p>
    <w:p w:rsidR="0023565D" w:rsidRPr="00EB4F0C" w:rsidRDefault="0023565D" w:rsidP="002E07C5">
      <w:pPr>
        <w:rPr>
          <w:rFonts w:cs="Arial"/>
          <w:szCs w:val="24"/>
        </w:rPr>
      </w:pPr>
      <w:r w:rsidRPr="00EB4F0C">
        <w:rPr>
          <w:rFonts w:cs="Arial"/>
          <w:szCs w:val="24"/>
        </w:rPr>
        <w:t xml:space="preserve">Resources </w:t>
      </w:r>
      <w:r w:rsidR="00F653B9">
        <w:rPr>
          <w:rFonts w:cs="Arial"/>
          <w:szCs w:val="24"/>
        </w:rPr>
        <w:t xml:space="preserve">for </w:t>
      </w:r>
      <w:r w:rsidR="00362C71">
        <w:rPr>
          <w:rFonts w:cs="Arial"/>
          <w:szCs w:val="24"/>
        </w:rPr>
        <w:t xml:space="preserve">the HBF </w:t>
      </w:r>
      <w:r w:rsidRPr="00EB4F0C">
        <w:rPr>
          <w:rFonts w:cs="Arial"/>
          <w:szCs w:val="24"/>
        </w:rPr>
        <w:t xml:space="preserve">are allocated </w:t>
      </w:r>
      <w:r w:rsidR="00871B7E">
        <w:rPr>
          <w:rFonts w:cs="Arial"/>
          <w:szCs w:val="24"/>
        </w:rPr>
        <w:t>according to a</w:t>
      </w:r>
      <w:r w:rsidR="00F653B9">
        <w:rPr>
          <w:rFonts w:cs="Arial"/>
          <w:szCs w:val="24"/>
        </w:rPr>
        <w:t xml:space="preserve"> formula</w:t>
      </w:r>
      <w:r w:rsidR="00871B7E">
        <w:rPr>
          <w:rFonts w:cs="Arial"/>
          <w:szCs w:val="24"/>
        </w:rPr>
        <w:t xml:space="preserve"> based largely on population (60</w:t>
      </w:r>
      <w:r w:rsidR="00267347">
        <w:rPr>
          <w:rFonts w:cs="Arial"/>
          <w:szCs w:val="24"/>
        </w:rPr>
        <w:t xml:space="preserve"> percent</w:t>
      </w:r>
      <w:r w:rsidR="00871B7E">
        <w:rPr>
          <w:rFonts w:cs="Arial"/>
          <w:szCs w:val="24"/>
        </w:rPr>
        <w:t>)</w:t>
      </w:r>
      <w:r w:rsidR="00F653B9">
        <w:rPr>
          <w:rFonts w:cs="Arial"/>
          <w:szCs w:val="24"/>
        </w:rPr>
        <w:t>.</w:t>
      </w:r>
      <w:r w:rsidRPr="00EB4F0C">
        <w:rPr>
          <w:rFonts w:cs="Arial"/>
          <w:szCs w:val="24"/>
        </w:rPr>
        <w:t xml:space="preserve"> The </w:t>
      </w:r>
      <w:r w:rsidR="00F653B9">
        <w:rPr>
          <w:rFonts w:cs="Arial"/>
          <w:szCs w:val="24"/>
        </w:rPr>
        <w:t>formula</w:t>
      </w:r>
      <w:r w:rsidR="00871B7E">
        <w:rPr>
          <w:rFonts w:cs="Arial"/>
          <w:szCs w:val="24"/>
        </w:rPr>
        <w:t xml:space="preserve"> is</w:t>
      </w:r>
      <w:r w:rsidR="00F653B9">
        <w:rPr>
          <w:rFonts w:cs="Arial"/>
          <w:szCs w:val="24"/>
        </w:rPr>
        <w:t xml:space="preserve"> designed to improve equity through the inclusion of weights for factors </w:t>
      </w:r>
      <w:r w:rsidRPr="00EB4F0C">
        <w:rPr>
          <w:rFonts w:cs="Arial"/>
          <w:szCs w:val="24"/>
        </w:rPr>
        <w:t>influenc</w:t>
      </w:r>
      <w:r w:rsidR="00362C71">
        <w:rPr>
          <w:rFonts w:cs="Arial"/>
          <w:szCs w:val="24"/>
        </w:rPr>
        <w:t>ing</w:t>
      </w:r>
      <w:r w:rsidRPr="00EB4F0C">
        <w:rPr>
          <w:rFonts w:cs="Arial"/>
          <w:szCs w:val="24"/>
        </w:rPr>
        <w:t xml:space="preserve"> the need for funding in different geographical locations.  Currently, these factors are poverty</w:t>
      </w:r>
      <w:r w:rsidR="00861AA4">
        <w:rPr>
          <w:rFonts w:cs="Arial"/>
          <w:szCs w:val="24"/>
        </w:rPr>
        <w:t xml:space="preserve"> </w:t>
      </w:r>
      <w:r w:rsidR="0058066E">
        <w:rPr>
          <w:rFonts w:cs="Arial"/>
          <w:szCs w:val="24"/>
        </w:rPr>
        <w:t>(10</w:t>
      </w:r>
      <w:r w:rsidR="00267347">
        <w:rPr>
          <w:rFonts w:cs="Arial"/>
          <w:szCs w:val="24"/>
        </w:rPr>
        <w:t xml:space="preserve"> percent</w:t>
      </w:r>
      <w:r w:rsidR="0058066E">
        <w:rPr>
          <w:rFonts w:cs="Arial"/>
          <w:szCs w:val="24"/>
        </w:rPr>
        <w:t>)</w:t>
      </w:r>
      <w:r w:rsidRPr="00EB4F0C">
        <w:rPr>
          <w:rFonts w:cs="Arial"/>
          <w:szCs w:val="24"/>
        </w:rPr>
        <w:t xml:space="preserve">, health </w:t>
      </w:r>
      <w:r w:rsidR="00F653B9">
        <w:rPr>
          <w:rFonts w:cs="Arial"/>
          <w:szCs w:val="24"/>
        </w:rPr>
        <w:t>need</w:t>
      </w:r>
      <w:r w:rsidR="00362C71">
        <w:rPr>
          <w:rFonts w:cs="Arial"/>
          <w:szCs w:val="24"/>
        </w:rPr>
        <w:t>,</w:t>
      </w:r>
      <w:r w:rsidR="00F653B9">
        <w:rPr>
          <w:rFonts w:cs="Arial"/>
          <w:szCs w:val="24"/>
        </w:rPr>
        <w:t xml:space="preserve"> </w:t>
      </w:r>
      <w:proofErr w:type="spellStart"/>
      <w:r w:rsidR="00F653B9">
        <w:rPr>
          <w:rFonts w:cs="Arial"/>
          <w:szCs w:val="24"/>
        </w:rPr>
        <w:t>proxied</w:t>
      </w:r>
      <w:proofErr w:type="spellEnd"/>
      <w:r w:rsidR="00F653B9">
        <w:rPr>
          <w:rFonts w:cs="Arial"/>
          <w:szCs w:val="24"/>
        </w:rPr>
        <w:t xml:space="preserve"> by the under-five m</w:t>
      </w:r>
      <w:r w:rsidRPr="00EB4F0C">
        <w:rPr>
          <w:rFonts w:cs="Arial"/>
          <w:szCs w:val="24"/>
        </w:rPr>
        <w:t xml:space="preserve">ortality </w:t>
      </w:r>
      <w:r w:rsidR="00F653B9">
        <w:rPr>
          <w:rFonts w:cs="Arial"/>
          <w:szCs w:val="24"/>
        </w:rPr>
        <w:t>r</w:t>
      </w:r>
      <w:r w:rsidRPr="00EB4F0C">
        <w:rPr>
          <w:rFonts w:cs="Arial"/>
          <w:szCs w:val="24"/>
        </w:rPr>
        <w:t>ate</w:t>
      </w:r>
      <w:r w:rsidR="0058066E">
        <w:rPr>
          <w:rFonts w:cs="Arial"/>
          <w:szCs w:val="24"/>
        </w:rPr>
        <w:t xml:space="preserve"> (10</w:t>
      </w:r>
      <w:r w:rsidR="00267347">
        <w:rPr>
          <w:rFonts w:cs="Arial"/>
          <w:szCs w:val="24"/>
        </w:rPr>
        <w:t xml:space="preserve"> percent</w:t>
      </w:r>
      <w:r w:rsidR="0058066E">
        <w:rPr>
          <w:rFonts w:cs="Arial"/>
          <w:szCs w:val="24"/>
        </w:rPr>
        <w:t>)</w:t>
      </w:r>
      <w:r w:rsidR="00F653B9">
        <w:rPr>
          <w:rFonts w:cs="Arial"/>
          <w:szCs w:val="24"/>
        </w:rPr>
        <w:t>,</w:t>
      </w:r>
      <w:r w:rsidRPr="00EB4F0C">
        <w:rPr>
          <w:rFonts w:cs="Arial"/>
          <w:szCs w:val="24"/>
        </w:rPr>
        <w:t xml:space="preserve"> and the size of the council</w:t>
      </w:r>
      <w:r w:rsidR="00362C71">
        <w:rPr>
          <w:rFonts w:cs="Arial"/>
          <w:szCs w:val="24"/>
        </w:rPr>
        <w:t>,</w:t>
      </w:r>
      <w:r w:rsidRPr="00EB4F0C">
        <w:rPr>
          <w:rFonts w:cs="Arial"/>
          <w:szCs w:val="24"/>
        </w:rPr>
        <w:t xml:space="preserve"> to reflect cost differentials, with higher land areas or lower population density resulting in higher costs of supervision, distribution of supplies etc</w:t>
      </w:r>
      <w:r w:rsidR="00362C71">
        <w:rPr>
          <w:rFonts w:cs="Arial"/>
          <w:szCs w:val="24"/>
        </w:rPr>
        <w:t xml:space="preserve"> (20</w:t>
      </w:r>
      <w:r w:rsidR="00267347">
        <w:rPr>
          <w:rFonts w:cs="Arial"/>
          <w:szCs w:val="24"/>
        </w:rPr>
        <w:t xml:space="preserve"> percent</w:t>
      </w:r>
      <w:r w:rsidR="00362C71">
        <w:rPr>
          <w:rFonts w:cs="Arial"/>
          <w:szCs w:val="24"/>
        </w:rPr>
        <w:t>)</w:t>
      </w:r>
      <w:r w:rsidRPr="00EB4F0C">
        <w:rPr>
          <w:rFonts w:cs="Arial"/>
          <w:szCs w:val="24"/>
        </w:rPr>
        <w:t xml:space="preserve">. </w:t>
      </w:r>
      <w:r w:rsidR="0058066E">
        <w:rPr>
          <w:rFonts w:cs="Arial"/>
          <w:szCs w:val="24"/>
        </w:rPr>
        <w:t xml:space="preserve">The allocation of the OC </w:t>
      </w:r>
      <w:r w:rsidR="00861AA4">
        <w:rPr>
          <w:rFonts w:cs="Arial"/>
          <w:szCs w:val="24"/>
        </w:rPr>
        <w:t>follows a broadly</w:t>
      </w:r>
      <w:r w:rsidR="0058066E">
        <w:rPr>
          <w:rFonts w:cs="Arial"/>
          <w:szCs w:val="24"/>
        </w:rPr>
        <w:t xml:space="preserve"> similar formula</w:t>
      </w:r>
      <w:r w:rsidR="00861AA4">
        <w:rPr>
          <w:rFonts w:cs="Arial"/>
          <w:szCs w:val="24"/>
        </w:rPr>
        <w:t xml:space="preserve"> adjusted by other factors identified by the Ministry of Finance. </w:t>
      </w:r>
      <w:r w:rsidR="0058066E">
        <w:rPr>
          <w:rFonts w:cs="Arial"/>
          <w:szCs w:val="24"/>
        </w:rPr>
        <w:t xml:space="preserve"> </w:t>
      </w:r>
      <w:r w:rsidRPr="00EB4F0C">
        <w:rPr>
          <w:rFonts w:cs="Arial"/>
          <w:szCs w:val="24"/>
        </w:rPr>
        <w:t xml:space="preserve"> </w:t>
      </w:r>
    </w:p>
    <w:p w:rsidR="0023565D" w:rsidRPr="00EB4F0C" w:rsidRDefault="0023565D" w:rsidP="002E07C5">
      <w:pPr>
        <w:rPr>
          <w:rFonts w:cs="Arial"/>
          <w:szCs w:val="24"/>
        </w:rPr>
      </w:pPr>
    </w:p>
    <w:p w:rsidR="001D4B9E" w:rsidRDefault="001D4B9E" w:rsidP="001D4B9E">
      <w:pPr>
        <w:rPr>
          <w:rFonts w:cs="Arial"/>
          <w:szCs w:val="24"/>
        </w:rPr>
      </w:pPr>
      <w:r w:rsidRPr="00EB4F0C">
        <w:rPr>
          <w:rFonts w:cs="Arial"/>
          <w:szCs w:val="24"/>
        </w:rPr>
        <w:t xml:space="preserve">With regard to salaries, </w:t>
      </w:r>
      <w:r>
        <w:rPr>
          <w:rFonts w:cs="Arial"/>
          <w:szCs w:val="24"/>
        </w:rPr>
        <w:t xml:space="preserve">health workers based in </w:t>
      </w:r>
      <w:r w:rsidRPr="00EB4F0C">
        <w:rPr>
          <w:rFonts w:cs="Arial"/>
          <w:szCs w:val="24"/>
        </w:rPr>
        <w:t xml:space="preserve">government </w:t>
      </w:r>
      <w:r>
        <w:rPr>
          <w:rFonts w:cs="Arial"/>
          <w:szCs w:val="24"/>
        </w:rPr>
        <w:t xml:space="preserve">health facilities, and some of those in faith-based organizations, </w:t>
      </w:r>
      <w:r w:rsidRPr="00EB4F0C">
        <w:rPr>
          <w:rFonts w:cs="Arial"/>
          <w:szCs w:val="24"/>
        </w:rPr>
        <w:t>are remunerated through monthly salaries</w:t>
      </w:r>
      <w:r>
        <w:rPr>
          <w:rFonts w:cs="Arial"/>
          <w:szCs w:val="24"/>
        </w:rPr>
        <w:t xml:space="preserve"> which are a separate funding stream directly from MOF</w:t>
      </w:r>
      <w:r w:rsidRPr="00EB4F0C">
        <w:rPr>
          <w:rFonts w:cs="Arial"/>
          <w:szCs w:val="24"/>
        </w:rPr>
        <w:t>.  For the government sector, this is based on nationally agreed pay scales, determined under the President’s Office – Public Service Management</w:t>
      </w:r>
      <w:r>
        <w:rPr>
          <w:rFonts w:cs="Arial"/>
          <w:szCs w:val="24"/>
        </w:rPr>
        <w:t xml:space="preserve"> (PO-PSM)</w:t>
      </w:r>
      <w:r w:rsidRPr="00EB4F0C">
        <w:rPr>
          <w:rFonts w:cs="Arial"/>
          <w:szCs w:val="24"/>
        </w:rPr>
        <w:t xml:space="preserve">. </w:t>
      </w:r>
    </w:p>
    <w:p w:rsidR="0023565D" w:rsidRPr="00EB4F0C" w:rsidRDefault="0023565D" w:rsidP="002E07C5">
      <w:pPr>
        <w:rPr>
          <w:rFonts w:cs="Arial"/>
          <w:szCs w:val="24"/>
        </w:rPr>
      </w:pPr>
      <w:r w:rsidRPr="00EB4F0C">
        <w:rPr>
          <w:rFonts w:cs="Arial"/>
          <w:szCs w:val="24"/>
        </w:rPr>
        <w:t xml:space="preserve"> </w:t>
      </w:r>
    </w:p>
    <w:p w:rsidR="0023565D" w:rsidRPr="00EB4F0C" w:rsidRDefault="0023565D" w:rsidP="002E07C5">
      <w:pPr>
        <w:rPr>
          <w:rFonts w:cs="Arial"/>
          <w:szCs w:val="24"/>
        </w:rPr>
      </w:pPr>
    </w:p>
    <w:p w:rsidR="006C7C8D" w:rsidRPr="00EB4F0C" w:rsidRDefault="006C7C8D" w:rsidP="00905546">
      <w:pPr>
        <w:pStyle w:val="Heading3"/>
        <w:rPr>
          <w:rFonts w:eastAsia="SimSun"/>
          <w:lang w:eastAsia="zh-CN"/>
        </w:rPr>
      </w:pPr>
      <w:bookmarkStart w:id="21" w:name="_Toc406497972"/>
      <w:commentRangeStart w:id="22"/>
      <w:r w:rsidRPr="00EB4F0C">
        <w:rPr>
          <w:rFonts w:eastAsia="SimSun"/>
          <w:lang w:eastAsia="zh-CN"/>
        </w:rPr>
        <w:lastRenderedPageBreak/>
        <w:t>User-Fees and Waivers/Exemptions</w:t>
      </w:r>
      <w:commentRangeEnd w:id="22"/>
      <w:r w:rsidR="00F114B6">
        <w:rPr>
          <w:rStyle w:val="CommentReference"/>
          <w:rFonts w:ascii="Arial" w:eastAsiaTheme="minorHAnsi" w:hAnsi="Arial" w:cstheme="minorBidi"/>
          <w:b w:val="0"/>
          <w:bCs w:val="0"/>
          <w:color w:val="auto"/>
        </w:rPr>
        <w:commentReference w:id="22"/>
      </w:r>
      <w:bookmarkEnd w:id="21"/>
    </w:p>
    <w:p w:rsidR="006C7C8D" w:rsidRPr="00EB4F0C" w:rsidRDefault="006C7C8D" w:rsidP="00905546">
      <w:pPr>
        <w:rPr>
          <w:lang w:eastAsia="zh-CN"/>
        </w:rPr>
      </w:pPr>
      <w:r w:rsidRPr="00EB4F0C">
        <w:rPr>
          <w:lang w:eastAsia="zh-CN"/>
        </w:rPr>
        <w:t xml:space="preserve">In </w:t>
      </w:r>
      <w:r w:rsidR="00905546">
        <w:rPr>
          <w:lang w:eastAsia="zh-CN"/>
        </w:rPr>
        <w:t>FY</w:t>
      </w:r>
      <w:r w:rsidRPr="00EB4F0C">
        <w:rPr>
          <w:lang w:eastAsia="zh-CN"/>
        </w:rPr>
        <w:t>2010/11 user-fee revenue was reported to be T</w:t>
      </w:r>
      <w:r w:rsidR="00905546">
        <w:rPr>
          <w:lang w:eastAsia="zh-CN"/>
        </w:rPr>
        <w:t>ZS</w:t>
      </w:r>
      <w:r w:rsidRPr="00EB4F0C">
        <w:rPr>
          <w:lang w:eastAsia="zh-CN"/>
        </w:rPr>
        <w:t xml:space="preserve"> 10.1bn, which </w:t>
      </w:r>
      <w:r w:rsidR="00905546">
        <w:rPr>
          <w:lang w:eastAsia="zh-CN"/>
        </w:rPr>
        <w:t xml:space="preserve">was </w:t>
      </w:r>
      <w:r w:rsidRPr="00EB4F0C">
        <w:rPr>
          <w:lang w:eastAsia="zh-CN"/>
        </w:rPr>
        <w:t>about 1.1</w:t>
      </w:r>
      <w:r w:rsidR="00267347">
        <w:rPr>
          <w:lang w:eastAsia="zh-CN"/>
        </w:rPr>
        <w:t xml:space="preserve"> percent</w:t>
      </w:r>
      <w:r w:rsidRPr="00EB4F0C">
        <w:rPr>
          <w:lang w:eastAsia="zh-CN"/>
        </w:rPr>
        <w:t xml:space="preserve"> of the total health budget in that year. Despite the </w:t>
      </w:r>
      <w:r w:rsidR="00905546">
        <w:rPr>
          <w:lang w:eastAsia="zh-CN"/>
        </w:rPr>
        <w:t xml:space="preserve">relatively </w:t>
      </w:r>
      <w:r w:rsidRPr="00EB4F0C">
        <w:rPr>
          <w:lang w:eastAsia="zh-CN"/>
        </w:rPr>
        <w:t xml:space="preserve">low </w:t>
      </w:r>
      <w:r w:rsidR="00905546">
        <w:rPr>
          <w:lang w:eastAsia="zh-CN"/>
        </w:rPr>
        <w:t xml:space="preserve">contribution to the total resource envelope, </w:t>
      </w:r>
      <w:r w:rsidRPr="00EB4F0C">
        <w:rPr>
          <w:lang w:eastAsia="zh-CN"/>
        </w:rPr>
        <w:t xml:space="preserve">it has repeatedly been argued that user-fees are an important source of revenue at the local level, assuring a minimum availability and quality of services and drugs. </w:t>
      </w:r>
    </w:p>
    <w:p w:rsidR="006C7C8D" w:rsidRPr="00EB4F0C" w:rsidRDefault="006C7C8D" w:rsidP="00905546">
      <w:pPr>
        <w:rPr>
          <w:lang w:eastAsia="zh-CN"/>
        </w:rPr>
      </w:pPr>
    </w:p>
    <w:p w:rsidR="006C7C8D" w:rsidRPr="00EB4F0C" w:rsidRDefault="006C7C8D" w:rsidP="005D51BE">
      <w:pPr>
        <w:rPr>
          <w:lang w:val="en-GB" w:eastAsia="zh-CN"/>
        </w:rPr>
      </w:pPr>
      <w:r w:rsidRPr="00EB4F0C">
        <w:rPr>
          <w:lang w:eastAsia="zh-CN"/>
        </w:rPr>
        <w:t xml:space="preserve">The waiver and exemption policy </w:t>
      </w:r>
      <w:r w:rsidR="00905546">
        <w:rPr>
          <w:lang w:eastAsia="zh-CN"/>
        </w:rPr>
        <w:t xml:space="preserve">was </w:t>
      </w:r>
      <w:r w:rsidRPr="00EB4F0C">
        <w:rPr>
          <w:lang w:eastAsia="zh-CN"/>
        </w:rPr>
        <w:t xml:space="preserve">designed to provide relief for the poor and to </w:t>
      </w:r>
      <w:r w:rsidR="00905546">
        <w:rPr>
          <w:lang w:eastAsia="zh-CN"/>
        </w:rPr>
        <w:t xml:space="preserve">facilitate </w:t>
      </w:r>
      <w:r w:rsidRPr="00EB4F0C">
        <w:rPr>
          <w:lang w:eastAsia="zh-CN"/>
        </w:rPr>
        <w:t>health care seeking behavior</w:t>
      </w:r>
      <w:r>
        <w:rPr>
          <w:lang w:eastAsia="zh-CN"/>
        </w:rPr>
        <w:t xml:space="preserve"> for priority population groups and conditions</w:t>
      </w:r>
      <w:r w:rsidRPr="00EB4F0C">
        <w:rPr>
          <w:lang w:eastAsia="zh-CN"/>
        </w:rPr>
        <w:t xml:space="preserve">. </w:t>
      </w:r>
      <w:r w:rsidR="005D51BE">
        <w:rPr>
          <w:lang w:eastAsia="zh-CN"/>
        </w:rPr>
        <w:t xml:space="preserve"> Under-fives, pregnant women and the elderly are exempt from payment, while exemptions also extend to treatment for diseases of public health importance such as tuberculosis. While </w:t>
      </w:r>
      <w:r w:rsidRPr="00EB4F0C">
        <w:rPr>
          <w:lang w:eastAsia="zh-CN"/>
        </w:rPr>
        <w:t>exemptions</w:t>
      </w:r>
      <w:r w:rsidR="005D51BE">
        <w:rPr>
          <w:lang w:eastAsia="zh-CN"/>
        </w:rPr>
        <w:t xml:space="preserve">, particularly for children and pregnant women, are largely respected, </w:t>
      </w:r>
      <w:r w:rsidRPr="00EB4F0C">
        <w:rPr>
          <w:lang w:eastAsia="zh-CN"/>
        </w:rPr>
        <w:t xml:space="preserve">the implementation of the waiver scheme for the poor has failed most of those it was meant to protect. The process to obtain waivers are not always clearly outlined, criteria not always explicitly set </w:t>
      </w:r>
      <w:r w:rsidR="005D51BE">
        <w:rPr>
          <w:lang w:eastAsia="zh-CN"/>
        </w:rPr>
        <w:t xml:space="preserve">or </w:t>
      </w:r>
      <w:r w:rsidRPr="00EB4F0C">
        <w:rPr>
          <w:lang w:eastAsia="zh-CN"/>
        </w:rPr>
        <w:t>applied</w:t>
      </w:r>
      <w:r w:rsidR="005D51BE">
        <w:rPr>
          <w:lang w:eastAsia="zh-CN"/>
        </w:rPr>
        <w:t>,</w:t>
      </w:r>
      <w:r w:rsidRPr="00EB4F0C">
        <w:rPr>
          <w:lang w:eastAsia="zh-CN"/>
        </w:rPr>
        <w:t xml:space="preserve"> and poor people find it difficult to make their case in front of health providers and relevant authorities</w:t>
      </w:r>
      <w:r w:rsidRPr="00EB4F0C">
        <w:rPr>
          <w:lang w:val="en-GB" w:eastAsia="zh-CN"/>
        </w:rPr>
        <w:t>.</w:t>
      </w:r>
      <w:r>
        <w:rPr>
          <w:lang w:val="en-GB" w:eastAsia="zh-CN"/>
        </w:rPr>
        <w:t xml:space="preserve"> </w:t>
      </w:r>
      <w:r w:rsidR="005D51BE">
        <w:rPr>
          <w:lang w:val="en-GB" w:eastAsia="zh-CN"/>
        </w:rPr>
        <w:t xml:space="preserve"> </w:t>
      </w:r>
      <w:r w:rsidR="003A18A8">
        <w:rPr>
          <w:lang w:val="en-GB" w:eastAsia="zh-CN"/>
        </w:rPr>
        <w:t>Moreover, given the nature of health services, there are n</w:t>
      </w:r>
      <w:r w:rsidRPr="003A18A8">
        <w:rPr>
          <w:lang w:val="en-GB" w:eastAsia="zh-CN"/>
        </w:rPr>
        <w:t>o incentive</w:t>
      </w:r>
      <w:r w:rsidR="005D51BE">
        <w:rPr>
          <w:lang w:val="en-GB" w:eastAsia="zh-CN"/>
        </w:rPr>
        <w:t>s</w:t>
      </w:r>
      <w:r w:rsidRPr="003A18A8">
        <w:rPr>
          <w:lang w:val="en-GB" w:eastAsia="zh-CN"/>
        </w:rPr>
        <w:t xml:space="preserve"> for </w:t>
      </w:r>
      <w:r w:rsidR="005D51BE">
        <w:rPr>
          <w:lang w:val="en-GB" w:eastAsia="zh-CN"/>
        </w:rPr>
        <w:t xml:space="preserve">health </w:t>
      </w:r>
      <w:r w:rsidRPr="003A18A8">
        <w:rPr>
          <w:lang w:val="en-GB" w:eastAsia="zh-CN"/>
        </w:rPr>
        <w:t>facilit</w:t>
      </w:r>
      <w:r w:rsidR="003A18A8">
        <w:rPr>
          <w:lang w:val="en-GB" w:eastAsia="zh-CN"/>
        </w:rPr>
        <w:t>ies</w:t>
      </w:r>
      <w:r w:rsidRPr="003A18A8">
        <w:rPr>
          <w:lang w:val="en-GB" w:eastAsia="zh-CN"/>
        </w:rPr>
        <w:t xml:space="preserve"> to offer the waiver/exemption </w:t>
      </w:r>
      <w:r w:rsidR="003A18A8">
        <w:rPr>
          <w:lang w:val="en-GB" w:eastAsia="zh-CN"/>
        </w:rPr>
        <w:t>because they know that people will</w:t>
      </w:r>
      <w:r w:rsidRPr="003A18A8">
        <w:rPr>
          <w:lang w:val="en-GB" w:eastAsia="zh-CN"/>
        </w:rPr>
        <w:t xml:space="preserve"> pay for the services</w:t>
      </w:r>
      <w:r w:rsidR="003A18A8">
        <w:rPr>
          <w:lang w:val="en-GB" w:eastAsia="zh-CN"/>
        </w:rPr>
        <w:t xml:space="preserve"> if they are charged</w:t>
      </w:r>
      <w:r w:rsidR="005D51BE">
        <w:rPr>
          <w:lang w:val="en-GB" w:eastAsia="zh-CN"/>
        </w:rPr>
        <w:t xml:space="preserve">, and no mechanisms exist for reimbursement of the resources expended. </w:t>
      </w:r>
    </w:p>
    <w:p w:rsidR="006C7C8D" w:rsidRPr="00EB4F0C" w:rsidRDefault="006C7C8D" w:rsidP="00905546">
      <w:pPr>
        <w:pStyle w:val="Heading3"/>
        <w:rPr>
          <w:rFonts w:eastAsia="SimSun"/>
          <w:lang w:eastAsia="zh-CN"/>
        </w:rPr>
      </w:pPr>
      <w:bookmarkStart w:id="23" w:name="_Toc406497973"/>
      <w:r w:rsidRPr="00EB4F0C">
        <w:rPr>
          <w:rFonts w:eastAsia="SimSun"/>
          <w:lang w:eastAsia="zh-CN"/>
        </w:rPr>
        <w:t>Service Agreements</w:t>
      </w:r>
      <w:bookmarkEnd w:id="23"/>
    </w:p>
    <w:p w:rsidR="006C7C8D" w:rsidRDefault="006C7C8D" w:rsidP="005D51BE">
      <w:pPr>
        <w:rPr>
          <w:lang w:val="en-GB" w:eastAsia="en-GB"/>
        </w:rPr>
      </w:pPr>
      <w:r w:rsidRPr="00EB4F0C">
        <w:rPr>
          <w:lang w:val="en-GB" w:eastAsia="en-GB"/>
        </w:rPr>
        <w:t xml:space="preserve">Where no equivalent public facility exists, </w:t>
      </w:r>
      <w:r w:rsidR="005D51BE">
        <w:rPr>
          <w:lang w:val="en-GB" w:eastAsia="en-GB"/>
        </w:rPr>
        <w:t xml:space="preserve">LGAs may enter into a contract, known as a service agreement, with </w:t>
      </w:r>
      <w:r w:rsidRPr="00EB4F0C">
        <w:rPr>
          <w:lang w:val="en-GB" w:eastAsia="en-GB"/>
        </w:rPr>
        <w:t xml:space="preserve">private service providers </w:t>
      </w:r>
      <w:r w:rsidR="005D51BE">
        <w:rPr>
          <w:lang w:val="en-GB" w:eastAsia="en-GB"/>
        </w:rPr>
        <w:t xml:space="preserve">in order to </w:t>
      </w:r>
      <w:r w:rsidRPr="00EB4F0C">
        <w:rPr>
          <w:lang w:val="en-GB" w:eastAsia="en-GB"/>
        </w:rPr>
        <w:t>deliver the priority health services. LGAs agree to pay the service provider per service provided. The price of a service is negotiated between the LGA and t</w:t>
      </w:r>
      <w:r>
        <w:rPr>
          <w:lang w:val="en-GB" w:eastAsia="en-GB"/>
        </w:rPr>
        <w:t>he provider</w:t>
      </w:r>
      <w:r w:rsidRPr="00EB4F0C">
        <w:rPr>
          <w:lang w:val="en-GB" w:eastAsia="en-GB"/>
        </w:rPr>
        <w:t xml:space="preserve">. In exchange for the payment from public funds, the provider offers the contracted services free to the patients. Financing for this arrangement </w:t>
      </w:r>
      <w:r w:rsidR="005D51BE">
        <w:rPr>
          <w:lang w:val="en-GB" w:eastAsia="en-GB"/>
        </w:rPr>
        <w:t xml:space="preserve">currently </w:t>
      </w:r>
      <w:r w:rsidRPr="00EB4F0C">
        <w:rPr>
          <w:lang w:val="en-GB" w:eastAsia="en-GB"/>
        </w:rPr>
        <w:t xml:space="preserve">comes from the LGA’s HBF allocation. </w:t>
      </w:r>
    </w:p>
    <w:p w:rsidR="006C7C8D" w:rsidRDefault="006C7C8D" w:rsidP="002E07C5">
      <w:pPr>
        <w:rPr>
          <w:rFonts w:cs="Arial"/>
          <w:szCs w:val="24"/>
        </w:rPr>
      </w:pPr>
    </w:p>
    <w:p w:rsidR="0023565D" w:rsidRPr="005D51BE" w:rsidRDefault="0023565D" w:rsidP="005D51BE">
      <w:pPr>
        <w:spacing w:after="120"/>
        <w:rPr>
          <w:rFonts w:cs="Arial"/>
          <w:b/>
          <w:szCs w:val="24"/>
        </w:rPr>
      </w:pPr>
      <w:r w:rsidRPr="005D51BE">
        <w:rPr>
          <w:rFonts w:cs="Arial"/>
          <w:b/>
          <w:szCs w:val="24"/>
        </w:rPr>
        <w:t>Challenges</w:t>
      </w:r>
    </w:p>
    <w:p w:rsidR="006C7C8D" w:rsidRPr="00EB4F0C" w:rsidRDefault="0023565D" w:rsidP="005D51BE">
      <w:pPr>
        <w:rPr>
          <w:rFonts w:eastAsia="SimSun"/>
          <w:color w:val="000000"/>
          <w:lang w:eastAsia="zh-CN"/>
        </w:rPr>
      </w:pPr>
      <w:r w:rsidRPr="00EB4F0C">
        <w:t xml:space="preserve">Resource allocation is </w:t>
      </w:r>
      <w:r w:rsidR="009B6CBD">
        <w:t xml:space="preserve">hampered </w:t>
      </w:r>
      <w:r w:rsidRPr="00EB4F0C">
        <w:t xml:space="preserve">by a myriad of factors. </w:t>
      </w:r>
      <w:r w:rsidR="009B6CBD">
        <w:t>One</w:t>
      </w:r>
      <w:r w:rsidRPr="00EB4F0C">
        <w:t xml:space="preserve"> salient challenge is the ad</w:t>
      </w:r>
      <w:r w:rsidR="009B6CBD">
        <w:t xml:space="preserve"> </w:t>
      </w:r>
      <w:r w:rsidRPr="00EB4F0C">
        <w:t xml:space="preserve">hoc nature of the allocation of certain resources. </w:t>
      </w:r>
      <w:r w:rsidR="009B6CBD">
        <w:t>A</w:t>
      </w:r>
      <w:r w:rsidRPr="00EB4F0C">
        <w:t>llocation of funds based on DP priorities</w:t>
      </w:r>
      <w:r w:rsidR="009B6CBD">
        <w:t xml:space="preserve"> further complicates the picture. </w:t>
      </w:r>
      <w:r w:rsidR="003A18A8">
        <w:t>There are serious d</w:t>
      </w:r>
      <w:r w:rsidR="003A18A8">
        <w:rPr>
          <w:rFonts w:eastAsia="SimSun"/>
          <w:color w:val="000000"/>
          <w:lang w:eastAsia="zh-CN"/>
        </w:rPr>
        <w:t>elays in disbursement of government funds and health basket funds</w:t>
      </w:r>
      <w:r w:rsidR="009B6CBD">
        <w:rPr>
          <w:rFonts w:eastAsia="SimSun"/>
          <w:color w:val="000000"/>
          <w:lang w:eastAsia="zh-CN"/>
        </w:rPr>
        <w:t>,</w:t>
      </w:r>
      <w:r w:rsidR="003A18A8">
        <w:rPr>
          <w:rFonts w:eastAsia="SimSun"/>
          <w:color w:val="000000"/>
          <w:lang w:eastAsia="zh-CN"/>
        </w:rPr>
        <w:t xml:space="preserve"> due </w:t>
      </w:r>
      <w:r w:rsidR="00D42A41">
        <w:rPr>
          <w:rFonts w:eastAsia="SimSun"/>
          <w:color w:val="000000"/>
          <w:lang w:eastAsia="zh-CN"/>
        </w:rPr>
        <w:t xml:space="preserve">in part </w:t>
      </w:r>
      <w:r w:rsidR="003A18A8">
        <w:rPr>
          <w:rFonts w:eastAsia="SimSun"/>
          <w:color w:val="000000"/>
          <w:lang w:eastAsia="zh-CN"/>
        </w:rPr>
        <w:t>to challenges with reporting</w:t>
      </w:r>
      <w:r w:rsidR="009B6CBD">
        <w:rPr>
          <w:rFonts w:eastAsia="SimSun"/>
          <w:color w:val="000000"/>
          <w:lang w:eastAsia="zh-CN"/>
        </w:rPr>
        <w:t xml:space="preserve"> at all levels,</w:t>
      </w:r>
      <w:r w:rsidR="003A18A8">
        <w:rPr>
          <w:rFonts w:eastAsia="SimSun"/>
          <w:color w:val="000000"/>
          <w:lang w:eastAsia="zh-CN"/>
        </w:rPr>
        <w:t xml:space="preserve"> and </w:t>
      </w:r>
      <w:r w:rsidR="009B6CBD">
        <w:rPr>
          <w:rFonts w:eastAsia="SimSun"/>
          <w:color w:val="000000"/>
          <w:lang w:eastAsia="zh-CN"/>
        </w:rPr>
        <w:t xml:space="preserve">of </w:t>
      </w:r>
      <w:r w:rsidR="003A18A8">
        <w:rPr>
          <w:rFonts w:eastAsia="SimSun"/>
          <w:color w:val="000000"/>
          <w:lang w:eastAsia="zh-CN"/>
        </w:rPr>
        <w:t>CHF matching funds</w:t>
      </w:r>
      <w:r w:rsidR="009B6CBD">
        <w:rPr>
          <w:rFonts w:eastAsia="SimSun"/>
          <w:color w:val="000000"/>
          <w:lang w:eastAsia="zh-CN"/>
        </w:rPr>
        <w:t>,</w:t>
      </w:r>
      <w:r w:rsidR="003A18A8">
        <w:rPr>
          <w:rFonts w:eastAsia="SimSun"/>
          <w:color w:val="000000"/>
          <w:lang w:eastAsia="zh-CN"/>
        </w:rPr>
        <w:t xml:space="preserve"> due to relatively complex administrative requirements compared to staff capacity. </w:t>
      </w:r>
      <w:r w:rsidR="009B6CBD">
        <w:rPr>
          <w:rFonts w:eastAsia="SimSun"/>
          <w:color w:val="000000"/>
          <w:lang w:eastAsia="zh-CN"/>
        </w:rPr>
        <w:t>B</w:t>
      </w:r>
      <w:r w:rsidR="003A18A8">
        <w:rPr>
          <w:rFonts w:eastAsia="SimSun"/>
          <w:color w:val="000000"/>
          <w:lang w:eastAsia="zh-CN"/>
        </w:rPr>
        <w:t xml:space="preserve">ottlenecks at the district as well as the national level prevent facilities from being adequately </w:t>
      </w:r>
      <w:r w:rsidR="009B6CBD">
        <w:rPr>
          <w:rFonts w:eastAsia="SimSun"/>
          <w:color w:val="000000"/>
          <w:lang w:eastAsia="zh-CN"/>
        </w:rPr>
        <w:t xml:space="preserve">reimbursed for service delivery, </w:t>
      </w:r>
      <w:r w:rsidR="003A18A8">
        <w:rPr>
          <w:rFonts w:eastAsia="SimSun"/>
          <w:color w:val="000000"/>
          <w:lang w:eastAsia="zh-CN"/>
        </w:rPr>
        <w:t>particularly as regards CHF, exemption and waivers and service agreements. Furthermore, v</w:t>
      </w:r>
      <w:r w:rsidR="006C7C8D" w:rsidRPr="003A18A8">
        <w:rPr>
          <w:rFonts w:eastAsia="SimSun"/>
          <w:color w:val="000000"/>
          <w:lang w:eastAsia="zh-CN"/>
        </w:rPr>
        <w:t xml:space="preserve">ulnerable groups are insufficiently taken care </w:t>
      </w:r>
      <w:r w:rsidR="009B6CBD">
        <w:rPr>
          <w:rFonts w:eastAsia="SimSun"/>
          <w:color w:val="000000"/>
          <w:lang w:eastAsia="zh-CN"/>
        </w:rPr>
        <w:t xml:space="preserve">of </w:t>
      </w:r>
      <w:r w:rsidR="006C7C8D" w:rsidRPr="003A18A8">
        <w:rPr>
          <w:rFonts w:eastAsia="SimSun"/>
          <w:color w:val="000000"/>
          <w:lang w:eastAsia="zh-CN"/>
        </w:rPr>
        <w:t xml:space="preserve">by the current </w:t>
      </w:r>
      <w:r w:rsidR="003A18A8">
        <w:rPr>
          <w:rFonts w:eastAsia="SimSun"/>
          <w:color w:val="000000"/>
          <w:lang w:eastAsia="zh-CN"/>
        </w:rPr>
        <w:t>system</w:t>
      </w:r>
      <w:r w:rsidR="006C7C8D" w:rsidRPr="003A18A8">
        <w:rPr>
          <w:rFonts w:eastAsia="SimSun"/>
          <w:color w:val="000000"/>
          <w:lang w:eastAsia="zh-CN"/>
        </w:rPr>
        <w:t>.</w:t>
      </w:r>
      <w:r w:rsidR="006C7C8D" w:rsidRPr="006C7C8D">
        <w:rPr>
          <w:rFonts w:eastAsia="SimSun"/>
          <w:color w:val="000000"/>
          <w:highlight w:val="yellow"/>
          <w:lang w:eastAsia="zh-CN"/>
        </w:rPr>
        <w:t xml:space="preserve"> </w:t>
      </w:r>
    </w:p>
    <w:p w:rsidR="006C7C8D" w:rsidRPr="00EB4F0C" w:rsidRDefault="006C7C8D" w:rsidP="002E07C5">
      <w:pPr>
        <w:rPr>
          <w:rFonts w:cs="Arial"/>
          <w:szCs w:val="24"/>
        </w:rPr>
      </w:pPr>
    </w:p>
    <w:p w:rsidR="00EE4505" w:rsidRPr="00EB4F0C" w:rsidRDefault="00831933" w:rsidP="002E07C5">
      <w:pPr>
        <w:ind w:left="360"/>
        <w:rPr>
          <w:rFonts w:cs="Arial"/>
          <w:i/>
          <w:color w:val="FF0000"/>
          <w:szCs w:val="24"/>
        </w:rPr>
      </w:pPr>
      <w:commentRangeStart w:id="24"/>
      <w:r w:rsidRPr="00EB4F0C">
        <w:rPr>
          <w:rFonts w:cs="Arial"/>
          <w:i/>
          <w:color w:val="FF0000"/>
          <w:szCs w:val="24"/>
        </w:rPr>
        <w:lastRenderedPageBreak/>
        <w:t>NOTE: consider Cross-cutting issues in each section (as per HSSP3: equity, quality, gender, community ownership, HS planning and implementation)</w:t>
      </w:r>
      <w:commentRangeEnd w:id="24"/>
      <w:r w:rsidR="00F114B6">
        <w:rPr>
          <w:rStyle w:val="CommentReference"/>
        </w:rPr>
        <w:commentReference w:id="24"/>
      </w:r>
    </w:p>
    <w:p w:rsidR="001F6179" w:rsidRPr="0063392A" w:rsidRDefault="001F6179" w:rsidP="001F6179">
      <w:pPr>
        <w:pStyle w:val="Heading1"/>
      </w:pPr>
      <w:bookmarkStart w:id="25" w:name="_Toc406497974"/>
      <w:r w:rsidRPr="0063392A">
        <w:t>HF Strategy</w:t>
      </w:r>
      <w:bookmarkEnd w:id="25"/>
    </w:p>
    <w:p w:rsidR="001F6179" w:rsidRDefault="001F6179" w:rsidP="001F6179">
      <w:pPr>
        <w:pStyle w:val="Heading2"/>
      </w:pPr>
      <w:bookmarkStart w:id="26" w:name="_Toc406497975"/>
      <w:r w:rsidRPr="0063392A">
        <w:t>Vision</w:t>
      </w:r>
      <w:r w:rsidR="00527560">
        <w:t xml:space="preserve"> and Mission</w:t>
      </w:r>
      <w:bookmarkEnd w:id="26"/>
    </w:p>
    <w:p w:rsidR="001F6179" w:rsidRDefault="00A75794" w:rsidP="001F6179">
      <w:r>
        <w:t xml:space="preserve">Cost-effective, quality health services are available to all Tanzanian residents without financial barriers at the time of need </w:t>
      </w:r>
    </w:p>
    <w:p w:rsidR="00527560" w:rsidRDefault="00527560" w:rsidP="001F6179"/>
    <w:p w:rsidR="00527560" w:rsidRDefault="00527560" w:rsidP="001F6179">
      <w:r>
        <w:t xml:space="preserve">The Mission of the </w:t>
      </w:r>
      <w:r w:rsidR="00A75794">
        <w:t>Health Financing Strategy is to put in place a Social Health Protection System that will enable all Tanzanian residents to access appropriate and affordable health care in time of need</w:t>
      </w:r>
    </w:p>
    <w:p w:rsidR="001F6179" w:rsidRPr="0063392A" w:rsidRDefault="001F6179" w:rsidP="001F6179">
      <w:pPr>
        <w:ind w:left="360"/>
        <w:rPr>
          <w:rFonts w:cs="Arial"/>
          <w:i/>
          <w:szCs w:val="24"/>
        </w:rPr>
      </w:pPr>
    </w:p>
    <w:p w:rsidR="001F6179" w:rsidRPr="000871B1" w:rsidRDefault="001F6179" w:rsidP="001F6179">
      <w:pPr>
        <w:pStyle w:val="Heading2"/>
      </w:pPr>
      <w:bookmarkStart w:id="27" w:name="_Toc406497976"/>
      <w:r w:rsidRPr="000871B1">
        <w:t>Goal</w:t>
      </w:r>
      <w:bookmarkEnd w:id="27"/>
      <w:r w:rsidRPr="000871B1">
        <w:t xml:space="preserve"> </w:t>
      </w:r>
    </w:p>
    <w:p w:rsidR="001F6179" w:rsidRDefault="001F6179" w:rsidP="001F6179">
      <w:r>
        <w:t xml:space="preserve">The HFS </w:t>
      </w:r>
      <w:r w:rsidRPr="000871B1">
        <w:t>goal is to enable equitable access to affordable and cost-effective quality care and financial protection in case of ill health</w:t>
      </w:r>
      <w:r>
        <w:t>,</w:t>
      </w:r>
      <w:r w:rsidRPr="000871B1">
        <w:t xml:space="preserve"> according to </w:t>
      </w:r>
      <w:r>
        <w:t xml:space="preserve">a </w:t>
      </w:r>
      <w:r w:rsidRPr="000871B1">
        <w:t>nationally defined essential health services package.</w:t>
      </w:r>
    </w:p>
    <w:p w:rsidR="001F6179" w:rsidRPr="000871B1" w:rsidRDefault="001F6179" w:rsidP="001F6179">
      <w:pPr>
        <w:ind w:left="709"/>
        <w:contextualSpacing/>
        <w:rPr>
          <w:rFonts w:cs="Arial"/>
          <w:szCs w:val="24"/>
        </w:rPr>
      </w:pPr>
    </w:p>
    <w:p w:rsidR="001F6179" w:rsidRPr="000871B1" w:rsidRDefault="001F6179" w:rsidP="001F6179">
      <w:pPr>
        <w:pStyle w:val="Heading2"/>
      </w:pPr>
      <w:bookmarkStart w:id="28" w:name="_Toc406497977"/>
      <w:r w:rsidRPr="000871B1">
        <w:t>Objectives</w:t>
      </w:r>
      <w:bookmarkEnd w:id="28"/>
    </w:p>
    <w:p w:rsidR="001F6179" w:rsidRPr="005F4C7D" w:rsidRDefault="001F6179" w:rsidP="001F6179">
      <w:pPr>
        <w:spacing w:after="120"/>
      </w:pPr>
      <w:r>
        <w:t>The objectives of the HF Strategy are to:</w:t>
      </w:r>
    </w:p>
    <w:p w:rsidR="001F6179" w:rsidRPr="001F6179" w:rsidRDefault="00CA1A3E" w:rsidP="001F6179">
      <w:pPr>
        <w:pStyle w:val="ListParagraph"/>
        <w:numPr>
          <w:ilvl w:val="0"/>
          <w:numId w:val="45"/>
        </w:numPr>
        <w:spacing w:after="120"/>
        <w:contextualSpacing w:val="0"/>
      </w:pPr>
      <w:r>
        <w:t>D</w:t>
      </w:r>
      <w:r w:rsidR="001F6179" w:rsidRPr="001F6179">
        <w:t>evelop a sound, responsive and adequate health financing legal and regulatory framework;</w:t>
      </w:r>
    </w:p>
    <w:p w:rsidR="001F6179" w:rsidRPr="001F6179" w:rsidRDefault="001D4B9E" w:rsidP="001F6179">
      <w:pPr>
        <w:pStyle w:val="ListParagraph"/>
        <w:numPr>
          <w:ilvl w:val="0"/>
          <w:numId w:val="45"/>
        </w:numPr>
        <w:spacing w:after="120"/>
        <w:contextualSpacing w:val="0"/>
      </w:pPr>
      <w:r>
        <w:t xml:space="preserve">Establishments of </w:t>
      </w:r>
      <w:r w:rsidR="001F6179" w:rsidRPr="001F6179">
        <w:t>SHP institutional structure with clearly defined roles and responsibilities which reflects the voice of the community/ user of the health system and accommodate the reforms towards a mandatory Single National Health Insurance System;</w:t>
      </w:r>
    </w:p>
    <w:p w:rsidR="001F6179" w:rsidRPr="001F6179" w:rsidRDefault="00CA1A3E" w:rsidP="001F6179">
      <w:pPr>
        <w:pStyle w:val="ListParagraph"/>
        <w:numPr>
          <w:ilvl w:val="0"/>
          <w:numId w:val="45"/>
        </w:numPr>
        <w:spacing w:after="120"/>
        <w:contextualSpacing w:val="0"/>
      </w:pPr>
      <w:r>
        <w:t>D</w:t>
      </w:r>
      <w:r w:rsidR="001F6179">
        <w:t xml:space="preserve">evelop </w:t>
      </w:r>
      <w:r w:rsidR="001F6179" w:rsidRPr="001F6179">
        <w:t>a health financing system which is responsive to the need</w:t>
      </w:r>
      <w:r w:rsidR="001F6179">
        <w:t>s</w:t>
      </w:r>
      <w:r w:rsidR="001F6179" w:rsidRPr="001F6179">
        <w:t xml:space="preserve"> of the poor</w:t>
      </w:r>
      <w:r w:rsidR="001F6179">
        <w:t>,</w:t>
      </w:r>
      <w:r w:rsidR="001F6179" w:rsidRPr="001F6179">
        <w:t xml:space="preserve"> by </w:t>
      </w:r>
      <w:r w:rsidR="001D4B9E">
        <w:t>ensure</w:t>
      </w:r>
      <w:r w:rsidR="001F6179" w:rsidRPr="001F6179">
        <w:t xml:space="preserve"> effective identification and inclusion mechanisms of the poor;</w:t>
      </w:r>
    </w:p>
    <w:p w:rsidR="001F6179" w:rsidRPr="001F6179" w:rsidRDefault="00CA1A3E" w:rsidP="001F6179">
      <w:pPr>
        <w:pStyle w:val="ListParagraph"/>
        <w:numPr>
          <w:ilvl w:val="0"/>
          <w:numId w:val="45"/>
        </w:numPr>
        <w:spacing w:after="120"/>
        <w:contextualSpacing w:val="0"/>
      </w:pPr>
      <w:r>
        <w:t>S</w:t>
      </w:r>
      <w:r w:rsidR="001F6179" w:rsidRPr="001F6179">
        <w:t>trengthen the revenue collection</w:t>
      </w:r>
      <w:r w:rsidR="001D4B9E">
        <w:t>/</w:t>
      </w:r>
      <w:r>
        <w:t>mobilization</w:t>
      </w:r>
      <w:r w:rsidR="001F6179" w:rsidRPr="001F6179">
        <w:t xml:space="preserve"> system for the health sector;</w:t>
      </w:r>
    </w:p>
    <w:p w:rsidR="001F6179" w:rsidRPr="001F6179" w:rsidRDefault="00CA1A3E" w:rsidP="001F6179">
      <w:pPr>
        <w:pStyle w:val="ListParagraph"/>
        <w:numPr>
          <w:ilvl w:val="0"/>
          <w:numId w:val="45"/>
        </w:numPr>
        <w:spacing w:after="120"/>
        <w:contextualSpacing w:val="0"/>
      </w:pPr>
      <w:r>
        <w:t>I</w:t>
      </w:r>
      <w:r w:rsidR="001F6179" w:rsidRPr="001F6179">
        <w:t>mprove financial and risk pooling mechanisms within the health sector;</w:t>
      </w:r>
    </w:p>
    <w:p w:rsidR="001F6179" w:rsidRPr="001F6179" w:rsidRDefault="00CA1A3E" w:rsidP="001F6179">
      <w:pPr>
        <w:pStyle w:val="ListParagraph"/>
        <w:numPr>
          <w:ilvl w:val="0"/>
          <w:numId w:val="45"/>
        </w:numPr>
        <w:spacing w:after="120"/>
        <w:contextualSpacing w:val="0"/>
      </w:pPr>
      <w:r>
        <w:t>E</w:t>
      </w:r>
      <w:r w:rsidR="001F6179" w:rsidRPr="001F6179">
        <w:t>nsure appropriate resources allocations and expenditures for health;</w:t>
      </w:r>
    </w:p>
    <w:p w:rsidR="001F6179" w:rsidRPr="001F6179" w:rsidRDefault="00CA1A3E" w:rsidP="001F6179">
      <w:pPr>
        <w:pStyle w:val="ListParagraph"/>
        <w:numPr>
          <w:ilvl w:val="0"/>
          <w:numId w:val="45"/>
        </w:numPr>
        <w:spacing w:after="120"/>
        <w:contextualSpacing w:val="0"/>
      </w:pPr>
      <w:r>
        <w:t>C</w:t>
      </w:r>
      <w:r w:rsidR="001F6179" w:rsidRPr="001F6179">
        <w:t>ontinuously adapt and shape the purchasing structure with</w:t>
      </w:r>
      <w:r w:rsidR="001F6179">
        <w:t>in</w:t>
      </w:r>
      <w:r w:rsidR="001F6179" w:rsidRPr="001F6179">
        <w:t xml:space="preserve"> the health system, plac</w:t>
      </w:r>
      <w:r w:rsidR="001F6179">
        <w:t>ing particular focus on results-</w:t>
      </w:r>
      <w:r w:rsidR="001F6179" w:rsidRPr="001F6179">
        <w:t>based financing for improved services delivery;</w:t>
      </w:r>
    </w:p>
    <w:p w:rsidR="001F6179" w:rsidRPr="005F4C7D" w:rsidRDefault="00CA1A3E" w:rsidP="001F6179">
      <w:pPr>
        <w:pStyle w:val="ListParagraph"/>
        <w:numPr>
          <w:ilvl w:val="0"/>
          <w:numId w:val="45"/>
        </w:numPr>
        <w:spacing w:after="120"/>
        <w:contextualSpacing w:val="0"/>
      </w:pPr>
      <w:r w:rsidRPr="001F6179">
        <w:t>Strengthen</w:t>
      </w:r>
      <w:r w:rsidR="001F6179" w:rsidRPr="001F6179">
        <w:t xml:space="preserve"> the </w:t>
      </w:r>
      <w:r w:rsidR="001F6179">
        <w:t xml:space="preserve">overall </w:t>
      </w:r>
      <w:r w:rsidR="001F6179" w:rsidRPr="001F6179">
        <w:t>public financial and resource data management system</w:t>
      </w:r>
      <w:r w:rsidR="001F6179">
        <w:t>s</w:t>
      </w:r>
      <w:r w:rsidR="001F6179" w:rsidRPr="001F6179">
        <w:t xml:space="preserve"> </w:t>
      </w:r>
      <w:r w:rsidR="001F6179">
        <w:t>within</w:t>
      </w:r>
      <w:r w:rsidR="001F6179" w:rsidRPr="001F6179">
        <w:t xml:space="preserve"> the h</w:t>
      </w:r>
      <w:r w:rsidR="001F6179">
        <w:t>ealth sector.</w:t>
      </w:r>
    </w:p>
    <w:p w:rsidR="001F6179" w:rsidRDefault="001F6179" w:rsidP="001F6179">
      <w:pPr>
        <w:ind w:left="720"/>
        <w:contextualSpacing/>
        <w:rPr>
          <w:rFonts w:cs="Arial"/>
          <w:szCs w:val="24"/>
        </w:rPr>
      </w:pPr>
    </w:p>
    <w:p w:rsidR="001F6179" w:rsidRPr="000871B1" w:rsidRDefault="001F6179" w:rsidP="001F6179">
      <w:pPr>
        <w:pStyle w:val="Heading2"/>
      </w:pPr>
      <w:bookmarkStart w:id="29" w:name="_Toc406497978"/>
      <w:r w:rsidRPr="000871B1">
        <w:lastRenderedPageBreak/>
        <w:t>Guiding Principles and Values</w:t>
      </w:r>
      <w:bookmarkEnd w:id="29"/>
      <w:r w:rsidRPr="000871B1">
        <w:t xml:space="preserve"> </w:t>
      </w:r>
    </w:p>
    <w:p w:rsidR="001F6179" w:rsidRPr="0063392A" w:rsidRDefault="00411D5B" w:rsidP="001F6179">
      <w:pPr>
        <w:spacing w:after="120"/>
      </w:pPr>
      <w:r>
        <w:t xml:space="preserve">Implementation of the </w:t>
      </w:r>
      <w:r w:rsidR="001F6179" w:rsidRPr="0063392A">
        <w:t xml:space="preserve">Health Financing Strategy will </w:t>
      </w:r>
      <w:r>
        <w:t xml:space="preserve">adhere to </w:t>
      </w:r>
      <w:r w:rsidR="001F6179" w:rsidRPr="0063392A">
        <w:t>the following principles:</w:t>
      </w:r>
    </w:p>
    <w:p w:rsidR="001F6179" w:rsidRDefault="001F6179" w:rsidP="001F6179">
      <w:pPr>
        <w:pStyle w:val="ListParagraph"/>
        <w:numPr>
          <w:ilvl w:val="0"/>
          <w:numId w:val="43"/>
        </w:numPr>
        <w:spacing w:after="120"/>
        <w:contextualSpacing w:val="0"/>
      </w:pPr>
      <w:r>
        <w:t>Equity</w:t>
      </w:r>
    </w:p>
    <w:p w:rsidR="00E17084" w:rsidRDefault="00E17084" w:rsidP="00E17084">
      <w:pPr>
        <w:spacing w:after="120"/>
      </w:pPr>
      <w:r>
        <w:t>Contribution to health care financing is expected to be progressive whereby those with high income will contribute a relatively higher share of their income to fund health services compared to the poor. Similarly access to health care will be determined by the needs of the people rather than income. This means that those with similar health care need will get same opportunity to access services.</w:t>
      </w:r>
    </w:p>
    <w:p w:rsidR="001F6179" w:rsidRDefault="001F6179" w:rsidP="001F6179">
      <w:pPr>
        <w:pStyle w:val="ListParagraph"/>
        <w:numPr>
          <w:ilvl w:val="0"/>
          <w:numId w:val="43"/>
        </w:numPr>
        <w:spacing w:after="120"/>
        <w:contextualSpacing w:val="0"/>
      </w:pPr>
      <w:r w:rsidRPr="0063392A">
        <w:t xml:space="preserve">Solidarity </w:t>
      </w:r>
    </w:p>
    <w:p w:rsidR="00E17084" w:rsidRPr="0063392A" w:rsidRDefault="00E17084" w:rsidP="00E17084">
      <w:pPr>
        <w:spacing w:after="120"/>
      </w:pPr>
      <w:r>
        <w:t>Resources collection and pooling will be organized in a harmonized way to make sure that those with higher income and good health conditions cross-subsidize those with less income and poor health conditions</w:t>
      </w:r>
    </w:p>
    <w:p w:rsidR="001F6179" w:rsidRDefault="001F6179" w:rsidP="001F6179">
      <w:pPr>
        <w:pStyle w:val="ListParagraph"/>
        <w:numPr>
          <w:ilvl w:val="0"/>
          <w:numId w:val="43"/>
        </w:numPr>
        <w:spacing w:after="120"/>
        <w:contextualSpacing w:val="0"/>
      </w:pPr>
      <w:r w:rsidRPr="0063392A">
        <w:t>Transparency and Accountability</w:t>
      </w:r>
    </w:p>
    <w:p w:rsidR="00E17084" w:rsidRPr="0063392A" w:rsidRDefault="00E17084" w:rsidP="00E17084">
      <w:pPr>
        <w:spacing w:after="120"/>
      </w:pPr>
      <w:r>
        <w:t>Good governance stands at the core of the survival of this financing strategy. Organization of collection, pooling and purchasing will be done in a transparency way making sure that beneficiaries get timely knowledge of what is happening in the SNHI. Responsible stakeholders will be held accountable for all decisions made in relation to collection, pooling and purchasing of health care services.</w:t>
      </w:r>
    </w:p>
    <w:p w:rsidR="001F6179" w:rsidRDefault="001F6179" w:rsidP="001F6179">
      <w:pPr>
        <w:pStyle w:val="ListParagraph"/>
        <w:numPr>
          <w:ilvl w:val="0"/>
          <w:numId w:val="43"/>
        </w:numPr>
        <w:spacing w:after="120"/>
        <w:contextualSpacing w:val="0"/>
      </w:pPr>
      <w:r w:rsidRPr="0063392A">
        <w:t xml:space="preserve">Sustainability </w:t>
      </w:r>
    </w:p>
    <w:p w:rsidR="00E17084" w:rsidRDefault="003B3706" w:rsidP="00E17084">
      <w:pPr>
        <w:spacing w:after="120"/>
      </w:pPr>
      <w:r>
        <w:t>Organization of fund collection, pooling and purchasing of health care services will be done in such a way the SNHI will survive for long term. The SNHI will keep on adjusting the level of benefit package according to the ability of the fund.</w:t>
      </w:r>
    </w:p>
    <w:p w:rsidR="00527560" w:rsidRPr="0058433C" w:rsidRDefault="00527560" w:rsidP="001F6179">
      <w:pPr>
        <w:pStyle w:val="ListParagraph"/>
        <w:numPr>
          <w:ilvl w:val="0"/>
          <w:numId w:val="43"/>
        </w:numPr>
        <w:spacing w:after="120"/>
        <w:contextualSpacing w:val="0"/>
        <w:rPr>
          <w:highlight w:val="yellow"/>
        </w:rPr>
      </w:pPr>
      <w:r w:rsidRPr="0058433C">
        <w:rPr>
          <w:highlight w:val="yellow"/>
        </w:rPr>
        <w:t>Acceptability</w:t>
      </w:r>
    </w:p>
    <w:p w:rsidR="00A60055" w:rsidRPr="0063392A" w:rsidRDefault="00A60055" w:rsidP="00A60055">
      <w:pPr>
        <w:spacing w:after="120"/>
      </w:pPr>
    </w:p>
    <w:p w:rsidR="001F6179" w:rsidRPr="0063392A" w:rsidRDefault="001F6179" w:rsidP="001F6179">
      <w:pPr>
        <w:pStyle w:val="ListParagraph"/>
        <w:numPr>
          <w:ilvl w:val="0"/>
          <w:numId w:val="43"/>
        </w:numPr>
        <w:spacing w:after="120"/>
        <w:contextualSpacing w:val="0"/>
      </w:pPr>
      <w:r w:rsidRPr="0063392A">
        <w:t xml:space="preserve">Efficiency </w:t>
      </w:r>
      <w:r>
        <w:t>and value for money.</w:t>
      </w:r>
    </w:p>
    <w:p w:rsidR="001F6179" w:rsidRPr="0063392A" w:rsidRDefault="001F6179" w:rsidP="001F6179">
      <w:r w:rsidRPr="0063392A">
        <w:t xml:space="preserve">The Health Financing Strategy is designed with the value of </w:t>
      </w:r>
      <w:r>
        <w:t>health</w:t>
      </w:r>
      <w:r w:rsidRPr="0063392A">
        <w:t xml:space="preserve"> as a Human Right in mind</w:t>
      </w:r>
      <w:r w:rsidR="002C3E91">
        <w:t xml:space="preserve">.  It </w:t>
      </w:r>
      <w:r w:rsidRPr="0063392A">
        <w:t xml:space="preserve">will </w:t>
      </w:r>
      <w:r w:rsidR="002C3E91">
        <w:t xml:space="preserve">be specifically </w:t>
      </w:r>
      <w:r w:rsidRPr="0063392A">
        <w:t xml:space="preserve">geared towards providing financial protection to the population and </w:t>
      </w:r>
      <w:r w:rsidR="002C3E91">
        <w:t xml:space="preserve">will </w:t>
      </w:r>
      <w:r w:rsidRPr="0063392A">
        <w:t>focus its efforts on the inclusion of the poor into the envisaged Social Health Protection System.</w:t>
      </w:r>
    </w:p>
    <w:p w:rsidR="001F6179" w:rsidRDefault="001F6179" w:rsidP="001F6179">
      <w:pPr>
        <w:ind w:left="1440"/>
        <w:contextualSpacing/>
        <w:rPr>
          <w:rFonts w:cs="Arial"/>
          <w:szCs w:val="24"/>
        </w:rPr>
      </w:pPr>
    </w:p>
    <w:p w:rsidR="00194B83" w:rsidRDefault="00194B83" w:rsidP="001F6179">
      <w:pPr>
        <w:ind w:left="1440"/>
        <w:contextualSpacing/>
        <w:rPr>
          <w:rFonts w:cs="Arial"/>
          <w:szCs w:val="24"/>
        </w:rPr>
      </w:pPr>
    </w:p>
    <w:p w:rsidR="00194B83" w:rsidRPr="0063392A" w:rsidRDefault="00194B83" w:rsidP="001F6179">
      <w:pPr>
        <w:ind w:left="1440"/>
        <w:contextualSpacing/>
        <w:rPr>
          <w:rFonts w:cs="Arial"/>
          <w:szCs w:val="24"/>
        </w:rPr>
      </w:pPr>
    </w:p>
    <w:p w:rsidR="001F6179" w:rsidRPr="001F6179" w:rsidRDefault="001F6179" w:rsidP="001F6179">
      <w:pPr>
        <w:pStyle w:val="Heading1"/>
      </w:pPr>
      <w:bookmarkStart w:id="30" w:name="_Toc406497979"/>
      <w:r w:rsidRPr="001F6179">
        <w:lastRenderedPageBreak/>
        <w:t>Strategic Interventions</w:t>
      </w:r>
      <w:bookmarkEnd w:id="30"/>
      <w:r w:rsidRPr="001F6179">
        <w:t xml:space="preserve"> </w:t>
      </w:r>
    </w:p>
    <w:p w:rsidR="001F6179" w:rsidRDefault="001F6179" w:rsidP="002C3E91">
      <w:r w:rsidRPr="0063392A">
        <w:t xml:space="preserve">As part of </w:t>
      </w:r>
      <w:r>
        <w:t>reforming the health financing sector via a</w:t>
      </w:r>
      <w:r w:rsidRPr="0063392A">
        <w:t xml:space="preserve"> comprehensive Social Health Protection System, Tanzania envisages the creation of a new Social Health Insurance (SHI) System as a </w:t>
      </w:r>
      <w:r w:rsidRPr="005E6F49">
        <w:rPr>
          <w:b/>
        </w:rPr>
        <w:t>mandatory</w:t>
      </w:r>
      <w:r>
        <w:t xml:space="preserve"> </w:t>
      </w:r>
      <w:r w:rsidRPr="0063392A">
        <w:rPr>
          <w:b/>
        </w:rPr>
        <w:t>Single National Health Insurance</w:t>
      </w:r>
      <w:r>
        <w:rPr>
          <w:b/>
        </w:rPr>
        <w:t xml:space="preserve"> </w:t>
      </w:r>
      <w:r w:rsidR="002C3E91">
        <w:rPr>
          <w:b/>
        </w:rPr>
        <w:t xml:space="preserve">(SNHI), </w:t>
      </w:r>
      <w:r w:rsidR="002C3E91">
        <w:t xml:space="preserve">accompanied by </w:t>
      </w:r>
      <w:r w:rsidR="001D4B9E">
        <w:t>performance based</w:t>
      </w:r>
      <w:r>
        <w:t xml:space="preserve"> financing mechanisms to increase quality outcomes in health services delivery</w:t>
      </w:r>
      <w:r w:rsidRPr="0063392A">
        <w:t>.</w:t>
      </w:r>
      <w:r w:rsidR="00E17084">
        <w:t xml:space="preserve"> The new system will aim at reducing fragmentation in health sector resource pooling and increase the size of revenue collectively available to fund health services. It envisaged that the harmonization of health sector funding resources will help to improve efficiency in allocation and use of funds.</w:t>
      </w:r>
    </w:p>
    <w:p w:rsidR="0058433C" w:rsidRDefault="0058433C" w:rsidP="002C3E91"/>
    <w:p w:rsidR="0058433C" w:rsidRDefault="0058433C" w:rsidP="002C3E91">
      <w:pPr>
        <w:sectPr w:rsidR="0058433C" w:rsidSect="00B85D2C">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docGrid w:linePitch="360"/>
        </w:sectPr>
      </w:pPr>
    </w:p>
    <w:p w:rsidR="005E5054" w:rsidRDefault="005E5054">
      <w:pPr>
        <w:spacing w:after="200"/>
        <w:jc w:val="left"/>
        <w:rPr>
          <w:rFonts w:eastAsiaTheme="minorEastAsia"/>
          <w:b/>
          <w:bCs/>
          <w:sz w:val="22"/>
          <w:szCs w:val="18"/>
          <w:lang w:bidi="en-US"/>
        </w:rPr>
      </w:pPr>
    </w:p>
    <w:p w:rsidR="005E5054" w:rsidRDefault="005E5054" w:rsidP="005E5054">
      <w:pPr>
        <w:pStyle w:val="Caption"/>
      </w:pPr>
      <w:r>
        <w:t xml:space="preserve">Figure </w:t>
      </w:r>
      <w:r w:rsidR="00F936E6">
        <w:fldChar w:fldCharType="begin"/>
      </w:r>
      <w:r w:rsidR="00434E4F">
        <w:instrText xml:space="preserve"> SEQ Figure \* ARABIC </w:instrText>
      </w:r>
      <w:r w:rsidR="00F936E6">
        <w:fldChar w:fldCharType="separate"/>
      </w:r>
      <w:r>
        <w:rPr>
          <w:noProof/>
        </w:rPr>
        <w:t>5</w:t>
      </w:r>
      <w:r w:rsidR="00F936E6">
        <w:rPr>
          <w:noProof/>
        </w:rPr>
        <w:fldChar w:fldCharType="end"/>
      </w:r>
      <w:r>
        <w:t xml:space="preserve"> </w:t>
      </w:r>
      <w:proofErr w:type="gramStart"/>
      <w:r>
        <w:t>The</w:t>
      </w:r>
      <w:proofErr w:type="gramEnd"/>
      <w:r>
        <w:t xml:space="preserve"> proposed SNHI</w:t>
      </w:r>
      <w:r w:rsidR="00194B83">
        <w:t xml:space="preserve"> set-up</w:t>
      </w:r>
    </w:p>
    <w:p w:rsidR="00656E22" w:rsidRDefault="00656E22" w:rsidP="002C3E91">
      <w:pPr>
        <w:rPr>
          <w:b/>
        </w:rPr>
      </w:pPr>
    </w:p>
    <w:p w:rsidR="0058433C" w:rsidRDefault="0058433C" w:rsidP="002C3E91">
      <w:pPr>
        <w:rPr>
          <w:b/>
        </w:rPr>
      </w:pPr>
      <w:r>
        <w:rPr>
          <w:b/>
          <w:noProof/>
          <w:lang w:val="de-DE" w:eastAsia="de-DE"/>
        </w:rPr>
        <w:drawing>
          <wp:inline distT="0" distB="0" distL="0" distR="0">
            <wp:extent cx="7762875" cy="4933950"/>
            <wp:effectExtent l="1905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9" cstate="print"/>
                    <a:srcRect/>
                    <a:stretch>
                      <a:fillRect/>
                    </a:stretch>
                  </pic:blipFill>
                  <pic:spPr bwMode="auto">
                    <a:xfrm>
                      <a:off x="0" y="0"/>
                      <a:ext cx="7771054" cy="4939149"/>
                    </a:xfrm>
                    <a:prstGeom prst="rect">
                      <a:avLst/>
                    </a:prstGeom>
                    <a:noFill/>
                  </pic:spPr>
                </pic:pic>
              </a:graphicData>
            </a:graphic>
          </wp:inline>
        </w:drawing>
      </w:r>
    </w:p>
    <w:p w:rsidR="0058433C" w:rsidRDefault="0058433C" w:rsidP="002C3E91">
      <w:pPr>
        <w:rPr>
          <w:b/>
        </w:rPr>
      </w:pPr>
    </w:p>
    <w:p w:rsidR="0058433C" w:rsidRDefault="0058433C" w:rsidP="002C3E91">
      <w:pPr>
        <w:rPr>
          <w:b/>
        </w:rPr>
        <w:sectPr w:rsidR="0058433C" w:rsidSect="0058433C">
          <w:pgSz w:w="15840" w:h="12240" w:orient="landscape"/>
          <w:pgMar w:top="1440" w:right="1440" w:bottom="1440" w:left="1440" w:header="720" w:footer="720" w:gutter="0"/>
          <w:cols w:space="720"/>
          <w:docGrid w:linePitch="360"/>
        </w:sectPr>
      </w:pPr>
    </w:p>
    <w:p w:rsidR="001F6179" w:rsidRPr="0063392A" w:rsidRDefault="001F6179" w:rsidP="001F6179">
      <w:pPr>
        <w:pStyle w:val="Heading2"/>
      </w:pPr>
      <w:bookmarkStart w:id="31" w:name="_Toc406497980"/>
      <w:r w:rsidRPr="0063392A">
        <w:lastRenderedPageBreak/>
        <w:t>Governance</w:t>
      </w:r>
      <w:bookmarkEnd w:id="31"/>
      <w:r w:rsidRPr="0063392A">
        <w:t xml:space="preserve"> </w:t>
      </w:r>
    </w:p>
    <w:p w:rsidR="00DB37B6" w:rsidRDefault="001F6179" w:rsidP="00DB37B6">
      <w:pPr>
        <w:pStyle w:val="Heading3"/>
      </w:pPr>
      <w:bookmarkStart w:id="32" w:name="_Toc406497981"/>
      <w:r w:rsidRPr="001F0123">
        <w:t xml:space="preserve">Strategy 1: </w:t>
      </w:r>
      <w:r w:rsidR="00DB37B6" w:rsidRPr="00DB37B6">
        <w:t>Provide an adequate legal and regulatory framework</w:t>
      </w:r>
      <w:r w:rsidR="00434E4F">
        <w:t xml:space="preserve"> and institutional set up</w:t>
      </w:r>
      <w:r w:rsidR="00DB37B6" w:rsidRPr="00DB37B6">
        <w:t xml:space="preserve"> for </w:t>
      </w:r>
      <w:r w:rsidR="00434E4F">
        <w:t>the reformed social health protection</w:t>
      </w:r>
      <w:r w:rsidR="00DB37B6" w:rsidRPr="00DB37B6">
        <w:t xml:space="preserve"> </w:t>
      </w:r>
      <w:r w:rsidR="00434E4F">
        <w:t>system</w:t>
      </w:r>
      <w:bookmarkEnd w:id="32"/>
      <w:r w:rsidR="00DB37B6" w:rsidRPr="00DB37B6">
        <w:t xml:space="preserve"> </w:t>
      </w:r>
    </w:p>
    <w:p w:rsidR="00DB37B6" w:rsidRPr="00CB149B" w:rsidRDefault="00B85D2C" w:rsidP="00DB37B6">
      <w:r w:rsidRPr="00B85D2C">
        <w:t>This Strategy aims at developing or adapting a legal and regulatory framework such that it improves the health financing policy landscape, ensures stakeholder participation, strengthens accountability, and provides clear and executable laws and regulations.</w:t>
      </w:r>
    </w:p>
    <w:p w:rsidR="00DB37B6" w:rsidRPr="00CB149B" w:rsidRDefault="00DB37B6" w:rsidP="00DB37B6"/>
    <w:p w:rsidR="00DB37B6" w:rsidRPr="00CB149B" w:rsidRDefault="00B85D2C" w:rsidP="00DB37B6">
      <w:r w:rsidRPr="00B85D2C">
        <w:t>The legal and regulatory framework will ensure that the vision, values, guiding principles, goals and objectives outlined in the Strategy are reflected in relevant legislations and provide the needed legal tools to implement the chosen Social Health Protection Model for the Country.</w:t>
      </w:r>
    </w:p>
    <w:p w:rsidR="00DB37B6" w:rsidRPr="00CB149B" w:rsidRDefault="00DB37B6" w:rsidP="00DB37B6"/>
    <w:p w:rsidR="000C262C" w:rsidRDefault="00B85D2C">
      <w:pPr>
        <w:keepNext/>
        <w:keepLines/>
        <w:numPr>
          <w:ilvl w:val="3"/>
          <w:numId w:val="0"/>
        </w:numPr>
        <w:spacing w:before="200" w:after="120"/>
        <w:ind w:left="864" w:hanging="864"/>
        <w:outlineLvl w:val="3"/>
        <w:rPr>
          <w:rFonts w:ascii="Cambria" w:eastAsia="Times New Roman" w:hAnsi="Cambria" w:cs="Times New Roman"/>
          <w:color w:val="4F81BD"/>
        </w:rPr>
      </w:pPr>
      <w:r w:rsidRPr="00B85D2C">
        <w:t xml:space="preserve"> </w:t>
      </w:r>
      <w:r w:rsidRPr="00B85D2C">
        <w:rPr>
          <w:rFonts w:ascii="Cambria" w:eastAsia="Times New Roman" w:hAnsi="Cambria" w:cs="Times New Roman"/>
          <w:b/>
          <w:bCs/>
          <w:i/>
          <w:iCs/>
          <w:color w:val="4F81BD"/>
        </w:rPr>
        <w:t>New Legislation Needs</w:t>
      </w:r>
    </w:p>
    <w:p w:rsidR="001F6179" w:rsidRPr="0063392A" w:rsidRDefault="001F6179" w:rsidP="001F6179">
      <w:r w:rsidRPr="0063392A">
        <w:t xml:space="preserve">An adequate legal and regulatory framework for the creation of </w:t>
      </w:r>
      <w:r>
        <w:t>the mandatory</w:t>
      </w:r>
      <w:r w:rsidRPr="0063392A">
        <w:t xml:space="preserve"> S</w:t>
      </w:r>
      <w:r w:rsidR="0056567B">
        <w:t>N</w:t>
      </w:r>
      <w:r w:rsidRPr="0063392A">
        <w:t xml:space="preserve">HI </w:t>
      </w:r>
      <w:r w:rsidR="00B0157C">
        <w:t xml:space="preserve">will </w:t>
      </w:r>
      <w:r w:rsidRPr="0063392A">
        <w:t xml:space="preserve">be newly developed. </w:t>
      </w:r>
      <w:r w:rsidR="00B84941" w:rsidRPr="00B84941">
        <w:t>T</w:t>
      </w:r>
      <w:r w:rsidR="00B84941">
        <w:t>he legal framework will include</w:t>
      </w:r>
      <w:r w:rsidR="00B84941" w:rsidRPr="00B84941">
        <w:t xml:space="preserve"> the legal framework for Mandatory Membership to the SNHI and a Basic Minimum Benefit Package entitlement to the entire population. The existing Social Health Insurance law and acts will have to be annulled (e.g. NHIF Act, CHF Act, SHIB etc.) while other existing laws and regulations relating to insurance, social security and service delivery will have to be reviewed, adapted or changed to suite the new system</w:t>
      </w:r>
      <w:r w:rsidRPr="0063392A">
        <w:t xml:space="preserve">  </w:t>
      </w:r>
      <w:r w:rsidR="00B84941" w:rsidRPr="00B84941">
        <w:t xml:space="preserve"> The legal framework will clearly state that private health insurances will operate in duplicative and supplementary function to the SNHI and will cover non-MBP benefits.</w:t>
      </w:r>
    </w:p>
    <w:p w:rsidR="001F6179" w:rsidRPr="0063392A" w:rsidRDefault="001F6179" w:rsidP="001F6179">
      <w:pPr>
        <w:ind w:left="1843"/>
        <w:contextualSpacing/>
        <w:rPr>
          <w:rFonts w:cs="Arial"/>
          <w:szCs w:val="24"/>
        </w:rPr>
      </w:pPr>
    </w:p>
    <w:p w:rsidR="001F6179" w:rsidRDefault="001F6179" w:rsidP="001F6179">
      <w:pPr>
        <w:contextualSpacing/>
        <w:rPr>
          <w:rFonts w:cs="Arial"/>
          <w:szCs w:val="24"/>
        </w:rPr>
      </w:pPr>
      <w:r w:rsidRPr="0063392A">
        <w:rPr>
          <w:rFonts w:cs="Arial"/>
          <w:szCs w:val="24"/>
        </w:rPr>
        <w:t xml:space="preserve">As soon as the Strategy enters implementation and the </w:t>
      </w:r>
      <w:r w:rsidR="007138B2">
        <w:rPr>
          <w:rFonts w:cs="Arial"/>
          <w:szCs w:val="24"/>
        </w:rPr>
        <w:t>m</w:t>
      </w:r>
      <w:r w:rsidRPr="0063392A">
        <w:rPr>
          <w:rFonts w:cs="Arial"/>
          <w:szCs w:val="24"/>
        </w:rPr>
        <w:t xml:space="preserve">andatory </w:t>
      </w:r>
      <w:r w:rsidR="00B84941">
        <w:rPr>
          <w:rFonts w:cs="Arial"/>
          <w:szCs w:val="24"/>
        </w:rPr>
        <w:t>S</w:t>
      </w:r>
      <w:r w:rsidR="00370757">
        <w:rPr>
          <w:rFonts w:cs="Arial"/>
          <w:szCs w:val="24"/>
        </w:rPr>
        <w:t>N</w:t>
      </w:r>
      <w:r w:rsidR="00B84941">
        <w:rPr>
          <w:rFonts w:cs="Arial"/>
          <w:szCs w:val="24"/>
        </w:rPr>
        <w:t>HI</w:t>
      </w:r>
      <w:r w:rsidRPr="0063392A">
        <w:rPr>
          <w:rFonts w:cs="Arial"/>
          <w:szCs w:val="24"/>
        </w:rPr>
        <w:t xml:space="preserve"> is created, </w:t>
      </w:r>
      <w:r w:rsidR="005E25B7">
        <w:rPr>
          <w:rFonts w:cs="Arial"/>
          <w:szCs w:val="24"/>
        </w:rPr>
        <w:t xml:space="preserve">appropriate </w:t>
      </w:r>
      <w:r w:rsidRPr="0063392A">
        <w:rPr>
          <w:rFonts w:cs="Arial"/>
          <w:szCs w:val="24"/>
        </w:rPr>
        <w:t>regulation has to be in place.  Tanzania will move away from its fragmented health insurance legislations, and unify and harmonize its system of regulation to fit one single social health insurer.</w:t>
      </w:r>
    </w:p>
    <w:p w:rsidR="00DB37B6" w:rsidRDefault="00DB37B6" w:rsidP="001F6179">
      <w:pPr>
        <w:contextualSpacing/>
        <w:rPr>
          <w:rFonts w:cs="Arial"/>
          <w:szCs w:val="24"/>
        </w:rPr>
      </w:pPr>
    </w:p>
    <w:p w:rsidR="00DB37B6" w:rsidRPr="00DB37B6" w:rsidRDefault="00DB37B6" w:rsidP="00DB37B6">
      <w:pPr>
        <w:keepNext/>
        <w:keepLines/>
        <w:numPr>
          <w:ilvl w:val="3"/>
          <w:numId w:val="0"/>
        </w:numPr>
        <w:spacing w:before="200" w:after="120"/>
        <w:ind w:left="864" w:hanging="864"/>
        <w:outlineLvl w:val="3"/>
        <w:rPr>
          <w:rFonts w:ascii="Cambria" w:eastAsia="Times New Roman" w:hAnsi="Cambria" w:cs="Times New Roman"/>
          <w:b/>
          <w:bCs/>
          <w:i/>
          <w:iCs/>
          <w:color w:val="4F81BD"/>
        </w:rPr>
      </w:pPr>
      <w:r w:rsidRPr="00DB37B6">
        <w:rPr>
          <w:rFonts w:ascii="Cambria" w:eastAsia="Times New Roman" w:hAnsi="Cambria" w:cs="Times New Roman"/>
          <w:b/>
          <w:bCs/>
          <w:i/>
          <w:iCs/>
          <w:color w:val="4F81BD"/>
        </w:rPr>
        <w:t xml:space="preserve">Establishment of </w:t>
      </w:r>
      <w:r w:rsidR="00E8350C">
        <w:rPr>
          <w:rFonts w:ascii="Cambria" w:eastAsia="Times New Roman" w:hAnsi="Cambria" w:cs="Times New Roman"/>
          <w:b/>
          <w:bCs/>
          <w:i/>
          <w:iCs/>
          <w:color w:val="4F81BD"/>
        </w:rPr>
        <w:t xml:space="preserve">a mandatory </w:t>
      </w:r>
      <w:r w:rsidRPr="00DB37B6">
        <w:rPr>
          <w:rFonts w:ascii="Cambria" w:eastAsia="Times New Roman" w:hAnsi="Cambria" w:cs="Times New Roman"/>
          <w:b/>
          <w:bCs/>
          <w:i/>
          <w:iCs/>
          <w:color w:val="4F81BD"/>
        </w:rPr>
        <w:t xml:space="preserve">Single National Health Insurance </w:t>
      </w:r>
    </w:p>
    <w:p w:rsidR="00DB37B6" w:rsidRPr="00DB37B6" w:rsidRDefault="00DB37B6" w:rsidP="00DB37B6">
      <w:pPr>
        <w:rPr>
          <w:rFonts w:eastAsia="Calibri" w:cs="Times New Roman"/>
        </w:rPr>
      </w:pPr>
      <w:r w:rsidRPr="00DB37B6">
        <w:rPr>
          <w:rFonts w:eastAsia="Calibri" w:cs="Times New Roman"/>
        </w:rPr>
        <w:t xml:space="preserve">As part of the Strategy a new mandatory </w:t>
      </w:r>
      <w:r w:rsidR="00370757">
        <w:rPr>
          <w:rFonts w:eastAsia="Calibri" w:cs="Times New Roman"/>
        </w:rPr>
        <w:t>SNHI</w:t>
      </w:r>
      <w:r w:rsidRPr="00DB37B6">
        <w:rPr>
          <w:rFonts w:eastAsia="Calibri" w:cs="Times New Roman"/>
        </w:rPr>
        <w:t xml:space="preserve"> will be established covering the entire population</w:t>
      </w:r>
      <w:r w:rsidR="006670C3">
        <w:rPr>
          <w:rFonts w:eastAsia="Calibri" w:cs="Times New Roman"/>
        </w:rPr>
        <w:t xml:space="preserve"> (Figure 5)</w:t>
      </w:r>
      <w:r w:rsidRPr="00DB37B6">
        <w:rPr>
          <w:rFonts w:eastAsia="Calibri" w:cs="Times New Roman"/>
        </w:rPr>
        <w:t xml:space="preserve">. The SNHI will hold the main purchasing power in the public system and be the principal actor in contracting for health services, and paying providers. There will be satellite offices to a nationally established structure, which handle health insurance management functions at regional level.  Supportive and innovative structures for premium collection and membership administration of the SNHI will also be established at District/ village level.  Clear complaints mechanisms will be </w:t>
      </w:r>
      <w:r w:rsidRPr="00DB37B6">
        <w:rPr>
          <w:rFonts w:eastAsia="Calibri" w:cs="Times New Roman"/>
        </w:rPr>
        <w:lastRenderedPageBreak/>
        <w:t xml:space="preserve">established at every level. </w:t>
      </w:r>
      <w:proofErr w:type="gramStart"/>
      <w:r>
        <w:rPr>
          <w:rFonts w:eastAsia="Calibri" w:cs="Times New Roman"/>
        </w:rPr>
        <w:t>B</w:t>
      </w:r>
      <w:r w:rsidRPr="00DB37B6">
        <w:rPr>
          <w:rFonts w:eastAsia="Calibri" w:cs="Times New Roman"/>
        </w:rPr>
        <w:t xml:space="preserve">uilding on the positive experience of the CHF </w:t>
      </w:r>
      <w:proofErr w:type="spellStart"/>
      <w:r w:rsidRPr="00DB37B6">
        <w:rPr>
          <w:rFonts w:eastAsia="Calibri" w:cs="Times New Roman"/>
        </w:rPr>
        <w:t>Iliyoboreshwa</w:t>
      </w:r>
      <w:proofErr w:type="spellEnd"/>
      <w:r w:rsidRPr="00DB37B6">
        <w:rPr>
          <w:rFonts w:eastAsia="Calibri" w:cs="Times New Roman"/>
        </w:rPr>
        <w:t xml:space="preserve"> (Mtei and </w:t>
      </w:r>
      <w:proofErr w:type="spellStart"/>
      <w:r w:rsidRPr="00DB37B6">
        <w:rPr>
          <w:rFonts w:eastAsia="Calibri" w:cs="Times New Roman"/>
        </w:rPr>
        <w:t>Enemark</w:t>
      </w:r>
      <w:proofErr w:type="spellEnd"/>
      <w:r w:rsidRPr="00DB37B6">
        <w:rPr>
          <w:rFonts w:eastAsia="Calibri" w:cs="Times New Roman"/>
        </w:rPr>
        <w:t xml:space="preserve"> 2013).</w:t>
      </w:r>
      <w:proofErr w:type="gramEnd"/>
      <w:r w:rsidRPr="00DB37B6">
        <w:rPr>
          <w:rFonts w:eastAsia="Calibri" w:cs="Times New Roman"/>
        </w:rPr>
        <w:t xml:space="preserve">  </w:t>
      </w:r>
    </w:p>
    <w:p w:rsidR="00DB37B6" w:rsidRPr="00DB37B6" w:rsidRDefault="00DB37B6" w:rsidP="00DB37B6">
      <w:pPr>
        <w:rPr>
          <w:rFonts w:eastAsia="Calibri" w:cs="Times New Roman"/>
        </w:rPr>
      </w:pPr>
    </w:p>
    <w:p w:rsidR="00250DA4" w:rsidRPr="00250DA4" w:rsidRDefault="00250DA4" w:rsidP="00250DA4">
      <w:pPr>
        <w:rPr>
          <w:rFonts w:eastAsia="Calibri" w:cs="Times New Roman"/>
        </w:rPr>
      </w:pPr>
      <w:r>
        <w:rPr>
          <w:rFonts w:eastAsia="Calibri" w:cs="Times New Roman"/>
        </w:rPr>
        <w:t>Pr</w:t>
      </w:r>
      <w:r w:rsidRPr="00250DA4">
        <w:rPr>
          <w:rFonts w:eastAsia="Calibri" w:cs="Times New Roman"/>
        </w:rPr>
        <w:t xml:space="preserve">oviders of health care in the Tanzanian environment will be given increased autonomy in the public system to allow them to allocate their resources more effectively </w:t>
      </w:r>
      <w:r w:rsidR="00370757">
        <w:rPr>
          <w:rFonts w:eastAsia="Calibri" w:cs="Times New Roman"/>
        </w:rPr>
        <w:t xml:space="preserve">to </w:t>
      </w:r>
      <w:r w:rsidRPr="00250DA4">
        <w:rPr>
          <w:rFonts w:eastAsia="Calibri" w:cs="Times New Roman"/>
        </w:rPr>
        <w:t xml:space="preserve">purchase goods and services including drugs.  This will facilitate competition between public and private providers and thus enhance their quality of care. The creation of primary care networks is envisaged below council level, linking any community or outreach services with dispensaries under a specific health </w:t>
      </w:r>
      <w:r w:rsidR="00370757" w:rsidRPr="00250DA4">
        <w:rPr>
          <w:rFonts w:eastAsia="Calibri" w:cs="Times New Roman"/>
        </w:rPr>
        <w:t>center</w:t>
      </w:r>
      <w:r w:rsidRPr="00250DA4">
        <w:rPr>
          <w:rFonts w:eastAsia="Calibri" w:cs="Times New Roman"/>
        </w:rPr>
        <w:t xml:space="preserve">, with district hospitals as the apex of the primary health care system, for improved financial management and services delivery (Fuenzalida and Kuper 2013)   </w:t>
      </w:r>
    </w:p>
    <w:p w:rsidR="00DB37B6" w:rsidRDefault="00DB37B6" w:rsidP="00DB37B6">
      <w:pPr>
        <w:rPr>
          <w:rFonts w:eastAsia="Calibri" w:cs="Times New Roman"/>
        </w:rPr>
      </w:pPr>
    </w:p>
    <w:p w:rsidR="006359A4" w:rsidRPr="006359A4" w:rsidRDefault="00B85D2C" w:rsidP="006359A4">
      <w:pPr>
        <w:rPr>
          <w:rFonts w:ascii="Cambria" w:eastAsia="Times New Roman" w:hAnsi="Cambria" w:cs="Times New Roman"/>
          <w:b/>
          <w:bCs/>
          <w:i/>
          <w:iCs/>
          <w:color w:val="4F81BD"/>
        </w:rPr>
      </w:pPr>
      <w:r w:rsidRPr="00B85D2C">
        <w:rPr>
          <w:rFonts w:ascii="Cambria" w:eastAsia="Times New Roman" w:hAnsi="Cambria" w:cs="Times New Roman"/>
          <w:b/>
          <w:bCs/>
          <w:i/>
          <w:iCs/>
          <w:color w:val="4F81BD"/>
        </w:rPr>
        <w:t xml:space="preserve">Policy level </w:t>
      </w:r>
    </w:p>
    <w:p w:rsidR="006359A4" w:rsidRPr="006359A4" w:rsidRDefault="006359A4" w:rsidP="006359A4">
      <w:pPr>
        <w:rPr>
          <w:rFonts w:eastAsia="Calibri" w:cs="Times New Roman"/>
        </w:rPr>
      </w:pPr>
      <w:r w:rsidRPr="006359A4">
        <w:rPr>
          <w:rFonts w:eastAsia="Calibri" w:cs="Times New Roman"/>
        </w:rPr>
        <w:t xml:space="preserve">The SNHI will report to the Ministry of Health &amp; Social Welfare. Clear functional specifications and roles will be assigned to all relevant entities, the legal framework adjusted accordingly, and mechanisms for transparent reporting and coordination established.  Unified command is necessary to defragment the SHI governance landscape which is currently split among a number of Ministries (MOHSW, PMORALG, MOF, Ministry of </w:t>
      </w:r>
      <w:r w:rsidR="00194B83" w:rsidRPr="006359A4">
        <w:rPr>
          <w:rFonts w:eastAsia="Calibri" w:cs="Times New Roman"/>
        </w:rPr>
        <w:t>Labor</w:t>
      </w:r>
      <w:r w:rsidRPr="006359A4">
        <w:rPr>
          <w:rFonts w:eastAsia="Calibri" w:cs="Times New Roman"/>
        </w:rPr>
        <w:t xml:space="preserve"> </w:t>
      </w:r>
      <w:r w:rsidR="00194B83" w:rsidRPr="006359A4">
        <w:rPr>
          <w:rFonts w:eastAsia="Calibri" w:cs="Times New Roman"/>
        </w:rPr>
        <w:t>etc.</w:t>
      </w:r>
      <w:r w:rsidRPr="006359A4">
        <w:rPr>
          <w:rFonts w:eastAsia="Calibri" w:cs="Times New Roman"/>
        </w:rPr>
        <w:t xml:space="preserve">). </w:t>
      </w:r>
    </w:p>
    <w:p w:rsidR="006359A4" w:rsidRPr="006359A4" w:rsidRDefault="006359A4" w:rsidP="006359A4">
      <w:pPr>
        <w:rPr>
          <w:rFonts w:eastAsia="Calibri" w:cs="Times New Roman"/>
        </w:rPr>
      </w:pPr>
      <w:r w:rsidRPr="006359A4">
        <w:rPr>
          <w:rFonts w:eastAsia="Calibri" w:cs="Times New Roman"/>
        </w:rPr>
        <w:t xml:space="preserve"> </w:t>
      </w:r>
    </w:p>
    <w:p w:rsidR="006359A4" w:rsidRPr="00DB37B6" w:rsidRDefault="006359A4" w:rsidP="006359A4">
      <w:pPr>
        <w:rPr>
          <w:rFonts w:eastAsia="Calibri" w:cs="Times New Roman"/>
        </w:rPr>
      </w:pPr>
      <w:r w:rsidRPr="006359A4">
        <w:rPr>
          <w:rFonts w:eastAsia="Calibri" w:cs="Times New Roman"/>
        </w:rPr>
        <w:t>A clear purchaser-provider split will be introduced within the sector. The SNHI will become the primary purchaser of health services within the agreed Ben</w:t>
      </w:r>
      <w:r w:rsidR="00194B83">
        <w:rPr>
          <w:rFonts w:eastAsia="Calibri" w:cs="Times New Roman"/>
        </w:rPr>
        <w:t>efit Package(s), while the LGAs</w:t>
      </w:r>
      <w:r w:rsidRPr="006359A4">
        <w:rPr>
          <w:rFonts w:eastAsia="Calibri" w:cs="Times New Roman"/>
        </w:rPr>
        <w:t xml:space="preserve"> and referral/national hospitals will be the providers.  The LGAs will be disengaged from the implementation and management of health insurance, in order to render the system more efficient, accountable and to remove an unnecessary administrative burden from health providers. The LGAs will focus their engagement on community-oriented public health, supervision and monitoring of health policy implementation, and advocacy on behalf of the citizens.</w:t>
      </w:r>
    </w:p>
    <w:p w:rsidR="00DB37B6" w:rsidRPr="00250DA4" w:rsidRDefault="00DB37B6" w:rsidP="00250DA4">
      <w:pPr>
        <w:keepNext/>
        <w:keepLines/>
        <w:numPr>
          <w:ilvl w:val="3"/>
          <w:numId w:val="0"/>
        </w:numPr>
        <w:spacing w:before="200" w:after="120"/>
        <w:ind w:left="864" w:hanging="864"/>
        <w:outlineLvl w:val="3"/>
        <w:rPr>
          <w:rFonts w:ascii="Cambria" w:eastAsia="Times New Roman" w:hAnsi="Cambria" w:cs="Times New Roman"/>
          <w:b/>
          <w:bCs/>
          <w:i/>
          <w:iCs/>
          <w:color w:val="4F81BD"/>
        </w:rPr>
      </w:pPr>
      <w:r w:rsidRPr="00250DA4">
        <w:rPr>
          <w:rFonts w:ascii="Cambria" w:eastAsia="Times New Roman" w:hAnsi="Cambria" w:cs="Times New Roman"/>
          <w:b/>
          <w:bCs/>
          <w:i/>
          <w:iCs/>
          <w:color w:val="4F81BD"/>
        </w:rPr>
        <w:t xml:space="preserve">Health Insurance </w:t>
      </w:r>
      <w:r w:rsidR="00ED0805">
        <w:rPr>
          <w:rFonts w:ascii="Cambria" w:eastAsia="Times New Roman" w:hAnsi="Cambria" w:cs="Times New Roman"/>
          <w:b/>
          <w:bCs/>
          <w:i/>
          <w:iCs/>
          <w:color w:val="4F81BD"/>
        </w:rPr>
        <w:t>Regulation, Supervision and Stakeholder Engagement</w:t>
      </w:r>
    </w:p>
    <w:p w:rsidR="00DB37B6" w:rsidRPr="00DB37B6" w:rsidRDefault="00370757" w:rsidP="00DB37B6">
      <w:pPr>
        <w:contextualSpacing/>
        <w:rPr>
          <w:rFonts w:cs="Arial"/>
          <w:szCs w:val="24"/>
        </w:rPr>
      </w:pPr>
      <w:r>
        <w:rPr>
          <w:rFonts w:cs="Arial"/>
          <w:szCs w:val="24"/>
        </w:rPr>
        <w:t>An</w:t>
      </w:r>
      <w:r w:rsidRPr="00DB37B6">
        <w:rPr>
          <w:rFonts w:cs="Arial"/>
          <w:szCs w:val="24"/>
        </w:rPr>
        <w:t xml:space="preserve"> </w:t>
      </w:r>
      <w:r w:rsidR="00DB37B6" w:rsidRPr="00DB37B6">
        <w:rPr>
          <w:rFonts w:cs="Arial"/>
          <w:szCs w:val="24"/>
        </w:rPr>
        <w:t xml:space="preserve">independent Health Regulatory </w:t>
      </w:r>
      <w:r>
        <w:rPr>
          <w:rFonts w:cs="Arial"/>
          <w:szCs w:val="24"/>
        </w:rPr>
        <w:t>B</w:t>
      </w:r>
      <w:r w:rsidR="00DB37B6" w:rsidRPr="00DB37B6">
        <w:rPr>
          <w:rFonts w:cs="Arial"/>
          <w:szCs w:val="24"/>
        </w:rPr>
        <w:t xml:space="preserve">ody will be established to ensure compliance of the single payer with the regulatory environment and thus </w:t>
      </w:r>
      <w:r>
        <w:rPr>
          <w:rFonts w:cs="Arial"/>
          <w:szCs w:val="24"/>
        </w:rPr>
        <w:t>operate efficiently</w:t>
      </w:r>
      <w:r w:rsidRPr="00DB37B6">
        <w:rPr>
          <w:rFonts w:cs="Arial"/>
          <w:szCs w:val="24"/>
        </w:rPr>
        <w:t xml:space="preserve"> </w:t>
      </w:r>
      <w:r w:rsidR="00DB37B6" w:rsidRPr="00DB37B6">
        <w:rPr>
          <w:rFonts w:cs="Arial"/>
          <w:szCs w:val="24"/>
        </w:rPr>
        <w:t xml:space="preserve">and </w:t>
      </w:r>
      <w:r>
        <w:rPr>
          <w:rFonts w:cs="Arial"/>
          <w:szCs w:val="24"/>
        </w:rPr>
        <w:t xml:space="preserve">with </w:t>
      </w:r>
      <w:r w:rsidR="00DB37B6" w:rsidRPr="00DB37B6">
        <w:rPr>
          <w:rFonts w:cs="Arial"/>
          <w:szCs w:val="24"/>
        </w:rPr>
        <w:t xml:space="preserve">client orientation.  The regulatory body will also be responsible to control fee levels on provider side, especially pertaining to the private sector, monitor tariffs, premiums, </w:t>
      </w:r>
      <w:r>
        <w:rPr>
          <w:rFonts w:cs="Arial"/>
          <w:szCs w:val="24"/>
        </w:rPr>
        <w:t>a</w:t>
      </w:r>
      <w:r w:rsidR="00DB37B6" w:rsidRPr="00DB37B6">
        <w:rPr>
          <w:rFonts w:cs="Arial"/>
          <w:szCs w:val="24"/>
        </w:rPr>
        <w:t xml:space="preserve">ccreditation system, and conflicts resolution and protect consumer interest in the health </w:t>
      </w:r>
      <w:r>
        <w:rPr>
          <w:rFonts w:cs="Arial"/>
          <w:szCs w:val="24"/>
        </w:rPr>
        <w:t>i</w:t>
      </w:r>
      <w:r w:rsidR="00DB37B6" w:rsidRPr="00DB37B6">
        <w:rPr>
          <w:rFonts w:cs="Arial"/>
          <w:szCs w:val="24"/>
        </w:rPr>
        <w:t xml:space="preserve">nsurance </w:t>
      </w:r>
      <w:r>
        <w:rPr>
          <w:rFonts w:cs="Arial"/>
          <w:szCs w:val="24"/>
        </w:rPr>
        <w:t>s</w:t>
      </w:r>
      <w:r w:rsidR="00DB37B6" w:rsidRPr="00DB37B6">
        <w:rPr>
          <w:rFonts w:cs="Arial"/>
          <w:szCs w:val="24"/>
        </w:rPr>
        <w:t xml:space="preserve">ector. </w:t>
      </w:r>
    </w:p>
    <w:p w:rsidR="00DB37B6" w:rsidRPr="00DB37B6" w:rsidRDefault="00DB37B6" w:rsidP="00DB37B6">
      <w:pPr>
        <w:contextualSpacing/>
        <w:rPr>
          <w:rFonts w:cs="Arial"/>
          <w:szCs w:val="24"/>
        </w:rPr>
      </w:pPr>
    </w:p>
    <w:p w:rsidR="00DB37B6" w:rsidRPr="00DB37B6" w:rsidRDefault="00370757" w:rsidP="00DB37B6">
      <w:pPr>
        <w:contextualSpacing/>
        <w:rPr>
          <w:rFonts w:cs="Arial"/>
          <w:szCs w:val="24"/>
        </w:rPr>
      </w:pPr>
      <w:r>
        <w:rPr>
          <w:rFonts w:cs="Arial"/>
          <w:szCs w:val="24"/>
        </w:rPr>
        <w:t>A</w:t>
      </w:r>
      <w:r w:rsidRPr="00DB37B6">
        <w:rPr>
          <w:rFonts w:cs="Arial"/>
          <w:szCs w:val="24"/>
        </w:rPr>
        <w:t xml:space="preserve"> </w:t>
      </w:r>
      <w:r w:rsidR="00DB37B6" w:rsidRPr="00DB37B6">
        <w:rPr>
          <w:rFonts w:cs="Arial"/>
          <w:szCs w:val="24"/>
        </w:rPr>
        <w:t>supervisory board will be established which feature</w:t>
      </w:r>
      <w:r>
        <w:rPr>
          <w:rFonts w:cs="Arial"/>
          <w:szCs w:val="24"/>
        </w:rPr>
        <w:t>s</w:t>
      </w:r>
      <w:r w:rsidR="00DB37B6" w:rsidRPr="00DB37B6">
        <w:rPr>
          <w:rFonts w:cs="Arial"/>
          <w:szCs w:val="24"/>
        </w:rPr>
        <w:t xml:space="preserve"> a variety of representatives including, but not limited to</w:t>
      </w:r>
      <w:r>
        <w:rPr>
          <w:rFonts w:cs="Arial"/>
          <w:szCs w:val="24"/>
        </w:rPr>
        <w:t>,</w:t>
      </w:r>
      <w:r w:rsidR="00DB37B6" w:rsidRPr="00DB37B6">
        <w:rPr>
          <w:rFonts w:cs="Arial"/>
          <w:szCs w:val="24"/>
        </w:rPr>
        <w:t xml:space="preserve"> MOHSW, MOF, MOL, Insurance Regulator, TASAF, </w:t>
      </w:r>
      <w:r w:rsidR="00DB37B6" w:rsidRPr="00DB37B6">
        <w:rPr>
          <w:rFonts w:cs="Arial"/>
          <w:szCs w:val="24"/>
        </w:rPr>
        <w:lastRenderedPageBreak/>
        <w:t>Attorney providers, FBO, Unions, Academic Institution, and population or users of services (there could be more than one provider and population representative).</w:t>
      </w:r>
    </w:p>
    <w:p w:rsidR="00DB37B6" w:rsidRPr="00DB37B6" w:rsidRDefault="00DB37B6" w:rsidP="00DB37B6">
      <w:pPr>
        <w:contextualSpacing/>
        <w:rPr>
          <w:rFonts w:cs="Arial"/>
          <w:szCs w:val="24"/>
        </w:rPr>
      </w:pPr>
    </w:p>
    <w:p w:rsidR="00ED0805" w:rsidRPr="0063392A" w:rsidRDefault="00ED0805" w:rsidP="00DB37B6">
      <w:pPr>
        <w:contextualSpacing/>
        <w:rPr>
          <w:rFonts w:cs="Arial"/>
          <w:szCs w:val="24"/>
        </w:rPr>
      </w:pPr>
    </w:p>
    <w:p w:rsidR="00ED0805" w:rsidRPr="00ED0805" w:rsidRDefault="00ED0805" w:rsidP="00ED0805">
      <w:pPr>
        <w:contextualSpacing/>
        <w:rPr>
          <w:rFonts w:cs="Arial"/>
          <w:szCs w:val="24"/>
        </w:rPr>
      </w:pPr>
      <w:r w:rsidRPr="00ED0805">
        <w:rPr>
          <w:rFonts w:cs="Arial"/>
          <w:szCs w:val="24"/>
        </w:rPr>
        <w:t>The essence of social solidarity is comprehensive and positive participation of all s</w:t>
      </w:r>
      <w:r w:rsidR="006359A4">
        <w:rPr>
          <w:rFonts w:cs="Arial"/>
          <w:szCs w:val="24"/>
        </w:rPr>
        <w:t xml:space="preserve">takeholders necessary. </w:t>
      </w:r>
      <w:r w:rsidRPr="00ED0805">
        <w:rPr>
          <w:rFonts w:cs="Arial"/>
          <w:szCs w:val="24"/>
        </w:rPr>
        <w:t>It is important that this participation is driven from the user</w:t>
      </w:r>
      <w:r w:rsidR="006359A4">
        <w:rPr>
          <w:rFonts w:cs="Arial"/>
          <w:szCs w:val="24"/>
        </w:rPr>
        <w:t>s of the system</w:t>
      </w:r>
      <w:r w:rsidRPr="00ED0805">
        <w:rPr>
          <w:rFonts w:cs="Arial"/>
          <w:szCs w:val="24"/>
        </w:rPr>
        <w:t>. This strategy will ensure that health facility governing bodies are representative and multi-</w:t>
      </w:r>
      <w:proofErr w:type="spellStart"/>
      <w:r w:rsidRPr="00ED0805">
        <w:rPr>
          <w:rFonts w:cs="Arial"/>
          <w:szCs w:val="24"/>
        </w:rPr>
        <w:t>sectoral</w:t>
      </w:r>
      <w:proofErr w:type="spellEnd"/>
      <w:r w:rsidRPr="00ED0805">
        <w:rPr>
          <w:rFonts w:cs="Arial"/>
          <w:szCs w:val="24"/>
        </w:rPr>
        <w:t xml:space="preserve"> in nature, covering all age groups. These bodies will be involved in the identification</w:t>
      </w:r>
      <w:r w:rsidR="006359A4">
        <w:rPr>
          <w:rFonts w:cs="Arial"/>
          <w:szCs w:val="24"/>
        </w:rPr>
        <w:t xml:space="preserve"> of members</w:t>
      </w:r>
      <w:r w:rsidRPr="00ED0805">
        <w:rPr>
          <w:rFonts w:cs="Arial"/>
          <w:szCs w:val="24"/>
        </w:rPr>
        <w:t xml:space="preserve">, prioritization, planning and evaluation of the scheme and services provided at the facilities, thereby ensuring responsiveness to needs of the user. They will also be involved in health facility management, including recruitment of staff and their evaluation. </w:t>
      </w:r>
    </w:p>
    <w:p w:rsidR="00ED0805" w:rsidRPr="00ED0805" w:rsidRDefault="00ED0805" w:rsidP="00ED0805">
      <w:pPr>
        <w:contextualSpacing/>
        <w:rPr>
          <w:rFonts w:cs="Arial"/>
          <w:szCs w:val="24"/>
        </w:rPr>
      </w:pPr>
      <w:r w:rsidRPr="00ED0805">
        <w:rPr>
          <w:rFonts w:cs="Arial"/>
          <w:szCs w:val="24"/>
        </w:rPr>
        <w:t>.</w:t>
      </w:r>
    </w:p>
    <w:p w:rsidR="00ED0805" w:rsidRPr="00ED0805" w:rsidRDefault="00ED0805" w:rsidP="00ED0805">
      <w:pPr>
        <w:contextualSpacing/>
        <w:rPr>
          <w:rFonts w:cs="Arial"/>
          <w:szCs w:val="24"/>
        </w:rPr>
      </w:pPr>
      <w:r w:rsidRPr="00ED0805">
        <w:rPr>
          <w:rFonts w:cs="Arial"/>
          <w:szCs w:val="24"/>
        </w:rPr>
        <w:t>Fora for continuously listening to the views of users will be established, for example meetings between providers, purchasers and users, or use of strategically located opinion boxes. These views will be used to strengthen or change scheme services as needs arise.  Participation of users in setting contribution levels and means of</w:t>
      </w:r>
      <w:r w:rsidR="006359A4">
        <w:rPr>
          <w:rFonts w:cs="Arial"/>
          <w:szCs w:val="24"/>
        </w:rPr>
        <w:t xml:space="preserve"> payment will also be ensured.</w:t>
      </w:r>
    </w:p>
    <w:p w:rsidR="00ED0805" w:rsidRPr="00ED0805" w:rsidRDefault="00ED0805" w:rsidP="00ED0805">
      <w:pPr>
        <w:ind w:left="2520"/>
        <w:contextualSpacing/>
        <w:rPr>
          <w:rFonts w:cs="Arial"/>
          <w:szCs w:val="24"/>
        </w:rPr>
      </w:pPr>
    </w:p>
    <w:p w:rsidR="000C262C" w:rsidRDefault="00ED0805">
      <w:pPr>
        <w:contextualSpacing/>
        <w:rPr>
          <w:rFonts w:cs="Arial"/>
          <w:szCs w:val="24"/>
        </w:rPr>
      </w:pPr>
      <w:r w:rsidRPr="00ED0805">
        <w:rPr>
          <w:rFonts w:cs="Arial"/>
          <w:szCs w:val="24"/>
        </w:rPr>
        <w:t>Finally, accessible information will be provided to enable the user to make decisions to promote their own health and that of the environment in which they live, as well as regularly updated information on the SNHI and how it is managed.</w:t>
      </w:r>
    </w:p>
    <w:p w:rsidR="00250DA4" w:rsidRPr="00250DA4" w:rsidRDefault="00250DA4" w:rsidP="00250DA4">
      <w:pPr>
        <w:keepNext/>
        <w:keepLines/>
        <w:numPr>
          <w:ilvl w:val="3"/>
          <w:numId w:val="0"/>
        </w:numPr>
        <w:spacing w:before="200" w:after="120"/>
        <w:ind w:left="864" w:hanging="864"/>
        <w:outlineLvl w:val="3"/>
        <w:rPr>
          <w:rFonts w:ascii="Cambria" w:eastAsia="Times New Roman" w:hAnsi="Cambria" w:cs="Times New Roman"/>
          <w:b/>
          <w:bCs/>
          <w:i/>
          <w:iCs/>
          <w:color w:val="4F81BD"/>
        </w:rPr>
      </w:pPr>
      <w:r w:rsidRPr="00250DA4">
        <w:rPr>
          <w:rFonts w:ascii="Cambria" w:eastAsia="Times New Roman" w:hAnsi="Cambria" w:cs="Times New Roman"/>
          <w:b/>
          <w:bCs/>
          <w:i/>
          <w:iCs/>
          <w:color w:val="4F81BD"/>
        </w:rPr>
        <w:t>Results-Based Financing</w:t>
      </w:r>
    </w:p>
    <w:p w:rsidR="00250DA4" w:rsidRPr="00250DA4" w:rsidRDefault="00250DA4" w:rsidP="00250DA4">
      <w:pPr>
        <w:tabs>
          <w:tab w:val="left" w:pos="2473"/>
        </w:tabs>
        <w:rPr>
          <w:rFonts w:eastAsia="Calibri" w:cs="Arial"/>
          <w:szCs w:val="24"/>
        </w:rPr>
      </w:pPr>
      <w:r w:rsidRPr="00250DA4">
        <w:rPr>
          <w:rFonts w:eastAsia="Calibri" w:cs="Arial"/>
          <w:szCs w:val="24"/>
        </w:rPr>
        <w:t xml:space="preserve">As part of the Strategy a performance-based incentive mechanism will be rolled-out throughout the health delivery system.  This results-based financing approach will target quality outcomes at every level of public and contracted private facilities (delivering public intervention packages) rewarding facilities and individuals for achievement of selected health priority outcome indicators.  This system will start in its roll-out phase </w:t>
      </w:r>
      <w:r w:rsidRPr="00250DA4">
        <w:rPr>
          <w:rFonts w:eastAsia="Calibri" w:cs="Times New Roman"/>
        </w:rPr>
        <w:t xml:space="preserve">as a parallel health financing system to the social health insurance system.  Once the SNHI has been established and is functioning, the RBF system will be absorbed as part of the </w:t>
      </w:r>
      <w:r w:rsidRPr="00250DA4">
        <w:rPr>
          <w:rFonts w:eastAsia="Calibri" w:cs="Arial"/>
          <w:szCs w:val="24"/>
        </w:rPr>
        <w:t>SNHI.</w:t>
      </w:r>
    </w:p>
    <w:p w:rsidR="00B218B4" w:rsidRDefault="00B218B4" w:rsidP="00B218B4">
      <w:pPr>
        <w:rPr>
          <w:rFonts w:cs="Arial"/>
        </w:rPr>
      </w:pPr>
    </w:p>
    <w:p w:rsidR="001F2336" w:rsidRPr="001F2336" w:rsidRDefault="00B218B4" w:rsidP="00B218B4">
      <w:pPr>
        <w:rPr>
          <w:rFonts w:cs="Arial"/>
        </w:rPr>
      </w:pPr>
      <w:r>
        <w:rPr>
          <w:rFonts w:cs="Arial"/>
        </w:rPr>
        <w:t xml:space="preserve">Finally, </w:t>
      </w:r>
      <w:r w:rsidR="001F2336" w:rsidRPr="001F2336">
        <w:rPr>
          <w:rFonts w:cs="Arial"/>
        </w:rPr>
        <w:t xml:space="preserve">accessible information </w:t>
      </w:r>
      <w:r>
        <w:rPr>
          <w:rFonts w:cs="Arial"/>
        </w:rPr>
        <w:t xml:space="preserve">will be provided </w:t>
      </w:r>
      <w:r w:rsidR="001F2336" w:rsidRPr="001F2336">
        <w:rPr>
          <w:rFonts w:cs="Arial"/>
        </w:rPr>
        <w:t>to enable the user to make decisions to promote their own health and that of the environment in which they live</w:t>
      </w:r>
      <w:r>
        <w:rPr>
          <w:rFonts w:cs="Arial"/>
        </w:rPr>
        <w:t xml:space="preserve">, as well as regularly updated </w:t>
      </w:r>
      <w:r w:rsidR="001F2336" w:rsidRPr="001F2336">
        <w:rPr>
          <w:rFonts w:cs="Arial"/>
        </w:rPr>
        <w:t xml:space="preserve">information on the </w:t>
      </w:r>
      <w:r w:rsidR="00E342DF">
        <w:rPr>
          <w:rFonts w:cs="Arial"/>
        </w:rPr>
        <w:t>SNHI</w:t>
      </w:r>
      <w:r>
        <w:rPr>
          <w:rFonts w:cs="Arial"/>
        </w:rPr>
        <w:t xml:space="preserve"> </w:t>
      </w:r>
      <w:r w:rsidR="001F2336" w:rsidRPr="001F2336">
        <w:rPr>
          <w:rFonts w:cs="Arial"/>
        </w:rPr>
        <w:t>and how it is managed</w:t>
      </w:r>
      <w:r w:rsidR="00112E3E">
        <w:rPr>
          <w:rFonts w:cs="Arial"/>
        </w:rPr>
        <w:t>.</w:t>
      </w:r>
    </w:p>
    <w:p w:rsidR="000C262C" w:rsidRDefault="001F2336">
      <w:pPr>
        <w:pStyle w:val="Heading4"/>
        <w:numPr>
          <w:ilvl w:val="0"/>
          <w:numId w:val="0"/>
        </w:numPr>
        <w:ind w:left="864" w:hanging="864"/>
      </w:pPr>
      <w:r w:rsidRPr="001F2336">
        <w:t>Population involvement and the community</w:t>
      </w:r>
    </w:p>
    <w:p w:rsidR="00CD2D42" w:rsidRDefault="0009105C" w:rsidP="00CD2D42">
      <w:pPr>
        <w:rPr>
          <w:rFonts w:cs="Arial"/>
        </w:rPr>
      </w:pPr>
      <w:r>
        <w:rPr>
          <w:rFonts w:cs="Arial"/>
        </w:rPr>
        <w:t xml:space="preserve">Involvement of the broader </w:t>
      </w:r>
      <w:r w:rsidR="006511D9">
        <w:rPr>
          <w:rFonts w:cs="Arial"/>
        </w:rPr>
        <w:t xml:space="preserve">population </w:t>
      </w:r>
      <w:r>
        <w:rPr>
          <w:rFonts w:cs="Arial"/>
        </w:rPr>
        <w:t xml:space="preserve">will </w:t>
      </w:r>
      <w:r w:rsidR="006511D9">
        <w:rPr>
          <w:rFonts w:cs="Arial"/>
        </w:rPr>
        <w:t xml:space="preserve">be fostered through ensuring opportunities for </w:t>
      </w:r>
      <w:r w:rsidR="001F2336" w:rsidRPr="001F2336">
        <w:rPr>
          <w:rFonts w:cs="Arial"/>
        </w:rPr>
        <w:t>the community to periodically elect multi</w:t>
      </w:r>
      <w:r w:rsidR="00C11645">
        <w:rPr>
          <w:rFonts w:cs="Arial"/>
        </w:rPr>
        <w:t>-</w:t>
      </w:r>
      <w:proofErr w:type="spellStart"/>
      <w:r w:rsidR="001F2336" w:rsidRPr="001F2336">
        <w:rPr>
          <w:rFonts w:cs="Arial"/>
        </w:rPr>
        <w:t>sectoral</w:t>
      </w:r>
      <w:proofErr w:type="spellEnd"/>
      <w:r w:rsidR="001F2336" w:rsidRPr="001F2336">
        <w:rPr>
          <w:rFonts w:cs="Arial"/>
        </w:rPr>
        <w:t xml:space="preserve"> representatives to the </w:t>
      </w:r>
      <w:r w:rsidR="006511D9">
        <w:rPr>
          <w:rFonts w:cs="Arial"/>
        </w:rPr>
        <w:t xml:space="preserve">health facility </w:t>
      </w:r>
      <w:r w:rsidR="001F2336" w:rsidRPr="001F2336">
        <w:rPr>
          <w:rFonts w:cs="Arial"/>
        </w:rPr>
        <w:lastRenderedPageBreak/>
        <w:t>governing bodies</w:t>
      </w:r>
      <w:r w:rsidR="006511D9">
        <w:rPr>
          <w:rFonts w:cs="Arial"/>
        </w:rPr>
        <w:t xml:space="preserve">, and </w:t>
      </w:r>
      <w:r w:rsidR="00CD2D42">
        <w:rPr>
          <w:rFonts w:cs="Arial"/>
        </w:rPr>
        <w:t>through the creation of structures for participation, linked to the formal sector</w:t>
      </w:r>
      <w:r w:rsidR="001F2336" w:rsidRPr="001F2336">
        <w:rPr>
          <w:rFonts w:cs="Arial"/>
        </w:rPr>
        <w:t>.</w:t>
      </w:r>
      <w:r w:rsidR="006511D9">
        <w:rPr>
          <w:rFonts w:cs="Arial"/>
        </w:rPr>
        <w:t xml:space="preserve">  </w:t>
      </w:r>
    </w:p>
    <w:p w:rsidR="00CD2D42" w:rsidRDefault="00CD2D42" w:rsidP="00CD2D42">
      <w:pPr>
        <w:rPr>
          <w:rFonts w:cs="Arial"/>
        </w:rPr>
      </w:pPr>
    </w:p>
    <w:p w:rsidR="001F2336" w:rsidRDefault="006511D9" w:rsidP="00CD2D42">
      <w:pPr>
        <w:rPr>
          <w:rFonts w:cs="Arial"/>
        </w:rPr>
      </w:pPr>
      <w:r>
        <w:rPr>
          <w:rFonts w:cs="Arial"/>
        </w:rPr>
        <w:t>C</w:t>
      </w:r>
      <w:r w:rsidR="001F2336" w:rsidRPr="001F2336">
        <w:rPr>
          <w:rFonts w:cs="Arial"/>
        </w:rPr>
        <w:t xml:space="preserve">ommunity resources </w:t>
      </w:r>
      <w:r>
        <w:rPr>
          <w:rFonts w:cs="Arial"/>
        </w:rPr>
        <w:t xml:space="preserve">will be mobilized for support with local infrastructure, both to assist with </w:t>
      </w:r>
      <w:r w:rsidR="001F2336" w:rsidRPr="001F2336">
        <w:rPr>
          <w:rFonts w:cs="Arial"/>
        </w:rPr>
        <w:t xml:space="preserve">rehabilitation, </w:t>
      </w:r>
      <w:r>
        <w:rPr>
          <w:rFonts w:cs="Arial"/>
        </w:rPr>
        <w:t xml:space="preserve">and to foster </w:t>
      </w:r>
      <w:r w:rsidR="001F2336" w:rsidRPr="001F2336">
        <w:rPr>
          <w:rFonts w:cs="Arial"/>
        </w:rPr>
        <w:t xml:space="preserve">sustainability and </w:t>
      </w:r>
      <w:r>
        <w:rPr>
          <w:rFonts w:cs="Arial"/>
        </w:rPr>
        <w:t xml:space="preserve">local </w:t>
      </w:r>
      <w:r w:rsidR="001F2336" w:rsidRPr="001F2336">
        <w:rPr>
          <w:rFonts w:cs="Arial"/>
        </w:rPr>
        <w:t>ownership</w:t>
      </w:r>
      <w:r>
        <w:rPr>
          <w:rFonts w:cs="Arial"/>
        </w:rPr>
        <w:t>.</w:t>
      </w:r>
      <w:r w:rsidR="001F2336" w:rsidRPr="001F2336">
        <w:rPr>
          <w:rFonts w:cs="Arial"/>
        </w:rPr>
        <w:t xml:space="preserve"> </w:t>
      </w:r>
      <w:r w:rsidR="00CD2D42">
        <w:rPr>
          <w:rFonts w:cs="Arial"/>
        </w:rPr>
        <w:t xml:space="preserve"> Use of existing trusted social groups will be promoted in order to enhance premium collection. </w:t>
      </w:r>
    </w:p>
    <w:p w:rsidR="00CD2D42" w:rsidRDefault="00CD2D42" w:rsidP="00CD2D42">
      <w:pPr>
        <w:rPr>
          <w:rFonts w:cs="Arial"/>
        </w:rPr>
      </w:pPr>
    </w:p>
    <w:p w:rsidR="001F2336" w:rsidRPr="00CD2D42" w:rsidRDefault="00CD2D42" w:rsidP="00CD2D42">
      <w:pPr>
        <w:rPr>
          <w:rFonts w:cs="Arial"/>
        </w:rPr>
      </w:pPr>
      <w:r>
        <w:rPr>
          <w:rFonts w:cs="Arial"/>
        </w:rPr>
        <w:t xml:space="preserve">Finally, investments will be made in health promotion in order to build the </w:t>
      </w:r>
      <w:r w:rsidR="001F2336" w:rsidRPr="001F2336">
        <w:rPr>
          <w:rFonts w:cs="Arial"/>
        </w:rPr>
        <w:t xml:space="preserve">capacity of households and </w:t>
      </w:r>
      <w:r>
        <w:rPr>
          <w:rFonts w:cs="Arial"/>
        </w:rPr>
        <w:t xml:space="preserve">the </w:t>
      </w:r>
      <w:r w:rsidR="001F2336" w:rsidRPr="001F2336">
        <w:rPr>
          <w:rFonts w:cs="Arial"/>
        </w:rPr>
        <w:t xml:space="preserve">community at large to </w:t>
      </w:r>
      <w:r>
        <w:rPr>
          <w:rFonts w:cs="Arial"/>
        </w:rPr>
        <w:t xml:space="preserve">improve their health and </w:t>
      </w:r>
      <w:r w:rsidR="001F2336" w:rsidRPr="001F2336">
        <w:rPr>
          <w:rFonts w:cs="Arial"/>
        </w:rPr>
        <w:t>prevent disease</w:t>
      </w:r>
      <w:r>
        <w:rPr>
          <w:rFonts w:cs="Arial"/>
        </w:rPr>
        <w:t xml:space="preserve"> in order to have positive impact on </w:t>
      </w:r>
      <w:r w:rsidR="00E342DF">
        <w:rPr>
          <w:rFonts w:cs="Arial"/>
        </w:rPr>
        <w:t>SNHI</w:t>
      </w:r>
      <w:r>
        <w:rPr>
          <w:rFonts w:cs="Arial"/>
        </w:rPr>
        <w:t xml:space="preserve"> resources. </w:t>
      </w:r>
    </w:p>
    <w:p w:rsidR="000C262C" w:rsidRDefault="00BC0213">
      <w:pPr>
        <w:pStyle w:val="Heading4"/>
        <w:numPr>
          <w:ilvl w:val="0"/>
          <w:numId w:val="0"/>
        </w:numPr>
        <w:ind w:left="864" w:hanging="864"/>
      </w:pPr>
      <w:r>
        <w:t>Exploiting the p</w:t>
      </w:r>
      <w:r w:rsidR="001F2336" w:rsidRPr="001F2336">
        <w:t xml:space="preserve">olitical </w:t>
      </w:r>
      <w:r>
        <w:t>c</w:t>
      </w:r>
      <w:r w:rsidR="001F2336" w:rsidRPr="001F2336">
        <w:t>onstituency</w:t>
      </w:r>
    </w:p>
    <w:p w:rsidR="00BC0213" w:rsidRDefault="001F2336" w:rsidP="001F2336">
      <w:pPr>
        <w:rPr>
          <w:rFonts w:cs="Arial"/>
        </w:rPr>
      </w:pPr>
      <w:r w:rsidRPr="001F2336">
        <w:rPr>
          <w:rFonts w:cs="Arial"/>
        </w:rPr>
        <w:t xml:space="preserve">Political will is necessary at all levels for the </w:t>
      </w:r>
      <w:r w:rsidR="00E342DF">
        <w:rPr>
          <w:rFonts w:cs="Arial"/>
        </w:rPr>
        <w:t>SNHI</w:t>
      </w:r>
      <w:r w:rsidR="00BC0213">
        <w:rPr>
          <w:rFonts w:cs="Arial"/>
        </w:rPr>
        <w:t xml:space="preserve"> </w:t>
      </w:r>
      <w:r w:rsidRPr="001F2336">
        <w:rPr>
          <w:rFonts w:cs="Arial"/>
        </w:rPr>
        <w:t xml:space="preserve">to be acceptable and for </w:t>
      </w:r>
      <w:r w:rsidR="00C11645">
        <w:rPr>
          <w:rFonts w:cs="Arial"/>
        </w:rPr>
        <w:t>i</w:t>
      </w:r>
      <w:r w:rsidRPr="001F2336">
        <w:rPr>
          <w:rFonts w:cs="Arial"/>
        </w:rPr>
        <w:t xml:space="preserve">t to thrive. In this context the political constituency </w:t>
      </w:r>
      <w:r w:rsidR="00112E3E" w:rsidRPr="00250DA4">
        <w:rPr>
          <w:rFonts w:cs="Arial"/>
        </w:rPr>
        <w:t>will</w:t>
      </w:r>
      <w:r w:rsidR="00112E3E">
        <w:rPr>
          <w:rFonts w:cs="Arial"/>
        </w:rPr>
        <w:t xml:space="preserve"> </w:t>
      </w:r>
      <w:r w:rsidRPr="001F2336">
        <w:rPr>
          <w:rFonts w:cs="Arial"/>
        </w:rPr>
        <w:t xml:space="preserve">be fully exploited at all levels to support the insurance scheme. </w:t>
      </w:r>
      <w:r w:rsidR="00BC0213">
        <w:rPr>
          <w:rFonts w:cs="Arial"/>
        </w:rPr>
        <w:t xml:space="preserve">Politicians’ </w:t>
      </w:r>
      <w:r w:rsidRPr="001F2336">
        <w:rPr>
          <w:rFonts w:cs="Arial"/>
        </w:rPr>
        <w:t xml:space="preserve">power to influence opinion, allocate resources, </w:t>
      </w:r>
      <w:r w:rsidR="00BC0213">
        <w:rPr>
          <w:rFonts w:cs="Arial"/>
        </w:rPr>
        <w:t xml:space="preserve">and initiate </w:t>
      </w:r>
      <w:r w:rsidRPr="001F2336">
        <w:rPr>
          <w:rFonts w:cs="Arial"/>
        </w:rPr>
        <w:t xml:space="preserve">new taxes </w:t>
      </w:r>
      <w:r w:rsidR="00BC0213">
        <w:rPr>
          <w:rFonts w:cs="Arial"/>
        </w:rPr>
        <w:t xml:space="preserve">will </w:t>
      </w:r>
      <w:r w:rsidRPr="001F2336">
        <w:rPr>
          <w:rFonts w:cs="Arial"/>
        </w:rPr>
        <w:t xml:space="preserve">be productively directed to help establish and sustain the scheme. </w:t>
      </w:r>
    </w:p>
    <w:p w:rsidR="00BC0213" w:rsidRDefault="00BC0213" w:rsidP="001F2336">
      <w:pPr>
        <w:rPr>
          <w:rFonts w:cs="Arial"/>
        </w:rPr>
      </w:pPr>
    </w:p>
    <w:p w:rsidR="001F2336" w:rsidRDefault="00BC0213" w:rsidP="00BC0213">
      <w:pPr>
        <w:rPr>
          <w:rFonts w:cs="Arial"/>
        </w:rPr>
      </w:pPr>
      <w:r>
        <w:rPr>
          <w:rFonts w:cs="Arial"/>
        </w:rPr>
        <w:t xml:space="preserve">Capacity development will be provided for </w:t>
      </w:r>
      <w:r w:rsidR="00C11645" w:rsidRPr="00C11645">
        <w:rPr>
          <w:rFonts w:cs="Arial"/>
        </w:rPr>
        <w:t xml:space="preserve">politicians </w:t>
      </w:r>
      <w:r>
        <w:rPr>
          <w:rFonts w:cs="Arial"/>
        </w:rPr>
        <w:t xml:space="preserve">at all levels to enable them to understand the need for social protection through </w:t>
      </w:r>
      <w:r w:rsidR="00E342DF">
        <w:rPr>
          <w:rFonts w:cs="Arial"/>
        </w:rPr>
        <w:t>SNHI</w:t>
      </w:r>
      <w:r>
        <w:rPr>
          <w:rFonts w:cs="Arial"/>
        </w:rPr>
        <w:t xml:space="preserve"> as a means of attaining UHC, the linkages between catastrophic expenditures and impoverishment, and to </w:t>
      </w:r>
      <w:r w:rsidR="00663565">
        <w:rPr>
          <w:rFonts w:cs="Arial"/>
        </w:rPr>
        <w:t>support</w:t>
      </w:r>
      <w:r w:rsidR="00C11645" w:rsidRPr="00C11645">
        <w:rPr>
          <w:rFonts w:cs="Arial"/>
        </w:rPr>
        <w:t xml:space="preserve"> </w:t>
      </w:r>
      <w:r>
        <w:rPr>
          <w:rFonts w:cs="Arial"/>
        </w:rPr>
        <w:t xml:space="preserve">timely implementation </w:t>
      </w:r>
      <w:r w:rsidR="00C11645" w:rsidRPr="00C11645">
        <w:rPr>
          <w:rFonts w:cs="Arial"/>
        </w:rPr>
        <w:t xml:space="preserve">of </w:t>
      </w:r>
      <w:r w:rsidR="00E342DF">
        <w:rPr>
          <w:rFonts w:cs="Arial"/>
        </w:rPr>
        <w:t>SNHI</w:t>
      </w:r>
      <w:r>
        <w:rPr>
          <w:rFonts w:cs="Arial"/>
        </w:rPr>
        <w:t xml:space="preserve"> and the strategy as a whole.  Similarly, education will be provided on the </w:t>
      </w:r>
      <w:r w:rsidR="001F2336" w:rsidRPr="00C11645">
        <w:rPr>
          <w:rFonts w:cs="Arial"/>
        </w:rPr>
        <w:t>critical role that a healthy population plays in building a healthy economy</w:t>
      </w:r>
      <w:r>
        <w:rPr>
          <w:rFonts w:cs="Arial"/>
        </w:rPr>
        <w:t xml:space="preserve">, and the link with </w:t>
      </w:r>
      <w:r w:rsidR="00E342DF">
        <w:rPr>
          <w:rFonts w:cs="Arial"/>
        </w:rPr>
        <w:t>SNHI</w:t>
      </w:r>
      <w:r>
        <w:rPr>
          <w:rFonts w:cs="Arial"/>
        </w:rPr>
        <w:t xml:space="preserve"> and social protection</w:t>
      </w:r>
      <w:r w:rsidR="001F2336" w:rsidRPr="00C11645">
        <w:rPr>
          <w:rFonts w:cs="Arial"/>
        </w:rPr>
        <w:t xml:space="preserve">. </w:t>
      </w:r>
    </w:p>
    <w:p w:rsidR="005A144D" w:rsidRPr="00EB4F0C" w:rsidRDefault="005A144D" w:rsidP="002E07C5">
      <w:pPr>
        <w:pStyle w:val="ListParagraph"/>
        <w:ind w:left="1800"/>
        <w:rPr>
          <w:rFonts w:cs="Arial"/>
          <w:b/>
          <w:szCs w:val="24"/>
        </w:rPr>
      </w:pPr>
    </w:p>
    <w:p w:rsidR="0063392A" w:rsidRDefault="005F338D" w:rsidP="00BC4C4A">
      <w:pPr>
        <w:pStyle w:val="Heading2"/>
      </w:pPr>
      <w:bookmarkStart w:id="33" w:name="_Toc406497982"/>
      <w:r w:rsidRPr="00EB4F0C">
        <w:t>Revenue Collection</w:t>
      </w:r>
      <w:bookmarkEnd w:id="33"/>
    </w:p>
    <w:p w:rsidR="0063392A" w:rsidRDefault="00250DA4" w:rsidP="00BC4C4A">
      <w:pPr>
        <w:pStyle w:val="Heading3"/>
      </w:pPr>
      <w:bookmarkStart w:id="34" w:name="_Toc406497983"/>
      <w:r>
        <w:t xml:space="preserve">Strategy </w:t>
      </w:r>
      <w:r w:rsidR="00121AB3">
        <w:t>2</w:t>
      </w:r>
      <w:r w:rsidR="007D40F1">
        <w:t>: Increase r</w:t>
      </w:r>
      <w:r w:rsidR="0063392A" w:rsidRPr="00EB4F0C">
        <w:t>evenue</w:t>
      </w:r>
      <w:r w:rsidR="007D40F1">
        <w:t>s</w:t>
      </w:r>
      <w:r w:rsidR="0063392A" w:rsidRPr="00EB4F0C">
        <w:t xml:space="preserve"> for </w:t>
      </w:r>
      <w:r w:rsidR="007D40F1">
        <w:t>h</w:t>
      </w:r>
      <w:r w:rsidR="0063392A" w:rsidRPr="00EB4F0C">
        <w:t>ealth</w:t>
      </w:r>
      <w:bookmarkEnd w:id="34"/>
      <w:r w:rsidR="0063392A" w:rsidRPr="00EB4F0C">
        <w:t xml:space="preserve"> </w:t>
      </w:r>
    </w:p>
    <w:p w:rsidR="000C262C" w:rsidRDefault="00B85D2C">
      <w:r>
        <w:rPr>
          <w:rFonts w:asciiTheme="majorHAnsi" w:eastAsiaTheme="majorEastAsia" w:hAnsiTheme="majorHAnsi" w:cstheme="majorBidi"/>
          <w:b/>
          <w:bCs/>
          <w:color w:val="4F81BD" w:themeColor="accent1"/>
        </w:rPr>
        <w:t>Increase public revenue</w:t>
      </w:r>
    </w:p>
    <w:p w:rsidR="008C69D5" w:rsidRPr="007D40F1" w:rsidRDefault="008C69D5" w:rsidP="008C69D5">
      <w:pPr>
        <w:rPr>
          <w:rFonts w:cs="Arial"/>
          <w:szCs w:val="24"/>
        </w:rPr>
      </w:pPr>
      <w:r>
        <w:rPr>
          <w:rFonts w:cs="Arial"/>
          <w:szCs w:val="24"/>
        </w:rPr>
        <w:t xml:space="preserve">Despite the </w:t>
      </w:r>
      <w:r w:rsidR="0063392A" w:rsidRPr="00EB4F0C">
        <w:rPr>
          <w:rFonts w:cs="Arial"/>
          <w:szCs w:val="24"/>
        </w:rPr>
        <w:t xml:space="preserve">commitment of the Government in increasing the </w:t>
      </w:r>
      <w:r w:rsidR="007D40F1">
        <w:rPr>
          <w:rFonts w:cs="Arial"/>
          <w:szCs w:val="24"/>
        </w:rPr>
        <w:t xml:space="preserve">health sector budget, challenge </w:t>
      </w:r>
      <w:r w:rsidR="0063392A" w:rsidRPr="00EB4F0C">
        <w:rPr>
          <w:rFonts w:cs="Arial"/>
          <w:szCs w:val="24"/>
        </w:rPr>
        <w:t>of underfund</w:t>
      </w:r>
      <w:r w:rsidR="00121AB3">
        <w:rPr>
          <w:rFonts w:cs="Arial"/>
          <w:szCs w:val="24"/>
        </w:rPr>
        <w:t>ed</w:t>
      </w:r>
      <w:r w:rsidR="0063392A" w:rsidRPr="00EB4F0C">
        <w:rPr>
          <w:rFonts w:cs="Arial"/>
          <w:szCs w:val="24"/>
        </w:rPr>
        <w:t xml:space="preserve"> health servi</w:t>
      </w:r>
      <w:r>
        <w:rPr>
          <w:rFonts w:cs="Arial"/>
          <w:szCs w:val="24"/>
        </w:rPr>
        <w:t xml:space="preserve">ces </w:t>
      </w:r>
      <w:r w:rsidR="007D40F1">
        <w:rPr>
          <w:rFonts w:cs="Arial"/>
          <w:szCs w:val="24"/>
        </w:rPr>
        <w:t xml:space="preserve">remains, </w:t>
      </w:r>
      <w:r>
        <w:rPr>
          <w:rFonts w:cs="Arial"/>
          <w:szCs w:val="24"/>
        </w:rPr>
        <w:t xml:space="preserve">due to increased population, rising costs, </w:t>
      </w:r>
      <w:r w:rsidR="007D40F1">
        <w:rPr>
          <w:rFonts w:cs="Arial"/>
          <w:szCs w:val="24"/>
        </w:rPr>
        <w:t xml:space="preserve">and </w:t>
      </w:r>
      <w:r>
        <w:rPr>
          <w:rFonts w:cs="Arial"/>
          <w:szCs w:val="24"/>
        </w:rPr>
        <w:t xml:space="preserve">the double burden of </w:t>
      </w:r>
      <w:r w:rsidR="007D40F1">
        <w:rPr>
          <w:rFonts w:cs="Arial"/>
          <w:szCs w:val="24"/>
        </w:rPr>
        <w:t xml:space="preserve">communicable and non-communicable </w:t>
      </w:r>
      <w:r>
        <w:rPr>
          <w:rFonts w:cs="Arial"/>
          <w:szCs w:val="24"/>
        </w:rPr>
        <w:t>disease</w:t>
      </w:r>
      <w:r w:rsidR="007D40F1">
        <w:rPr>
          <w:rFonts w:cs="Arial"/>
          <w:szCs w:val="24"/>
        </w:rPr>
        <w:t xml:space="preserve">s, among other factors.  </w:t>
      </w:r>
      <w:r w:rsidRPr="007D40F1">
        <w:rPr>
          <w:rFonts w:cs="Arial"/>
          <w:szCs w:val="24"/>
        </w:rPr>
        <w:t xml:space="preserve">Continued advocacy for a </w:t>
      </w:r>
      <w:r w:rsidR="007D40F1">
        <w:rPr>
          <w:rFonts w:cs="Arial"/>
          <w:szCs w:val="24"/>
        </w:rPr>
        <w:t xml:space="preserve">larger sectoral </w:t>
      </w:r>
      <w:r w:rsidRPr="007D40F1">
        <w:rPr>
          <w:rFonts w:cs="Arial"/>
          <w:szCs w:val="24"/>
        </w:rPr>
        <w:t xml:space="preserve">share of existing resources </w:t>
      </w:r>
      <w:r w:rsidR="007D40F1">
        <w:rPr>
          <w:rFonts w:cs="Arial"/>
          <w:szCs w:val="24"/>
        </w:rPr>
        <w:t xml:space="preserve">will be required, </w:t>
      </w:r>
      <w:r w:rsidRPr="007D40F1">
        <w:rPr>
          <w:rFonts w:cs="Arial"/>
          <w:szCs w:val="24"/>
        </w:rPr>
        <w:t>through demonstration of value for money and the importance of human capital</w:t>
      </w:r>
      <w:r w:rsidR="007D40F1">
        <w:rPr>
          <w:rFonts w:cs="Arial"/>
          <w:szCs w:val="24"/>
        </w:rPr>
        <w:t>.</w:t>
      </w:r>
      <w:r w:rsidRPr="007D40F1">
        <w:rPr>
          <w:rFonts w:cs="Arial"/>
          <w:szCs w:val="24"/>
        </w:rPr>
        <w:t xml:space="preserve"> </w:t>
      </w:r>
      <w:r w:rsidR="00884410">
        <w:rPr>
          <w:rFonts w:cs="Arial"/>
          <w:szCs w:val="24"/>
        </w:rPr>
        <w:t>The health sector is expected to benefit from ongoing reforms to strengthen the efficiency of the tax administration system.</w:t>
      </w:r>
    </w:p>
    <w:p w:rsidR="00545E81" w:rsidRPr="008C69D5" w:rsidRDefault="00545E81" w:rsidP="008C69D5">
      <w:pPr>
        <w:rPr>
          <w:rFonts w:cs="Arial"/>
          <w:szCs w:val="24"/>
          <w:highlight w:val="yellow"/>
        </w:rPr>
      </w:pPr>
    </w:p>
    <w:p w:rsidR="0063392A" w:rsidRDefault="003628FC" w:rsidP="002E07C5">
      <w:pPr>
        <w:rPr>
          <w:rFonts w:cs="Arial"/>
          <w:szCs w:val="24"/>
        </w:rPr>
      </w:pPr>
      <w:r>
        <w:rPr>
          <w:rFonts w:cs="Arial"/>
          <w:szCs w:val="24"/>
        </w:rPr>
        <w:t>A</w:t>
      </w:r>
      <w:r w:rsidR="0063392A" w:rsidRPr="00EB4F0C">
        <w:rPr>
          <w:rFonts w:cs="Arial"/>
          <w:szCs w:val="24"/>
        </w:rPr>
        <w:t xml:space="preserve">dditional </w:t>
      </w:r>
      <w:r w:rsidR="00675D5C">
        <w:rPr>
          <w:rFonts w:cs="Arial"/>
          <w:szCs w:val="24"/>
        </w:rPr>
        <w:t xml:space="preserve">resources </w:t>
      </w:r>
      <w:r w:rsidR="0063392A" w:rsidRPr="00EB4F0C">
        <w:rPr>
          <w:rFonts w:cs="Arial"/>
          <w:szCs w:val="24"/>
        </w:rPr>
        <w:t xml:space="preserve">for </w:t>
      </w:r>
      <w:r w:rsidR="00675D5C">
        <w:rPr>
          <w:rFonts w:cs="Arial"/>
          <w:szCs w:val="24"/>
        </w:rPr>
        <w:t>the sector</w:t>
      </w:r>
      <w:r w:rsidR="00AF2BD7">
        <w:rPr>
          <w:rFonts w:cs="Arial"/>
          <w:szCs w:val="24"/>
        </w:rPr>
        <w:t xml:space="preserve"> will be generated </w:t>
      </w:r>
      <w:r w:rsidR="0063392A" w:rsidRPr="00EB4F0C">
        <w:rPr>
          <w:rFonts w:cs="Arial"/>
          <w:szCs w:val="24"/>
        </w:rPr>
        <w:t xml:space="preserve">by identifying </w:t>
      </w:r>
      <w:r w:rsidR="00112E3E">
        <w:rPr>
          <w:rFonts w:cs="Arial"/>
          <w:szCs w:val="24"/>
        </w:rPr>
        <w:t xml:space="preserve">politically acceptable and administratively feasible </w:t>
      </w:r>
      <w:r w:rsidR="00675D5C">
        <w:rPr>
          <w:rFonts w:cs="Arial"/>
          <w:szCs w:val="24"/>
        </w:rPr>
        <w:t>areas where</w:t>
      </w:r>
      <w:r w:rsidR="0063392A" w:rsidRPr="00EB4F0C">
        <w:rPr>
          <w:rFonts w:cs="Arial"/>
          <w:szCs w:val="24"/>
        </w:rPr>
        <w:t xml:space="preserve">by </w:t>
      </w:r>
      <w:r w:rsidR="00675D5C">
        <w:rPr>
          <w:rFonts w:cs="Arial"/>
          <w:szCs w:val="24"/>
        </w:rPr>
        <w:t xml:space="preserve">all or part of a given </w:t>
      </w:r>
      <w:r w:rsidR="0063392A" w:rsidRPr="00EB4F0C">
        <w:rPr>
          <w:rFonts w:cs="Arial"/>
          <w:szCs w:val="24"/>
        </w:rPr>
        <w:t>tax, profit or premium can be allocated for health. These additional fund</w:t>
      </w:r>
      <w:r w:rsidR="008C69D5">
        <w:rPr>
          <w:rFonts w:cs="Arial"/>
          <w:szCs w:val="24"/>
        </w:rPr>
        <w:t>s</w:t>
      </w:r>
      <w:r w:rsidR="0063392A" w:rsidRPr="00EB4F0C">
        <w:rPr>
          <w:rFonts w:cs="Arial"/>
          <w:szCs w:val="24"/>
        </w:rPr>
        <w:t xml:space="preserve"> can be obtained from VAT, targeted taxes such as “sin taxes” on cigarettes and alcohol, </w:t>
      </w:r>
      <w:r w:rsidR="001B3B25">
        <w:rPr>
          <w:rFonts w:cs="Arial"/>
          <w:szCs w:val="24"/>
        </w:rPr>
        <w:t xml:space="preserve">a levy on airline tickets, </w:t>
      </w:r>
      <w:r w:rsidR="0063392A" w:rsidRPr="00EB4F0C">
        <w:rPr>
          <w:rFonts w:cs="Arial"/>
          <w:szCs w:val="24"/>
        </w:rPr>
        <w:t xml:space="preserve">or </w:t>
      </w:r>
      <w:r w:rsidR="0063392A" w:rsidRPr="00EB4F0C">
        <w:rPr>
          <w:rFonts w:cs="Arial"/>
          <w:szCs w:val="24"/>
        </w:rPr>
        <w:lastRenderedPageBreak/>
        <w:t xml:space="preserve">earmarking a specific proportion of particular taxes to support the </w:t>
      </w:r>
      <w:r w:rsidR="00E342DF">
        <w:rPr>
          <w:rFonts w:cs="Arial"/>
          <w:szCs w:val="24"/>
        </w:rPr>
        <w:t>SNHI</w:t>
      </w:r>
      <w:r w:rsidR="00675D5C">
        <w:rPr>
          <w:rFonts w:cs="Arial"/>
          <w:szCs w:val="24"/>
        </w:rPr>
        <w:t xml:space="preserve">. Other </w:t>
      </w:r>
      <w:r w:rsidR="00112E3E">
        <w:rPr>
          <w:rFonts w:cs="Arial"/>
          <w:szCs w:val="24"/>
        </w:rPr>
        <w:t xml:space="preserve">possibilities </w:t>
      </w:r>
      <w:r w:rsidR="00675D5C">
        <w:rPr>
          <w:rFonts w:cs="Arial"/>
          <w:szCs w:val="24"/>
        </w:rPr>
        <w:t xml:space="preserve">include a </w:t>
      </w:r>
      <w:r w:rsidR="0063392A" w:rsidRPr="00EB4F0C">
        <w:rPr>
          <w:rFonts w:cs="Arial"/>
          <w:szCs w:val="24"/>
        </w:rPr>
        <w:t>proportion of profit</w:t>
      </w:r>
      <w:r w:rsidR="00675D5C">
        <w:rPr>
          <w:rFonts w:cs="Arial"/>
          <w:szCs w:val="24"/>
        </w:rPr>
        <w:t>s</w:t>
      </w:r>
      <w:r w:rsidR="0063392A" w:rsidRPr="00EB4F0C">
        <w:rPr>
          <w:rFonts w:cs="Arial"/>
          <w:szCs w:val="24"/>
        </w:rPr>
        <w:t xml:space="preserve"> made by </w:t>
      </w:r>
      <w:r w:rsidR="00675D5C">
        <w:rPr>
          <w:rFonts w:cs="Arial"/>
          <w:szCs w:val="24"/>
        </w:rPr>
        <w:t xml:space="preserve">social security funds through their investments, motor vehicle insurance contributions, and industry insurance. </w:t>
      </w:r>
    </w:p>
    <w:p w:rsidR="0026373A" w:rsidRPr="00EB4F0C" w:rsidRDefault="0026373A" w:rsidP="002E07C5">
      <w:pPr>
        <w:rPr>
          <w:rFonts w:cs="Arial"/>
          <w:szCs w:val="24"/>
        </w:rPr>
      </w:pPr>
    </w:p>
    <w:p w:rsidR="0063392A" w:rsidRDefault="00F07ECC" w:rsidP="00545E81">
      <w:r>
        <w:t xml:space="preserve">While not mobilizing new resources, fiscal space can also be generated through </w:t>
      </w:r>
      <w:r w:rsidR="00B85D2C" w:rsidRPr="00B85D2C">
        <w:rPr>
          <w:b/>
        </w:rPr>
        <w:t>efficiency gains</w:t>
      </w:r>
      <w:r>
        <w:t>, e</w:t>
      </w:r>
      <w:r w:rsidR="00121AB3">
        <w:t>.</w:t>
      </w:r>
      <w:r>
        <w:t>g</w:t>
      </w:r>
      <w:r w:rsidR="00121AB3">
        <w:t>.</w:t>
      </w:r>
      <w:r>
        <w:t xml:space="preserve"> </w:t>
      </w:r>
      <w:r w:rsidR="0063392A" w:rsidRPr="00EB4F0C">
        <w:t>through</w:t>
      </w:r>
      <w:r w:rsidR="008C69D5">
        <w:t xml:space="preserve"> investment in primary health care (</w:t>
      </w:r>
      <w:r>
        <w:t>reference MMAM), effective gate-</w:t>
      </w:r>
      <w:r w:rsidR="008C69D5">
        <w:t>keeping mechanisms, enforcement of referral mechanisms, improved human resource distribution (reference MTR report 2013), implementation of effective and harmonized data management systems (specially related to resources management), productivity gains by means of RBF, increase</w:t>
      </w:r>
      <w:r>
        <w:t>d</w:t>
      </w:r>
      <w:r w:rsidR="008C69D5">
        <w:t xml:space="preserve"> external </w:t>
      </w:r>
      <w:r w:rsidR="0063392A" w:rsidRPr="00EB4F0C">
        <w:t>aid coordination</w:t>
      </w:r>
      <w:r w:rsidR="008C69D5">
        <w:t xml:space="preserve"> (resource tracking</w:t>
      </w:r>
      <w:r w:rsidR="00F17478">
        <w:t xml:space="preserve">, bringing DP funding </w:t>
      </w:r>
      <w:r w:rsidR="00364A24">
        <w:t xml:space="preserve">increasingly </w:t>
      </w:r>
      <w:r w:rsidR="00F17478">
        <w:t>on budget</w:t>
      </w:r>
      <w:r w:rsidR="008C69D5">
        <w:t>)</w:t>
      </w:r>
      <w:r w:rsidR="0063392A" w:rsidRPr="00EB4F0C">
        <w:t xml:space="preserve">, </w:t>
      </w:r>
      <w:r w:rsidR="00946A90">
        <w:t>enhancing Public Financial Management</w:t>
      </w:r>
      <w:r w:rsidR="0077459F">
        <w:t>: ensure that full health allocations are spent and per capita allocations of resources across LGAs are improved; strengthen PFM in the transfer of funds from central to district level; improve the disbursement of funds by eliminating complicating disbursement procedures and clarifying who is accountable</w:t>
      </w:r>
      <w:r w:rsidR="009F57A0">
        <w:t xml:space="preserve"> at all levels</w:t>
      </w:r>
      <w:r w:rsidR="0077459F">
        <w:t>.</w:t>
      </w:r>
    </w:p>
    <w:p w:rsidR="00C06FB8" w:rsidRPr="00EB4F0C" w:rsidRDefault="00C06FB8" w:rsidP="00545E81"/>
    <w:p w:rsidR="000C262C" w:rsidRDefault="00C06FB8">
      <w:pPr>
        <w:pStyle w:val="Heading3"/>
        <w:numPr>
          <w:ilvl w:val="0"/>
          <w:numId w:val="0"/>
        </w:numPr>
        <w:ind w:left="720" w:hanging="720"/>
      </w:pPr>
      <w:bookmarkStart w:id="35" w:name="_Toc406497984"/>
      <w:proofErr w:type="spellStart"/>
      <w:r w:rsidRPr="00C06FB8">
        <w:t>Mobilise</w:t>
      </w:r>
      <w:proofErr w:type="spellEnd"/>
      <w:r w:rsidRPr="00C06FB8">
        <w:t xml:space="preserve"> additional alternative resources for the sector</w:t>
      </w:r>
      <w:bookmarkEnd w:id="35"/>
    </w:p>
    <w:p w:rsidR="009F57A0" w:rsidRDefault="00C06FB8" w:rsidP="00C06FB8">
      <w:pPr>
        <w:rPr>
          <w:rFonts w:cs="Arial"/>
          <w:szCs w:val="24"/>
        </w:rPr>
      </w:pPr>
      <w:commentRangeStart w:id="36"/>
      <w:proofErr w:type="spellStart"/>
      <w:proofErr w:type="gramStart"/>
      <w:r w:rsidRPr="00E30777">
        <w:rPr>
          <w:rFonts w:cs="Arial"/>
          <w:szCs w:val="24"/>
        </w:rPr>
        <w:t>dditional</w:t>
      </w:r>
      <w:proofErr w:type="spellEnd"/>
      <w:proofErr w:type="gramEnd"/>
      <w:r w:rsidRPr="00E30777">
        <w:rPr>
          <w:rFonts w:cs="Arial"/>
          <w:szCs w:val="24"/>
        </w:rPr>
        <w:t xml:space="preserve"> resources will be mobilized for health from </w:t>
      </w:r>
      <w:r w:rsidR="009F57A0">
        <w:rPr>
          <w:rFonts w:cs="Arial"/>
          <w:szCs w:val="24"/>
        </w:rPr>
        <w:t>alternative tax</w:t>
      </w:r>
      <w:r w:rsidR="0035303E">
        <w:rPr>
          <w:rFonts w:cs="Arial"/>
          <w:szCs w:val="24"/>
        </w:rPr>
        <w:t>e</w:t>
      </w:r>
      <w:r w:rsidR="009F57A0">
        <w:rPr>
          <w:rFonts w:cs="Arial"/>
          <w:szCs w:val="24"/>
        </w:rPr>
        <w:t xml:space="preserve">s and from </w:t>
      </w:r>
      <w:r w:rsidRPr="00E30777">
        <w:rPr>
          <w:rFonts w:cs="Arial"/>
          <w:szCs w:val="24"/>
        </w:rPr>
        <w:t>the private sector, including through public-private partnerships, foundations, and corporate social responsibility</w:t>
      </w:r>
      <w:commentRangeEnd w:id="36"/>
      <w:r>
        <w:rPr>
          <w:rStyle w:val="CommentReference"/>
        </w:rPr>
        <w:commentReference w:id="36"/>
      </w:r>
      <w:r w:rsidR="009F57A0">
        <w:rPr>
          <w:rFonts w:cs="Arial"/>
          <w:szCs w:val="24"/>
        </w:rPr>
        <w:t xml:space="preserve">. </w:t>
      </w:r>
    </w:p>
    <w:p w:rsidR="009F57A0" w:rsidRDefault="009F57A0" w:rsidP="00C06FB8">
      <w:pPr>
        <w:rPr>
          <w:rFonts w:cs="Arial"/>
          <w:szCs w:val="24"/>
        </w:rPr>
      </w:pPr>
    </w:p>
    <w:p w:rsidR="00FF2C66" w:rsidRDefault="0035303E" w:rsidP="00C06FB8">
      <w:pPr>
        <w:rPr>
          <w:rFonts w:cs="Arial"/>
          <w:szCs w:val="24"/>
        </w:rPr>
      </w:pPr>
      <w:commentRangeStart w:id="37"/>
      <w:r>
        <w:rPr>
          <w:rFonts w:cs="Arial"/>
          <w:szCs w:val="24"/>
        </w:rPr>
        <w:t xml:space="preserve">A taxation on </w:t>
      </w:r>
      <w:commentRangeStart w:id="38"/>
      <w:r>
        <w:rPr>
          <w:rFonts w:cs="Arial"/>
          <w:szCs w:val="24"/>
        </w:rPr>
        <w:t xml:space="preserve">cigarettes and alcohol </w:t>
      </w:r>
      <w:commentRangeEnd w:id="38"/>
      <w:r w:rsidR="00E8350C">
        <w:rPr>
          <w:rStyle w:val="CommentReference"/>
        </w:rPr>
        <w:commentReference w:id="38"/>
      </w:r>
      <w:r>
        <w:rPr>
          <w:rFonts w:cs="Arial"/>
          <w:szCs w:val="24"/>
        </w:rPr>
        <w:t xml:space="preserve">sales earmarked for health penalizes </w:t>
      </w:r>
      <w:proofErr w:type="gramStart"/>
      <w:r>
        <w:rPr>
          <w:rFonts w:cs="Arial"/>
          <w:szCs w:val="24"/>
        </w:rPr>
        <w:t>drinkers  and</w:t>
      </w:r>
      <w:proofErr w:type="gramEnd"/>
      <w:r>
        <w:rPr>
          <w:rFonts w:cs="Arial"/>
          <w:szCs w:val="24"/>
        </w:rPr>
        <w:t xml:space="preserve"> smokers and is not paid by non-drinkers and non-smokers.  As a result of the imposed tax consumption of cigarettes and alcohol might be reduced in the population and thus have some overall improvements in the health status of Tanzanians. Sustainability of this tax should be long-term as there would be little pressure to reduce taxation of alcohol or cigarettes from a social standpoint.  According to the Fiscal Space Study conducted by Chris James et al. </w:t>
      </w:r>
      <w:r w:rsidR="00FF2C66">
        <w:rPr>
          <w:rFonts w:cs="Arial"/>
          <w:szCs w:val="24"/>
        </w:rPr>
        <w:t xml:space="preserve">in July 2014 projections for the resources made available from alcohol tax levy alone in Tanzania could reach 256 bio </w:t>
      </w:r>
      <w:proofErr w:type="spellStart"/>
      <w:proofErr w:type="gramStart"/>
      <w:r w:rsidR="00FF2C66">
        <w:rPr>
          <w:rFonts w:cs="Arial"/>
          <w:szCs w:val="24"/>
        </w:rPr>
        <w:t>Tsh</w:t>
      </w:r>
      <w:proofErr w:type="spellEnd"/>
      <w:proofErr w:type="gramEnd"/>
      <w:r w:rsidR="00FF2C66">
        <w:rPr>
          <w:rFonts w:cs="Arial"/>
          <w:szCs w:val="24"/>
        </w:rPr>
        <w:t xml:space="preserve"> a year for the next ten years.  This equates to 0.2% of GDP and would cover 2.2% of the minimum financing gap of the sector, or 1.6% of the </w:t>
      </w:r>
      <w:proofErr w:type="spellStart"/>
      <w:r w:rsidR="00FF2C66">
        <w:rPr>
          <w:rFonts w:cs="Arial"/>
          <w:szCs w:val="24"/>
        </w:rPr>
        <w:t>THE</w:t>
      </w:r>
      <w:proofErr w:type="spellEnd"/>
      <w:r w:rsidR="00FF2C66">
        <w:rPr>
          <w:rFonts w:cs="Arial"/>
          <w:szCs w:val="24"/>
        </w:rPr>
        <w:t xml:space="preserve"> financing gap.  </w:t>
      </w:r>
    </w:p>
    <w:p w:rsidR="00FF2C66" w:rsidRDefault="00FF2C66" w:rsidP="00C06FB8">
      <w:pPr>
        <w:rPr>
          <w:rFonts w:cs="Arial"/>
          <w:szCs w:val="24"/>
        </w:rPr>
      </w:pPr>
      <w:r>
        <w:rPr>
          <w:rFonts w:cs="Arial"/>
          <w:szCs w:val="24"/>
        </w:rPr>
        <w:t xml:space="preserve">Another tax to be considered is an airline levy earmarked to health, which has been implemented by a number of European countries and a few in Africa.  A levy on airline tickets is </w:t>
      </w:r>
      <w:proofErr w:type="spellStart"/>
      <w:r>
        <w:rPr>
          <w:rFonts w:cs="Arial"/>
          <w:szCs w:val="24"/>
        </w:rPr>
        <w:t>is</w:t>
      </w:r>
      <w:proofErr w:type="spellEnd"/>
      <w:r>
        <w:rPr>
          <w:rFonts w:cs="Arial"/>
          <w:szCs w:val="24"/>
        </w:rPr>
        <w:t xml:space="preserve"> both long-term and predictable, as air travel is growing and is expected to continue to grow in years to come.  </w:t>
      </w:r>
      <w:r w:rsidR="009F281B">
        <w:rPr>
          <w:rFonts w:cs="Arial"/>
          <w:szCs w:val="24"/>
        </w:rPr>
        <w:t xml:space="preserve">There is evidence that the price elasticity on demand for plane tickets is low and that the airline industry is not affected by this additional tax (James et al, 2014).  Tourism is a large </w:t>
      </w:r>
      <w:proofErr w:type="spellStart"/>
      <w:r w:rsidR="009F281B">
        <w:rPr>
          <w:rFonts w:cs="Arial"/>
          <w:szCs w:val="24"/>
        </w:rPr>
        <w:t>contributer</w:t>
      </w:r>
      <w:proofErr w:type="spellEnd"/>
      <w:r w:rsidR="009F281B">
        <w:rPr>
          <w:rFonts w:cs="Arial"/>
          <w:szCs w:val="24"/>
        </w:rPr>
        <w:t xml:space="preserve"> to GDP in Tanzania</w:t>
      </w:r>
      <w:r>
        <w:rPr>
          <w:rFonts w:cs="Arial"/>
          <w:szCs w:val="24"/>
        </w:rPr>
        <w:t xml:space="preserve">  </w:t>
      </w:r>
      <w:commentRangeEnd w:id="37"/>
      <w:r w:rsidR="007B5B28">
        <w:rPr>
          <w:rStyle w:val="CommentReference"/>
        </w:rPr>
        <w:commentReference w:id="37"/>
      </w:r>
    </w:p>
    <w:p w:rsidR="007B5B28" w:rsidRDefault="007B5B28" w:rsidP="00C06FB8">
      <w:pPr>
        <w:rPr>
          <w:rFonts w:cs="Arial"/>
          <w:szCs w:val="24"/>
        </w:rPr>
      </w:pPr>
    </w:p>
    <w:p w:rsidR="007B5B28" w:rsidRPr="00194B83" w:rsidRDefault="007B5B28" w:rsidP="00C06FB8">
      <w:pPr>
        <w:rPr>
          <w:rFonts w:cs="Arial"/>
          <w:szCs w:val="24"/>
          <w:highlight w:val="yellow"/>
        </w:rPr>
      </w:pPr>
      <w:proofErr w:type="gramStart"/>
      <w:r w:rsidRPr="00194B83">
        <w:rPr>
          <w:rFonts w:cs="Arial"/>
          <w:szCs w:val="24"/>
          <w:highlight w:val="yellow"/>
        </w:rPr>
        <w:t>Airtime levy?</w:t>
      </w:r>
      <w:proofErr w:type="gramEnd"/>
    </w:p>
    <w:p w:rsidR="00E8350C" w:rsidRPr="00194B83" w:rsidRDefault="00E8350C" w:rsidP="00C06FB8">
      <w:pPr>
        <w:rPr>
          <w:rFonts w:cs="Arial"/>
          <w:szCs w:val="24"/>
          <w:highlight w:val="yellow"/>
        </w:rPr>
      </w:pPr>
    </w:p>
    <w:p w:rsidR="00E8350C" w:rsidRPr="00194B83" w:rsidRDefault="0010365A" w:rsidP="00C06FB8">
      <w:pPr>
        <w:rPr>
          <w:rFonts w:cs="Arial"/>
          <w:szCs w:val="24"/>
          <w:highlight w:val="yellow"/>
        </w:rPr>
      </w:pPr>
      <w:r w:rsidRPr="00194B83">
        <w:rPr>
          <w:rFonts w:cs="Arial"/>
          <w:szCs w:val="24"/>
          <w:highlight w:val="yellow"/>
        </w:rPr>
        <w:t xml:space="preserve">2.5% </w:t>
      </w:r>
      <w:r w:rsidR="00E8350C" w:rsidRPr="00194B83">
        <w:rPr>
          <w:rFonts w:cs="Arial"/>
          <w:szCs w:val="24"/>
          <w:highlight w:val="yellow"/>
        </w:rPr>
        <w:t>VAT?</w:t>
      </w:r>
    </w:p>
    <w:p w:rsidR="0010365A" w:rsidRPr="00194B83" w:rsidRDefault="0010365A" w:rsidP="00C06FB8">
      <w:pPr>
        <w:rPr>
          <w:rFonts w:cs="Arial"/>
          <w:szCs w:val="24"/>
          <w:highlight w:val="yellow"/>
        </w:rPr>
      </w:pPr>
    </w:p>
    <w:p w:rsidR="0010365A" w:rsidRDefault="0010365A" w:rsidP="00C06FB8">
      <w:pPr>
        <w:rPr>
          <w:rFonts w:cs="Arial"/>
          <w:szCs w:val="24"/>
        </w:rPr>
      </w:pPr>
      <w:proofErr w:type="gramStart"/>
      <w:r w:rsidRPr="00194B83">
        <w:rPr>
          <w:rFonts w:cs="Arial"/>
          <w:szCs w:val="24"/>
          <w:highlight w:val="yellow"/>
        </w:rPr>
        <w:t>Motor vehicle insurance levy?</w:t>
      </w:r>
      <w:proofErr w:type="gramEnd"/>
      <w:r w:rsidRPr="00194B83">
        <w:rPr>
          <w:rFonts w:cs="Arial"/>
          <w:szCs w:val="24"/>
          <w:highlight w:val="yellow"/>
        </w:rPr>
        <w:t xml:space="preserve">  - </w:t>
      </w:r>
      <w:proofErr w:type="gramStart"/>
      <w:r w:rsidRPr="00194B83">
        <w:rPr>
          <w:rFonts w:cs="Arial"/>
          <w:szCs w:val="24"/>
          <w:highlight w:val="yellow"/>
        </w:rPr>
        <w:t>we</w:t>
      </w:r>
      <w:proofErr w:type="gramEnd"/>
      <w:r w:rsidRPr="00194B83">
        <w:rPr>
          <w:rFonts w:cs="Arial"/>
          <w:szCs w:val="24"/>
          <w:highlight w:val="yellow"/>
        </w:rPr>
        <w:t xml:space="preserve"> calculate</w:t>
      </w:r>
    </w:p>
    <w:p w:rsidR="00E8350C" w:rsidRPr="00EC1BCF" w:rsidRDefault="00E8350C" w:rsidP="00C06FB8">
      <w:pPr>
        <w:rPr>
          <w:rFonts w:cs="Arial"/>
          <w:szCs w:val="24"/>
        </w:rPr>
      </w:pPr>
    </w:p>
    <w:p w:rsidR="0063392A" w:rsidRPr="00EB4F0C" w:rsidRDefault="0063392A" w:rsidP="00545E81">
      <w:pPr>
        <w:pStyle w:val="Heading3"/>
      </w:pPr>
      <w:bookmarkStart w:id="39" w:name="_Toc406497985"/>
      <w:r w:rsidRPr="00EB4F0C">
        <w:t xml:space="preserve">Strategy </w:t>
      </w:r>
      <w:r w:rsidR="006B5589">
        <w:t>3</w:t>
      </w:r>
      <w:r w:rsidRPr="00EB4F0C">
        <w:t xml:space="preserve">: </w:t>
      </w:r>
      <w:r w:rsidR="00E8350C">
        <w:t>Introduction of</w:t>
      </w:r>
      <w:r w:rsidRPr="00EB4F0C">
        <w:t xml:space="preserve"> </w:t>
      </w:r>
      <w:r w:rsidR="00F07ECC">
        <w:t>m</w:t>
      </w:r>
      <w:r w:rsidRPr="00EB4F0C">
        <w:t xml:space="preserve">andatory </w:t>
      </w:r>
      <w:r w:rsidR="00F07ECC">
        <w:t>c</w:t>
      </w:r>
      <w:r w:rsidRPr="00EB4F0C">
        <w:t xml:space="preserve">ontribution </w:t>
      </w:r>
      <w:r w:rsidR="00F07ECC">
        <w:t>s</w:t>
      </w:r>
      <w:r w:rsidRPr="00EB4F0C">
        <w:t>ystem</w:t>
      </w:r>
      <w:bookmarkEnd w:id="39"/>
      <w:r w:rsidRPr="00EB4F0C">
        <w:t xml:space="preserve"> </w:t>
      </w:r>
    </w:p>
    <w:p w:rsidR="0063392A" w:rsidRDefault="00F07ECC" w:rsidP="00545E81">
      <w:r>
        <w:t xml:space="preserve">Membership of the </w:t>
      </w:r>
      <w:r w:rsidR="0063392A" w:rsidRPr="00EB4F0C">
        <w:t xml:space="preserve">National </w:t>
      </w:r>
      <w:r>
        <w:t xml:space="preserve">Social </w:t>
      </w:r>
      <w:r w:rsidR="0063392A" w:rsidRPr="00EB4F0C">
        <w:t xml:space="preserve">Health Insurance will be mandatory for all </w:t>
      </w:r>
      <w:r w:rsidR="00B14EA7">
        <w:t>Tanzanian residents</w:t>
      </w:r>
      <w:r w:rsidR="0063392A" w:rsidRPr="00EB4F0C">
        <w:t xml:space="preserve">. </w:t>
      </w:r>
      <w:r w:rsidR="00B14EA7">
        <w:t>Based on the principle of shared</w:t>
      </w:r>
      <w:r w:rsidR="0063392A" w:rsidRPr="00EB4F0C">
        <w:t xml:space="preserve"> contribution</w:t>
      </w:r>
      <w:r>
        <w:t xml:space="preserve">s, for those in employment </w:t>
      </w:r>
      <w:r w:rsidR="0063392A" w:rsidRPr="00EB4F0C">
        <w:t xml:space="preserve">the employer contribution </w:t>
      </w:r>
      <w:r w:rsidR="00B14EA7">
        <w:t>will not</w:t>
      </w:r>
      <w:r w:rsidR="0063392A" w:rsidRPr="00EB4F0C">
        <w:t xml:space="preserve"> be less t</w:t>
      </w:r>
      <w:r w:rsidR="00B14EA7">
        <w:t xml:space="preserve">han </w:t>
      </w:r>
      <w:r>
        <w:t xml:space="preserve">that of the </w:t>
      </w:r>
      <w:r w:rsidR="00B14EA7">
        <w:t>employee</w:t>
      </w:r>
      <w:r>
        <w:t xml:space="preserve">.  For those </w:t>
      </w:r>
      <w:r w:rsidR="00E8350C">
        <w:t xml:space="preserve">identified as being </w:t>
      </w:r>
      <w:r>
        <w:t xml:space="preserve">without the means to pay a contribution, the </w:t>
      </w:r>
      <w:r w:rsidR="00E342DF">
        <w:t>SNHI</w:t>
      </w:r>
      <w:r>
        <w:t xml:space="preserve"> premium </w:t>
      </w:r>
      <w:r w:rsidR="00B14EA7">
        <w:t xml:space="preserve">will be </w:t>
      </w:r>
      <w:r>
        <w:t xml:space="preserve">fully or partially </w:t>
      </w:r>
      <w:r w:rsidR="00B14EA7">
        <w:t xml:space="preserve">subsidized </w:t>
      </w:r>
      <w:r>
        <w:t>by Government and cross-</w:t>
      </w:r>
      <w:r w:rsidR="00E8350C">
        <w:t>subsidies within the single insurance pool</w:t>
      </w:r>
      <w:r>
        <w:t xml:space="preserve">.  Regular actuarial studies will form the basis for setting </w:t>
      </w:r>
      <w:r w:rsidR="00E8350C">
        <w:t xml:space="preserve">and reviewing </w:t>
      </w:r>
      <w:r>
        <w:t xml:space="preserve">contribution levels. </w:t>
      </w:r>
    </w:p>
    <w:p w:rsidR="00545E81" w:rsidRPr="00EB4F0C" w:rsidRDefault="00545E81" w:rsidP="00545E81"/>
    <w:p w:rsidR="0063392A" w:rsidRDefault="00C34561" w:rsidP="00545E81">
      <w:pPr>
        <w:rPr>
          <w:rFonts w:cs="Arial"/>
          <w:szCs w:val="24"/>
        </w:rPr>
      </w:pPr>
      <w:r>
        <w:rPr>
          <w:rFonts w:cs="Arial"/>
          <w:szCs w:val="24"/>
        </w:rPr>
        <w:t>In line with the purchaser-provider split, t</w:t>
      </w:r>
      <w:r w:rsidR="0063392A" w:rsidRPr="00EB4F0C">
        <w:rPr>
          <w:rFonts w:cs="Arial"/>
          <w:szCs w:val="24"/>
        </w:rPr>
        <w:t xml:space="preserve">he mechanism for </w:t>
      </w:r>
      <w:r w:rsidR="00B14EA7">
        <w:rPr>
          <w:rFonts w:cs="Arial"/>
          <w:szCs w:val="24"/>
        </w:rPr>
        <w:t>ensuring informal sector contributions</w:t>
      </w:r>
      <w:r w:rsidR="0063392A" w:rsidRPr="00EB4F0C">
        <w:rPr>
          <w:rFonts w:cs="Arial"/>
          <w:szCs w:val="24"/>
        </w:rPr>
        <w:t xml:space="preserve"> to the </w:t>
      </w:r>
      <w:r w:rsidR="007B5B28">
        <w:rPr>
          <w:rFonts w:cs="Arial"/>
          <w:szCs w:val="24"/>
        </w:rPr>
        <w:t>SNHI</w:t>
      </w:r>
      <w:r w:rsidR="0063392A" w:rsidRPr="00EB4F0C">
        <w:rPr>
          <w:rFonts w:cs="Arial"/>
          <w:szCs w:val="24"/>
        </w:rPr>
        <w:t xml:space="preserve"> will be established</w:t>
      </w:r>
      <w:r>
        <w:rPr>
          <w:rFonts w:cs="Arial"/>
          <w:szCs w:val="24"/>
        </w:rPr>
        <w:t xml:space="preserve"> outside the </w:t>
      </w:r>
      <w:r w:rsidR="0090644D">
        <w:rPr>
          <w:rFonts w:cs="Arial"/>
          <w:szCs w:val="24"/>
        </w:rPr>
        <w:t>council</w:t>
      </w:r>
      <w:r>
        <w:rPr>
          <w:rFonts w:cs="Arial"/>
          <w:szCs w:val="24"/>
        </w:rPr>
        <w:t xml:space="preserve"> health delivery system</w:t>
      </w:r>
      <w:r w:rsidR="0063392A" w:rsidRPr="00EB4F0C">
        <w:rPr>
          <w:rFonts w:cs="Arial"/>
          <w:szCs w:val="24"/>
        </w:rPr>
        <w:t>.</w:t>
      </w:r>
      <w:r w:rsidR="0090644D">
        <w:rPr>
          <w:rFonts w:cs="Arial"/>
          <w:szCs w:val="24"/>
        </w:rPr>
        <w:t xml:space="preserve"> </w:t>
      </w:r>
      <w:r w:rsidR="0063392A" w:rsidRPr="00EB4F0C">
        <w:rPr>
          <w:rFonts w:cs="Arial"/>
          <w:szCs w:val="24"/>
        </w:rPr>
        <w:t xml:space="preserve"> In order to </w:t>
      </w:r>
      <w:r w:rsidR="00E078AE">
        <w:rPr>
          <w:rFonts w:cs="Arial"/>
          <w:szCs w:val="24"/>
        </w:rPr>
        <w:t>en</w:t>
      </w:r>
      <w:r w:rsidR="0063392A" w:rsidRPr="00EB4F0C">
        <w:rPr>
          <w:rFonts w:cs="Arial"/>
          <w:szCs w:val="24"/>
        </w:rPr>
        <w:t>sure that every</w:t>
      </w:r>
      <w:r w:rsidR="00B14EA7">
        <w:rPr>
          <w:rFonts w:cs="Arial"/>
          <w:szCs w:val="24"/>
        </w:rPr>
        <w:t>one</w:t>
      </w:r>
      <w:r w:rsidR="0063392A" w:rsidRPr="00EB4F0C">
        <w:rPr>
          <w:rFonts w:cs="Arial"/>
          <w:szCs w:val="24"/>
        </w:rPr>
        <w:t xml:space="preserve"> is contributing to the scheme</w:t>
      </w:r>
      <w:r w:rsidR="00E078AE">
        <w:rPr>
          <w:rFonts w:cs="Arial"/>
          <w:szCs w:val="24"/>
        </w:rPr>
        <w:t>,</w:t>
      </w:r>
      <w:r w:rsidR="0063392A" w:rsidRPr="00EB4F0C">
        <w:rPr>
          <w:rFonts w:cs="Arial"/>
          <w:szCs w:val="24"/>
        </w:rPr>
        <w:t xml:space="preserve"> different </w:t>
      </w:r>
      <w:r w:rsidR="0090644D">
        <w:rPr>
          <w:rFonts w:cs="Arial"/>
          <w:szCs w:val="24"/>
        </w:rPr>
        <w:t xml:space="preserve">contribution </w:t>
      </w:r>
      <w:r w:rsidR="00E078AE">
        <w:rPr>
          <w:rFonts w:cs="Arial"/>
          <w:szCs w:val="24"/>
        </w:rPr>
        <w:t xml:space="preserve">mechanisms will </w:t>
      </w:r>
      <w:r w:rsidR="0063392A" w:rsidRPr="00EB4F0C">
        <w:rPr>
          <w:rFonts w:cs="Arial"/>
          <w:szCs w:val="24"/>
        </w:rPr>
        <w:t>be used</w:t>
      </w:r>
      <w:r w:rsidR="0090644D">
        <w:rPr>
          <w:rFonts w:cs="Arial"/>
          <w:szCs w:val="24"/>
        </w:rPr>
        <w:t xml:space="preserve"> (involving village governments and communities) taking seasonal income into consideration</w:t>
      </w:r>
      <w:r w:rsidR="008F48A1">
        <w:rPr>
          <w:rFonts w:cs="Arial"/>
          <w:szCs w:val="24"/>
        </w:rPr>
        <w:t xml:space="preserve">. </w:t>
      </w:r>
    </w:p>
    <w:p w:rsidR="00D6474C" w:rsidRDefault="00D6474C" w:rsidP="00545E81">
      <w:pPr>
        <w:rPr>
          <w:rFonts w:cs="Arial"/>
          <w:szCs w:val="24"/>
        </w:rPr>
      </w:pPr>
    </w:p>
    <w:p w:rsidR="00D6474C" w:rsidRPr="00D6474C" w:rsidRDefault="00D6474C" w:rsidP="00D6474C">
      <w:pPr>
        <w:pStyle w:val="Heading3"/>
      </w:pPr>
      <w:bookmarkStart w:id="40" w:name="_Toc406497986"/>
      <w:r w:rsidRPr="00D6474C">
        <w:t xml:space="preserve">Strategy </w:t>
      </w:r>
      <w:r w:rsidR="006B5589">
        <w:t>4</w:t>
      </w:r>
      <w:r w:rsidRPr="00D6474C">
        <w:t>: Identify and ensure coverage of the poor</w:t>
      </w:r>
      <w:bookmarkEnd w:id="40"/>
    </w:p>
    <w:p w:rsidR="00D6474C" w:rsidRPr="00D6474C" w:rsidRDefault="00D6474C" w:rsidP="00D6474C">
      <w:pPr>
        <w:rPr>
          <w:rFonts w:cs="Arial"/>
          <w:szCs w:val="24"/>
        </w:rPr>
      </w:pPr>
      <w:r w:rsidRPr="00D6474C">
        <w:rPr>
          <w:rFonts w:cs="Arial"/>
          <w:szCs w:val="24"/>
        </w:rPr>
        <w:t xml:space="preserve">UHC inherently implies (eventual) coverage of the entire population, and Tanzanian health policies and strategies </w:t>
      </w:r>
      <w:r w:rsidR="00CA1A3E" w:rsidRPr="00D6474C">
        <w:rPr>
          <w:rFonts w:cs="Arial"/>
          <w:szCs w:val="24"/>
        </w:rPr>
        <w:t>emphasis</w:t>
      </w:r>
      <w:r w:rsidRPr="00D6474C">
        <w:rPr>
          <w:rFonts w:cs="Arial"/>
          <w:szCs w:val="24"/>
        </w:rPr>
        <w:t xml:space="preserve"> inclusion of the most vulnerable, in terms of ability to pay and health need.  </w:t>
      </w:r>
    </w:p>
    <w:p w:rsidR="00D6474C" w:rsidRPr="00D6474C" w:rsidRDefault="00D6474C" w:rsidP="00D6474C">
      <w:pPr>
        <w:rPr>
          <w:rFonts w:cs="Arial"/>
          <w:szCs w:val="24"/>
        </w:rPr>
      </w:pPr>
    </w:p>
    <w:p w:rsidR="00D6474C" w:rsidRPr="00D6474C" w:rsidRDefault="00D6474C" w:rsidP="00D6474C">
      <w:pPr>
        <w:rPr>
          <w:rFonts w:cs="Arial"/>
          <w:szCs w:val="24"/>
        </w:rPr>
      </w:pPr>
      <w:r w:rsidRPr="00D6474C">
        <w:rPr>
          <w:rFonts w:cs="Arial"/>
          <w:szCs w:val="24"/>
        </w:rPr>
        <w:t>Inte</w:t>
      </w:r>
      <w:r>
        <w:rPr>
          <w:rFonts w:cs="Arial"/>
          <w:szCs w:val="24"/>
        </w:rPr>
        <w:t xml:space="preserve">rnational and country evidence </w:t>
      </w:r>
      <w:r w:rsidRPr="00D6474C">
        <w:rPr>
          <w:rFonts w:cs="Arial"/>
          <w:szCs w:val="24"/>
        </w:rPr>
        <w:t>on identification of the poor suggests that a combination of methods is desirable, specifically combining geographical targeting, community identification, and some form of proxy means testing (PMT) in order to have some national benchmarking</w:t>
      </w:r>
      <w:r w:rsidR="00AC2962">
        <w:rPr>
          <w:rFonts w:cs="Arial"/>
          <w:szCs w:val="24"/>
        </w:rPr>
        <w:t xml:space="preserve"> (Stoermer et al 2013)</w:t>
      </w:r>
      <w:r w:rsidRPr="00D6474C">
        <w:rPr>
          <w:rFonts w:cs="Arial"/>
          <w:szCs w:val="24"/>
        </w:rPr>
        <w:t xml:space="preserve">.   This approach is </w:t>
      </w:r>
      <w:r w:rsidR="00E8350C">
        <w:rPr>
          <w:rFonts w:cs="Arial"/>
          <w:szCs w:val="24"/>
        </w:rPr>
        <w:t>cross-</w:t>
      </w:r>
      <w:proofErr w:type="spellStart"/>
      <w:r w:rsidR="00E8350C">
        <w:rPr>
          <w:rFonts w:cs="Arial"/>
          <w:szCs w:val="24"/>
        </w:rPr>
        <w:t>sectoral</w:t>
      </w:r>
      <w:proofErr w:type="spellEnd"/>
      <w:r w:rsidRPr="00D6474C">
        <w:rPr>
          <w:rFonts w:cs="Arial"/>
          <w:szCs w:val="24"/>
        </w:rPr>
        <w:t xml:space="preserve">, and is currently being used by </w:t>
      </w:r>
      <w:r w:rsidR="00E8350C">
        <w:rPr>
          <w:rFonts w:cs="Arial"/>
          <w:szCs w:val="24"/>
        </w:rPr>
        <w:t xml:space="preserve">the </w:t>
      </w:r>
      <w:r w:rsidRPr="00D6474C">
        <w:rPr>
          <w:rFonts w:cs="Arial"/>
          <w:szCs w:val="24"/>
        </w:rPr>
        <w:t xml:space="preserve">Tanzanian Social Action Fund (TASAF) for the purposes of identifying beneficiaries of conditional cash transfers (CCT).  </w:t>
      </w:r>
    </w:p>
    <w:p w:rsidR="00D6474C" w:rsidRPr="00D6474C" w:rsidRDefault="00D6474C" w:rsidP="00D6474C">
      <w:pPr>
        <w:rPr>
          <w:rFonts w:cs="Arial"/>
          <w:szCs w:val="24"/>
        </w:rPr>
      </w:pPr>
    </w:p>
    <w:p w:rsidR="00D6474C" w:rsidRDefault="00D6474C" w:rsidP="00E30777">
      <w:pPr>
        <w:rPr>
          <w:rFonts w:cs="Arial"/>
          <w:szCs w:val="24"/>
        </w:rPr>
      </w:pPr>
      <w:r w:rsidRPr="00D6474C">
        <w:rPr>
          <w:rFonts w:cs="Arial"/>
          <w:szCs w:val="24"/>
        </w:rPr>
        <w:t>The target population of the “very poor” for the purpose of full government subsidy of health costs currently differs from that for CCTs, and will depend both on political priorities and budget constraints. The 28.2 percent of the population defined as “basic needs” poor according to the 2012 Household Budget Survey will be fully subsidized by Government.  These will be identified using the combination of methods outlined above, in particular the PMT</w:t>
      </w:r>
      <w:r w:rsidR="00E8350C">
        <w:rPr>
          <w:rFonts w:cs="Arial"/>
          <w:szCs w:val="24"/>
        </w:rPr>
        <w:t>. This will require</w:t>
      </w:r>
      <w:r w:rsidRPr="00D6474C">
        <w:rPr>
          <w:rFonts w:cs="Arial"/>
          <w:szCs w:val="24"/>
        </w:rPr>
        <w:t xml:space="preserve"> extending the TASAF approach to a larger segment of the population.  To speed up the process of identification, additional </w:t>
      </w:r>
      <w:r w:rsidRPr="00D6474C">
        <w:rPr>
          <w:rFonts w:cs="Arial"/>
          <w:szCs w:val="24"/>
        </w:rPr>
        <w:lastRenderedPageBreak/>
        <w:t>agencies/</w:t>
      </w:r>
      <w:r w:rsidR="00194B83">
        <w:rPr>
          <w:rFonts w:cs="Arial"/>
          <w:szCs w:val="24"/>
        </w:rPr>
        <w:t xml:space="preserve"> </w:t>
      </w:r>
      <w:r w:rsidR="00194B83" w:rsidRPr="00D6474C">
        <w:rPr>
          <w:rFonts w:cs="Arial"/>
          <w:szCs w:val="24"/>
        </w:rPr>
        <w:t>organizations</w:t>
      </w:r>
      <w:r w:rsidRPr="00D6474C">
        <w:rPr>
          <w:rFonts w:cs="Arial"/>
          <w:szCs w:val="24"/>
        </w:rPr>
        <w:t xml:space="preserve"> will be required to undertake this exercise, and it may be necessary to simplify the PMT instrument to reduce costs and facilitate wider application (TBD)</w:t>
      </w:r>
    </w:p>
    <w:p w:rsidR="00E30777" w:rsidRPr="00D6474C" w:rsidRDefault="00E30777" w:rsidP="00D6474C">
      <w:pPr>
        <w:rPr>
          <w:rFonts w:cs="Arial"/>
          <w:szCs w:val="24"/>
        </w:rPr>
      </w:pPr>
    </w:p>
    <w:p w:rsidR="00D6474C" w:rsidRPr="00D6474C" w:rsidRDefault="00060BD9" w:rsidP="00D6474C">
      <w:pPr>
        <w:rPr>
          <w:rFonts w:cs="Arial"/>
          <w:szCs w:val="24"/>
        </w:rPr>
      </w:pPr>
      <w:r>
        <w:rPr>
          <w:rFonts w:cs="Arial"/>
          <w:szCs w:val="24"/>
        </w:rPr>
        <w:t xml:space="preserve">Local governments will </w:t>
      </w:r>
      <w:commentRangeStart w:id="41"/>
      <w:r w:rsidRPr="00060BD9">
        <w:rPr>
          <w:rFonts w:cs="Arial"/>
          <w:szCs w:val="24"/>
        </w:rPr>
        <w:t>contribute</w:t>
      </w:r>
      <w:commentRangeEnd w:id="41"/>
      <w:r w:rsidR="00E30777">
        <w:rPr>
          <w:rStyle w:val="CommentReference"/>
        </w:rPr>
        <w:commentReference w:id="41"/>
      </w:r>
      <w:r w:rsidRPr="00060BD9">
        <w:rPr>
          <w:rFonts w:cs="Arial"/>
          <w:szCs w:val="24"/>
        </w:rPr>
        <w:t xml:space="preserve"> </w:t>
      </w:r>
      <w:r w:rsidR="00E30777">
        <w:rPr>
          <w:rFonts w:cs="Arial"/>
          <w:szCs w:val="24"/>
        </w:rPr>
        <w:t xml:space="preserve">own source revenues </w:t>
      </w:r>
      <w:r w:rsidRPr="00060BD9">
        <w:rPr>
          <w:rFonts w:cs="Arial"/>
          <w:szCs w:val="24"/>
        </w:rPr>
        <w:t xml:space="preserve">to the SNHI pool to support </w:t>
      </w:r>
      <w:r w:rsidR="00E30777">
        <w:rPr>
          <w:rFonts w:cs="Arial"/>
          <w:szCs w:val="24"/>
        </w:rPr>
        <w:t xml:space="preserve">the </w:t>
      </w:r>
      <w:r w:rsidRPr="00060BD9">
        <w:rPr>
          <w:rFonts w:cs="Arial"/>
          <w:szCs w:val="24"/>
        </w:rPr>
        <w:t>s</w:t>
      </w:r>
      <w:r>
        <w:rPr>
          <w:rFonts w:cs="Arial"/>
          <w:szCs w:val="24"/>
        </w:rPr>
        <w:t xml:space="preserve">ubsidies of very poor </w:t>
      </w:r>
      <w:r w:rsidR="00E30777">
        <w:rPr>
          <w:rFonts w:cs="Arial"/>
          <w:szCs w:val="24"/>
        </w:rPr>
        <w:t xml:space="preserve">members. </w:t>
      </w:r>
    </w:p>
    <w:p w:rsidR="00060BD9" w:rsidRDefault="00060BD9" w:rsidP="00D6474C">
      <w:pPr>
        <w:rPr>
          <w:rFonts w:cs="Arial"/>
          <w:szCs w:val="24"/>
        </w:rPr>
      </w:pPr>
    </w:p>
    <w:p w:rsidR="00A26332" w:rsidRDefault="005F338D" w:rsidP="00545E81">
      <w:pPr>
        <w:pStyle w:val="Heading2"/>
      </w:pPr>
      <w:bookmarkStart w:id="42" w:name="_Toc406497987"/>
      <w:r w:rsidRPr="008F48A1">
        <w:t>Pooling of Funds</w:t>
      </w:r>
      <w:bookmarkEnd w:id="42"/>
    </w:p>
    <w:p w:rsidR="00A26332" w:rsidRPr="008F48A1" w:rsidRDefault="00F459F9" w:rsidP="00545E81">
      <w:pPr>
        <w:pStyle w:val="Heading3"/>
      </w:pPr>
      <w:bookmarkStart w:id="43" w:name="_Toc406497988"/>
      <w:r w:rsidRPr="008F48A1">
        <w:t xml:space="preserve">Strategy </w:t>
      </w:r>
      <w:r w:rsidR="006B5589">
        <w:t>5</w:t>
      </w:r>
      <w:r w:rsidRPr="008F48A1">
        <w:t xml:space="preserve">: </w:t>
      </w:r>
      <w:r w:rsidR="008D688F" w:rsidRPr="008F48A1">
        <w:t>Decreas</w:t>
      </w:r>
      <w:r w:rsidR="007138B2">
        <w:t>e the fragmentation of risk pools</w:t>
      </w:r>
      <w:bookmarkEnd w:id="43"/>
      <w:r w:rsidRPr="008F48A1">
        <w:t xml:space="preserve"> </w:t>
      </w:r>
    </w:p>
    <w:p w:rsidR="008F48A1" w:rsidRPr="008F48A1" w:rsidRDefault="00B270F8" w:rsidP="008F48A1">
      <w:pPr>
        <w:rPr>
          <w:rFonts w:cs="Arial"/>
          <w:szCs w:val="24"/>
        </w:rPr>
      </w:pPr>
      <w:r>
        <w:rPr>
          <w:rFonts w:cs="Arial"/>
          <w:szCs w:val="24"/>
        </w:rPr>
        <w:t xml:space="preserve">The creation of a single risk pool </w:t>
      </w:r>
      <w:r w:rsidR="008F6B4B">
        <w:rPr>
          <w:rFonts w:cs="Arial"/>
          <w:szCs w:val="24"/>
        </w:rPr>
        <w:t xml:space="preserve">– merging NHIF, CHF, NSSF-SHIB and others - </w:t>
      </w:r>
      <w:r>
        <w:rPr>
          <w:rFonts w:cs="Arial"/>
          <w:szCs w:val="24"/>
        </w:rPr>
        <w:t xml:space="preserve">will increase the </w:t>
      </w:r>
      <w:r w:rsidR="008F48A1" w:rsidRPr="008F48A1">
        <w:rPr>
          <w:rFonts w:cs="Arial"/>
          <w:szCs w:val="24"/>
        </w:rPr>
        <w:t xml:space="preserve">redistributive capacity of prepaid funds and align different revenue sources </w:t>
      </w:r>
      <w:r>
        <w:rPr>
          <w:rFonts w:cs="Arial"/>
          <w:szCs w:val="24"/>
        </w:rPr>
        <w:t xml:space="preserve">to enhance </w:t>
      </w:r>
      <w:r w:rsidR="00D3157C">
        <w:rPr>
          <w:rFonts w:cs="Arial"/>
          <w:szCs w:val="24"/>
        </w:rPr>
        <w:t>cross-</w:t>
      </w:r>
      <w:r w:rsidR="00CA0211">
        <w:rPr>
          <w:rFonts w:cs="Arial"/>
          <w:szCs w:val="24"/>
        </w:rPr>
        <w:t>subsidization</w:t>
      </w:r>
      <w:r w:rsidR="00D3157C">
        <w:rPr>
          <w:rFonts w:cs="Arial"/>
          <w:szCs w:val="24"/>
        </w:rPr>
        <w:t xml:space="preserve"> across beneficiaries with different risks and socio-economic status, and efficiency associated with economies of scale. </w:t>
      </w:r>
    </w:p>
    <w:p w:rsidR="008F48A1" w:rsidRPr="00DE3147" w:rsidRDefault="008F48A1" w:rsidP="00DE3147">
      <w:pPr>
        <w:rPr>
          <w:rFonts w:cs="Arial"/>
          <w:szCs w:val="24"/>
        </w:rPr>
      </w:pPr>
    </w:p>
    <w:p w:rsidR="008F48A1" w:rsidRPr="008F48A1" w:rsidRDefault="00CE4280" w:rsidP="008F48A1">
      <w:pPr>
        <w:rPr>
          <w:rFonts w:cs="Arial"/>
          <w:szCs w:val="24"/>
        </w:rPr>
      </w:pPr>
      <w:r>
        <w:rPr>
          <w:rFonts w:cs="Arial"/>
          <w:szCs w:val="24"/>
        </w:rPr>
        <w:t xml:space="preserve">Over time, selected parallel funding flows will be integrated into the single national health insurance pool. </w:t>
      </w:r>
      <w:r w:rsidR="003D16B3">
        <w:rPr>
          <w:rFonts w:cs="Arial"/>
          <w:szCs w:val="24"/>
        </w:rPr>
        <w:t xml:space="preserve">This will include </w:t>
      </w:r>
      <w:r w:rsidR="009E3456">
        <w:rPr>
          <w:rFonts w:cs="Arial"/>
          <w:szCs w:val="24"/>
        </w:rPr>
        <w:t xml:space="preserve">part or all </w:t>
      </w:r>
      <w:r w:rsidR="003D16B3">
        <w:rPr>
          <w:rFonts w:cs="Arial"/>
          <w:szCs w:val="24"/>
        </w:rPr>
        <w:t>of certain external funding flows which are intended to support disease-specific interventions and/or commodities which fall within the Minimum Benefit Package (</w:t>
      </w:r>
      <w:proofErr w:type="spellStart"/>
      <w:r w:rsidR="003D16B3">
        <w:rPr>
          <w:rFonts w:cs="Arial"/>
          <w:szCs w:val="24"/>
        </w:rPr>
        <w:t>eg</w:t>
      </w:r>
      <w:proofErr w:type="spellEnd"/>
      <w:r w:rsidR="003D16B3">
        <w:rPr>
          <w:rFonts w:cs="Arial"/>
          <w:szCs w:val="24"/>
        </w:rPr>
        <w:t xml:space="preserve"> Global Fund, Health Basket Fund). </w:t>
      </w:r>
    </w:p>
    <w:p w:rsidR="00060BD9" w:rsidRDefault="00060BD9" w:rsidP="009E3456">
      <w:pPr>
        <w:rPr>
          <w:rFonts w:cs="Arial"/>
          <w:szCs w:val="24"/>
        </w:rPr>
      </w:pPr>
    </w:p>
    <w:p w:rsidR="00060BD9" w:rsidRDefault="003132D7" w:rsidP="009E3456">
      <w:pPr>
        <w:rPr>
          <w:rFonts w:cs="Arial"/>
          <w:szCs w:val="24"/>
        </w:rPr>
      </w:pPr>
      <w:r w:rsidRPr="003132D7">
        <w:rPr>
          <w:rFonts w:cs="Arial"/>
          <w:szCs w:val="24"/>
        </w:rPr>
        <w:t>The differential poverty rates and thus revenue-raising potential of LGAs will necessitate development of an equalization mechanism to ensure that those LGAs with a higher proportion of fully-subsidized poor SNHI beneficiaries are not unduly penalized financially. Cross-</w:t>
      </w:r>
      <w:r w:rsidR="00AA2CE4" w:rsidRPr="003132D7">
        <w:rPr>
          <w:rFonts w:cs="Arial"/>
          <w:szCs w:val="24"/>
        </w:rPr>
        <w:t>subsidization</w:t>
      </w:r>
      <w:r w:rsidRPr="003132D7">
        <w:rPr>
          <w:rFonts w:cs="Arial"/>
          <w:szCs w:val="24"/>
        </w:rPr>
        <w:t xml:space="preserve"> is expected both at the level of the individual and geographic area.</w:t>
      </w:r>
    </w:p>
    <w:p w:rsidR="003132D7" w:rsidRPr="00060BD9" w:rsidRDefault="003132D7" w:rsidP="009E3456">
      <w:pPr>
        <w:rPr>
          <w:rFonts w:cs="Arial"/>
          <w:szCs w:val="24"/>
        </w:rPr>
      </w:pPr>
    </w:p>
    <w:p w:rsidR="004F61CF" w:rsidRPr="004F61CF" w:rsidRDefault="004F61CF" w:rsidP="004F61CF">
      <w:pPr>
        <w:keepNext/>
        <w:keepLines/>
        <w:numPr>
          <w:ilvl w:val="1"/>
          <w:numId w:val="47"/>
        </w:numPr>
        <w:spacing w:before="40" w:after="120"/>
        <w:outlineLvl w:val="1"/>
        <w:rPr>
          <w:rFonts w:ascii="Cambria" w:eastAsia="Times New Roman" w:hAnsi="Cambria" w:cs="Times New Roman"/>
          <w:color w:val="365F91"/>
          <w:sz w:val="28"/>
          <w:szCs w:val="26"/>
        </w:rPr>
      </w:pPr>
      <w:bookmarkStart w:id="44" w:name="_Toc406497989"/>
      <w:r w:rsidRPr="004F61CF">
        <w:rPr>
          <w:rFonts w:ascii="Cambria" w:eastAsia="Times New Roman" w:hAnsi="Cambria" w:cs="Times New Roman"/>
          <w:color w:val="365F91"/>
          <w:sz w:val="28"/>
          <w:szCs w:val="26"/>
        </w:rPr>
        <w:t>Health</w:t>
      </w:r>
      <w:r w:rsidR="004622EA">
        <w:rPr>
          <w:rFonts w:ascii="Cambria" w:eastAsia="Times New Roman" w:hAnsi="Cambria" w:cs="Times New Roman"/>
          <w:color w:val="365F91"/>
          <w:sz w:val="28"/>
          <w:szCs w:val="26"/>
        </w:rPr>
        <w:t xml:space="preserve"> Care</w:t>
      </w:r>
      <w:r w:rsidRPr="004F61CF">
        <w:rPr>
          <w:rFonts w:ascii="Cambria" w:eastAsia="Times New Roman" w:hAnsi="Cambria" w:cs="Times New Roman"/>
          <w:color w:val="365F91"/>
          <w:sz w:val="28"/>
          <w:szCs w:val="26"/>
        </w:rPr>
        <w:t xml:space="preserve"> Purchasing</w:t>
      </w:r>
      <w:bookmarkEnd w:id="44"/>
    </w:p>
    <w:p w:rsidR="004F61CF" w:rsidRPr="004F61CF" w:rsidRDefault="004F61CF" w:rsidP="004F61CF">
      <w:pPr>
        <w:keepNext/>
        <w:keepLines/>
        <w:numPr>
          <w:ilvl w:val="2"/>
          <w:numId w:val="47"/>
        </w:numPr>
        <w:spacing w:before="200" w:after="120"/>
        <w:outlineLvl w:val="2"/>
        <w:rPr>
          <w:rFonts w:ascii="Cambria" w:eastAsia="Times New Roman" w:hAnsi="Cambria" w:cs="Times New Roman"/>
          <w:b/>
          <w:bCs/>
          <w:color w:val="4F81BD"/>
        </w:rPr>
      </w:pPr>
      <w:bookmarkStart w:id="45" w:name="_Toc406497990"/>
      <w:r w:rsidRPr="004F61CF">
        <w:rPr>
          <w:rFonts w:ascii="Cambria" w:eastAsia="Times New Roman" w:hAnsi="Cambria" w:cs="Times New Roman"/>
          <w:b/>
          <w:bCs/>
          <w:color w:val="4F81BD"/>
        </w:rPr>
        <w:t xml:space="preserve">Strategy </w:t>
      </w:r>
      <w:r w:rsidR="006B5589">
        <w:rPr>
          <w:rFonts w:ascii="Cambria" w:eastAsia="Times New Roman" w:hAnsi="Cambria" w:cs="Times New Roman"/>
          <w:b/>
          <w:bCs/>
          <w:color w:val="4F81BD"/>
        </w:rPr>
        <w:t>6</w:t>
      </w:r>
      <w:r w:rsidRPr="004F61CF">
        <w:rPr>
          <w:rFonts w:ascii="Cambria" w:eastAsia="Times New Roman" w:hAnsi="Cambria" w:cs="Times New Roman"/>
          <w:b/>
          <w:bCs/>
          <w:color w:val="4F81BD"/>
        </w:rPr>
        <w:t>: Implement a standard Minimum Benefit Package</w:t>
      </w:r>
      <w:bookmarkEnd w:id="45"/>
    </w:p>
    <w:p w:rsidR="004F61CF" w:rsidRPr="004F61CF" w:rsidRDefault="00C06FB8" w:rsidP="004F61CF">
      <w:pPr>
        <w:rPr>
          <w:rFonts w:eastAsia="Calibri" w:cs="Times New Roman"/>
        </w:rPr>
      </w:pPr>
      <w:commentRangeStart w:id="46"/>
      <w:r>
        <w:rPr>
          <w:rFonts w:eastAsia="Calibri" w:cs="Times New Roman"/>
        </w:rPr>
        <w:t>A</w:t>
      </w:r>
      <w:r w:rsidR="004F61CF" w:rsidRPr="004F61CF">
        <w:rPr>
          <w:rFonts w:eastAsia="Calibri" w:cs="Times New Roman"/>
        </w:rPr>
        <w:t>n affordable standard Minimum Benefit Package (MBP) is clearly defined to</w:t>
      </w:r>
      <w:r>
        <w:rPr>
          <w:rFonts w:eastAsia="Calibri" w:cs="Times New Roman"/>
        </w:rPr>
        <w:t xml:space="preserve"> </w:t>
      </w:r>
      <w:r w:rsidR="004F61CF" w:rsidRPr="004F61CF">
        <w:rPr>
          <w:rFonts w:eastAsia="Calibri" w:cs="Times New Roman"/>
        </w:rPr>
        <w:t>serve as a legal entitlement to the whole population</w:t>
      </w:r>
      <w:commentRangeEnd w:id="46"/>
      <w:r>
        <w:rPr>
          <w:rStyle w:val="CommentReference"/>
        </w:rPr>
        <w:commentReference w:id="46"/>
      </w:r>
      <w:r w:rsidR="004F61CF" w:rsidRPr="004F61CF">
        <w:rPr>
          <w:rFonts w:eastAsia="Calibri" w:cs="Times New Roman"/>
        </w:rPr>
        <w:t xml:space="preserve">.  </w:t>
      </w:r>
    </w:p>
    <w:p w:rsidR="004F61CF" w:rsidRPr="004F61CF" w:rsidRDefault="004F61CF" w:rsidP="004F61CF">
      <w:pPr>
        <w:rPr>
          <w:rFonts w:eastAsia="Calibri" w:cs="Times New Roman"/>
        </w:rPr>
      </w:pPr>
    </w:p>
    <w:p w:rsidR="000C262C" w:rsidRDefault="009B3EC3" w:rsidP="004F61CF">
      <w:pPr>
        <w:rPr>
          <w:rFonts w:eastAsia="Calibri" w:cs="Times New Roman"/>
          <w:highlight w:val="yellow"/>
        </w:rPr>
      </w:pPr>
      <w:r>
        <w:rPr>
          <w:rFonts w:eastAsia="Calibri" w:cs="Times New Roman"/>
        </w:rPr>
        <w:t>In the short run</w:t>
      </w:r>
      <w:r w:rsidR="00AE046E">
        <w:rPr>
          <w:rFonts w:eastAsia="Calibri" w:cs="Times New Roman"/>
        </w:rPr>
        <w:t xml:space="preserve"> there will be two types of MBP, standard MBP and MBP plus. The standard MBP which will be accessible to everyone </w:t>
      </w:r>
      <w:r>
        <w:rPr>
          <w:rFonts w:eastAsia="Calibri" w:cs="Times New Roman"/>
        </w:rPr>
        <w:t xml:space="preserve">will include </w:t>
      </w:r>
      <w:r w:rsidR="003F564E">
        <w:rPr>
          <w:rFonts w:eastAsia="Calibri" w:cs="Times New Roman"/>
        </w:rPr>
        <w:t xml:space="preserve">all individualized </w:t>
      </w:r>
      <w:r>
        <w:rPr>
          <w:rFonts w:eastAsia="Calibri" w:cs="Times New Roman"/>
        </w:rPr>
        <w:t xml:space="preserve">services at dispensary, health centre and district hospital. </w:t>
      </w:r>
      <w:r w:rsidR="003F564E">
        <w:rPr>
          <w:rFonts w:eastAsia="Calibri" w:cs="Times New Roman"/>
        </w:rPr>
        <w:t>This will exclude public health services such as</w:t>
      </w:r>
      <w:r w:rsidR="00AA37DB">
        <w:rPr>
          <w:rFonts w:eastAsia="Calibri" w:cs="Times New Roman"/>
        </w:rPr>
        <w:t xml:space="preserve"> water and sanitation programs and education and promotion campaigns</w:t>
      </w:r>
      <w:r w:rsidR="003F564E">
        <w:rPr>
          <w:rFonts w:eastAsia="Calibri" w:cs="Times New Roman"/>
        </w:rPr>
        <w:t xml:space="preserve"> but include child vaccination and ANC services. Services that are currently under the category of chronic illnesses such as diabetes, cancer, and </w:t>
      </w:r>
      <w:r w:rsidR="00AA37DB">
        <w:rPr>
          <w:rFonts w:eastAsia="Calibri" w:cs="Times New Roman"/>
        </w:rPr>
        <w:t xml:space="preserve">mental illnesses will only be funded if public resources that are currently been used to fund such services will be pooled to the central SNHI pool. </w:t>
      </w:r>
      <w:r>
        <w:rPr>
          <w:rFonts w:eastAsia="Calibri" w:cs="Times New Roman"/>
        </w:rPr>
        <w:t xml:space="preserve">Access to district hospital will be granted upon </w:t>
      </w:r>
      <w:r>
        <w:rPr>
          <w:rFonts w:eastAsia="Calibri" w:cs="Times New Roman"/>
        </w:rPr>
        <w:lastRenderedPageBreak/>
        <w:t xml:space="preserve">receipt of referral letter from dispensary or health centre. Where members of SNHI walk-in to the district hospital without referral letter the person will bear full cost of health services provided. </w:t>
      </w:r>
      <w:r w:rsidR="005161E9" w:rsidRPr="005161E9">
        <w:rPr>
          <w:rFonts w:eastAsia="Calibri" w:cs="Times New Roman"/>
        </w:rPr>
        <w:t>Enforcing referral system is crucial for the sustainability of the SNHI</w:t>
      </w:r>
      <w:r>
        <w:rPr>
          <w:rFonts w:eastAsia="Calibri" w:cs="Times New Roman"/>
        </w:rPr>
        <w:t xml:space="preserve"> especially at the initial years of its introduction where we expected high increase in utilization of formal health care</w:t>
      </w:r>
      <w:r w:rsidR="005161E9" w:rsidRPr="005161E9">
        <w:rPr>
          <w:rFonts w:eastAsia="Calibri" w:cs="Times New Roman"/>
        </w:rPr>
        <w:t>. However, the main challenge in enforcing referral system is availability of services at primary facilities</w:t>
      </w:r>
      <w:r>
        <w:rPr>
          <w:rFonts w:eastAsia="Calibri" w:cs="Times New Roman"/>
        </w:rPr>
        <w:t xml:space="preserve"> (dispensaries and health </w:t>
      </w:r>
      <w:r w:rsidR="00194B83">
        <w:rPr>
          <w:rFonts w:eastAsia="Calibri" w:cs="Times New Roman"/>
        </w:rPr>
        <w:t>centers</w:t>
      </w:r>
      <w:r>
        <w:rPr>
          <w:rFonts w:eastAsia="Calibri" w:cs="Times New Roman"/>
        </w:rPr>
        <w:t>)</w:t>
      </w:r>
      <w:r w:rsidR="005161E9" w:rsidRPr="005161E9">
        <w:rPr>
          <w:rFonts w:eastAsia="Calibri" w:cs="Times New Roman"/>
        </w:rPr>
        <w:t>. Without effective availability of services members will continue to bypass to higher level and the objective of financial protection will not be guaranteed as many SNHI members will be paying out-of-pocket.</w:t>
      </w:r>
      <w:r>
        <w:rPr>
          <w:rFonts w:eastAsia="Calibri" w:cs="Times New Roman"/>
        </w:rPr>
        <w:t xml:space="preserve"> This HFS is written with the view that there will be an increase in investment funds through the MMAM program in order to improve service provision at primary facilities by making sure that staffs and medical supplies and equipment are available. Further with initiatives such as the </w:t>
      </w:r>
      <w:r w:rsidR="00DD61B6">
        <w:rPr>
          <w:rFonts w:eastAsia="Calibri" w:cs="Times New Roman"/>
        </w:rPr>
        <w:t xml:space="preserve">Result Based Financing and Big Results Now </w:t>
      </w:r>
      <w:r w:rsidR="000C262C">
        <w:rPr>
          <w:rFonts w:eastAsia="Calibri" w:cs="Times New Roman"/>
        </w:rPr>
        <w:t>it is</w:t>
      </w:r>
      <w:r w:rsidR="00DD61B6">
        <w:rPr>
          <w:rFonts w:eastAsia="Calibri" w:cs="Times New Roman"/>
        </w:rPr>
        <w:t xml:space="preserve"> expect</w:t>
      </w:r>
      <w:r w:rsidR="000C262C">
        <w:rPr>
          <w:rFonts w:eastAsia="Calibri" w:cs="Times New Roman"/>
        </w:rPr>
        <w:t>ed</w:t>
      </w:r>
      <w:r w:rsidR="00DD61B6">
        <w:rPr>
          <w:rFonts w:eastAsia="Calibri" w:cs="Times New Roman"/>
        </w:rPr>
        <w:t xml:space="preserve"> that quality of service in primary facilities will</w:t>
      </w:r>
      <w:r w:rsidR="000C262C">
        <w:rPr>
          <w:rFonts w:eastAsia="Calibri" w:cs="Times New Roman"/>
        </w:rPr>
        <w:t xml:space="preserve"> be</w:t>
      </w:r>
      <w:r w:rsidR="00DD61B6">
        <w:rPr>
          <w:rFonts w:eastAsia="Calibri" w:cs="Times New Roman"/>
        </w:rPr>
        <w:t xml:space="preserve"> improve</w:t>
      </w:r>
      <w:r w:rsidR="000C262C">
        <w:rPr>
          <w:rFonts w:eastAsia="Calibri" w:cs="Times New Roman"/>
        </w:rPr>
        <w:t>d</w:t>
      </w:r>
      <w:r w:rsidR="00DD61B6">
        <w:rPr>
          <w:rFonts w:eastAsia="Calibri" w:cs="Times New Roman"/>
        </w:rPr>
        <w:t xml:space="preserve"> and the challenge of drug stock-out will be resolved, hence reducing unnecessary needs of bypassing to higher level facilities.</w:t>
      </w:r>
      <w:r w:rsidR="00C7364E">
        <w:rPr>
          <w:rFonts w:eastAsia="Calibri" w:cs="Times New Roman"/>
          <w:highlight w:val="yellow"/>
        </w:rPr>
        <w:t xml:space="preserve"> </w:t>
      </w:r>
    </w:p>
    <w:p w:rsidR="000C262C" w:rsidRDefault="000C262C" w:rsidP="004F61CF">
      <w:pPr>
        <w:rPr>
          <w:rFonts w:eastAsia="Calibri" w:cs="Times New Roman"/>
          <w:highlight w:val="yellow"/>
        </w:rPr>
      </w:pPr>
    </w:p>
    <w:p w:rsidR="00C7364E" w:rsidRDefault="000C262C" w:rsidP="004F61CF">
      <w:pPr>
        <w:rPr>
          <w:rFonts w:eastAsia="Calibri" w:cs="Times New Roman"/>
        </w:rPr>
      </w:pPr>
      <w:r>
        <w:rPr>
          <w:rFonts w:eastAsia="Calibri" w:cs="Times New Roman"/>
        </w:rPr>
        <w:t xml:space="preserve">At the beginning only public and designated not public facilities will be contracted to provide the </w:t>
      </w:r>
      <w:r w:rsidR="00AE046E">
        <w:rPr>
          <w:rFonts w:eastAsia="Calibri" w:cs="Times New Roman"/>
        </w:rPr>
        <w:t xml:space="preserve">standard </w:t>
      </w:r>
      <w:r>
        <w:rPr>
          <w:rFonts w:eastAsia="Calibri" w:cs="Times New Roman"/>
        </w:rPr>
        <w:t>MBP for SNHI members. In areas where there will be no public primary facility, special arrangements will be made to enter into contract with non-government facility that will be within that area in order to guarantee availability of care to everybody in need. The SNHI card will be portable across all contracted providers within Tanzania.</w:t>
      </w:r>
    </w:p>
    <w:p w:rsidR="004F61CF" w:rsidRPr="004F61CF" w:rsidRDefault="004F61CF" w:rsidP="004F61CF">
      <w:pPr>
        <w:rPr>
          <w:rFonts w:eastAsia="Calibri" w:cs="Times New Roman"/>
        </w:rPr>
      </w:pPr>
    </w:p>
    <w:p w:rsidR="008B66A8" w:rsidRDefault="00AE046E" w:rsidP="004F61CF">
      <w:pPr>
        <w:rPr>
          <w:rFonts w:eastAsia="Calibri" w:cs="Times New Roman"/>
        </w:rPr>
      </w:pPr>
      <w:r>
        <w:rPr>
          <w:rFonts w:eastAsia="Calibri" w:cs="Times New Roman"/>
        </w:rPr>
        <w:t xml:space="preserve">MBP plus will include in addition to what is provided under standard MBP, access to regional referral, zonal referral and national hospital as is currently covered under NHIF. It is not the intention of the SNHI to reduce the size of health care benefit package that is currently consumed by the members of the NHIF. Such members together with employees in the formal </w:t>
      </w:r>
      <w:r w:rsidR="004622EA">
        <w:rPr>
          <w:rFonts w:eastAsia="Calibri" w:cs="Times New Roman"/>
        </w:rPr>
        <w:t xml:space="preserve">non public </w:t>
      </w:r>
      <w:r>
        <w:rPr>
          <w:rFonts w:eastAsia="Calibri" w:cs="Times New Roman"/>
        </w:rPr>
        <w:t>sector</w:t>
      </w:r>
      <w:r w:rsidR="004622EA">
        <w:rPr>
          <w:rFonts w:eastAsia="Calibri" w:cs="Times New Roman"/>
        </w:rPr>
        <w:t>s</w:t>
      </w:r>
      <w:r w:rsidR="00645378">
        <w:rPr>
          <w:rFonts w:eastAsia="Calibri" w:cs="Times New Roman"/>
        </w:rPr>
        <w:t xml:space="preserve"> and individuals who have been identified as extremely poor, hence fully subsidized by the government</w:t>
      </w:r>
      <w:r>
        <w:rPr>
          <w:rFonts w:eastAsia="Calibri" w:cs="Times New Roman"/>
        </w:rPr>
        <w:t xml:space="preserve"> will </w:t>
      </w:r>
      <w:r w:rsidR="004622EA">
        <w:rPr>
          <w:rFonts w:eastAsia="Calibri" w:cs="Times New Roman"/>
        </w:rPr>
        <w:t>be</w:t>
      </w:r>
      <w:r>
        <w:rPr>
          <w:rFonts w:eastAsia="Calibri" w:cs="Times New Roman"/>
        </w:rPr>
        <w:t xml:space="preserve"> accessing the current NHIF package (referred to as MBP plus) but this package will be </w:t>
      </w:r>
      <w:r w:rsidR="004622EA">
        <w:rPr>
          <w:rFonts w:eastAsia="Calibri" w:cs="Times New Roman"/>
        </w:rPr>
        <w:t>‘</w:t>
      </w:r>
      <w:r w:rsidR="00194B83">
        <w:rPr>
          <w:rFonts w:eastAsia="Calibri" w:cs="Times New Roman"/>
        </w:rPr>
        <w:t>frozen</w:t>
      </w:r>
      <w:r w:rsidR="004622EA">
        <w:rPr>
          <w:rFonts w:eastAsia="Calibri" w:cs="Times New Roman"/>
        </w:rPr>
        <w:t>’</w:t>
      </w:r>
      <w:r>
        <w:rPr>
          <w:rFonts w:eastAsia="Calibri" w:cs="Times New Roman"/>
        </w:rPr>
        <w:t xml:space="preserve"> until the time when the SNHI has been sustainable enough to raise the standard MBP up to the level that will be equivalent to the current NHIF package. In this case t</w:t>
      </w:r>
      <w:r w:rsidR="004F61CF" w:rsidRPr="004F61CF">
        <w:rPr>
          <w:rFonts w:eastAsia="Calibri" w:cs="Times New Roman"/>
        </w:rPr>
        <w:t xml:space="preserve">he </w:t>
      </w:r>
      <w:r w:rsidR="00CA0211">
        <w:rPr>
          <w:rFonts w:eastAsia="Calibri" w:cs="Times New Roman"/>
        </w:rPr>
        <w:t xml:space="preserve">long-term </w:t>
      </w:r>
      <w:r w:rsidR="004F61CF" w:rsidRPr="004F61CF">
        <w:rPr>
          <w:rFonts w:eastAsia="Calibri" w:cs="Times New Roman"/>
        </w:rPr>
        <w:t>goal is to</w:t>
      </w:r>
      <w:r>
        <w:rPr>
          <w:rFonts w:eastAsia="Calibri" w:cs="Times New Roman"/>
        </w:rPr>
        <w:t xml:space="preserve"> make sure that every member of the SNHI has access to the level of benefit package that is currently provided by the NHIF. This </w:t>
      </w:r>
      <w:r w:rsidR="004622EA">
        <w:rPr>
          <w:rFonts w:eastAsia="Calibri" w:cs="Times New Roman"/>
        </w:rPr>
        <w:t>is a</w:t>
      </w:r>
      <w:r>
        <w:rPr>
          <w:rFonts w:eastAsia="Calibri" w:cs="Times New Roman"/>
        </w:rPr>
        <w:t xml:space="preserve"> long term definition of the SNHI MBP.</w:t>
      </w:r>
      <w:r w:rsidR="004622EA">
        <w:rPr>
          <w:rFonts w:eastAsia="Calibri" w:cs="Times New Roman"/>
        </w:rPr>
        <w:t xml:space="preserve"> Individuals who are currently not employed in the formal sector but would wish to enjoy the MBP plus straight away can do so upon contributing additional premium top up to what has been agreed as standard premium contribution rates.</w:t>
      </w:r>
    </w:p>
    <w:p w:rsidR="008B66A8" w:rsidRDefault="008B66A8" w:rsidP="004F61CF">
      <w:pPr>
        <w:rPr>
          <w:rFonts w:eastAsia="Calibri" w:cs="Times New Roman"/>
        </w:rPr>
      </w:pPr>
    </w:p>
    <w:p w:rsidR="004F61CF" w:rsidRPr="004F61CF" w:rsidRDefault="004F61CF" w:rsidP="004F61CF">
      <w:pPr>
        <w:rPr>
          <w:rFonts w:eastAsia="Calibri" w:cs="Times New Roman"/>
        </w:rPr>
      </w:pPr>
    </w:p>
    <w:p w:rsidR="004F61CF" w:rsidRPr="004F61CF" w:rsidRDefault="004F61CF" w:rsidP="004F61CF">
      <w:pPr>
        <w:rPr>
          <w:rFonts w:eastAsia="Calibri" w:cs="Times New Roman"/>
        </w:rPr>
      </w:pPr>
    </w:p>
    <w:p w:rsidR="00DB1201" w:rsidRDefault="00DB1201" w:rsidP="004F61CF">
      <w:pPr>
        <w:rPr>
          <w:rFonts w:eastAsia="Calibri" w:cs="Times New Roman"/>
        </w:rPr>
      </w:pPr>
      <w:commentRangeStart w:id="47"/>
      <w:r w:rsidRPr="00DB1201">
        <w:rPr>
          <w:rFonts w:eastAsia="Calibri" w:cs="Times New Roman"/>
        </w:rPr>
        <w:lastRenderedPageBreak/>
        <w:t>In order to avoid stigmatization of the very poor, the mechanism for their inclusion within the SHI will be through issue of the same SNHI membership card(s).  This will entitle this most vulnerable group to access the same services as the rest of the population</w:t>
      </w:r>
      <w:r w:rsidR="00CA0211">
        <w:rPr>
          <w:rFonts w:eastAsia="Calibri" w:cs="Times New Roman"/>
        </w:rPr>
        <w:t xml:space="preserve"> without being discriminated</w:t>
      </w:r>
      <w:r w:rsidRPr="00DB1201">
        <w:rPr>
          <w:rFonts w:eastAsia="Calibri" w:cs="Times New Roman"/>
        </w:rPr>
        <w:t xml:space="preserve">.  In order to demonstrate its commitment to reducing poverty and embracing the role of the government in meeting the needs of the poor, this population group will immediately be eligible for the </w:t>
      </w:r>
      <w:r w:rsidR="00CA0211">
        <w:rPr>
          <w:rFonts w:eastAsia="Calibri" w:cs="Times New Roman"/>
        </w:rPr>
        <w:t>MBP plus</w:t>
      </w:r>
      <w:r w:rsidRPr="00DB1201">
        <w:rPr>
          <w:rFonts w:eastAsia="Calibri" w:cs="Times New Roman"/>
        </w:rPr>
        <w:t xml:space="preserve">, funded through a combination of government subsidy and cross-subsidization from the formal sector members of the SNHI.  The cost of this investment in the poorest Tanzanians will be identified through </w:t>
      </w:r>
      <w:r w:rsidR="00CA0211">
        <w:rPr>
          <w:rFonts w:eastAsia="Calibri" w:cs="Times New Roman"/>
        </w:rPr>
        <w:t>an</w:t>
      </w:r>
      <w:r w:rsidR="00CA0211" w:rsidRPr="00DB1201">
        <w:rPr>
          <w:rFonts w:eastAsia="Calibri" w:cs="Times New Roman"/>
        </w:rPr>
        <w:t xml:space="preserve"> </w:t>
      </w:r>
      <w:r w:rsidRPr="00DB1201">
        <w:rPr>
          <w:rFonts w:eastAsia="Calibri" w:cs="Times New Roman"/>
        </w:rPr>
        <w:t>actuarial assessment.</w:t>
      </w:r>
      <w:commentRangeEnd w:id="47"/>
      <w:r w:rsidR="003F564E">
        <w:rPr>
          <w:rStyle w:val="CommentReference"/>
        </w:rPr>
        <w:commentReference w:id="47"/>
      </w:r>
    </w:p>
    <w:p w:rsidR="00DB1201" w:rsidRDefault="00DB1201" w:rsidP="004F61CF">
      <w:pPr>
        <w:rPr>
          <w:rFonts w:eastAsia="Calibri" w:cs="Times New Roman"/>
        </w:rPr>
      </w:pPr>
    </w:p>
    <w:p w:rsidR="00DB1201" w:rsidRPr="004F61CF" w:rsidRDefault="00DB1201" w:rsidP="004F61CF">
      <w:pPr>
        <w:rPr>
          <w:rFonts w:eastAsia="Calibri" w:cs="Times New Roman"/>
        </w:rPr>
      </w:pPr>
      <w:commentRangeStart w:id="48"/>
      <w:r w:rsidRPr="00DB1201">
        <w:rPr>
          <w:rFonts w:eastAsia="Calibri" w:cs="Times New Roman"/>
        </w:rPr>
        <w:t>Regarding Private Health Insurers, individuals may take out private health insurance to provide cover beyond the MBP or MBP plus</w:t>
      </w:r>
      <w:r w:rsidR="00CA0211">
        <w:rPr>
          <w:rFonts w:eastAsia="Calibri" w:cs="Times New Roman"/>
        </w:rPr>
        <w:t xml:space="preserve"> (supplementary health insurance)</w:t>
      </w:r>
      <w:r w:rsidRPr="00DB1201">
        <w:rPr>
          <w:rFonts w:eastAsia="Calibri" w:cs="Times New Roman"/>
        </w:rPr>
        <w:t xml:space="preserve">. It is also possible to take out cover that includes MBP or MBP plus, i.e. one is free to purchase additional private health insurance to cover the same services </w:t>
      </w:r>
      <w:r w:rsidR="00CA0211">
        <w:rPr>
          <w:rFonts w:eastAsia="Calibri" w:cs="Times New Roman"/>
        </w:rPr>
        <w:t>(</w:t>
      </w:r>
      <w:r w:rsidR="00194B83">
        <w:rPr>
          <w:rFonts w:eastAsia="Calibri" w:cs="Times New Roman"/>
        </w:rPr>
        <w:t>duplicative</w:t>
      </w:r>
      <w:r w:rsidR="00CA0211">
        <w:rPr>
          <w:rFonts w:eastAsia="Calibri" w:cs="Times New Roman"/>
        </w:rPr>
        <w:t xml:space="preserve"> health insurance) </w:t>
      </w:r>
      <w:r w:rsidRPr="00DB1201">
        <w:rPr>
          <w:rFonts w:eastAsia="Calibri" w:cs="Times New Roman"/>
        </w:rPr>
        <w:t>if not satisfied with the benefits offered by the SNHI, but the mandatory contribution must still be made.</w:t>
      </w:r>
      <w:commentRangeEnd w:id="48"/>
      <w:r w:rsidR="003F564E">
        <w:rPr>
          <w:rStyle w:val="CommentReference"/>
        </w:rPr>
        <w:commentReference w:id="48"/>
      </w:r>
    </w:p>
    <w:p w:rsidR="004F61CF" w:rsidRDefault="00AA2CE4" w:rsidP="004F61CF">
      <w:pPr>
        <w:rPr>
          <w:rFonts w:eastAsia="Calibri" w:cs="Times New Roman"/>
        </w:rPr>
      </w:pPr>
      <w:r>
        <w:rPr>
          <w:rFonts w:eastAsia="Calibri" w:cs="Times New Roman"/>
        </w:rPr>
        <w:t xml:space="preserve">As regards public health interventions </w:t>
      </w:r>
      <w:r w:rsidRPr="00AA2CE4">
        <w:rPr>
          <w:rFonts w:eastAsia="Calibri" w:cs="Times New Roman"/>
        </w:rPr>
        <w:t>(e.g. for water and sanitation, and for health education and promotion activities)</w:t>
      </w:r>
      <w:r>
        <w:rPr>
          <w:rFonts w:eastAsia="Calibri" w:cs="Times New Roman"/>
        </w:rPr>
        <w:t xml:space="preserve"> and capital investments</w:t>
      </w:r>
      <w:r w:rsidRPr="00AA2CE4">
        <w:rPr>
          <w:rFonts w:eastAsia="Calibri" w:cs="Times New Roman"/>
        </w:rPr>
        <w:t xml:space="preserve"> </w:t>
      </w:r>
      <w:r>
        <w:rPr>
          <w:rFonts w:eastAsia="Calibri" w:cs="Times New Roman"/>
        </w:rPr>
        <w:t xml:space="preserve">  </w:t>
      </w:r>
      <w:proofErr w:type="gramStart"/>
      <w:r>
        <w:rPr>
          <w:rFonts w:eastAsia="Calibri" w:cs="Times New Roman"/>
        </w:rPr>
        <w:t xml:space="preserve">it  </w:t>
      </w:r>
      <w:r w:rsidR="00797EFD">
        <w:rPr>
          <w:rFonts w:eastAsia="Calibri" w:cs="Times New Roman"/>
        </w:rPr>
        <w:t>is</w:t>
      </w:r>
      <w:proofErr w:type="gramEnd"/>
      <w:r w:rsidR="00797EFD">
        <w:rPr>
          <w:rFonts w:eastAsia="Calibri" w:cs="Times New Roman"/>
        </w:rPr>
        <w:t xml:space="preserve"> envisioned that the p</w:t>
      </w:r>
      <w:r w:rsidR="00E30777">
        <w:rPr>
          <w:rFonts w:eastAsia="Calibri" w:cs="Times New Roman"/>
        </w:rPr>
        <w:t xml:space="preserve">urchasing </w:t>
      </w:r>
      <w:r w:rsidR="004F61CF" w:rsidRPr="004F61CF">
        <w:rPr>
          <w:rFonts w:eastAsia="Calibri" w:cs="Times New Roman"/>
        </w:rPr>
        <w:t xml:space="preserve">will initially be outside the MBP and continue to be managed directly by the LGAs. </w:t>
      </w:r>
    </w:p>
    <w:p w:rsidR="00797EFD" w:rsidRDefault="00797EFD" w:rsidP="004F61CF">
      <w:pPr>
        <w:rPr>
          <w:rFonts w:eastAsia="Calibri" w:cs="Times New Roman"/>
        </w:rPr>
      </w:pPr>
    </w:p>
    <w:p w:rsidR="004F61CF" w:rsidRDefault="004F61CF" w:rsidP="004F61CF">
      <w:pPr>
        <w:rPr>
          <w:rFonts w:eastAsia="Calibri" w:cs="Times New Roman"/>
        </w:rPr>
      </w:pPr>
    </w:p>
    <w:p w:rsidR="00196B26" w:rsidRPr="00C12B04" w:rsidRDefault="00C12B04" w:rsidP="004F61CF">
      <w:pPr>
        <w:rPr>
          <w:rFonts w:eastAsia="Calibri" w:cs="Times New Roman"/>
          <w:b/>
        </w:rPr>
      </w:pPr>
      <w:r w:rsidRPr="00C12B04">
        <w:rPr>
          <w:rFonts w:eastAsia="Calibri" w:cs="Times New Roman"/>
          <w:b/>
        </w:rPr>
        <w:t>Cost and Revenue implication of the proposed SNHI</w:t>
      </w:r>
    </w:p>
    <w:p w:rsidR="00C12B04" w:rsidRDefault="00C12B04" w:rsidP="004F61CF">
      <w:pPr>
        <w:rPr>
          <w:rFonts w:eastAsia="Calibri" w:cs="Times New Roman"/>
        </w:rPr>
      </w:pPr>
    </w:p>
    <w:p w:rsidR="00C12B04" w:rsidRDefault="00C12B04" w:rsidP="004F61CF">
      <w:pPr>
        <w:rPr>
          <w:rFonts w:eastAsia="Calibri" w:cs="Times New Roman"/>
        </w:rPr>
      </w:pPr>
      <w:r>
        <w:rPr>
          <w:rFonts w:eastAsia="Calibri" w:cs="Times New Roman"/>
        </w:rPr>
        <w:t xml:space="preserve">It is anticipated revenue that </w:t>
      </w:r>
    </w:p>
    <w:p w:rsidR="000E7D6A" w:rsidRDefault="000E7D6A" w:rsidP="004F61CF">
      <w:pPr>
        <w:rPr>
          <w:rFonts w:eastAsia="Calibri" w:cs="Times New Roman"/>
        </w:rPr>
      </w:pPr>
    </w:p>
    <w:p w:rsidR="00CA0C0B" w:rsidRDefault="006670C3" w:rsidP="004F61CF">
      <w:pPr>
        <w:rPr>
          <w:rFonts w:eastAsia="Calibri" w:cs="Times New Roman"/>
        </w:rPr>
      </w:pPr>
      <w:commentRangeStart w:id="49"/>
      <w:r>
        <w:rPr>
          <w:rFonts w:eastAsia="Calibri" w:cs="Times New Roman"/>
        </w:rPr>
        <w:t>Table*** Revenue and c</w:t>
      </w:r>
      <w:r w:rsidR="000E7D6A">
        <w:rPr>
          <w:rFonts w:eastAsia="Calibri" w:cs="Times New Roman"/>
        </w:rPr>
        <w:t>ost per year at baseline</w:t>
      </w:r>
      <w:commentRangeEnd w:id="49"/>
      <w:r>
        <w:rPr>
          <w:rStyle w:val="CommentReference"/>
        </w:rPr>
        <w:commentReference w:id="49"/>
      </w:r>
    </w:p>
    <w:p w:rsidR="000E7D6A" w:rsidRDefault="000E7D6A" w:rsidP="004F61CF">
      <w:pPr>
        <w:rPr>
          <w:rFonts w:eastAsia="Calibri" w:cs="Times New Roman"/>
        </w:rPr>
      </w:pPr>
    </w:p>
    <w:tbl>
      <w:tblPr>
        <w:tblW w:w="8686" w:type="dxa"/>
        <w:tblInd w:w="93" w:type="dxa"/>
        <w:tblLook w:val="04A0" w:firstRow="1" w:lastRow="0" w:firstColumn="1" w:lastColumn="0" w:noHBand="0" w:noVBand="1"/>
      </w:tblPr>
      <w:tblGrid>
        <w:gridCol w:w="3606"/>
        <w:gridCol w:w="2456"/>
        <w:gridCol w:w="2624"/>
      </w:tblGrid>
      <w:tr w:rsidR="00FE2EEC" w:rsidRPr="00CA0C0B" w:rsidTr="00CA0C0B">
        <w:trPr>
          <w:trHeight w:val="168"/>
        </w:trPr>
        <w:tc>
          <w:tcPr>
            <w:tcW w:w="3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E2EEC" w:rsidRDefault="00FE2EEC">
            <w:pPr>
              <w:rPr>
                <w:rFonts w:ascii="Calibri" w:hAnsi="Calibri"/>
                <w:b/>
                <w:bCs/>
                <w:color w:val="000000"/>
              </w:rPr>
            </w:pPr>
            <w:r>
              <w:rPr>
                <w:rFonts w:ascii="Calibri" w:hAnsi="Calibri"/>
                <w:b/>
                <w:bCs/>
                <w:color w:val="000000"/>
                <w:sz w:val="22"/>
              </w:rPr>
              <w:t>Revenue</w:t>
            </w:r>
          </w:p>
        </w:tc>
        <w:tc>
          <w:tcPr>
            <w:tcW w:w="2456" w:type="dxa"/>
            <w:tcBorders>
              <w:top w:val="single" w:sz="4" w:space="0" w:color="auto"/>
              <w:left w:val="nil"/>
              <w:bottom w:val="single" w:sz="4" w:space="0" w:color="auto"/>
              <w:right w:val="single" w:sz="4" w:space="0" w:color="auto"/>
            </w:tcBorders>
            <w:shd w:val="clear" w:color="auto" w:fill="auto"/>
            <w:noWrap/>
            <w:vAlign w:val="bottom"/>
            <w:hideMark/>
          </w:tcPr>
          <w:p w:rsidR="00FE2EEC" w:rsidRDefault="00FE2EEC">
            <w:pPr>
              <w:jc w:val="center"/>
              <w:rPr>
                <w:b/>
                <w:bCs/>
              </w:rPr>
            </w:pPr>
            <w:r>
              <w:rPr>
                <w:b/>
                <w:bCs/>
                <w:sz w:val="22"/>
              </w:rPr>
              <w:t xml:space="preserve"> Scenario 1 </w:t>
            </w:r>
          </w:p>
        </w:tc>
        <w:tc>
          <w:tcPr>
            <w:tcW w:w="2624" w:type="dxa"/>
            <w:tcBorders>
              <w:top w:val="single" w:sz="4" w:space="0" w:color="auto"/>
              <w:left w:val="nil"/>
              <w:bottom w:val="single" w:sz="4" w:space="0" w:color="auto"/>
              <w:right w:val="single" w:sz="4" w:space="0" w:color="auto"/>
            </w:tcBorders>
            <w:shd w:val="clear" w:color="auto" w:fill="auto"/>
            <w:noWrap/>
            <w:vAlign w:val="bottom"/>
            <w:hideMark/>
          </w:tcPr>
          <w:p w:rsidR="00FE2EEC" w:rsidRDefault="00FE2EEC">
            <w:pPr>
              <w:rPr>
                <w:rFonts w:ascii="Calibri" w:hAnsi="Calibri"/>
                <w:b/>
                <w:bCs/>
                <w:color w:val="000000"/>
              </w:rPr>
            </w:pPr>
            <w:r>
              <w:rPr>
                <w:rFonts w:ascii="Calibri" w:hAnsi="Calibri"/>
                <w:b/>
                <w:bCs/>
                <w:color w:val="000000"/>
                <w:sz w:val="22"/>
              </w:rPr>
              <w:t>Scenario 2</w:t>
            </w:r>
          </w:p>
        </w:tc>
      </w:tr>
      <w:tr w:rsidR="00FE2EEC" w:rsidRPr="00CA0C0B" w:rsidTr="00CA0C0B">
        <w:trPr>
          <w:trHeight w:val="168"/>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FE2EEC" w:rsidRDefault="00FE2EEC">
            <w:pPr>
              <w:rPr>
                <w:rFonts w:ascii="Calibri" w:hAnsi="Calibri"/>
                <w:color w:val="000000"/>
              </w:rPr>
            </w:pPr>
            <w:r>
              <w:rPr>
                <w:rFonts w:ascii="Calibri" w:hAnsi="Calibri"/>
                <w:color w:val="000000"/>
                <w:sz w:val="22"/>
              </w:rPr>
              <w:t>Members' contribution</w:t>
            </w:r>
          </w:p>
        </w:tc>
        <w:tc>
          <w:tcPr>
            <w:tcW w:w="2456" w:type="dxa"/>
            <w:tcBorders>
              <w:top w:val="nil"/>
              <w:left w:val="nil"/>
              <w:bottom w:val="single" w:sz="4" w:space="0" w:color="auto"/>
              <w:right w:val="single" w:sz="4" w:space="0" w:color="auto"/>
            </w:tcBorders>
            <w:shd w:val="clear" w:color="auto" w:fill="auto"/>
            <w:noWrap/>
            <w:vAlign w:val="bottom"/>
            <w:hideMark/>
          </w:tcPr>
          <w:p w:rsidR="00FE2EEC" w:rsidRDefault="00FE2EEC">
            <w:pPr>
              <w:rPr>
                <w:rFonts w:ascii="Calibri" w:hAnsi="Calibri"/>
                <w:color w:val="000000"/>
              </w:rPr>
            </w:pPr>
            <w:r>
              <w:rPr>
                <w:rFonts w:ascii="Calibri" w:hAnsi="Calibri"/>
                <w:color w:val="000000"/>
                <w:sz w:val="22"/>
              </w:rPr>
              <w:t xml:space="preserve">       39,102,661,383,540 </w:t>
            </w:r>
          </w:p>
        </w:tc>
        <w:tc>
          <w:tcPr>
            <w:tcW w:w="2624" w:type="dxa"/>
            <w:tcBorders>
              <w:top w:val="nil"/>
              <w:left w:val="nil"/>
              <w:bottom w:val="single" w:sz="4" w:space="0" w:color="auto"/>
              <w:right w:val="single" w:sz="4" w:space="0" w:color="auto"/>
            </w:tcBorders>
            <w:shd w:val="clear" w:color="auto" w:fill="auto"/>
            <w:noWrap/>
            <w:vAlign w:val="bottom"/>
            <w:hideMark/>
          </w:tcPr>
          <w:p w:rsidR="00FE2EEC" w:rsidRDefault="00FE2EEC">
            <w:pPr>
              <w:rPr>
                <w:rFonts w:ascii="Calibri" w:hAnsi="Calibri"/>
                <w:color w:val="000000"/>
              </w:rPr>
            </w:pPr>
            <w:r>
              <w:rPr>
                <w:rFonts w:ascii="Calibri" w:hAnsi="Calibri"/>
                <w:color w:val="000000"/>
                <w:sz w:val="22"/>
              </w:rPr>
              <w:t xml:space="preserve">          39,107,536,269,402 </w:t>
            </w:r>
          </w:p>
        </w:tc>
      </w:tr>
      <w:tr w:rsidR="00FE2EEC" w:rsidRPr="00CA0C0B" w:rsidTr="00CA0C0B">
        <w:trPr>
          <w:trHeight w:val="168"/>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FE2EEC" w:rsidRDefault="00FE2EEC">
            <w:pPr>
              <w:rPr>
                <w:rFonts w:ascii="Calibri" w:hAnsi="Calibri"/>
                <w:color w:val="000000"/>
              </w:rPr>
            </w:pPr>
            <w:r>
              <w:rPr>
                <w:rFonts w:ascii="Calibri" w:hAnsi="Calibri"/>
                <w:color w:val="000000"/>
                <w:sz w:val="22"/>
              </w:rPr>
              <w:t>Government subsidy for the poor</w:t>
            </w:r>
          </w:p>
        </w:tc>
        <w:tc>
          <w:tcPr>
            <w:tcW w:w="2456" w:type="dxa"/>
            <w:tcBorders>
              <w:top w:val="nil"/>
              <w:left w:val="nil"/>
              <w:bottom w:val="single" w:sz="4" w:space="0" w:color="auto"/>
              <w:right w:val="single" w:sz="4" w:space="0" w:color="auto"/>
            </w:tcBorders>
            <w:shd w:val="clear" w:color="auto" w:fill="auto"/>
            <w:noWrap/>
            <w:vAlign w:val="bottom"/>
            <w:hideMark/>
          </w:tcPr>
          <w:p w:rsidR="00FE2EEC" w:rsidRDefault="00FE2EEC">
            <w:pPr>
              <w:rPr>
                <w:rFonts w:ascii="Calibri" w:hAnsi="Calibri"/>
                <w:color w:val="000000"/>
              </w:rPr>
            </w:pPr>
            <w:r>
              <w:rPr>
                <w:rFonts w:ascii="Calibri" w:hAnsi="Calibri"/>
                <w:color w:val="000000"/>
                <w:sz w:val="22"/>
              </w:rPr>
              <w:t xml:space="preserve">             184,079,744,100 </w:t>
            </w:r>
          </w:p>
        </w:tc>
        <w:tc>
          <w:tcPr>
            <w:tcW w:w="2624" w:type="dxa"/>
            <w:tcBorders>
              <w:top w:val="nil"/>
              <w:left w:val="nil"/>
              <w:bottom w:val="single" w:sz="4" w:space="0" w:color="auto"/>
              <w:right w:val="single" w:sz="4" w:space="0" w:color="auto"/>
            </w:tcBorders>
            <w:shd w:val="clear" w:color="auto" w:fill="auto"/>
            <w:noWrap/>
            <w:vAlign w:val="bottom"/>
            <w:hideMark/>
          </w:tcPr>
          <w:p w:rsidR="00FE2EEC" w:rsidRDefault="00FE2EEC">
            <w:pPr>
              <w:rPr>
                <w:rFonts w:ascii="Calibri" w:hAnsi="Calibri"/>
                <w:color w:val="000000"/>
              </w:rPr>
            </w:pPr>
            <w:r>
              <w:rPr>
                <w:rFonts w:ascii="Calibri" w:hAnsi="Calibri"/>
                <w:color w:val="000000"/>
                <w:sz w:val="22"/>
              </w:rPr>
              <w:t xml:space="preserve">                309,585,131,850 </w:t>
            </w:r>
          </w:p>
        </w:tc>
      </w:tr>
      <w:tr w:rsidR="00FE2EEC" w:rsidRPr="00CA0C0B" w:rsidTr="00CA0C0B">
        <w:trPr>
          <w:trHeight w:val="177"/>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FE2EEC" w:rsidRDefault="00FE2EEC">
            <w:pPr>
              <w:rPr>
                <w:rFonts w:ascii="Calibri" w:hAnsi="Calibri"/>
                <w:b/>
                <w:bCs/>
                <w:color w:val="000000"/>
              </w:rPr>
            </w:pPr>
            <w:r>
              <w:rPr>
                <w:rFonts w:ascii="Calibri" w:hAnsi="Calibri"/>
                <w:b/>
                <w:bCs/>
                <w:color w:val="000000"/>
                <w:sz w:val="22"/>
              </w:rPr>
              <w:t>Total</w:t>
            </w:r>
          </w:p>
        </w:tc>
        <w:tc>
          <w:tcPr>
            <w:tcW w:w="2456" w:type="dxa"/>
            <w:tcBorders>
              <w:top w:val="nil"/>
              <w:left w:val="nil"/>
              <w:bottom w:val="single" w:sz="4" w:space="0" w:color="auto"/>
              <w:right w:val="single" w:sz="4" w:space="0" w:color="auto"/>
            </w:tcBorders>
            <w:shd w:val="clear" w:color="auto" w:fill="auto"/>
            <w:noWrap/>
            <w:vAlign w:val="bottom"/>
            <w:hideMark/>
          </w:tcPr>
          <w:p w:rsidR="00FE2EEC" w:rsidRDefault="00FE2EEC">
            <w:pPr>
              <w:rPr>
                <w:rFonts w:ascii="Calibri" w:hAnsi="Calibri"/>
                <w:b/>
                <w:bCs/>
                <w:color w:val="000000"/>
              </w:rPr>
            </w:pPr>
            <w:r>
              <w:rPr>
                <w:rFonts w:ascii="Calibri" w:hAnsi="Calibri"/>
                <w:b/>
                <w:bCs/>
                <w:color w:val="000000"/>
                <w:sz w:val="22"/>
              </w:rPr>
              <w:t xml:space="preserve">       39,286,741,127,640 </w:t>
            </w:r>
          </w:p>
        </w:tc>
        <w:tc>
          <w:tcPr>
            <w:tcW w:w="2624" w:type="dxa"/>
            <w:tcBorders>
              <w:top w:val="nil"/>
              <w:left w:val="nil"/>
              <w:bottom w:val="single" w:sz="4" w:space="0" w:color="auto"/>
              <w:right w:val="single" w:sz="4" w:space="0" w:color="auto"/>
            </w:tcBorders>
            <w:shd w:val="clear" w:color="auto" w:fill="auto"/>
            <w:noWrap/>
            <w:vAlign w:val="bottom"/>
            <w:hideMark/>
          </w:tcPr>
          <w:p w:rsidR="00FE2EEC" w:rsidRDefault="00FE2EEC">
            <w:pPr>
              <w:rPr>
                <w:rFonts w:ascii="Calibri" w:hAnsi="Calibri"/>
                <w:b/>
                <w:bCs/>
                <w:color w:val="000000"/>
              </w:rPr>
            </w:pPr>
            <w:r>
              <w:rPr>
                <w:rFonts w:ascii="Calibri" w:hAnsi="Calibri"/>
                <w:b/>
                <w:bCs/>
                <w:color w:val="000000"/>
                <w:sz w:val="22"/>
              </w:rPr>
              <w:t xml:space="preserve">          39,417,121,401,252 </w:t>
            </w:r>
          </w:p>
        </w:tc>
      </w:tr>
      <w:tr w:rsidR="00FE2EEC" w:rsidRPr="00CA0C0B" w:rsidTr="00CA0C0B">
        <w:trPr>
          <w:trHeight w:val="387"/>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FE2EEC" w:rsidRPr="0034065C" w:rsidRDefault="00FE2EEC">
            <w:pPr>
              <w:rPr>
                <w:rFonts w:ascii="Calibri" w:hAnsi="Calibri"/>
                <w:b/>
                <w:color w:val="000000"/>
              </w:rPr>
            </w:pPr>
            <w:r w:rsidRPr="0034065C">
              <w:rPr>
                <w:rFonts w:ascii="Calibri" w:hAnsi="Calibri"/>
                <w:b/>
                <w:color w:val="000000"/>
                <w:sz w:val="22"/>
              </w:rPr>
              <w:t>Cost</w:t>
            </w:r>
          </w:p>
        </w:tc>
        <w:tc>
          <w:tcPr>
            <w:tcW w:w="2456" w:type="dxa"/>
            <w:tcBorders>
              <w:top w:val="nil"/>
              <w:left w:val="nil"/>
              <w:bottom w:val="single" w:sz="4" w:space="0" w:color="auto"/>
              <w:right w:val="single" w:sz="4" w:space="0" w:color="auto"/>
            </w:tcBorders>
            <w:shd w:val="clear" w:color="auto" w:fill="auto"/>
            <w:noWrap/>
            <w:vAlign w:val="bottom"/>
            <w:hideMark/>
          </w:tcPr>
          <w:p w:rsidR="00FE2EEC" w:rsidRPr="0034065C" w:rsidRDefault="00FE2EEC">
            <w:pPr>
              <w:rPr>
                <w:rFonts w:ascii="Calibri" w:hAnsi="Calibri"/>
                <w:b/>
                <w:color w:val="000000"/>
              </w:rPr>
            </w:pPr>
            <w:r w:rsidRPr="0034065C">
              <w:rPr>
                <w:rFonts w:ascii="Calibri" w:hAnsi="Calibri"/>
                <w:b/>
                <w:color w:val="000000"/>
                <w:sz w:val="22"/>
              </w:rPr>
              <w:t> </w:t>
            </w:r>
            <w:r w:rsidR="0034065C" w:rsidRPr="0034065C">
              <w:rPr>
                <w:rFonts w:ascii="Calibri" w:hAnsi="Calibri"/>
                <w:b/>
                <w:color w:val="000000"/>
                <w:sz w:val="22"/>
              </w:rPr>
              <w:t>Scenario 1</w:t>
            </w:r>
          </w:p>
        </w:tc>
        <w:tc>
          <w:tcPr>
            <w:tcW w:w="2624" w:type="dxa"/>
            <w:tcBorders>
              <w:top w:val="nil"/>
              <w:left w:val="nil"/>
              <w:bottom w:val="single" w:sz="4" w:space="0" w:color="auto"/>
              <w:right w:val="single" w:sz="4" w:space="0" w:color="auto"/>
            </w:tcBorders>
            <w:shd w:val="clear" w:color="auto" w:fill="auto"/>
            <w:noWrap/>
            <w:vAlign w:val="bottom"/>
            <w:hideMark/>
          </w:tcPr>
          <w:p w:rsidR="00FE2EEC" w:rsidRPr="0034065C" w:rsidRDefault="0034065C">
            <w:pPr>
              <w:rPr>
                <w:rFonts w:ascii="Calibri" w:hAnsi="Calibri"/>
                <w:b/>
                <w:color w:val="000000"/>
              </w:rPr>
            </w:pPr>
            <w:r w:rsidRPr="0034065C">
              <w:rPr>
                <w:rFonts w:ascii="Calibri" w:hAnsi="Calibri"/>
                <w:b/>
                <w:color w:val="000000"/>
                <w:sz w:val="22"/>
              </w:rPr>
              <w:t>Scenario 2</w:t>
            </w:r>
          </w:p>
        </w:tc>
      </w:tr>
      <w:tr w:rsidR="00FE2EEC" w:rsidRPr="00CA0C0B" w:rsidTr="00CA0C0B">
        <w:trPr>
          <w:trHeight w:val="18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FE2EEC" w:rsidRDefault="00FE2EEC">
            <w:pPr>
              <w:ind w:firstLineChars="500" w:firstLine="1100"/>
              <w:rPr>
                <w:rFonts w:ascii="Calibri" w:hAnsi="Calibri"/>
                <w:color w:val="000000"/>
              </w:rPr>
            </w:pPr>
            <w:r>
              <w:rPr>
                <w:rFonts w:ascii="Calibri" w:hAnsi="Calibri"/>
                <w:color w:val="000000"/>
                <w:sz w:val="22"/>
              </w:rPr>
              <w:t>Administration cost</w:t>
            </w:r>
          </w:p>
        </w:tc>
        <w:tc>
          <w:tcPr>
            <w:tcW w:w="2456" w:type="dxa"/>
            <w:tcBorders>
              <w:top w:val="nil"/>
              <w:left w:val="nil"/>
              <w:bottom w:val="single" w:sz="4" w:space="0" w:color="auto"/>
              <w:right w:val="single" w:sz="4" w:space="0" w:color="auto"/>
            </w:tcBorders>
            <w:shd w:val="clear" w:color="auto" w:fill="auto"/>
            <w:noWrap/>
            <w:vAlign w:val="bottom"/>
            <w:hideMark/>
          </w:tcPr>
          <w:p w:rsidR="00FE2EEC" w:rsidRDefault="00FE2EEC">
            <w:pPr>
              <w:rPr>
                <w:rFonts w:ascii="Calibri" w:hAnsi="Calibri"/>
                <w:color w:val="000000"/>
              </w:rPr>
            </w:pPr>
            <w:r>
              <w:rPr>
                <w:rFonts w:ascii="Calibri" w:hAnsi="Calibri"/>
                <w:color w:val="000000"/>
                <w:sz w:val="22"/>
              </w:rPr>
              <w:t xml:space="preserve">               23,332,200,000 </w:t>
            </w:r>
          </w:p>
        </w:tc>
        <w:tc>
          <w:tcPr>
            <w:tcW w:w="2624" w:type="dxa"/>
            <w:tcBorders>
              <w:top w:val="nil"/>
              <w:left w:val="nil"/>
              <w:bottom w:val="single" w:sz="4" w:space="0" w:color="auto"/>
              <w:right w:val="single" w:sz="4" w:space="0" w:color="auto"/>
            </w:tcBorders>
            <w:shd w:val="clear" w:color="auto" w:fill="auto"/>
            <w:noWrap/>
            <w:vAlign w:val="bottom"/>
            <w:hideMark/>
          </w:tcPr>
          <w:p w:rsidR="00FE2EEC" w:rsidRDefault="00FE2EEC">
            <w:pPr>
              <w:rPr>
                <w:rFonts w:ascii="Calibri" w:hAnsi="Calibri"/>
                <w:color w:val="000000"/>
              </w:rPr>
            </w:pPr>
            <w:r>
              <w:rPr>
                <w:rFonts w:ascii="Calibri" w:hAnsi="Calibri"/>
                <w:color w:val="000000"/>
                <w:sz w:val="22"/>
              </w:rPr>
              <w:t xml:space="preserve">                  23,332,200,000 </w:t>
            </w:r>
          </w:p>
        </w:tc>
      </w:tr>
      <w:tr w:rsidR="00FE2EEC" w:rsidRPr="00CA0C0B" w:rsidTr="00CA0C0B">
        <w:trPr>
          <w:trHeight w:val="18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FE2EEC" w:rsidRDefault="00FE2EEC">
            <w:pPr>
              <w:rPr>
                <w:rFonts w:ascii="Calibri" w:hAnsi="Calibri"/>
                <w:color w:val="000000"/>
              </w:rPr>
            </w:pPr>
            <w:commentRangeStart w:id="50"/>
            <w:r>
              <w:rPr>
                <w:rFonts w:ascii="Calibri" w:hAnsi="Calibri"/>
                <w:color w:val="000000"/>
                <w:sz w:val="22"/>
              </w:rPr>
              <w:t>Service utilization cost</w:t>
            </w:r>
            <w:commentRangeEnd w:id="50"/>
            <w:r w:rsidR="006670C3">
              <w:rPr>
                <w:rStyle w:val="CommentReference"/>
              </w:rPr>
              <w:commentReference w:id="50"/>
            </w:r>
          </w:p>
        </w:tc>
        <w:tc>
          <w:tcPr>
            <w:tcW w:w="2456" w:type="dxa"/>
            <w:tcBorders>
              <w:top w:val="nil"/>
              <w:left w:val="nil"/>
              <w:bottom w:val="single" w:sz="4" w:space="0" w:color="auto"/>
              <w:right w:val="single" w:sz="4" w:space="0" w:color="auto"/>
            </w:tcBorders>
            <w:shd w:val="clear" w:color="auto" w:fill="auto"/>
            <w:noWrap/>
            <w:vAlign w:val="bottom"/>
            <w:hideMark/>
          </w:tcPr>
          <w:p w:rsidR="00FE2EEC" w:rsidRDefault="00FE2EEC">
            <w:pPr>
              <w:rPr>
                <w:rFonts w:ascii="Calibri" w:hAnsi="Calibri"/>
                <w:color w:val="000000"/>
              </w:rPr>
            </w:pPr>
          </w:p>
        </w:tc>
        <w:tc>
          <w:tcPr>
            <w:tcW w:w="2624" w:type="dxa"/>
            <w:tcBorders>
              <w:top w:val="nil"/>
              <w:left w:val="nil"/>
              <w:bottom w:val="single" w:sz="4" w:space="0" w:color="auto"/>
              <w:right w:val="single" w:sz="4" w:space="0" w:color="auto"/>
            </w:tcBorders>
            <w:shd w:val="clear" w:color="auto" w:fill="auto"/>
            <w:noWrap/>
            <w:vAlign w:val="bottom"/>
            <w:hideMark/>
          </w:tcPr>
          <w:p w:rsidR="00FE2EEC" w:rsidRDefault="00FE2EEC">
            <w:pPr>
              <w:rPr>
                <w:rFonts w:ascii="Calibri" w:hAnsi="Calibri"/>
                <w:color w:val="000000"/>
              </w:rPr>
            </w:pPr>
          </w:p>
        </w:tc>
      </w:tr>
      <w:tr w:rsidR="00FE2EEC" w:rsidRPr="00CA0C0B" w:rsidTr="00CA0C0B">
        <w:trPr>
          <w:trHeight w:val="18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FE2EEC" w:rsidRDefault="00FE2EEC">
            <w:pPr>
              <w:ind w:firstLineChars="500" w:firstLine="1100"/>
              <w:rPr>
                <w:rFonts w:ascii="Calibri" w:hAnsi="Calibri"/>
                <w:color w:val="000000"/>
              </w:rPr>
            </w:pPr>
            <w:r>
              <w:rPr>
                <w:rFonts w:ascii="Calibri" w:hAnsi="Calibri"/>
                <w:color w:val="000000"/>
                <w:sz w:val="22"/>
              </w:rPr>
              <w:t>Outpatient</w:t>
            </w:r>
          </w:p>
        </w:tc>
        <w:tc>
          <w:tcPr>
            <w:tcW w:w="2456" w:type="dxa"/>
            <w:tcBorders>
              <w:top w:val="nil"/>
              <w:left w:val="nil"/>
              <w:bottom w:val="single" w:sz="4" w:space="0" w:color="auto"/>
              <w:right w:val="single" w:sz="4" w:space="0" w:color="auto"/>
            </w:tcBorders>
            <w:shd w:val="clear" w:color="auto" w:fill="auto"/>
            <w:noWrap/>
            <w:vAlign w:val="bottom"/>
            <w:hideMark/>
          </w:tcPr>
          <w:p w:rsidR="00FE2EEC" w:rsidRDefault="00FE2EEC">
            <w:pPr>
              <w:rPr>
                <w:rFonts w:ascii="Calibri" w:hAnsi="Calibri"/>
                <w:color w:val="000000"/>
              </w:rPr>
            </w:pPr>
            <w:r>
              <w:rPr>
                <w:rFonts w:ascii="Calibri" w:hAnsi="Calibri"/>
                <w:color w:val="000000"/>
                <w:sz w:val="22"/>
              </w:rPr>
              <w:t xml:space="preserve">         2,532,076,161,436 </w:t>
            </w:r>
          </w:p>
        </w:tc>
        <w:tc>
          <w:tcPr>
            <w:tcW w:w="2624" w:type="dxa"/>
            <w:tcBorders>
              <w:top w:val="nil"/>
              <w:left w:val="nil"/>
              <w:bottom w:val="single" w:sz="4" w:space="0" w:color="auto"/>
              <w:right w:val="single" w:sz="4" w:space="0" w:color="auto"/>
            </w:tcBorders>
            <w:shd w:val="clear" w:color="auto" w:fill="auto"/>
            <w:noWrap/>
            <w:vAlign w:val="bottom"/>
            <w:hideMark/>
          </w:tcPr>
          <w:p w:rsidR="00FE2EEC" w:rsidRDefault="00FE2EEC">
            <w:pPr>
              <w:rPr>
                <w:rFonts w:ascii="Calibri" w:hAnsi="Calibri"/>
                <w:color w:val="000000"/>
              </w:rPr>
            </w:pPr>
            <w:r>
              <w:rPr>
                <w:rFonts w:ascii="Calibri" w:hAnsi="Calibri"/>
                <w:color w:val="000000"/>
                <w:sz w:val="22"/>
              </w:rPr>
              <w:t xml:space="preserve">                900,293,746,288 </w:t>
            </w:r>
          </w:p>
        </w:tc>
      </w:tr>
      <w:tr w:rsidR="00FE2EEC" w:rsidRPr="00CA0C0B" w:rsidTr="00CA0C0B">
        <w:trPr>
          <w:trHeight w:val="18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FE2EEC" w:rsidRDefault="00FE2EEC">
            <w:pPr>
              <w:ind w:firstLineChars="500" w:firstLine="1100"/>
              <w:rPr>
                <w:rFonts w:ascii="Calibri" w:hAnsi="Calibri"/>
                <w:color w:val="000000"/>
              </w:rPr>
            </w:pPr>
            <w:r>
              <w:rPr>
                <w:rFonts w:ascii="Calibri" w:hAnsi="Calibri"/>
                <w:color w:val="000000"/>
                <w:sz w:val="22"/>
              </w:rPr>
              <w:t>Inpatient</w:t>
            </w:r>
          </w:p>
        </w:tc>
        <w:tc>
          <w:tcPr>
            <w:tcW w:w="2456" w:type="dxa"/>
            <w:tcBorders>
              <w:top w:val="nil"/>
              <w:left w:val="nil"/>
              <w:bottom w:val="single" w:sz="4" w:space="0" w:color="auto"/>
              <w:right w:val="single" w:sz="4" w:space="0" w:color="auto"/>
            </w:tcBorders>
            <w:shd w:val="clear" w:color="auto" w:fill="auto"/>
            <w:noWrap/>
            <w:vAlign w:val="bottom"/>
            <w:hideMark/>
          </w:tcPr>
          <w:p w:rsidR="00FE2EEC" w:rsidRDefault="00FE2EEC">
            <w:pPr>
              <w:rPr>
                <w:rFonts w:ascii="Calibri" w:hAnsi="Calibri"/>
                <w:color w:val="000000"/>
              </w:rPr>
            </w:pPr>
            <w:r>
              <w:rPr>
                <w:rFonts w:ascii="Calibri" w:hAnsi="Calibri"/>
                <w:color w:val="000000"/>
                <w:sz w:val="22"/>
              </w:rPr>
              <w:t xml:space="preserve">             459,230,423,698 </w:t>
            </w:r>
          </w:p>
        </w:tc>
        <w:tc>
          <w:tcPr>
            <w:tcW w:w="2624" w:type="dxa"/>
            <w:tcBorders>
              <w:top w:val="nil"/>
              <w:left w:val="nil"/>
              <w:bottom w:val="single" w:sz="4" w:space="0" w:color="auto"/>
              <w:right w:val="single" w:sz="4" w:space="0" w:color="auto"/>
            </w:tcBorders>
            <w:shd w:val="clear" w:color="auto" w:fill="auto"/>
            <w:noWrap/>
            <w:vAlign w:val="bottom"/>
            <w:hideMark/>
          </w:tcPr>
          <w:p w:rsidR="00FE2EEC" w:rsidRDefault="00FE2EEC">
            <w:pPr>
              <w:rPr>
                <w:rFonts w:ascii="Calibri" w:hAnsi="Calibri"/>
                <w:color w:val="000000"/>
              </w:rPr>
            </w:pPr>
            <w:r>
              <w:rPr>
                <w:rFonts w:ascii="Calibri" w:hAnsi="Calibri"/>
                <w:color w:val="000000"/>
                <w:sz w:val="22"/>
              </w:rPr>
              <w:t xml:space="preserve">                274,167,417,133 </w:t>
            </w:r>
          </w:p>
        </w:tc>
      </w:tr>
      <w:tr w:rsidR="00FE2EEC" w:rsidRPr="00CA0C0B" w:rsidTr="00CA0C0B">
        <w:trPr>
          <w:trHeight w:val="185"/>
        </w:trPr>
        <w:tc>
          <w:tcPr>
            <w:tcW w:w="3606" w:type="dxa"/>
            <w:tcBorders>
              <w:top w:val="nil"/>
              <w:left w:val="single" w:sz="4" w:space="0" w:color="auto"/>
              <w:bottom w:val="single" w:sz="4" w:space="0" w:color="auto"/>
              <w:right w:val="single" w:sz="4" w:space="0" w:color="auto"/>
            </w:tcBorders>
            <w:shd w:val="clear" w:color="auto" w:fill="auto"/>
            <w:noWrap/>
            <w:vAlign w:val="bottom"/>
            <w:hideMark/>
          </w:tcPr>
          <w:p w:rsidR="00FE2EEC" w:rsidRDefault="00FE2EEC">
            <w:pPr>
              <w:rPr>
                <w:rFonts w:ascii="Calibri" w:hAnsi="Calibri"/>
                <w:b/>
                <w:bCs/>
                <w:color w:val="000000"/>
              </w:rPr>
            </w:pPr>
            <w:r>
              <w:rPr>
                <w:rFonts w:ascii="Calibri" w:hAnsi="Calibri"/>
                <w:b/>
                <w:bCs/>
                <w:color w:val="000000"/>
                <w:sz w:val="22"/>
              </w:rPr>
              <w:t>Total</w:t>
            </w:r>
          </w:p>
        </w:tc>
        <w:tc>
          <w:tcPr>
            <w:tcW w:w="2456" w:type="dxa"/>
            <w:tcBorders>
              <w:top w:val="nil"/>
              <w:left w:val="nil"/>
              <w:bottom w:val="single" w:sz="4" w:space="0" w:color="auto"/>
              <w:right w:val="single" w:sz="4" w:space="0" w:color="auto"/>
            </w:tcBorders>
            <w:shd w:val="clear" w:color="auto" w:fill="auto"/>
            <w:noWrap/>
            <w:vAlign w:val="bottom"/>
            <w:hideMark/>
          </w:tcPr>
          <w:p w:rsidR="00FE2EEC" w:rsidRDefault="00FE2EEC">
            <w:pPr>
              <w:rPr>
                <w:rFonts w:ascii="Calibri" w:hAnsi="Calibri"/>
                <w:color w:val="000000"/>
              </w:rPr>
            </w:pPr>
            <w:r>
              <w:rPr>
                <w:rFonts w:ascii="Calibri" w:hAnsi="Calibri"/>
                <w:color w:val="000000"/>
                <w:sz w:val="22"/>
              </w:rPr>
              <w:t xml:space="preserve">         3,014,638,785,134 </w:t>
            </w:r>
          </w:p>
        </w:tc>
        <w:tc>
          <w:tcPr>
            <w:tcW w:w="2624" w:type="dxa"/>
            <w:tcBorders>
              <w:top w:val="nil"/>
              <w:left w:val="nil"/>
              <w:bottom w:val="single" w:sz="4" w:space="0" w:color="auto"/>
              <w:right w:val="single" w:sz="4" w:space="0" w:color="auto"/>
            </w:tcBorders>
            <w:shd w:val="clear" w:color="auto" w:fill="auto"/>
            <w:noWrap/>
            <w:vAlign w:val="bottom"/>
            <w:hideMark/>
          </w:tcPr>
          <w:p w:rsidR="00FE2EEC" w:rsidRDefault="00FE2EEC">
            <w:pPr>
              <w:rPr>
                <w:rFonts w:ascii="Calibri" w:hAnsi="Calibri"/>
                <w:color w:val="000000"/>
              </w:rPr>
            </w:pPr>
            <w:r>
              <w:rPr>
                <w:rFonts w:ascii="Calibri" w:hAnsi="Calibri"/>
                <w:color w:val="000000"/>
                <w:sz w:val="22"/>
              </w:rPr>
              <w:t xml:space="preserve">            1,197,793,363,422 </w:t>
            </w:r>
          </w:p>
        </w:tc>
      </w:tr>
    </w:tbl>
    <w:p w:rsidR="00CA0C0B" w:rsidRDefault="00CA0C0B" w:rsidP="004F61CF">
      <w:pPr>
        <w:rPr>
          <w:rFonts w:eastAsia="Calibri" w:cs="Times New Roman"/>
        </w:rPr>
      </w:pPr>
    </w:p>
    <w:p w:rsidR="00CA0C0B" w:rsidRDefault="00CA0C0B" w:rsidP="004F61CF">
      <w:pPr>
        <w:rPr>
          <w:rFonts w:eastAsia="Calibri" w:cs="Times New Roman"/>
        </w:rPr>
      </w:pPr>
    </w:p>
    <w:p w:rsidR="004F61CF" w:rsidRDefault="004F61CF" w:rsidP="004F61CF">
      <w:pPr>
        <w:keepNext/>
        <w:keepLines/>
        <w:numPr>
          <w:ilvl w:val="2"/>
          <w:numId w:val="47"/>
        </w:numPr>
        <w:spacing w:before="200" w:after="120"/>
        <w:outlineLvl w:val="2"/>
        <w:rPr>
          <w:rFonts w:ascii="Cambria" w:eastAsia="Times New Roman" w:hAnsi="Cambria" w:cs="Times New Roman"/>
          <w:b/>
          <w:bCs/>
          <w:color w:val="4F81BD"/>
        </w:rPr>
      </w:pPr>
      <w:bookmarkStart w:id="51" w:name="_Toc406497991"/>
      <w:r w:rsidRPr="004F61CF">
        <w:rPr>
          <w:rFonts w:ascii="Cambria" w:eastAsia="Times New Roman" w:hAnsi="Cambria" w:cs="Times New Roman"/>
          <w:b/>
          <w:bCs/>
          <w:color w:val="4F81BD"/>
        </w:rPr>
        <w:lastRenderedPageBreak/>
        <w:t xml:space="preserve">Strategy </w:t>
      </w:r>
      <w:r w:rsidR="00AA2CE4">
        <w:rPr>
          <w:rFonts w:ascii="Cambria" w:eastAsia="Times New Roman" w:hAnsi="Cambria" w:cs="Times New Roman"/>
          <w:b/>
          <w:bCs/>
          <w:color w:val="4F81BD"/>
        </w:rPr>
        <w:t>7</w:t>
      </w:r>
      <w:r w:rsidRPr="004F61CF">
        <w:rPr>
          <w:rFonts w:ascii="Cambria" w:eastAsia="Times New Roman" w:hAnsi="Cambria" w:cs="Times New Roman"/>
          <w:b/>
          <w:bCs/>
          <w:color w:val="4F81BD"/>
        </w:rPr>
        <w:t xml:space="preserve">: Establish effective provider </w:t>
      </w:r>
      <w:r w:rsidR="004152E6">
        <w:rPr>
          <w:rFonts w:ascii="Cambria" w:eastAsia="Times New Roman" w:hAnsi="Cambria" w:cs="Times New Roman"/>
          <w:b/>
          <w:bCs/>
          <w:color w:val="4F81BD"/>
        </w:rPr>
        <w:t xml:space="preserve">payment </w:t>
      </w:r>
      <w:r w:rsidRPr="004F61CF">
        <w:rPr>
          <w:rFonts w:ascii="Cambria" w:eastAsia="Times New Roman" w:hAnsi="Cambria" w:cs="Times New Roman"/>
          <w:b/>
          <w:bCs/>
          <w:color w:val="4F81BD"/>
        </w:rPr>
        <w:t>arrangements</w:t>
      </w:r>
      <w:bookmarkEnd w:id="51"/>
    </w:p>
    <w:p w:rsidR="000C262C" w:rsidRDefault="004152E6">
      <w:pPr>
        <w:pStyle w:val="Heading4"/>
        <w:numPr>
          <w:ilvl w:val="0"/>
          <w:numId w:val="0"/>
        </w:numPr>
        <w:ind w:left="864"/>
        <w:rPr>
          <w:rFonts w:eastAsia="Times New Roman"/>
        </w:rPr>
      </w:pPr>
      <w:r w:rsidRPr="00797EFD">
        <w:rPr>
          <w:rFonts w:eastAsia="Times New Roman"/>
        </w:rPr>
        <w:t>Payment of providers</w:t>
      </w:r>
    </w:p>
    <w:p w:rsidR="004F61CF" w:rsidRPr="004F61CF" w:rsidRDefault="004F61CF" w:rsidP="004F61CF">
      <w:pPr>
        <w:rPr>
          <w:rFonts w:eastAsia="Calibri" w:cs="Times New Roman"/>
        </w:rPr>
      </w:pPr>
      <w:r w:rsidRPr="004F61CF">
        <w:rPr>
          <w:rFonts w:eastAsia="Calibri" w:cs="Times New Roman"/>
        </w:rPr>
        <w:t>A combination of provider payment mechanisms is envisaged under the new SNHI, combin</w:t>
      </w:r>
      <w:r w:rsidR="00196B26">
        <w:rPr>
          <w:rFonts w:eastAsia="Calibri" w:cs="Times New Roman"/>
        </w:rPr>
        <w:t>ing</w:t>
      </w:r>
      <w:r w:rsidRPr="004F61CF">
        <w:rPr>
          <w:rFonts w:eastAsia="Calibri" w:cs="Times New Roman"/>
        </w:rPr>
        <w:t xml:space="preserve"> some form of capitation payment at the </w:t>
      </w:r>
      <w:r w:rsidR="00196B26">
        <w:rPr>
          <w:rFonts w:eastAsia="Calibri" w:cs="Times New Roman"/>
        </w:rPr>
        <w:t xml:space="preserve">primary health care </w:t>
      </w:r>
      <w:r w:rsidRPr="004F61CF">
        <w:rPr>
          <w:rFonts w:eastAsia="Calibri" w:cs="Times New Roman"/>
        </w:rPr>
        <w:t>facilit</w:t>
      </w:r>
      <w:r w:rsidR="00196B26">
        <w:rPr>
          <w:rFonts w:eastAsia="Calibri" w:cs="Times New Roman"/>
        </w:rPr>
        <w:t xml:space="preserve">y level and fee-for-service at district hospital and above. </w:t>
      </w:r>
      <w:r w:rsidRPr="004F61CF">
        <w:rPr>
          <w:rFonts w:eastAsia="Calibri" w:cs="Times New Roman"/>
        </w:rPr>
        <w:t xml:space="preserve">Payments will be made </w:t>
      </w:r>
      <w:r w:rsidR="00FD3B6D">
        <w:rPr>
          <w:rFonts w:eastAsia="Calibri" w:cs="Times New Roman"/>
        </w:rPr>
        <w:t xml:space="preserve">by the SNHI </w:t>
      </w:r>
      <w:r w:rsidRPr="004F61CF">
        <w:rPr>
          <w:rFonts w:eastAsia="Calibri" w:cs="Times New Roman"/>
        </w:rPr>
        <w:t xml:space="preserve">directly to the facility responsible for providing services. </w:t>
      </w:r>
      <w:r w:rsidR="00196B26">
        <w:rPr>
          <w:rFonts w:eastAsia="Calibri" w:cs="Times New Roman"/>
        </w:rPr>
        <w:t xml:space="preserve">It is anticipated that some degree of autonomy will be introduced at all levels of health care provision in order to allow flexibility of facilities in spending their own resources for health care quality improvement, especially in primary level facilities. </w:t>
      </w:r>
      <w:r w:rsidRPr="004F61CF">
        <w:rPr>
          <w:rFonts w:eastAsia="Calibri" w:cs="Times New Roman"/>
        </w:rPr>
        <w:t>Flexibility will be important, and the agreed provider payment system must be flexible enough to incentivize good performance and dis-incentivize inappropriate care (ref HIM).   Lessons will be learned from other countries, and a reference group established for regular review of this area.</w:t>
      </w:r>
    </w:p>
    <w:p w:rsidR="004F61CF" w:rsidRPr="004F61CF" w:rsidRDefault="004F61CF" w:rsidP="004F61CF">
      <w:pPr>
        <w:rPr>
          <w:rFonts w:eastAsia="Calibri" w:cs="Times New Roman"/>
        </w:rPr>
      </w:pPr>
    </w:p>
    <w:p w:rsidR="004F61CF" w:rsidRPr="004F61CF" w:rsidRDefault="00714FBD" w:rsidP="004F61CF">
      <w:pPr>
        <w:rPr>
          <w:rFonts w:eastAsia="Calibri" w:cs="Arial"/>
          <w:szCs w:val="24"/>
        </w:rPr>
      </w:pPr>
      <w:r>
        <w:rPr>
          <w:rFonts w:eastAsia="Calibri" w:cs="Times New Roman"/>
        </w:rPr>
        <w:t>A</w:t>
      </w:r>
      <w:r w:rsidRPr="004F61CF">
        <w:rPr>
          <w:rFonts w:eastAsia="Calibri" w:cs="Times New Roman"/>
        </w:rPr>
        <w:t xml:space="preserve"> </w:t>
      </w:r>
      <w:r w:rsidR="004F61CF" w:rsidRPr="004F61CF">
        <w:rPr>
          <w:rFonts w:eastAsia="Calibri" w:cs="Times New Roman"/>
        </w:rPr>
        <w:t>Results-</w:t>
      </w:r>
      <w:r w:rsidR="00781B01">
        <w:rPr>
          <w:rFonts w:eastAsia="Calibri" w:cs="Times New Roman"/>
        </w:rPr>
        <w:t>B</w:t>
      </w:r>
      <w:r w:rsidR="004F61CF" w:rsidRPr="004F61CF">
        <w:rPr>
          <w:rFonts w:eastAsia="Calibri" w:cs="Times New Roman"/>
        </w:rPr>
        <w:t xml:space="preserve">ased </w:t>
      </w:r>
      <w:r w:rsidR="00781B01">
        <w:rPr>
          <w:rFonts w:eastAsia="Calibri" w:cs="Times New Roman"/>
        </w:rPr>
        <w:t>F</w:t>
      </w:r>
      <w:r w:rsidR="004F61CF" w:rsidRPr="004F61CF">
        <w:rPr>
          <w:rFonts w:eastAsia="Calibri" w:cs="Times New Roman"/>
        </w:rPr>
        <w:t xml:space="preserve">inancing </w:t>
      </w:r>
      <w:r w:rsidR="00781B01">
        <w:rPr>
          <w:rFonts w:eastAsia="Calibri" w:cs="Times New Roman"/>
        </w:rPr>
        <w:t xml:space="preserve">mechanism </w:t>
      </w:r>
      <w:r>
        <w:rPr>
          <w:rFonts w:eastAsia="Calibri" w:cs="Times New Roman"/>
        </w:rPr>
        <w:t xml:space="preserve">is currently being rolled-out </w:t>
      </w:r>
      <w:r w:rsidR="004F61CF" w:rsidRPr="004F61CF">
        <w:rPr>
          <w:rFonts w:eastAsia="Calibri" w:cs="Times New Roman"/>
        </w:rPr>
        <w:t xml:space="preserve">nationwide </w:t>
      </w:r>
      <w:r w:rsidR="004F61CF" w:rsidRPr="00781B01">
        <w:rPr>
          <w:rFonts w:eastAsia="Calibri" w:cs="Times New Roman"/>
          <w:highlight w:val="yellow"/>
        </w:rPr>
        <w:t>(ref, design doc)</w:t>
      </w:r>
      <w:r w:rsidR="004F61CF" w:rsidRPr="004F61CF">
        <w:rPr>
          <w:rFonts w:eastAsia="Calibri" w:cs="Times New Roman"/>
        </w:rPr>
        <w:t>.  Initially this will run in parallel to the SNHI</w:t>
      </w:r>
      <w:r w:rsidR="0064492C">
        <w:rPr>
          <w:rFonts w:eastAsia="Calibri" w:cs="Times New Roman"/>
        </w:rPr>
        <w:t xml:space="preserve"> but in the long run RBF indicators will be purchased by the SNHI</w:t>
      </w:r>
      <w:r w:rsidR="004F61CF" w:rsidRPr="004F61CF">
        <w:rPr>
          <w:rFonts w:eastAsia="Calibri" w:cs="Times New Roman"/>
        </w:rPr>
        <w:t>.</w:t>
      </w:r>
      <w:r>
        <w:rPr>
          <w:rFonts w:eastAsia="Calibri" w:cs="Times New Roman"/>
        </w:rPr>
        <w:t xml:space="preserve"> </w:t>
      </w:r>
      <w:r w:rsidR="004F61CF" w:rsidRPr="004F61CF">
        <w:rPr>
          <w:rFonts w:eastAsia="Calibri" w:cs="Arial"/>
          <w:szCs w:val="24"/>
        </w:rPr>
        <w:t xml:space="preserve">Selected activities within the MBP will attract incentive payments to health providers in order to stimulate increased utilization so that national targets are reached. </w:t>
      </w:r>
      <w:r w:rsidR="00A95DC7">
        <w:rPr>
          <w:rStyle w:val="CommentReference"/>
        </w:rPr>
        <w:commentReference w:id="52"/>
      </w:r>
      <w:r w:rsidR="004F61CF" w:rsidRPr="004F61CF">
        <w:rPr>
          <w:rFonts w:eastAsia="Calibri" w:cs="Arial"/>
          <w:szCs w:val="24"/>
        </w:rPr>
        <w:t xml:space="preserve">. </w:t>
      </w:r>
    </w:p>
    <w:p w:rsidR="004F61CF" w:rsidRPr="004F61CF" w:rsidRDefault="004F61CF" w:rsidP="004F61CF">
      <w:pPr>
        <w:rPr>
          <w:rFonts w:eastAsia="Calibri" w:cs="Arial"/>
          <w:szCs w:val="24"/>
        </w:rPr>
      </w:pPr>
    </w:p>
    <w:p w:rsidR="00110643" w:rsidRDefault="004F61CF" w:rsidP="004F61CF">
      <w:pPr>
        <w:rPr>
          <w:rFonts w:eastAsia="Calibri" w:cs="Arial"/>
          <w:szCs w:val="24"/>
        </w:rPr>
      </w:pPr>
      <w:r w:rsidRPr="004F61CF">
        <w:rPr>
          <w:rFonts w:eastAsia="Calibri" w:cs="Arial"/>
          <w:szCs w:val="24"/>
        </w:rPr>
        <w:t xml:space="preserve">The incentivized service range at dispensary and health centre level will cover both essential Maternal, Newborn, and Child Health services for which uptake remains relatively low, and also general outpatient attendance, screening for hypertension and diabetes, and priority interventions for malaria, tuberculosis and HIV &amp; AIDS, among others, and will be subject to </w:t>
      </w:r>
      <w:r w:rsidR="0064492C">
        <w:rPr>
          <w:rFonts w:eastAsia="Calibri" w:cs="Arial"/>
          <w:szCs w:val="24"/>
        </w:rPr>
        <w:t xml:space="preserve">regular </w:t>
      </w:r>
      <w:r w:rsidRPr="004F61CF">
        <w:rPr>
          <w:rFonts w:eastAsia="Calibri" w:cs="Arial"/>
          <w:szCs w:val="24"/>
        </w:rPr>
        <w:t>review.</w:t>
      </w:r>
    </w:p>
    <w:p w:rsidR="004F61CF" w:rsidRPr="004F61CF" w:rsidRDefault="004F61CF" w:rsidP="004F61CF">
      <w:pPr>
        <w:rPr>
          <w:rFonts w:eastAsia="Calibri" w:cs="Arial"/>
          <w:szCs w:val="24"/>
        </w:rPr>
      </w:pPr>
      <w:r w:rsidRPr="004F61CF">
        <w:rPr>
          <w:rFonts w:eastAsia="Calibri" w:cs="Arial"/>
          <w:szCs w:val="24"/>
        </w:rPr>
        <w:t xml:space="preserve">  </w:t>
      </w:r>
    </w:p>
    <w:p w:rsidR="004F61CF" w:rsidRPr="004F61CF" w:rsidRDefault="004F61CF" w:rsidP="004F61CF">
      <w:pPr>
        <w:rPr>
          <w:rFonts w:eastAsia="Calibri" w:cs="Arial"/>
          <w:szCs w:val="24"/>
        </w:rPr>
      </w:pPr>
      <w:r w:rsidRPr="004F61CF">
        <w:rPr>
          <w:rFonts w:eastAsia="Calibri" w:cs="Arial"/>
          <w:szCs w:val="24"/>
        </w:rPr>
        <w:t xml:space="preserve">The level of financial incentives for a given output will vary geographically, according to factors such as poverty levels and remoteness, in order to provide additional incentives for health workers to work in currently under-served areas. </w:t>
      </w:r>
    </w:p>
    <w:p w:rsidR="004F61CF" w:rsidRPr="004F61CF" w:rsidRDefault="004F61CF" w:rsidP="004F61CF">
      <w:pPr>
        <w:rPr>
          <w:rFonts w:eastAsia="Calibri" w:cs="Arial"/>
          <w:szCs w:val="24"/>
        </w:rPr>
      </w:pPr>
    </w:p>
    <w:p w:rsidR="004F61CF" w:rsidRDefault="004F61CF" w:rsidP="004F61CF">
      <w:pPr>
        <w:rPr>
          <w:rFonts w:eastAsia="Calibri" w:cs="Arial"/>
          <w:szCs w:val="24"/>
        </w:rPr>
      </w:pPr>
      <w:r w:rsidRPr="004F61CF">
        <w:rPr>
          <w:rFonts w:eastAsia="Calibri" w:cs="Arial"/>
          <w:szCs w:val="24"/>
        </w:rPr>
        <w:t xml:space="preserve">Certain minimum conditions will be met for a health facility to participate in RBF, thereby ensuring a general improvement in effective access and quality, through </w:t>
      </w:r>
      <w:proofErr w:type="spellStart"/>
      <w:r w:rsidRPr="004F61CF">
        <w:rPr>
          <w:rFonts w:eastAsia="Calibri" w:cs="Arial"/>
          <w:szCs w:val="24"/>
        </w:rPr>
        <w:t>eg</w:t>
      </w:r>
      <w:proofErr w:type="spellEnd"/>
      <w:r w:rsidRPr="004F61CF">
        <w:rPr>
          <w:rFonts w:eastAsia="Calibri" w:cs="Arial"/>
          <w:szCs w:val="24"/>
        </w:rPr>
        <w:t xml:space="preserve"> placement of minimum qualified staff, clean water, basic equipment etc.   The use of mainstream HMIS indicators, establishment of </w:t>
      </w:r>
      <w:r w:rsidR="0064492C">
        <w:rPr>
          <w:rFonts w:eastAsia="Calibri" w:cs="Arial"/>
          <w:szCs w:val="24"/>
        </w:rPr>
        <w:t xml:space="preserve">independent </w:t>
      </w:r>
      <w:r w:rsidRPr="004F61CF">
        <w:rPr>
          <w:rFonts w:eastAsia="Calibri" w:cs="Arial"/>
          <w:szCs w:val="24"/>
        </w:rPr>
        <w:t xml:space="preserve">verification mechanisms, and harmonization with ongoing quality improvement initiatives, are jointly expected to strengthen the overall monitoring &amp; supervisory systems. </w:t>
      </w:r>
    </w:p>
    <w:p w:rsidR="007A4C99" w:rsidRPr="004F61CF" w:rsidRDefault="007A4C99" w:rsidP="004F61CF">
      <w:pPr>
        <w:rPr>
          <w:rFonts w:eastAsia="Calibri" w:cs="Arial"/>
          <w:szCs w:val="24"/>
        </w:rPr>
      </w:pPr>
    </w:p>
    <w:p w:rsidR="004F61CF" w:rsidRPr="004F61CF" w:rsidRDefault="00110643" w:rsidP="004F61CF">
      <w:pPr>
        <w:rPr>
          <w:rFonts w:eastAsia="Calibri" w:cs="Arial"/>
          <w:szCs w:val="24"/>
        </w:rPr>
      </w:pPr>
      <w:r>
        <w:rPr>
          <w:rFonts w:eastAsia="Calibri" w:cs="Arial"/>
          <w:szCs w:val="24"/>
        </w:rPr>
        <w:t>Some i</w:t>
      </w:r>
      <w:r w:rsidR="007A4C99" w:rsidRPr="007A4C99">
        <w:rPr>
          <w:rFonts w:eastAsia="Calibri" w:cs="Arial"/>
          <w:szCs w:val="24"/>
        </w:rPr>
        <w:t>nput-based financing will remain in the mid-term for management and operations offered by CHMTs and RHMTs, though with an increasing share of such funding being channeled according to outputs and performance.</w:t>
      </w:r>
    </w:p>
    <w:p w:rsidR="004F61CF" w:rsidRPr="004F61CF" w:rsidRDefault="004F61CF" w:rsidP="004F61CF">
      <w:pPr>
        <w:rPr>
          <w:rFonts w:eastAsia="Calibri" w:cs="Arial"/>
          <w:szCs w:val="24"/>
        </w:rPr>
      </w:pPr>
    </w:p>
    <w:p w:rsidR="004F61CF" w:rsidRPr="004F61CF" w:rsidRDefault="004F61CF" w:rsidP="004F61CF">
      <w:pPr>
        <w:keepNext/>
        <w:keepLines/>
        <w:numPr>
          <w:ilvl w:val="2"/>
          <w:numId w:val="47"/>
        </w:numPr>
        <w:spacing w:before="200" w:after="120"/>
        <w:outlineLvl w:val="2"/>
        <w:rPr>
          <w:rFonts w:ascii="Cambria" w:eastAsia="Times New Roman" w:hAnsi="Cambria" w:cs="Times New Roman"/>
          <w:b/>
          <w:bCs/>
          <w:color w:val="4F81BD"/>
        </w:rPr>
      </w:pPr>
      <w:bookmarkStart w:id="53" w:name="_Toc406497992"/>
      <w:r w:rsidRPr="004F61CF">
        <w:rPr>
          <w:rFonts w:ascii="Cambria" w:eastAsia="Times New Roman" w:hAnsi="Cambria" w:cs="Times New Roman"/>
          <w:b/>
          <w:bCs/>
          <w:color w:val="4F81BD"/>
        </w:rPr>
        <w:t xml:space="preserve">Strategy </w:t>
      </w:r>
      <w:r w:rsidR="001A0126">
        <w:rPr>
          <w:rFonts w:ascii="Cambria" w:eastAsia="Times New Roman" w:hAnsi="Cambria" w:cs="Times New Roman"/>
          <w:b/>
          <w:bCs/>
          <w:color w:val="4F81BD"/>
        </w:rPr>
        <w:t>8</w:t>
      </w:r>
      <w:r w:rsidRPr="004F61CF">
        <w:rPr>
          <w:rFonts w:ascii="Cambria" w:eastAsia="Times New Roman" w:hAnsi="Cambria" w:cs="Times New Roman"/>
          <w:b/>
          <w:bCs/>
          <w:color w:val="4F81BD"/>
        </w:rPr>
        <w:t xml:space="preserve">: Improve </w:t>
      </w:r>
      <w:r w:rsidR="005F2136">
        <w:rPr>
          <w:rFonts w:ascii="Cambria" w:eastAsia="Times New Roman" w:hAnsi="Cambria" w:cs="Times New Roman"/>
          <w:b/>
          <w:bCs/>
          <w:color w:val="4F81BD"/>
        </w:rPr>
        <w:t xml:space="preserve">public </w:t>
      </w:r>
      <w:r w:rsidRPr="004F61CF">
        <w:rPr>
          <w:rFonts w:ascii="Cambria" w:eastAsia="Times New Roman" w:hAnsi="Cambria" w:cs="Times New Roman"/>
          <w:b/>
          <w:bCs/>
          <w:color w:val="4F81BD"/>
        </w:rPr>
        <w:t>resource allocation and expenditures</w:t>
      </w:r>
      <w:bookmarkEnd w:id="53"/>
    </w:p>
    <w:p w:rsidR="004F61CF" w:rsidRPr="004F61CF" w:rsidRDefault="004F61CF" w:rsidP="004F61CF">
      <w:pPr>
        <w:rPr>
          <w:rFonts w:eastAsia="Calibri" w:cs="Arial"/>
          <w:szCs w:val="24"/>
        </w:rPr>
      </w:pPr>
      <w:r w:rsidRPr="004F61CF">
        <w:rPr>
          <w:rFonts w:eastAsia="Calibri" w:cs="Arial"/>
          <w:szCs w:val="24"/>
        </w:rPr>
        <w:t xml:space="preserve">The move towards SNHI as the primary mechanism for funding individual health services will reduce the flow of </w:t>
      </w:r>
      <w:r w:rsidR="00060BD9">
        <w:rPr>
          <w:rFonts w:eastAsia="Calibri" w:cs="Arial"/>
          <w:szCs w:val="24"/>
        </w:rPr>
        <w:t xml:space="preserve">Other Charges (OC) </w:t>
      </w:r>
      <w:r w:rsidRPr="004F61CF">
        <w:rPr>
          <w:rFonts w:eastAsia="Calibri" w:cs="Arial"/>
          <w:szCs w:val="24"/>
        </w:rPr>
        <w:t>funding through Councils and Regional Administrations as funds will rather be channeled as reimbursement for services offered, directly to health facilities</w:t>
      </w:r>
      <w:r w:rsidR="00060BD9">
        <w:rPr>
          <w:rFonts w:eastAsia="Calibri" w:cs="Arial"/>
          <w:szCs w:val="24"/>
        </w:rPr>
        <w:t>.</w:t>
      </w:r>
      <w:r w:rsidRPr="004F61CF">
        <w:rPr>
          <w:rFonts w:eastAsia="Calibri" w:cs="Arial"/>
          <w:szCs w:val="24"/>
        </w:rPr>
        <w:t xml:space="preserve"> </w:t>
      </w:r>
    </w:p>
    <w:p w:rsidR="004F61CF" w:rsidRPr="004F61CF" w:rsidRDefault="004F61CF" w:rsidP="004F61CF">
      <w:pPr>
        <w:rPr>
          <w:rFonts w:eastAsia="Calibri" w:cs="Arial"/>
          <w:szCs w:val="24"/>
        </w:rPr>
      </w:pPr>
    </w:p>
    <w:p w:rsidR="004F61CF" w:rsidRPr="004F61CF" w:rsidRDefault="004F61CF" w:rsidP="004F61CF">
      <w:pPr>
        <w:rPr>
          <w:rFonts w:eastAsia="Calibri" w:cs="Arial"/>
          <w:szCs w:val="24"/>
        </w:rPr>
      </w:pPr>
      <w:r w:rsidRPr="004F61CF">
        <w:rPr>
          <w:rFonts w:eastAsia="Calibri" w:cs="Arial"/>
          <w:szCs w:val="24"/>
        </w:rPr>
        <w:t xml:space="preserve">The role and structure of existing allocation formulae for non-salary recurrent funding of LGAs (specifically through the Health Basket Fund and the government OC block grant) will be reviewed in order to better support the revised context.  Consultation with MOF and PMO-RALG will be necessary to align with the broader context of inter-governmental transfers where appropriate, while the health sector specific reforms will necessitate a particular approach.  In particular, continuous adjustment will be required as population coverage with SNHI expands, and as preventive services not initially included in the MBP are incorporated.  Some form of formula will continue to be required at least at the LGA/CHMT level to cover non-personal services such as public health interventions, supervision and monitoring (cross-ref to Strategy 14) and at the RHMT level also for management and support to LGAs. </w:t>
      </w:r>
    </w:p>
    <w:p w:rsidR="004F61CF" w:rsidRPr="004F61CF" w:rsidRDefault="004F61CF" w:rsidP="004F61CF">
      <w:pPr>
        <w:rPr>
          <w:rFonts w:eastAsia="Calibri" w:cs="Arial"/>
          <w:szCs w:val="24"/>
        </w:rPr>
      </w:pPr>
    </w:p>
    <w:p w:rsidR="004F61CF" w:rsidRPr="004F61CF" w:rsidRDefault="004F61CF" w:rsidP="004F61CF">
      <w:pPr>
        <w:rPr>
          <w:rFonts w:eastAsia="Calibri" w:cs="Arial"/>
          <w:szCs w:val="24"/>
        </w:rPr>
      </w:pPr>
      <w:r w:rsidRPr="004F61CF">
        <w:rPr>
          <w:rFonts w:eastAsia="Calibri" w:cs="Arial"/>
          <w:szCs w:val="24"/>
        </w:rPr>
        <w:t xml:space="preserve">Effective UHC requires access to qualified health workers throughout the country. Mechanisms for rapidly improving the distribution of health personnel both between and within districts will be developed in consultation with MOF, PMO-RALG, PO-PSM and LGAs, building on the existing pay and incentive strategies, and successful local initiatives.   In addition, the potential for future channeling of additional PE funding through the RBF pool, and ultimately through the SNHI pool, will be explored with PO-PSM.  This is necessary in order to reduce fragmentation of funding and to level the playing field between different providers of the SNHI benefit packages. </w:t>
      </w:r>
    </w:p>
    <w:p w:rsidR="004F61CF" w:rsidRPr="004F61CF" w:rsidRDefault="004F61CF" w:rsidP="004F61CF">
      <w:pPr>
        <w:rPr>
          <w:rFonts w:eastAsia="Calibri" w:cs="Arial"/>
          <w:szCs w:val="24"/>
        </w:rPr>
      </w:pPr>
    </w:p>
    <w:p w:rsidR="004F61CF" w:rsidRPr="004F61CF" w:rsidRDefault="004F61CF" w:rsidP="004F61CF">
      <w:pPr>
        <w:rPr>
          <w:rFonts w:eastAsia="Calibri" w:cs="Arial"/>
          <w:szCs w:val="24"/>
        </w:rPr>
      </w:pPr>
    </w:p>
    <w:p w:rsidR="004F61CF" w:rsidRPr="004F61CF" w:rsidRDefault="004F61CF" w:rsidP="004F61CF">
      <w:pPr>
        <w:ind w:left="2160"/>
        <w:contextualSpacing/>
        <w:rPr>
          <w:rFonts w:eastAsia="Calibri" w:cs="Arial"/>
          <w:szCs w:val="24"/>
        </w:rPr>
      </w:pPr>
    </w:p>
    <w:p w:rsidR="004F61CF" w:rsidRPr="004F61CF" w:rsidRDefault="004F61CF" w:rsidP="004F61CF">
      <w:pPr>
        <w:keepNext/>
        <w:keepLines/>
        <w:numPr>
          <w:ilvl w:val="2"/>
          <w:numId w:val="47"/>
        </w:numPr>
        <w:spacing w:before="200" w:after="120"/>
        <w:outlineLvl w:val="2"/>
        <w:rPr>
          <w:rFonts w:ascii="Cambria" w:eastAsia="Times New Roman" w:hAnsi="Cambria" w:cs="Times New Roman"/>
          <w:b/>
          <w:bCs/>
          <w:color w:val="4F81BD"/>
        </w:rPr>
      </w:pPr>
      <w:bookmarkStart w:id="54" w:name="_Toc406497993"/>
      <w:commentRangeStart w:id="55"/>
      <w:r w:rsidRPr="004F61CF">
        <w:rPr>
          <w:rFonts w:ascii="Cambria" w:eastAsia="Times New Roman" w:hAnsi="Cambria" w:cs="Times New Roman"/>
          <w:b/>
          <w:bCs/>
          <w:color w:val="4F81BD"/>
        </w:rPr>
        <w:t xml:space="preserve">Strategy </w:t>
      </w:r>
      <w:r w:rsidR="001A0126">
        <w:rPr>
          <w:rFonts w:ascii="Cambria" w:eastAsia="Times New Roman" w:hAnsi="Cambria" w:cs="Times New Roman"/>
          <w:b/>
          <w:bCs/>
          <w:color w:val="4F81BD"/>
        </w:rPr>
        <w:t>9</w:t>
      </w:r>
      <w:r w:rsidRPr="004F61CF">
        <w:rPr>
          <w:rFonts w:ascii="Cambria" w:eastAsia="Times New Roman" w:hAnsi="Cambria" w:cs="Times New Roman"/>
          <w:b/>
          <w:bCs/>
          <w:color w:val="4F81BD"/>
        </w:rPr>
        <w:t xml:space="preserve">: </w:t>
      </w:r>
      <w:commentRangeStart w:id="56"/>
      <w:r w:rsidRPr="004F61CF">
        <w:rPr>
          <w:rFonts w:ascii="Cambria" w:eastAsia="Times New Roman" w:hAnsi="Cambria" w:cs="Times New Roman"/>
          <w:b/>
          <w:bCs/>
          <w:color w:val="4F81BD"/>
        </w:rPr>
        <w:t>Improve public financial management</w:t>
      </w:r>
      <w:commentRangeEnd w:id="55"/>
      <w:r w:rsidRPr="004F61CF">
        <w:rPr>
          <w:rFonts w:eastAsia="Calibri" w:cs="Times New Roman"/>
          <w:sz w:val="16"/>
          <w:szCs w:val="16"/>
        </w:rPr>
        <w:commentReference w:id="55"/>
      </w:r>
      <w:commentRangeEnd w:id="56"/>
      <w:r w:rsidR="008E71F5">
        <w:rPr>
          <w:rStyle w:val="CommentReference"/>
        </w:rPr>
        <w:commentReference w:id="56"/>
      </w:r>
      <w:bookmarkEnd w:id="54"/>
    </w:p>
    <w:p w:rsidR="004F61CF" w:rsidRPr="004F61CF" w:rsidRDefault="004F61CF" w:rsidP="004F61CF">
      <w:pPr>
        <w:rPr>
          <w:rFonts w:eastAsia="Calibri" w:cs="Arial"/>
          <w:szCs w:val="24"/>
        </w:rPr>
      </w:pPr>
      <w:r w:rsidRPr="004F61CF">
        <w:rPr>
          <w:rFonts w:eastAsia="Calibri" w:cs="Arial"/>
          <w:szCs w:val="24"/>
        </w:rPr>
        <w:t xml:space="preserve">Sound Public Financial Management (PFM) is an important component of the HFS. Resources need to be well managed and value for money is a priority. The focus of PFM within the context of Tanzania’s health financing strategy is to ensure that resources are both mobilized and spent efficiently and cost-effectively to maximize the provision of quality health services. </w:t>
      </w:r>
    </w:p>
    <w:p w:rsidR="004F61CF" w:rsidRPr="004F61CF" w:rsidRDefault="004F61CF" w:rsidP="004F61CF">
      <w:pPr>
        <w:rPr>
          <w:rFonts w:eastAsia="Calibri" w:cs="Arial"/>
          <w:szCs w:val="24"/>
        </w:rPr>
      </w:pPr>
    </w:p>
    <w:p w:rsidR="004F61CF" w:rsidRPr="004F61CF" w:rsidRDefault="004F61CF" w:rsidP="004F61CF">
      <w:pPr>
        <w:rPr>
          <w:rFonts w:eastAsia="Calibri" w:cs="Arial"/>
          <w:szCs w:val="24"/>
        </w:rPr>
      </w:pPr>
      <w:r w:rsidRPr="004F61CF">
        <w:rPr>
          <w:rFonts w:eastAsia="Calibri" w:cs="Arial"/>
          <w:szCs w:val="24"/>
        </w:rPr>
        <w:lastRenderedPageBreak/>
        <w:t>The SNHI will need strong financial management staff, systems and procedures in order to successfully manage the identification and collection of revenue from multiple sources, manage multiple provider contracts through its regional network, and to make payments down to the facility level – including payments related to activity and, potentially, performance. This will require a degree of integration between financial and non-financial information, and improved accuracy and reliability in both sets of data.</w:t>
      </w:r>
    </w:p>
    <w:p w:rsidR="004F61CF" w:rsidRPr="004F61CF" w:rsidRDefault="004F61CF" w:rsidP="004F61CF">
      <w:pPr>
        <w:rPr>
          <w:rFonts w:eastAsia="Calibri" w:cs="Arial"/>
          <w:szCs w:val="24"/>
        </w:rPr>
      </w:pPr>
    </w:p>
    <w:p w:rsidR="004F61CF" w:rsidRPr="004F61CF" w:rsidRDefault="004F61CF" w:rsidP="004F61CF">
      <w:pPr>
        <w:rPr>
          <w:rFonts w:eastAsia="Calibri" w:cs="Arial"/>
          <w:szCs w:val="24"/>
        </w:rPr>
      </w:pPr>
      <w:r w:rsidRPr="004F61CF">
        <w:rPr>
          <w:rFonts w:eastAsia="Calibri" w:cs="Arial"/>
          <w:szCs w:val="24"/>
        </w:rPr>
        <w:t xml:space="preserve">Providers will need to implement effective billing systems to ensure receipt of all funds due, and to improve the arrangements for management of those funds – possibly through use of provider networks that enable cost effective management and oversight. Rules will need to be developed to give effect to the envisaged provider autonomy in expenditure management whilst ensuring compliance with existing legislation and public financial management rules and procedures. Providers will also need to strengthen their forecasting capability to model expected future funding flows, patient demand and resource </w:t>
      </w:r>
      <w:commentRangeStart w:id="57"/>
      <w:r w:rsidRPr="004F61CF">
        <w:rPr>
          <w:rFonts w:eastAsia="Calibri" w:cs="Arial"/>
          <w:szCs w:val="24"/>
        </w:rPr>
        <w:t>requirements</w:t>
      </w:r>
      <w:commentRangeEnd w:id="57"/>
      <w:r w:rsidR="001A0126">
        <w:rPr>
          <w:rStyle w:val="CommentReference"/>
        </w:rPr>
        <w:commentReference w:id="57"/>
      </w:r>
      <w:r w:rsidRPr="004F61CF">
        <w:rPr>
          <w:rFonts w:eastAsia="Calibri" w:cs="Arial"/>
          <w:szCs w:val="24"/>
        </w:rPr>
        <w:t>.</w:t>
      </w:r>
    </w:p>
    <w:p w:rsidR="004F61CF" w:rsidRPr="004F61CF" w:rsidRDefault="004F61CF" w:rsidP="004F61CF">
      <w:pPr>
        <w:contextualSpacing/>
        <w:rPr>
          <w:rFonts w:eastAsia="Calibri" w:cs="Arial"/>
          <w:szCs w:val="24"/>
        </w:rPr>
      </w:pPr>
    </w:p>
    <w:p w:rsidR="004F61CF" w:rsidRPr="004F61CF" w:rsidRDefault="004F61CF" w:rsidP="004F61CF">
      <w:pPr>
        <w:keepNext/>
        <w:keepLines/>
        <w:numPr>
          <w:ilvl w:val="2"/>
          <w:numId w:val="47"/>
        </w:numPr>
        <w:spacing w:before="200" w:after="120"/>
        <w:outlineLvl w:val="2"/>
        <w:rPr>
          <w:rFonts w:ascii="Cambria" w:eastAsia="Times New Roman" w:hAnsi="Cambria" w:cs="Times New Roman"/>
          <w:b/>
          <w:bCs/>
          <w:color w:val="4F81BD"/>
        </w:rPr>
      </w:pPr>
      <w:bookmarkStart w:id="58" w:name="_Toc406497994"/>
      <w:commentRangeStart w:id="59"/>
      <w:r w:rsidRPr="004F61CF">
        <w:rPr>
          <w:rFonts w:ascii="Cambria" w:eastAsia="Times New Roman" w:hAnsi="Cambria" w:cs="Times New Roman"/>
          <w:b/>
          <w:bCs/>
          <w:color w:val="4F81BD"/>
        </w:rPr>
        <w:t>Strategy</w:t>
      </w:r>
      <w:r w:rsidR="001A0126">
        <w:rPr>
          <w:rFonts w:ascii="Cambria" w:eastAsia="Times New Roman" w:hAnsi="Cambria" w:cs="Times New Roman"/>
          <w:b/>
          <w:bCs/>
          <w:color w:val="4F81BD"/>
        </w:rPr>
        <w:t>10</w:t>
      </w:r>
      <w:r w:rsidRPr="004F61CF">
        <w:rPr>
          <w:rFonts w:ascii="Cambria" w:eastAsia="Times New Roman" w:hAnsi="Cambria" w:cs="Times New Roman"/>
          <w:b/>
          <w:bCs/>
          <w:color w:val="4F81BD"/>
        </w:rPr>
        <w:t xml:space="preserve">: </w:t>
      </w:r>
      <w:r w:rsidR="001A0126">
        <w:rPr>
          <w:rFonts w:ascii="Cambria" w:eastAsia="Times New Roman" w:hAnsi="Cambria" w:cs="Times New Roman"/>
          <w:b/>
          <w:bCs/>
          <w:color w:val="4F81BD"/>
        </w:rPr>
        <w:t>I</w:t>
      </w:r>
      <w:r w:rsidRPr="004F61CF">
        <w:rPr>
          <w:rFonts w:ascii="Cambria" w:eastAsia="Times New Roman" w:hAnsi="Cambria" w:cs="Times New Roman"/>
          <w:b/>
          <w:bCs/>
          <w:color w:val="4F81BD"/>
        </w:rPr>
        <w:t>mprove use of information for evidence-based policy</w:t>
      </w:r>
      <w:commentRangeEnd w:id="59"/>
      <w:r w:rsidRPr="004F61CF">
        <w:rPr>
          <w:rFonts w:eastAsia="Calibri" w:cs="Times New Roman"/>
          <w:sz w:val="16"/>
          <w:szCs w:val="16"/>
        </w:rPr>
        <w:commentReference w:id="59"/>
      </w:r>
      <w:bookmarkEnd w:id="58"/>
    </w:p>
    <w:p w:rsidR="000C262C" w:rsidRDefault="004F61CF">
      <w:pPr>
        <w:keepNext/>
        <w:keepLines/>
        <w:spacing w:before="200" w:after="120"/>
        <w:ind w:left="864"/>
        <w:outlineLvl w:val="3"/>
        <w:rPr>
          <w:rFonts w:ascii="Cambria" w:eastAsia="Times New Roman" w:hAnsi="Cambria" w:cs="Times New Roman"/>
          <w:b/>
          <w:bCs/>
          <w:i/>
          <w:iCs/>
          <w:color w:val="4F81BD"/>
        </w:rPr>
      </w:pPr>
      <w:r w:rsidRPr="004F61CF">
        <w:rPr>
          <w:rFonts w:ascii="Cambria" w:eastAsia="Times New Roman" w:hAnsi="Cambria" w:cs="Times New Roman"/>
          <w:b/>
          <w:bCs/>
          <w:i/>
          <w:iCs/>
          <w:color w:val="4F81BD"/>
        </w:rPr>
        <w:t xml:space="preserve">Development of a unified HMIS </w:t>
      </w:r>
    </w:p>
    <w:p w:rsidR="004F61CF" w:rsidRPr="004F61CF" w:rsidRDefault="004F61CF" w:rsidP="004F61CF">
      <w:pPr>
        <w:rPr>
          <w:rFonts w:eastAsia="Calibri" w:cs="Times New Roman"/>
        </w:rPr>
      </w:pPr>
      <w:r w:rsidRPr="004F61CF">
        <w:rPr>
          <w:rFonts w:eastAsia="Calibri" w:cs="Times New Roman"/>
        </w:rPr>
        <w:t>Information for evidence-based policy as a strategy in the SNHI will require a redesign of the current Health Management information Systems (HMIS). The redesign process will input into the HMIS features of the Social Health Insurance. The users of the redesigned HMIS will need training to be able to use it effectively. Special attention will be given to building capacity at lower level health facilities.</w:t>
      </w:r>
      <w:r w:rsidR="00110643">
        <w:rPr>
          <w:rFonts w:eastAsia="Calibri" w:cs="Times New Roman"/>
        </w:rPr>
        <w:t xml:space="preserve">  </w:t>
      </w:r>
      <w:r w:rsidRPr="004F61CF">
        <w:rPr>
          <w:rFonts w:eastAsia="Calibri" w:cs="Times New Roman"/>
        </w:rPr>
        <w:t>The redesigned HMIS will be linked to the SNHI database.</w:t>
      </w:r>
    </w:p>
    <w:p w:rsidR="000C262C" w:rsidRDefault="004F61CF">
      <w:pPr>
        <w:keepNext/>
        <w:keepLines/>
        <w:spacing w:before="200" w:after="120"/>
        <w:ind w:left="864"/>
        <w:outlineLvl w:val="3"/>
        <w:rPr>
          <w:rFonts w:ascii="Cambria" w:eastAsia="Times New Roman" w:hAnsi="Cambria" w:cs="Times New Roman"/>
          <w:b/>
          <w:bCs/>
          <w:i/>
          <w:iCs/>
          <w:color w:val="4F81BD"/>
        </w:rPr>
      </w:pPr>
      <w:r w:rsidRPr="004F61CF">
        <w:rPr>
          <w:rFonts w:ascii="Cambria" w:eastAsia="Times New Roman" w:hAnsi="Cambria" w:cs="Times New Roman"/>
          <w:b/>
          <w:bCs/>
          <w:i/>
          <w:iCs/>
          <w:color w:val="4F81BD"/>
        </w:rPr>
        <w:t>Link vital national databases to the Social Health Insurance</w:t>
      </w:r>
    </w:p>
    <w:p w:rsidR="004F61CF" w:rsidRPr="004F61CF" w:rsidRDefault="004F61CF" w:rsidP="004F61CF">
      <w:pPr>
        <w:rPr>
          <w:rFonts w:eastAsia="Calibri" w:cs="Times New Roman"/>
        </w:rPr>
      </w:pPr>
      <w:r w:rsidRPr="004F61CF">
        <w:rPr>
          <w:rFonts w:eastAsia="Calibri" w:cs="Times New Roman"/>
        </w:rPr>
        <w:t>Linkage of key national databases to that of the SNHI is intended to encourage those who have not joined the scheme to join it, as receiving certain services will become conditional on being a member of the scheme. Important national databases that should be linked to SNHI</w:t>
      </w:r>
      <w:r w:rsidR="00110643">
        <w:rPr>
          <w:rFonts w:eastAsia="Calibri" w:cs="Times New Roman"/>
        </w:rPr>
        <w:t xml:space="preserve"> </w:t>
      </w:r>
      <w:r w:rsidRPr="004F61CF">
        <w:rPr>
          <w:rFonts w:eastAsia="Calibri" w:cs="Times New Roman"/>
        </w:rPr>
        <w:t>include NIDA, RITA and Tanzania Revenue Authority. In the rural areas, where these databases are not very commonly used, enrolment in school databases will be one alternative.</w:t>
      </w:r>
    </w:p>
    <w:p w:rsidR="000C262C" w:rsidRDefault="004F61CF">
      <w:pPr>
        <w:keepNext/>
        <w:keepLines/>
        <w:spacing w:before="200" w:after="120"/>
        <w:ind w:left="864"/>
        <w:outlineLvl w:val="3"/>
        <w:rPr>
          <w:rFonts w:ascii="Cambria" w:eastAsia="Times New Roman" w:hAnsi="Cambria" w:cs="Times New Roman"/>
          <w:b/>
          <w:bCs/>
          <w:i/>
          <w:iCs/>
          <w:color w:val="4F81BD"/>
        </w:rPr>
      </w:pPr>
      <w:r w:rsidRPr="004F61CF">
        <w:rPr>
          <w:rFonts w:ascii="Cambria" w:eastAsia="Times New Roman" w:hAnsi="Cambria" w:cs="Times New Roman"/>
          <w:b/>
          <w:bCs/>
          <w:i/>
          <w:iCs/>
          <w:color w:val="4F81BD"/>
        </w:rPr>
        <w:t xml:space="preserve">Regular supportive research  </w:t>
      </w:r>
    </w:p>
    <w:p w:rsidR="004F61CF" w:rsidRPr="004F61CF" w:rsidRDefault="004F61CF" w:rsidP="004F61CF">
      <w:pPr>
        <w:rPr>
          <w:rFonts w:eastAsia="Calibri" w:cs="Arial"/>
          <w:szCs w:val="24"/>
        </w:rPr>
      </w:pPr>
      <w:r w:rsidRPr="004F61CF">
        <w:rPr>
          <w:rFonts w:eastAsia="Calibri" w:cs="Arial"/>
          <w:szCs w:val="24"/>
        </w:rPr>
        <w:t>Evidence-</w:t>
      </w:r>
      <w:r w:rsidRPr="004F61CF">
        <w:rPr>
          <w:rFonts w:eastAsia="Calibri" w:cs="Times New Roman"/>
        </w:rPr>
        <w:t xml:space="preserve">based policies are best derived from daily practice and observations. In this context information generated from supportive research is an important strategy for the                                                             social health insurance to perform better. Such research will investigate joining rates and drop-out, satisfaction with services, and required scheme improvements. Supportive research strategy will also investigate provider performance, ability to pay </w:t>
      </w:r>
      <w:r w:rsidRPr="004F61CF">
        <w:rPr>
          <w:rFonts w:eastAsia="Calibri" w:cs="Times New Roman"/>
        </w:rPr>
        <w:lastRenderedPageBreak/>
        <w:t>premiums, and conformity to essential drugs lists. Other important issues to study include equity, social inclusion, organizational performance, actuarial aspects, and alternative sources of complementary</w:t>
      </w:r>
      <w:r w:rsidRPr="004F61CF">
        <w:rPr>
          <w:rFonts w:eastAsia="Calibri" w:cs="Arial"/>
          <w:szCs w:val="24"/>
        </w:rPr>
        <w:t xml:space="preserve"> funds.</w:t>
      </w:r>
    </w:p>
    <w:p w:rsidR="000C262C" w:rsidRDefault="004F61CF">
      <w:pPr>
        <w:keepNext/>
        <w:keepLines/>
        <w:spacing w:before="200" w:after="120"/>
        <w:ind w:left="864"/>
        <w:outlineLvl w:val="3"/>
        <w:rPr>
          <w:rFonts w:ascii="Cambria" w:eastAsia="Times New Roman" w:hAnsi="Cambria" w:cs="Times New Roman"/>
          <w:b/>
          <w:bCs/>
          <w:i/>
          <w:iCs/>
          <w:color w:val="4F81BD"/>
        </w:rPr>
      </w:pPr>
      <w:r w:rsidRPr="004F61CF">
        <w:rPr>
          <w:rFonts w:ascii="Cambria" w:eastAsia="Times New Roman" w:hAnsi="Cambria" w:cs="Times New Roman"/>
          <w:b/>
          <w:bCs/>
          <w:i/>
          <w:iCs/>
          <w:color w:val="4F81BD"/>
        </w:rPr>
        <w:t>Solid social health insurance database</w:t>
      </w:r>
    </w:p>
    <w:p w:rsidR="004F61CF" w:rsidRDefault="004F61CF" w:rsidP="004F61CF">
      <w:pPr>
        <w:rPr>
          <w:rFonts w:eastAsia="Calibri" w:cs="Arial"/>
          <w:szCs w:val="24"/>
        </w:rPr>
      </w:pPr>
      <w:r w:rsidRPr="004F61CF">
        <w:rPr>
          <w:rFonts w:eastAsia="Calibri" w:cs="Arial"/>
          <w:szCs w:val="24"/>
        </w:rPr>
        <w:t>A solid social health insurance database is an invaluable strategic input for the scheme’s performance. This is a critical input in the day to day management of the scheme. Such database will show client behavior, premium conformity, provider needs, quality aspects and areas which need attention to sustain the scheme.</w:t>
      </w:r>
    </w:p>
    <w:p w:rsidR="001368A2" w:rsidRDefault="001368A2" w:rsidP="004F61CF">
      <w:pPr>
        <w:rPr>
          <w:rFonts w:eastAsia="Calibri" w:cs="Arial"/>
          <w:szCs w:val="24"/>
        </w:rPr>
      </w:pPr>
    </w:p>
    <w:p w:rsidR="001368A2" w:rsidRPr="001368A2" w:rsidRDefault="001368A2" w:rsidP="001368A2">
      <w:pPr>
        <w:rPr>
          <w:rFonts w:eastAsia="Calibri" w:cs="Arial"/>
          <w:szCs w:val="24"/>
        </w:rPr>
      </w:pPr>
      <w:r w:rsidRPr="001368A2">
        <w:rPr>
          <w:rFonts w:eastAsia="Calibri" w:cs="Arial"/>
          <w:szCs w:val="24"/>
        </w:rPr>
        <w:t xml:space="preserve">MOHSW will take lead </w:t>
      </w:r>
      <w:proofErr w:type="gramStart"/>
      <w:r w:rsidRPr="001368A2">
        <w:rPr>
          <w:rFonts w:eastAsia="Calibri" w:cs="Arial"/>
          <w:szCs w:val="24"/>
        </w:rPr>
        <w:t>responsibility  for</w:t>
      </w:r>
      <w:proofErr w:type="gramEnd"/>
      <w:r w:rsidRPr="001368A2">
        <w:rPr>
          <w:rFonts w:eastAsia="Calibri" w:cs="Arial"/>
          <w:szCs w:val="24"/>
        </w:rPr>
        <w:t xml:space="preserve"> </w:t>
      </w:r>
      <w:proofErr w:type="spellStart"/>
      <w:r w:rsidRPr="001368A2">
        <w:rPr>
          <w:rFonts w:eastAsia="Calibri" w:cs="Arial"/>
          <w:szCs w:val="24"/>
        </w:rPr>
        <w:t>analysing</w:t>
      </w:r>
      <w:proofErr w:type="spellEnd"/>
      <w:r w:rsidRPr="001368A2">
        <w:rPr>
          <w:rFonts w:eastAsia="Calibri" w:cs="Arial"/>
          <w:szCs w:val="24"/>
        </w:rPr>
        <w:t xml:space="preserve">, consolidating and distributing financial and performance reporting for the sector. The </w:t>
      </w:r>
      <w:proofErr w:type="gramStart"/>
      <w:r w:rsidRPr="001368A2">
        <w:rPr>
          <w:rFonts w:eastAsia="Calibri" w:cs="Arial"/>
          <w:szCs w:val="24"/>
        </w:rPr>
        <w:t>MOHSW  must</w:t>
      </w:r>
      <w:proofErr w:type="gramEnd"/>
      <w:r w:rsidRPr="001368A2">
        <w:rPr>
          <w:rFonts w:eastAsia="Calibri" w:cs="Arial"/>
          <w:szCs w:val="24"/>
        </w:rPr>
        <w:t xml:space="preserve"> have  good access to the SNHI datasets, as well as to provider financial report datasets, to ensure overall monitoring of health policy implementation and value for money, to develop nationally set provider tariffs, and to inform further policy development. Clear and transparent reporting of resource use will be critical to enabling the health sector to demonstrate value for money and to ensure that any additional resources can be most effectively and efficiently targeted.</w:t>
      </w:r>
    </w:p>
    <w:p w:rsidR="001368A2" w:rsidRPr="001368A2" w:rsidRDefault="001368A2" w:rsidP="001368A2">
      <w:pPr>
        <w:rPr>
          <w:rFonts w:eastAsia="Calibri" w:cs="Arial"/>
          <w:szCs w:val="24"/>
        </w:rPr>
      </w:pPr>
    </w:p>
    <w:p w:rsidR="001368A2" w:rsidRPr="004F61CF" w:rsidRDefault="001368A2" w:rsidP="001368A2">
      <w:pPr>
        <w:rPr>
          <w:rFonts w:eastAsia="Calibri" w:cs="Arial"/>
          <w:szCs w:val="24"/>
        </w:rPr>
      </w:pPr>
      <w:r w:rsidRPr="001368A2">
        <w:rPr>
          <w:rFonts w:eastAsia="Calibri" w:cs="Arial"/>
          <w:szCs w:val="24"/>
        </w:rPr>
        <w:t>PMO-RALG, Regional Administrative Secretariats, and LGAs will also require access to appropriate SNHI data sets, in order to monitor implementation of health policy in the regions/ districts, and to assist in identification and management of service delivery risks. In particular it is anticipated that RASs will need strengthened financial management capacity dedicated to the health sector.</w:t>
      </w:r>
    </w:p>
    <w:p w:rsidR="00E37F90" w:rsidRPr="00EB4F0C" w:rsidRDefault="00E37F90" w:rsidP="002E07C5">
      <w:pPr>
        <w:pStyle w:val="ListParagraph"/>
        <w:ind w:left="360"/>
        <w:rPr>
          <w:rFonts w:cs="Arial"/>
          <w:szCs w:val="24"/>
        </w:rPr>
      </w:pPr>
    </w:p>
    <w:p w:rsidR="007F15B8" w:rsidRPr="008F6D15" w:rsidRDefault="00AF101F" w:rsidP="00183E26">
      <w:pPr>
        <w:pStyle w:val="Heading1"/>
      </w:pPr>
      <w:bookmarkStart w:id="60" w:name="_Toc406497995"/>
      <w:r w:rsidRPr="008F6D15">
        <w:t>Institutional Arrangement</w:t>
      </w:r>
      <w:r w:rsidR="00C23F87">
        <w:t>s</w:t>
      </w:r>
      <w:r w:rsidR="00E37F90" w:rsidRPr="008F6D15">
        <w:t>, Roles and Responsibilities</w:t>
      </w:r>
      <w:bookmarkEnd w:id="60"/>
      <w:r w:rsidR="00E37F90" w:rsidRPr="008F6D15">
        <w:t xml:space="preserve"> </w:t>
      </w:r>
    </w:p>
    <w:p w:rsidR="00F45012" w:rsidRDefault="00F45012" w:rsidP="00183E26">
      <w:pPr>
        <w:pStyle w:val="Heading2"/>
      </w:pPr>
      <w:bookmarkStart w:id="61" w:name="_Toc406497996"/>
      <w:r>
        <w:t>Implementation Plan</w:t>
      </w:r>
      <w:bookmarkEnd w:id="61"/>
      <w:r>
        <w:t xml:space="preserve"> </w:t>
      </w:r>
    </w:p>
    <w:p w:rsidR="00F45012" w:rsidRPr="00183E26" w:rsidRDefault="00F45012" w:rsidP="00F45012">
      <w:pPr>
        <w:pStyle w:val="ListParagraph"/>
        <w:ind w:left="0"/>
      </w:pPr>
      <w:r>
        <w:rPr>
          <w:rFonts w:cs="Arial"/>
          <w:szCs w:val="24"/>
        </w:rPr>
        <w:t xml:space="preserve">The </w:t>
      </w:r>
      <w:r w:rsidR="00183E26">
        <w:rPr>
          <w:rFonts w:cs="Arial"/>
          <w:szCs w:val="24"/>
        </w:rPr>
        <w:t xml:space="preserve">purpose of this Health </w:t>
      </w:r>
      <w:r w:rsidR="00183E26" w:rsidRPr="00183E26">
        <w:t xml:space="preserve">Financing Strategy document is to </w:t>
      </w:r>
      <w:r w:rsidRPr="00183E26">
        <w:t xml:space="preserve">outline “WHAT” strategic interventions </w:t>
      </w:r>
      <w:r w:rsidR="00183E26" w:rsidRPr="00183E26">
        <w:t xml:space="preserve">will </w:t>
      </w:r>
      <w:r w:rsidRPr="00183E26">
        <w:t xml:space="preserve">be realized to strengthen the health financing system of the country. The </w:t>
      </w:r>
      <w:r w:rsidR="00183E26" w:rsidRPr="00183E26">
        <w:t xml:space="preserve">accompanying HFS </w:t>
      </w:r>
      <w:r w:rsidRPr="00183E26">
        <w:t xml:space="preserve">Implementation Plan will describe </w:t>
      </w:r>
      <w:r w:rsidR="00183E26" w:rsidRPr="00183E26">
        <w:t xml:space="preserve">in more detail </w:t>
      </w:r>
      <w:r w:rsidRPr="00183E26">
        <w:t>the planned processes and mechanisms that will ensure the vision, goals and objectives of th</w:t>
      </w:r>
      <w:r w:rsidR="00183E26" w:rsidRPr="00183E26">
        <w:t>is</w:t>
      </w:r>
      <w:r w:rsidRPr="00183E26">
        <w:t xml:space="preserve"> Strategy are met.  Implementation aspects do not feature in detail in the Strategy document as they are prone to evolve according to environmental and political changes</w:t>
      </w:r>
      <w:r w:rsidR="00183E26" w:rsidRPr="00183E26">
        <w:t>,</w:t>
      </w:r>
      <w:r w:rsidRPr="00183E26">
        <w:t xml:space="preserve"> </w:t>
      </w:r>
      <w:r w:rsidR="00183E26" w:rsidRPr="00183E26">
        <w:t xml:space="preserve">together with </w:t>
      </w:r>
      <w:r w:rsidRPr="00183E26">
        <w:t xml:space="preserve">challenges and experiences collected along the way. The </w:t>
      </w:r>
      <w:r w:rsidR="00183E26" w:rsidRPr="00183E26">
        <w:t xml:space="preserve">HFS </w:t>
      </w:r>
      <w:r w:rsidRPr="00183E26">
        <w:t>implementation plan will prioritize and sequence planned interventions, detail roles and responsibilities of each involved institution</w:t>
      </w:r>
      <w:r w:rsidR="00183E26" w:rsidRPr="00183E26">
        <w:t>,</w:t>
      </w:r>
      <w:r w:rsidRPr="00183E26">
        <w:t xml:space="preserve"> and </w:t>
      </w:r>
      <w:r w:rsidR="00183E26" w:rsidRPr="00183E26">
        <w:t xml:space="preserve">set out </w:t>
      </w:r>
      <w:r w:rsidRPr="00183E26">
        <w:t>the resources needed to realize the envisaged plan.</w:t>
      </w:r>
    </w:p>
    <w:p w:rsidR="00F45012" w:rsidRPr="00EB4F0C" w:rsidRDefault="00F45012" w:rsidP="002E07C5">
      <w:pPr>
        <w:pStyle w:val="ListParagraph"/>
        <w:ind w:left="360"/>
        <w:rPr>
          <w:rFonts w:cs="Arial"/>
          <w:szCs w:val="24"/>
        </w:rPr>
      </w:pPr>
    </w:p>
    <w:p w:rsidR="00AF101F" w:rsidRPr="00EB4F0C" w:rsidRDefault="00701530" w:rsidP="00695196">
      <w:pPr>
        <w:pStyle w:val="Heading1"/>
      </w:pPr>
      <w:bookmarkStart w:id="62" w:name="_Toc406497997"/>
      <w:r w:rsidRPr="00EB4F0C">
        <w:lastRenderedPageBreak/>
        <w:t>Result</w:t>
      </w:r>
      <w:r w:rsidR="00183E26">
        <w:t>s</w:t>
      </w:r>
      <w:r w:rsidRPr="00EB4F0C">
        <w:t xml:space="preserve"> framework</w:t>
      </w:r>
      <w:r w:rsidR="00AF101F" w:rsidRPr="00EB4F0C">
        <w:t xml:space="preserve">: </w:t>
      </w:r>
      <w:r w:rsidR="00B14C64" w:rsidRPr="00EB4F0C">
        <w:t>Priority Interventions, R</w:t>
      </w:r>
      <w:r w:rsidR="00AF101F" w:rsidRPr="00EB4F0C">
        <w:t>esults and Indicators</w:t>
      </w:r>
      <w:bookmarkEnd w:id="62"/>
      <w:r w:rsidR="00695196">
        <w:t xml:space="preserve"> </w:t>
      </w:r>
    </w:p>
    <w:p w:rsidR="003F076E" w:rsidRPr="001069BC" w:rsidRDefault="003F076E" w:rsidP="003F076E">
      <w:pPr>
        <w:pStyle w:val="Heading2"/>
      </w:pPr>
      <w:bookmarkStart w:id="63" w:name="_Toc406497998"/>
      <w:r>
        <w:t>Governance</w:t>
      </w:r>
      <w:bookmarkEnd w:id="63"/>
    </w:p>
    <w:p w:rsidR="003F076E" w:rsidRPr="00EB4F0C" w:rsidRDefault="003F076E" w:rsidP="003F076E">
      <w:pPr>
        <w:pStyle w:val="ListParagraph"/>
        <w:rPr>
          <w:rFonts w:cs="Arial"/>
          <w:szCs w:val="24"/>
        </w:rPr>
      </w:pPr>
    </w:p>
    <w:p w:rsidR="003F076E" w:rsidRDefault="003F076E" w:rsidP="003F076E">
      <w:pPr>
        <w:spacing w:after="200"/>
        <w:jc w:val="left"/>
      </w:pPr>
    </w:p>
    <w:p w:rsidR="00663C52" w:rsidRDefault="000C262C" w:rsidP="003F076E">
      <w:pPr>
        <w:spacing w:after="200"/>
        <w:jc w:val="left"/>
      </w:pPr>
      <w:r>
        <w:rPr>
          <w:noProof/>
          <w:lang w:val="de-DE" w:eastAsia="de-DE"/>
        </w:rPr>
        <w:drawing>
          <wp:inline distT="0" distB="0" distL="0" distR="0">
            <wp:extent cx="6648450" cy="3728262"/>
            <wp:effectExtent l="0" t="0" r="0" b="5715"/>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648450" cy="3728262"/>
                    </a:xfrm>
                    <a:prstGeom prst="rect">
                      <a:avLst/>
                    </a:prstGeom>
                    <a:noFill/>
                  </pic:spPr>
                </pic:pic>
              </a:graphicData>
            </a:graphic>
          </wp:inline>
        </w:drawing>
      </w:r>
    </w:p>
    <w:p w:rsidR="003F076E" w:rsidRDefault="003F076E" w:rsidP="003F076E">
      <w:pPr>
        <w:pStyle w:val="Heading2"/>
      </w:pPr>
      <w:bookmarkStart w:id="64" w:name="_Toc406497999"/>
      <w:r>
        <w:t>Revenue Collection</w:t>
      </w:r>
      <w:bookmarkEnd w:id="64"/>
    </w:p>
    <w:p w:rsidR="00663C52" w:rsidRDefault="00663C52" w:rsidP="003F076E">
      <w:pPr>
        <w:spacing w:after="200"/>
        <w:jc w:val="left"/>
        <w:rPr>
          <w:rStyle w:val="Heading2Char"/>
        </w:rPr>
      </w:pPr>
    </w:p>
    <w:p w:rsidR="00663C52" w:rsidRDefault="00663C52" w:rsidP="003F076E">
      <w:pPr>
        <w:spacing w:after="200"/>
        <w:jc w:val="left"/>
        <w:rPr>
          <w:rStyle w:val="Heading2Char"/>
        </w:rPr>
      </w:pPr>
    </w:p>
    <w:p w:rsidR="00663C52" w:rsidRDefault="000C262C" w:rsidP="003F076E">
      <w:pPr>
        <w:spacing w:after="200"/>
        <w:jc w:val="left"/>
        <w:rPr>
          <w:rStyle w:val="Heading2Char"/>
        </w:rPr>
      </w:pPr>
      <w:r>
        <w:rPr>
          <w:rFonts w:asciiTheme="majorHAnsi" w:eastAsiaTheme="majorEastAsia" w:hAnsiTheme="majorHAnsi" w:cstheme="majorBidi"/>
          <w:noProof/>
          <w:color w:val="365F91" w:themeColor="accent1" w:themeShade="BF"/>
          <w:sz w:val="28"/>
          <w:szCs w:val="26"/>
          <w:lang w:val="de-DE" w:eastAsia="de-DE"/>
        </w:rPr>
        <w:lastRenderedPageBreak/>
        <w:drawing>
          <wp:inline distT="0" distB="0" distL="0" distR="0">
            <wp:extent cx="6800850" cy="3548499"/>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801069" cy="3548613"/>
                    </a:xfrm>
                    <a:prstGeom prst="rect">
                      <a:avLst/>
                    </a:prstGeom>
                    <a:noFill/>
                  </pic:spPr>
                </pic:pic>
              </a:graphicData>
            </a:graphic>
          </wp:inline>
        </w:drawing>
      </w:r>
    </w:p>
    <w:p w:rsidR="003F076E" w:rsidRPr="003F076E" w:rsidRDefault="003F076E" w:rsidP="003F076E">
      <w:pPr>
        <w:spacing w:after="200"/>
        <w:jc w:val="left"/>
        <w:rPr>
          <w:rStyle w:val="Heading2Char"/>
        </w:rPr>
      </w:pPr>
      <w:bookmarkStart w:id="65" w:name="_Toc406498000"/>
      <w:r>
        <w:rPr>
          <w:rStyle w:val="Heading2Char"/>
        </w:rPr>
        <w:t xml:space="preserve">7.3 </w:t>
      </w:r>
      <w:r w:rsidRPr="003F076E">
        <w:rPr>
          <w:rStyle w:val="Heading2Char"/>
        </w:rPr>
        <w:t>Pooling</w:t>
      </w:r>
      <w:bookmarkEnd w:id="65"/>
    </w:p>
    <w:p w:rsidR="003F076E" w:rsidRDefault="003F076E" w:rsidP="003F076E">
      <w:pPr>
        <w:spacing w:after="200"/>
        <w:jc w:val="left"/>
        <w:rPr>
          <w:rFonts w:asciiTheme="majorHAnsi" w:eastAsiaTheme="majorEastAsia" w:hAnsiTheme="majorHAnsi" w:cstheme="majorBidi"/>
          <w:color w:val="17365D" w:themeColor="text2" w:themeShade="BF"/>
          <w:spacing w:val="5"/>
          <w:kern w:val="28"/>
          <w:sz w:val="32"/>
          <w:szCs w:val="52"/>
        </w:rPr>
      </w:pPr>
    </w:p>
    <w:p w:rsidR="008D4D14" w:rsidRDefault="008D4D14" w:rsidP="003F076E">
      <w:pPr>
        <w:spacing w:after="200"/>
        <w:jc w:val="left"/>
        <w:rPr>
          <w:rFonts w:asciiTheme="majorHAnsi" w:eastAsiaTheme="majorEastAsia" w:hAnsiTheme="majorHAnsi" w:cstheme="majorBidi"/>
          <w:color w:val="17365D" w:themeColor="text2" w:themeShade="BF"/>
          <w:spacing w:val="5"/>
          <w:kern w:val="28"/>
          <w:sz w:val="32"/>
          <w:szCs w:val="52"/>
        </w:rPr>
      </w:pPr>
    </w:p>
    <w:p w:rsidR="00663C52" w:rsidRDefault="000C262C" w:rsidP="003F076E">
      <w:pPr>
        <w:spacing w:after="200"/>
        <w:jc w:val="left"/>
        <w:rPr>
          <w:rFonts w:asciiTheme="majorHAnsi" w:eastAsiaTheme="majorEastAsia" w:hAnsiTheme="majorHAnsi" w:cstheme="majorBidi"/>
          <w:color w:val="17365D" w:themeColor="text2" w:themeShade="BF"/>
          <w:spacing w:val="5"/>
          <w:kern w:val="28"/>
          <w:sz w:val="32"/>
          <w:szCs w:val="52"/>
        </w:rPr>
      </w:pPr>
      <w:r>
        <w:rPr>
          <w:rFonts w:asciiTheme="majorHAnsi" w:eastAsiaTheme="majorEastAsia" w:hAnsiTheme="majorHAnsi" w:cstheme="majorBidi"/>
          <w:noProof/>
          <w:color w:val="17365D" w:themeColor="text2" w:themeShade="BF"/>
          <w:spacing w:val="5"/>
          <w:kern w:val="28"/>
          <w:sz w:val="32"/>
          <w:szCs w:val="52"/>
          <w:lang w:val="de-DE" w:eastAsia="de-DE"/>
        </w:rPr>
        <w:drawing>
          <wp:inline distT="0" distB="0" distL="0" distR="0">
            <wp:extent cx="7239000" cy="3167942"/>
            <wp:effectExtent l="0" t="0" r="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237392" cy="3167239"/>
                    </a:xfrm>
                    <a:prstGeom prst="rect">
                      <a:avLst/>
                    </a:prstGeom>
                    <a:noFill/>
                  </pic:spPr>
                </pic:pic>
              </a:graphicData>
            </a:graphic>
          </wp:inline>
        </w:drawing>
      </w:r>
    </w:p>
    <w:p w:rsidR="00663C52" w:rsidRDefault="00663C52" w:rsidP="003F076E">
      <w:pPr>
        <w:spacing w:after="200"/>
        <w:jc w:val="left"/>
        <w:rPr>
          <w:rFonts w:asciiTheme="majorHAnsi" w:eastAsiaTheme="majorEastAsia" w:hAnsiTheme="majorHAnsi" w:cstheme="majorBidi"/>
          <w:color w:val="17365D" w:themeColor="text2" w:themeShade="BF"/>
          <w:spacing w:val="5"/>
          <w:kern w:val="28"/>
          <w:sz w:val="32"/>
          <w:szCs w:val="52"/>
        </w:rPr>
      </w:pPr>
    </w:p>
    <w:p w:rsidR="008D4D14" w:rsidRDefault="008D4D14" w:rsidP="003F076E">
      <w:pPr>
        <w:spacing w:after="200"/>
        <w:jc w:val="left"/>
        <w:rPr>
          <w:rFonts w:asciiTheme="majorHAnsi" w:eastAsiaTheme="majorEastAsia" w:hAnsiTheme="majorHAnsi" w:cstheme="majorBidi"/>
          <w:color w:val="17365D" w:themeColor="text2" w:themeShade="BF"/>
          <w:spacing w:val="5"/>
          <w:kern w:val="28"/>
          <w:sz w:val="32"/>
          <w:szCs w:val="52"/>
        </w:rPr>
      </w:pPr>
    </w:p>
    <w:p w:rsidR="008D4D14" w:rsidRDefault="008D4D14" w:rsidP="003F076E">
      <w:pPr>
        <w:spacing w:after="200"/>
        <w:jc w:val="left"/>
        <w:rPr>
          <w:rFonts w:asciiTheme="majorHAnsi" w:eastAsiaTheme="majorEastAsia" w:hAnsiTheme="majorHAnsi" w:cstheme="majorBidi"/>
          <w:color w:val="17365D" w:themeColor="text2" w:themeShade="BF"/>
          <w:spacing w:val="5"/>
          <w:kern w:val="28"/>
          <w:sz w:val="32"/>
          <w:szCs w:val="52"/>
        </w:rPr>
      </w:pPr>
    </w:p>
    <w:p w:rsidR="003F076E" w:rsidRDefault="003F076E" w:rsidP="003F076E">
      <w:pPr>
        <w:spacing w:after="200"/>
        <w:jc w:val="left"/>
        <w:rPr>
          <w:rFonts w:asciiTheme="majorHAnsi" w:eastAsiaTheme="majorEastAsia" w:hAnsiTheme="majorHAnsi" w:cstheme="majorBidi"/>
          <w:noProof/>
          <w:color w:val="17365D" w:themeColor="text2" w:themeShade="BF"/>
          <w:spacing w:val="5"/>
          <w:kern w:val="28"/>
          <w:sz w:val="32"/>
          <w:szCs w:val="52"/>
          <w:lang w:val="de-DE" w:eastAsia="de-DE"/>
        </w:rPr>
      </w:pPr>
    </w:p>
    <w:p w:rsidR="008D4D14" w:rsidRDefault="000C262C" w:rsidP="003F076E">
      <w:pPr>
        <w:spacing w:after="200"/>
        <w:jc w:val="left"/>
        <w:rPr>
          <w:rFonts w:asciiTheme="majorHAnsi" w:eastAsiaTheme="majorEastAsia" w:hAnsiTheme="majorHAnsi" w:cstheme="majorBidi"/>
          <w:color w:val="17365D" w:themeColor="text2" w:themeShade="BF"/>
          <w:spacing w:val="5"/>
          <w:kern w:val="28"/>
          <w:sz w:val="32"/>
          <w:szCs w:val="52"/>
        </w:rPr>
      </w:pPr>
      <w:bookmarkStart w:id="66" w:name="_GoBack"/>
      <w:bookmarkEnd w:id="66"/>
      <w:r>
        <w:rPr>
          <w:rFonts w:asciiTheme="majorHAnsi" w:eastAsiaTheme="majorEastAsia" w:hAnsiTheme="majorHAnsi" w:cstheme="majorBidi"/>
          <w:noProof/>
          <w:color w:val="17365D" w:themeColor="text2" w:themeShade="BF"/>
          <w:spacing w:val="5"/>
          <w:kern w:val="28"/>
          <w:sz w:val="32"/>
          <w:szCs w:val="52"/>
          <w:lang w:val="de-DE" w:eastAsia="de-DE"/>
        </w:rPr>
        <w:drawing>
          <wp:inline distT="0" distB="0" distL="0" distR="0">
            <wp:extent cx="6709275" cy="3985072"/>
            <wp:effectExtent l="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707549" cy="3984047"/>
                    </a:xfrm>
                    <a:prstGeom prst="rect">
                      <a:avLst/>
                    </a:prstGeom>
                    <a:noFill/>
                  </pic:spPr>
                </pic:pic>
              </a:graphicData>
            </a:graphic>
          </wp:inline>
        </w:drawing>
      </w:r>
    </w:p>
    <w:p w:rsidR="003F076E" w:rsidRDefault="003F076E" w:rsidP="003F076E">
      <w:r>
        <w:t>T1:</w:t>
      </w:r>
      <w:r w:rsidRPr="001069BC">
        <w:t xml:space="preserve"> Effective claim and reimbursement systems in place</w:t>
      </w:r>
    </w:p>
    <w:p w:rsidR="003F076E" w:rsidRDefault="003F076E" w:rsidP="003F076E">
      <w:r>
        <w:t>T2:</w:t>
      </w:r>
      <w:r w:rsidRPr="001069BC">
        <w:t xml:space="preserve"> RBF rolled-out to all regions</w:t>
      </w:r>
    </w:p>
    <w:p w:rsidR="003F076E" w:rsidRDefault="003F076E" w:rsidP="003F076E">
      <w:r>
        <w:t>T3:</w:t>
      </w:r>
      <w:r w:rsidRPr="001069BC">
        <w:t xml:space="preserve"> Accurate database systems produced</w:t>
      </w:r>
    </w:p>
    <w:p w:rsidR="00967CC8" w:rsidRPr="003F076E" w:rsidRDefault="003F076E" w:rsidP="003F076E">
      <w:pPr>
        <w:rPr>
          <w:rFonts w:cs="Arial"/>
          <w:b/>
          <w:szCs w:val="24"/>
          <w:highlight w:val="yellow"/>
        </w:rPr>
      </w:pPr>
      <w:r>
        <w:t>T4:</w:t>
      </w:r>
      <w:r w:rsidRPr="001069BC">
        <w:t xml:space="preserve"> Unified HMIS</w:t>
      </w:r>
    </w:p>
    <w:p w:rsidR="00A9551F" w:rsidRPr="00EB4F0C" w:rsidRDefault="00A9551F" w:rsidP="002E07C5">
      <w:pPr>
        <w:pStyle w:val="ListParagraph"/>
        <w:rPr>
          <w:rFonts w:cs="Arial"/>
          <w:szCs w:val="24"/>
        </w:rPr>
      </w:pPr>
    </w:p>
    <w:p w:rsidR="00A62A27" w:rsidRDefault="00A62A27">
      <w:pPr>
        <w:spacing w:after="200"/>
        <w:jc w:val="left"/>
        <w:rPr>
          <w:rFonts w:asciiTheme="majorHAnsi" w:eastAsiaTheme="majorEastAsia" w:hAnsiTheme="majorHAnsi" w:cstheme="majorBidi"/>
          <w:color w:val="17365D" w:themeColor="text2" w:themeShade="BF"/>
          <w:spacing w:val="5"/>
          <w:kern w:val="28"/>
          <w:sz w:val="32"/>
          <w:szCs w:val="52"/>
        </w:rPr>
      </w:pPr>
      <w:r>
        <w:br w:type="page"/>
      </w:r>
    </w:p>
    <w:p w:rsidR="00A9551F" w:rsidRPr="00EB4F0C" w:rsidRDefault="00A61457" w:rsidP="00A62A27">
      <w:pPr>
        <w:pStyle w:val="Title"/>
      </w:pPr>
      <w:r w:rsidRPr="00EB4F0C">
        <w:lastRenderedPageBreak/>
        <w:t>References</w:t>
      </w:r>
    </w:p>
    <w:p w:rsidR="00DB7FA2" w:rsidRDefault="00DB7FA2" w:rsidP="00A62A27">
      <w:pPr>
        <w:pStyle w:val="ListParagraph"/>
        <w:spacing w:after="120"/>
        <w:ind w:left="0"/>
        <w:contextualSpacing w:val="0"/>
        <w:rPr>
          <w:rFonts w:cs="Arial"/>
          <w:szCs w:val="24"/>
        </w:rPr>
      </w:pPr>
    </w:p>
    <w:p w:rsidR="005C2B92" w:rsidRDefault="005C2B92" w:rsidP="00DB7FA2">
      <w:pPr>
        <w:pStyle w:val="ListParagraph"/>
        <w:spacing w:after="120"/>
        <w:ind w:hanging="720"/>
        <w:contextualSpacing w:val="0"/>
        <w:rPr>
          <w:rFonts w:cs="Arial"/>
          <w:szCs w:val="24"/>
        </w:rPr>
      </w:pPr>
    </w:p>
    <w:p w:rsidR="00DB7FA2" w:rsidRDefault="00DB7FA2" w:rsidP="00DB7FA2">
      <w:pPr>
        <w:pStyle w:val="ListParagraph"/>
        <w:spacing w:after="120"/>
        <w:ind w:hanging="720"/>
        <w:contextualSpacing w:val="0"/>
        <w:rPr>
          <w:rFonts w:cs="Arial"/>
          <w:szCs w:val="24"/>
        </w:rPr>
      </w:pPr>
      <w:r w:rsidRPr="000F240A">
        <w:rPr>
          <w:rFonts w:cs="Arial"/>
          <w:szCs w:val="24"/>
          <w:lang w:val="es-ES"/>
        </w:rPr>
        <w:t xml:space="preserve">Fuenzalida H and Kuper M (2013).  </w:t>
      </w:r>
      <w:r>
        <w:rPr>
          <w:rFonts w:cs="Arial"/>
          <w:szCs w:val="24"/>
        </w:rPr>
        <w:t xml:space="preserve">Study on Provider Autonomy (Local and Primary Health Care Levels).  Report prepared for the Tanzanian Health Financing Strategy.  Oct/Dec 2013. </w:t>
      </w:r>
    </w:p>
    <w:p w:rsidR="00894733" w:rsidRDefault="00894733" w:rsidP="00DB7FA2">
      <w:pPr>
        <w:pStyle w:val="ListParagraph"/>
        <w:spacing w:after="120"/>
        <w:ind w:hanging="720"/>
        <w:contextualSpacing w:val="0"/>
        <w:rPr>
          <w:rFonts w:cs="Arial"/>
          <w:szCs w:val="24"/>
        </w:rPr>
      </w:pPr>
      <w:proofErr w:type="gramStart"/>
      <w:r>
        <w:rPr>
          <w:rFonts w:cs="Arial"/>
          <w:szCs w:val="24"/>
        </w:rPr>
        <w:t>MOF (2013).</w:t>
      </w:r>
      <w:proofErr w:type="gramEnd"/>
      <w:r>
        <w:rPr>
          <w:rFonts w:cs="Arial"/>
          <w:szCs w:val="24"/>
        </w:rPr>
        <w:t xml:space="preserve"> </w:t>
      </w:r>
      <w:r w:rsidRPr="00894733">
        <w:rPr>
          <w:rFonts w:cs="Arial"/>
          <w:szCs w:val="24"/>
        </w:rPr>
        <w:t>M</w:t>
      </w:r>
      <w:r>
        <w:rPr>
          <w:rFonts w:cs="Arial"/>
          <w:szCs w:val="24"/>
        </w:rPr>
        <w:t xml:space="preserve">acroeconomic Policy Framework for the Five Year Development Plan/Budget 2013/14 – 2016/17.  March 2013. </w:t>
      </w:r>
    </w:p>
    <w:p w:rsidR="0064699C" w:rsidRDefault="00A62A27" w:rsidP="00A62A27">
      <w:pPr>
        <w:pStyle w:val="ListParagraph"/>
        <w:spacing w:after="120"/>
        <w:ind w:left="0"/>
        <w:contextualSpacing w:val="0"/>
        <w:rPr>
          <w:rFonts w:cs="Arial"/>
          <w:szCs w:val="24"/>
        </w:rPr>
      </w:pPr>
      <w:r>
        <w:rPr>
          <w:rFonts w:cs="Arial"/>
          <w:szCs w:val="24"/>
        </w:rPr>
        <w:t>MOHSW (2009) Health Sector Strategic Plan III (2009 – 2015)</w:t>
      </w:r>
    </w:p>
    <w:p w:rsidR="00830EB8" w:rsidRDefault="00830EB8" w:rsidP="00A62A27">
      <w:pPr>
        <w:pStyle w:val="ListParagraph"/>
        <w:spacing w:after="120"/>
        <w:ind w:left="0"/>
        <w:contextualSpacing w:val="0"/>
        <w:rPr>
          <w:rFonts w:cs="Arial"/>
          <w:szCs w:val="24"/>
        </w:rPr>
      </w:pPr>
      <w:r>
        <w:rPr>
          <w:rFonts w:cs="Arial"/>
          <w:szCs w:val="24"/>
        </w:rPr>
        <w:t>MOHSW (20</w:t>
      </w:r>
      <w:r w:rsidR="008E78B5">
        <w:rPr>
          <w:rFonts w:cs="Arial"/>
          <w:szCs w:val="24"/>
        </w:rPr>
        <w:t>12</w:t>
      </w:r>
      <w:r>
        <w:rPr>
          <w:rFonts w:cs="Arial"/>
          <w:szCs w:val="24"/>
        </w:rPr>
        <w:t>) National Health Accounts 2009/10</w:t>
      </w:r>
    </w:p>
    <w:p w:rsidR="005D4257" w:rsidRDefault="005D4257" w:rsidP="00B505C2">
      <w:pPr>
        <w:pStyle w:val="ListParagraph"/>
        <w:spacing w:after="120"/>
        <w:ind w:hanging="720"/>
        <w:contextualSpacing w:val="0"/>
        <w:rPr>
          <w:rFonts w:cs="Arial"/>
          <w:szCs w:val="24"/>
        </w:rPr>
      </w:pPr>
      <w:proofErr w:type="gramStart"/>
      <w:r>
        <w:rPr>
          <w:rFonts w:cs="Arial"/>
          <w:szCs w:val="24"/>
        </w:rPr>
        <w:t>MOHSW (2013)</w:t>
      </w:r>
      <w:r w:rsidR="00112E3E">
        <w:rPr>
          <w:rFonts w:cs="Arial"/>
          <w:szCs w:val="24"/>
        </w:rPr>
        <w:t>.</w:t>
      </w:r>
      <w:proofErr w:type="gramEnd"/>
      <w:r w:rsidR="00B505C2">
        <w:rPr>
          <w:rFonts w:cs="Arial"/>
          <w:szCs w:val="24"/>
        </w:rPr>
        <w:t xml:space="preserve">  </w:t>
      </w:r>
      <w:r w:rsidR="00B505C2" w:rsidRPr="00B505C2">
        <w:rPr>
          <w:rFonts w:cs="Arial"/>
          <w:szCs w:val="24"/>
        </w:rPr>
        <w:t>Mid Term Review of the</w:t>
      </w:r>
      <w:r w:rsidR="00B505C2">
        <w:rPr>
          <w:rFonts w:cs="Arial"/>
          <w:szCs w:val="24"/>
        </w:rPr>
        <w:t xml:space="preserve"> </w:t>
      </w:r>
      <w:r w:rsidR="00B505C2" w:rsidRPr="00B505C2">
        <w:rPr>
          <w:rFonts w:cs="Arial"/>
          <w:szCs w:val="24"/>
        </w:rPr>
        <w:t>Health Sector Strategic Plan III 2009-2015</w:t>
      </w:r>
      <w:r w:rsidR="00B505C2">
        <w:rPr>
          <w:rFonts w:cs="Arial"/>
          <w:szCs w:val="24"/>
        </w:rPr>
        <w:t xml:space="preserve">. </w:t>
      </w:r>
      <w:proofErr w:type="gramStart"/>
      <w:r w:rsidR="00B505C2" w:rsidRPr="00B505C2">
        <w:rPr>
          <w:rFonts w:cs="Arial"/>
          <w:szCs w:val="24"/>
        </w:rPr>
        <w:t>Main Report</w:t>
      </w:r>
      <w:r w:rsidR="003F2AF4">
        <w:rPr>
          <w:rFonts w:cs="Arial"/>
          <w:szCs w:val="24"/>
        </w:rPr>
        <w:t>.</w:t>
      </w:r>
      <w:proofErr w:type="gramEnd"/>
      <w:r w:rsidR="003F2AF4">
        <w:rPr>
          <w:rFonts w:cs="Arial"/>
          <w:szCs w:val="24"/>
        </w:rPr>
        <w:t xml:space="preserve"> </w:t>
      </w:r>
      <w:r>
        <w:rPr>
          <w:rFonts w:cs="Arial"/>
          <w:szCs w:val="24"/>
        </w:rPr>
        <w:t xml:space="preserve"> </w:t>
      </w:r>
    </w:p>
    <w:p w:rsidR="003F2AF4" w:rsidRDefault="003F2AF4" w:rsidP="00B505C2">
      <w:pPr>
        <w:pStyle w:val="ListParagraph"/>
        <w:spacing w:after="120"/>
        <w:ind w:hanging="720"/>
        <w:contextualSpacing w:val="0"/>
        <w:rPr>
          <w:rFonts w:cs="Arial"/>
          <w:szCs w:val="24"/>
        </w:rPr>
      </w:pPr>
      <w:proofErr w:type="gramStart"/>
      <w:r w:rsidRPr="003F2AF4">
        <w:rPr>
          <w:rFonts w:cs="Arial"/>
          <w:szCs w:val="24"/>
        </w:rPr>
        <w:t>MOHSW, 2013.</w:t>
      </w:r>
      <w:proofErr w:type="gramEnd"/>
      <w:r w:rsidRPr="003F2AF4">
        <w:rPr>
          <w:rFonts w:cs="Arial"/>
          <w:szCs w:val="24"/>
        </w:rPr>
        <w:t xml:space="preserve"> Mid Term Review of the Health Sector Strategic Plan III 2009 – 2015, Health Care Financing, Technical Report, Ministry of Health and Social Welfare, United Republic of Tanzania.</w:t>
      </w:r>
    </w:p>
    <w:p w:rsidR="00950458" w:rsidRDefault="00950458" w:rsidP="00A62A27">
      <w:pPr>
        <w:pStyle w:val="ListParagraph"/>
        <w:spacing w:after="120"/>
        <w:ind w:left="0"/>
        <w:contextualSpacing w:val="0"/>
        <w:rPr>
          <w:rFonts w:cs="Arial"/>
          <w:szCs w:val="24"/>
        </w:rPr>
      </w:pPr>
      <w:r>
        <w:rPr>
          <w:rFonts w:cs="Arial"/>
          <w:szCs w:val="24"/>
        </w:rPr>
        <w:t>MOHSW (2014</w:t>
      </w:r>
      <w:r w:rsidR="007640BD">
        <w:rPr>
          <w:rFonts w:cs="Arial"/>
          <w:szCs w:val="24"/>
        </w:rPr>
        <w:t>a</w:t>
      </w:r>
      <w:r>
        <w:rPr>
          <w:rFonts w:cs="Arial"/>
          <w:szCs w:val="24"/>
        </w:rPr>
        <w:t>)</w:t>
      </w:r>
      <w:r w:rsidR="00B505C2">
        <w:rPr>
          <w:rFonts w:cs="Arial"/>
          <w:szCs w:val="24"/>
        </w:rPr>
        <w:t>.</w:t>
      </w:r>
      <w:r>
        <w:rPr>
          <w:rFonts w:cs="Arial"/>
          <w:szCs w:val="24"/>
        </w:rPr>
        <w:t xml:space="preserve">  National Health Accounts FY 2011/12</w:t>
      </w:r>
    </w:p>
    <w:p w:rsidR="007640BD" w:rsidRDefault="007640BD" w:rsidP="00A62A27">
      <w:pPr>
        <w:pStyle w:val="ListParagraph"/>
        <w:spacing w:after="120"/>
        <w:ind w:left="0"/>
        <w:contextualSpacing w:val="0"/>
        <w:rPr>
          <w:rFonts w:cs="Arial"/>
          <w:szCs w:val="24"/>
        </w:rPr>
      </w:pPr>
      <w:proofErr w:type="gramStart"/>
      <w:r>
        <w:rPr>
          <w:rFonts w:cs="Arial"/>
          <w:szCs w:val="24"/>
        </w:rPr>
        <w:t>MOHSW (2014b)</w:t>
      </w:r>
      <w:r w:rsidR="00B505C2">
        <w:rPr>
          <w:rFonts w:cs="Arial"/>
          <w:szCs w:val="24"/>
        </w:rPr>
        <w:t>.</w:t>
      </w:r>
      <w:proofErr w:type="gramEnd"/>
      <w:r>
        <w:rPr>
          <w:rFonts w:cs="Arial"/>
          <w:szCs w:val="24"/>
        </w:rPr>
        <w:t xml:space="preserve"> Health Sector Public Expenditure Review FY 2012/13</w:t>
      </w:r>
    </w:p>
    <w:p w:rsidR="00950458" w:rsidRPr="00950458" w:rsidRDefault="00950458" w:rsidP="00DB7FA2">
      <w:pPr>
        <w:pStyle w:val="ListParagraph"/>
        <w:spacing w:after="120"/>
        <w:ind w:left="0"/>
        <w:rPr>
          <w:rFonts w:cs="Arial"/>
          <w:szCs w:val="24"/>
        </w:rPr>
      </w:pPr>
      <w:proofErr w:type="gramStart"/>
      <w:r>
        <w:rPr>
          <w:rFonts w:cs="Arial"/>
          <w:szCs w:val="24"/>
        </w:rPr>
        <w:t>Mtei G and Bultman J (2013.</w:t>
      </w:r>
      <w:proofErr w:type="gramEnd"/>
      <w:r>
        <w:rPr>
          <w:rFonts w:cs="Arial"/>
          <w:szCs w:val="24"/>
        </w:rPr>
        <w:t xml:space="preserve"> </w:t>
      </w:r>
      <w:r w:rsidRPr="00950458">
        <w:rPr>
          <w:rFonts w:cs="Arial"/>
          <w:szCs w:val="24"/>
        </w:rPr>
        <w:t>Tanzania</w:t>
      </w:r>
      <w:r>
        <w:rPr>
          <w:rFonts w:cs="Arial"/>
          <w:szCs w:val="24"/>
        </w:rPr>
        <w:t xml:space="preserve"> </w:t>
      </w:r>
      <w:r w:rsidRPr="00950458">
        <w:rPr>
          <w:rFonts w:cs="Arial"/>
          <w:szCs w:val="24"/>
        </w:rPr>
        <w:t>Health Insurance Institutional Assessment</w:t>
      </w:r>
    </w:p>
    <w:p w:rsidR="00950458" w:rsidRDefault="00950458" w:rsidP="00894733">
      <w:pPr>
        <w:pStyle w:val="ListParagraph"/>
        <w:spacing w:after="120"/>
        <w:contextualSpacing w:val="0"/>
        <w:rPr>
          <w:rFonts w:cs="Arial"/>
          <w:szCs w:val="24"/>
        </w:rPr>
      </w:pPr>
      <w:r w:rsidRPr="00950458">
        <w:rPr>
          <w:rFonts w:cs="Arial"/>
          <w:szCs w:val="24"/>
        </w:rPr>
        <w:t>In support of Health Financing Strategy Development</w:t>
      </w:r>
    </w:p>
    <w:p w:rsidR="00F72D1D" w:rsidRPr="00950458" w:rsidRDefault="00F72D1D" w:rsidP="00F72D1D">
      <w:pPr>
        <w:pStyle w:val="ListParagraph"/>
        <w:spacing w:after="120"/>
        <w:ind w:hanging="720"/>
        <w:contextualSpacing w:val="0"/>
        <w:rPr>
          <w:rFonts w:cs="Arial"/>
          <w:szCs w:val="24"/>
        </w:rPr>
      </w:pPr>
      <w:proofErr w:type="gramStart"/>
      <w:r>
        <w:rPr>
          <w:rFonts w:cs="Arial"/>
          <w:szCs w:val="24"/>
        </w:rPr>
        <w:t xml:space="preserve">Mtei G and </w:t>
      </w:r>
      <w:proofErr w:type="spellStart"/>
      <w:r>
        <w:rPr>
          <w:rFonts w:cs="Arial"/>
          <w:szCs w:val="24"/>
        </w:rPr>
        <w:t>Enemark</w:t>
      </w:r>
      <w:proofErr w:type="spellEnd"/>
      <w:r>
        <w:rPr>
          <w:rFonts w:cs="Arial"/>
          <w:szCs w:val="24"/>
        </w:rPr>
        <w:t xml:space="preserve"> U (2013).</w:t>
      </w:r>
      <w:proofErr w:type="gramEnd"/>
      <w:r>
        <w:rPr>
          <w:rFonts w:cs="Arial"/>
          <w:szCs w:val="24"/>
        </w:rPr>
        <w:t xml:space="preserve">  Reform options for the CHF Systems.  </w:t>
      </w:r>
      <w:proofErr w:type="gramStart"/>
      <w:r>
        <w:rPr>
          <w:rFonts w:cs="Arial"/>
          <w:szCs w:val="24"/>
        </w:rPr>
        <w:t>Final Report.</w:t>
      </w:r>
      <w:proofErr w:type="gramEnd"/>
      <w:r>
        <w:rPr>
          <w:rFonts w:cs="Arial"/>
          <w:szCs w:val="24"/>
        </w:rPr>
        <w:t xml:space="preserve">  October 2013.</w:t>
      </w:r>
    </w:p>
    <w:p w:rsidR="00830EB8" w:rsidRDefault="00830EB8" w:rsidP="00A62A27">
      <w:pPr>
        <w:pStyle w:val="ListParagraph"/>
        <w:spacing w:after="120"/>
        <w:ind w:left="0"/>
        <w:contextualSpacing w:val="0"/>
        <w:rPr>
          <w:rFonts w:cs="Arial"/>
          <w:szCs w:val="24"/>
        </w:rPr>
      </w:pPr>
      <w:r>
        <w:rPr>
          <w:rFonts w:cs="Arial"/>
          <w:szCs w:val="24"/>
        </w:rPr>
        <w:t>NBOS (2013a) Tanzania Population and Housing Census</w:t>
      </w:r>
    </w:p>
    <w:p w:rsidR="00A62A27" w:rsidRDefault="00A62A27" w:rsidP="00A62A27">
      <w:pPr>
        <w:pStyle w:val="ListParagraph"/>
        <w:spacing w:after="120"/>
        <w:ind w:left="0"/>
        <w:contextualSpacing w:val="0"/>
        <w:rPr>
          <w:rFonts w:cs="Arial"/>
          <w:szCs w:val="24"/>
        </w:rPr>
      </w:pPr>
      <w:r>
        <w:rPr>
          <w:rFonts w:cs="Arial"/>
          <w:szCs w:val="24"/>
        </w:rPr>
        <w:t>NBOS (2013</w:t>
      </w:r>
      <w:r w:rsidR="00830EB8">
        <w:rPr>
          <w:rFonts w:cs="Arial"/>
          <w:szCs w:val="24"/>
        </w:rPr>
        <w:t>b</w:t>
      </w:r>
      <w:r>
        <w:rPr>
          <w:rFonts w:cs="Arial"/>
          <w:szCs w:val="24"/>
        </w:rPr>
        <w:t xml:space="preserve">) </w:t>
      </w:r>
      <w:r w:rsidR="00830EB8">
        <w:rPr>
          <w:rFonts w:cs="Arial"/>
          <w:szCs w:val="24"/>
        </w:rPr>
        <w:t>H</w:t>
      </w:r>
      <w:r>
        <w:rPr>
          <w:rFonts w:cs="Arial"/>
          <w:szCs w:val="24"/>
        </w:rPr>
        <w:t>ousehold Budget Survey</w:t>
      </w:r>
    </w:p>
    <w:p w:rsidR="00894733" w:rsidRDefault="00894733" w:rsidP="00894733">
      <w:pPr>
        <w:pStyle w:val="ListParagraph"/>
        <w:spacing w:after="120"/>
        <w:ind w:left="0"/>
        <w:contextualSpacing w:val="0"/>
        <w:rPr>
          <w:rFonts w:cs="Arial"/>
          <w:szCs w:val="24"/>
        </w:rPr>
      </w:pPr>
      <w:proofErr w:type="spellStart"/>
      <w:proofErr w:type="gramStart"/>
      <w:r>
        <w:rPr>
          <w:rFonts w:cs="Arial"/>
          <w:szCs w:val="24"/>
        </w:rPr>
        <w:t>NBoS</w:t>
      </w:r>
      <w:proofErr w:type="spellEnd"/>
      <w:r>
        <w:rPr>
          <w:rFonts w:cs="Arial"/>
          <w:szCs w:val="24"/>
        </w:rPr>
        <w:t xml:space="preserve"> (2013c).</w:t>
      </w:r>
      <w:proofErr w:type="gramEnd"/>
      <w:r>
        <w:rPr>
          <w:rFonts w:cs="Arial"/>
          <w:szCs w:val="24"/>
        </w:rPr>
        <w:t xml:space="preserve"> National Accounts </w:t>
      </w:r>
    </w:p>
    <w:p w:rsidR="00D447E5" w:rsidRDefault="00D447E5" w:rsidP="00A62A27">
      <w:pPr>
        <w:pStyle w:val="ListParagraph"/>
        <w:spacing w:after="120"/>
        <w:ind w:left="0"/>
        <w:contextualSpacing w:val="0"/>
        <w:rPr>
          <w:rFonts w:cs="Arial"/>
          <w:szCs w:val="24"/>
        </w:rPr>
      </w:pPr>
      <w:proofErr w:type="spellStart"/>
      <w:proofErr w:type="gramStart"/>
      <w:r>
        <w:rPr>
          <w:rFonts w:cs="Arial"/>
          <w:szCs w:val="24"/>
        </w:rPr>
        <w:t>NBoS</w:t>
      </w:r>
      <w:proofErr w:type="spellEnd"/>
      <w:r>
        <w:rPr>
          <w:rFonts w:cs="Arial"/>
          <w:szCs w:val="24"/>
        </w:rPr>
        <w:t xml:space="preserve"> (2014).</w:t>
      </w:r>
      <w:proofErr w:type="gramEnd"/>
      <w:r>
        <w:rPr>
          <w:rFonts w:cs="Arial"/>
          <w:szCs w:val="24"/>
        </w:rPr>
        <w:t xml:space="preserve"> Basic Demographic and Socio-Economic Profile.  </w:t>
      </w:r>
      <w:proofErr w:type="gramStart"/>
      <w:r>
        <w:rPr>
          <w:rFonts w:cs="Arial"/>
          <w:szCs w:val="24"/>
        </w:rPr>
        <w:t>Key Findings.</w:t>
      </w:r>
      <w:proofErr w:type="gramEnd"/>
      <w:r>
        <w:rPr>
          <w:rFonts w:cs="Arial"/>
          <w:szCs w:val="24"/>
        </w:rPr>
        <w:t xml:space="preserve"> </w:t>
      </w:r>
      <w:proofErr w:type="gramStart"/>
      <w:r>
        <w:rPr>
          <w:rFonts w:cs="Arial"/>
          <w:szCs w:val="24"/>
        </w:rPr>
        <w:t>2012 Population and Housing Census.</w:t>
      </w:r>
      <w:proofErr w:type="gramEnd"/>
      <w:r>
        <w:rPr>
          <w:rFonts w:cs="Arial"/>
          <w:szCs w:val="24"/>
        </w:rPr>
        <w:t xml:space="preserve"> </w:t>
      </w:r>
    </w:p>
    <w:p w:rsidR="00AC2962" w:rsidRDefault="00AC2962" w:rsidP="00AC2962">
      <w:pPr>
        <w:pStyle w:val="ListParagraph"/>
        <w:spacing w:after="120"/>
        <w:ind w:hanging="720"/>
        <w:contextualSpacing w:val="0"/>
        <w:rPr>
          <w:rFonts w:cs="Arial"/>
          <w:szCs w:val="24"/>
        </w:rPr>
      </w:pPr>
      <w:proofErr w:type="spellStart"/>
      <w:r>
        <w:rPr>
          <w:rFonts w:cs="Arial"/>
          <w:szCs w:val="24"/>
        </w:rPr>
        <w:t>Stoermer</w:t>
      </w:r>
      <w:proofErr w:type="spellEnd"/>
      <w:r>
        <w:rPr>
          <w:rFonts w:cs="Arial"/>
          <w:szCs w:val="24"/>
        </w:rPr>
        <w:t xml:space="preserve"> M, </w:t>
      </w:r>
      <w:proofErr w:type="spellStart"/>
      <w:r>
        <w:rPr>
          <w:rFonts w:cs="Arial"/>
          <w:szCs w:val="24"/>
        </w:rPr>
        <w:t>Kessy</w:t>
      </w:r>
      <w:proofErr w:type="spellEnd"/>
      <w:r>
        <w:rPr>
          <w:rFonts w:cs="Arial"/>
          <w:szCs w:val="24"/>
        </w:rPr>
        <w:t xml:space="preserve"> F, and Widmer T (2013).  </w:t>
      </w:r>
      <w:proofErr w:type="gramStart"/>
      <w:r w:rsidRPr="00AC2962">
        <w:rPr>
          <w:rFonts w:cs="Arial"/>
          <w:szCs w:val="24"/>
        </w:rPr>
        <w:t>Inclusion of the Poor and Vulnerable</w:t>
      </w:r>
      <w:r>
        <w:rPr>
          <w:rFonts w:cs="Arial"/>
          <w:szCs w:val="24"/>
        </w:rPr>
        <w:t xml:space="preserve"> </w:t>
      </w:r>
      <w:r w:rsidRPr="00AC2962">
        <w:rPr>
          <w:rFonts w:cs="Arial"/>
          <w:szCs w:val="24"/>
        </w:rPr>
        <w:t>into the New Health Financing Strategy</w:t>
      </w:r>
      <w:r>
        <w:rPr>
          <w:rFonts w:cs="Arial"/>
          <w:szCs w:val="24"/>
        </w:rPr>
        <w:t>.</w:t>
      </w:r>
      <w:proofErr w:type="gramEnd"/>
      <w:r>
        <w:rPr>
          <w:rFonts w:cs="Arial"/>
          <w:szCs w:val="24"/>
        </w:rPr>
        <w:t xml:space="preserve">  October 2013. </w:t>
      </w:r>
    </w:p>
    <w:p w:rsidR="00A62A27" w:rsidRPr="00EB4F0C" w:rsidRDefault="00A62A27" w:rsidP="002E07C5">
      <w:pPr>
        <w:pStyle w:val="ListParagraph"/>
        <w:ind w:left="360"/>
        <w:rPr>
          <w:rFonts w:cs="Arial"/>
          <w:szCs w:val="24"/>
        </w:rPr>
      </w:pPr>
    </w:p>
    <w:sectPr w:rsidR="00A62A27" w:rsidRPr="00EB4F0C" w:rsidSect="00B85D2C">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6" w:author="Gemin Mtei" w:date="2014-11-20T18:30:00Z" w:initials="GM">
    <w:p w:rsidR="00194B83" w:rsidRDefault="00194B83">
      <w:pPr>
        <w:pStyle w:val="CommentText"/>
      </w:pPr>
      <w:r>
        <w:rPr>
          <w:rStyle w:val="CommentReference"/>
        </w:rPr>
        <w:annotationRef/>
      </w:r>
      <w:r>
        <w:t>Check Formal Sector employment and earning survey 2014-NBS</w:t>
      </w:r>
    </w:p>
  </w:comment>
  <w:comment w:id="9" w:author="Gemin Mtei" w:date="2014-12-02T16:26:00Z" w:initials="GM">
    <w:p w:rsidR="00194B83" w:rsidRDefault="00194B83">
      <w:pPr>
        <w:pStyle w:val="CommentText"/>
      </w:pPr>
      <w:r>
        <w:rPr>
          <w:rStyle w:val="CommentReference"/>
        </w:rPr>
        <w:annotationRef/>
      </w:r>
      <w:r>
        <w:t>Need to check this-who is resisting?</w:t>
      </w:r>
    </w:p>
  </w:comment>
  <w:comment w:id="17" w:author="Sally" w:date="2014-12-16T13:00:00Z" w:initials="S">
    <w:p w:rsidR="00194B83" w:rsidRDefault="00194B83">
      <w:pPr>
        <w:pStyle w:val="CommentText"/>
      </w:pPr>
      <w:proofErr w:type="gramStart"/>
      <w:r>
        <w:t>w</w:t>
      </w:r>
      <w:proofErr w:type="gramEnd"/>
      <w:r>
        <w:rPr>
          <w:rStyle w:val="CommentReference"/>
        </w:rPr>
        <w:annotationRef/>
      </w:r>
      <w:r>
        <w:t xml:space="preserve">e need to review the additional flows – they might fit better as channels under the sources on the left, block grants are tax revenue direct to LGAs (which don’t feature here)  </w:t>
      </w:r>
    </w:p>
  </w:comment>
  <w:comment w:id="20" w:author="user" w:date="2014-11-20T17:01:00Z" w:initials="U">
    <w:p w:rsidR="00194B83" w:rsidRDefault="00194B83">
      <w:pPr>
        <w:pStyle w:val="CommentText"/>
      </w:pPr>
      <w:r>
        <w:rPr>
          <w:rStyle w:val="CommentReference"/>
        </w:rPr>
        <w:annotationRef/>
      </w:r>
      <w:r>
        <w:t>No using flat rate, check and review</w:t>
      </w:r>
    </w:p>
  </w:comment>
  <w:comment w:id="22" w:author="user" w:date="2014-11-20T17:01:00Z" w:initials="U">
    <w:p w:rsidR="00194B83" w:rsidRDefault="00194B83">
      <w:pPr>
        <w:pStyle w:val="CommentText"/>
      </w:pPr>
      <w:r>
        <w:rPr>
          <w:rStyle w:val="CommentReference"/>
        </w:rPr>
        <w:annotationRef/>
      </w:r>
      <w:r>
        <w:t>Check on inclusion an average per year value</w:t>
      </w:r>
    </w:p>
  </w:comment>
  <w:comment w:id="24" w:author="user" w:date="2014-12-16T13:01:00Z" w:initials="U">
    <w:p w:rsidR="00194B83" w:rsidRDefault="00194B83">
      <w:pPr>
        <w:pStyle w:val="CommentText"/>
      </w:pPr>
      <w:r>
        <w:rPr>
          <w:rStyle w:val="CommentReference"/>
        </w:rPr>
        <w:annotationRef/>
      </w:r>
      <w:proofErr w:type="spellStart"/>
      <w:proofErr w:type="gramStart"/>
      <w:r>
        <w:t>tbwo</w:t>
      </w:r>
      <w:proofErr w:type="spellEnd"/>
      <w:proofErr w:type="gramEnd"/>
    </w:p>
  </w:comment>
  <w:comment w:id="36" w:author="USER-PC" w:date="2014-11-20T17:01:00Z" w:initials="U">
    <w:p w:rsidR="00194B83" w:rsidRDefault="00194B83">
      <w:pPr>
        <w:pStyle w:val="CommentText"/>
      </w:pPr>
      <w:r>
        <w:rPr>
          <w:rStyle w:val="CommentReference"/>
        </w:rPr>
        <w:annotationRef/>
      </w:r>
      <w:r>
        <w:t>Look at recommendations of the fiscal space study and add to this section</w:t>
      </w:r>
    </w:p>
  </w:comment>
  <w:comment w:id="38" w:author="sieger_nin1" w:date="2014-11-20T17:01:00Z" w:initials="NS">
    <w:p w:rsidR="00194B83" w:rsidRDefault="00194B83">
      <w:pPr>
        <w:pStyle w:val="CommentText"/>
      </w:pPr>
      <w:r>
        <w:rPr>
          <w:rStyle w:val="CommentReference"/>
        </w:rPr>
        <w:annotationRef/>
      </w:r>
      <w:r>
        <w:t>Inflexible as union tax issue</w:t>
      </w:r>
    </w:p>
  </w:comment>
  <w:comment w:id="37" w:author="sieger_nin1" w:date="2014-11-20T17:01:00Z" w:initials="NS">
    <w:p w:rsidR="00194B83" w:rsidRDefault="00194B83">
      <w:pPr>
        <w:pStyle w:val="CommentText"/>
      </w:pPr>
      <w:r>
        <w:rPr>
          <w:rStyle w:val="CommentReference"/>
        </w:rPr>
        <w:annotationRef/>
      </w:r>
      <w:r>
        <w:t>Needs decision</w:t>
      </w:r>
    </w:p>
  </w:comment>
  <w:comment w:id="41" w:author="Sally" w:date="2014-11-20T17:01:00Z" w:initials="S">
    <w:p w:rsidR="00194B83" w:rsidRDefault="00194B83">
      <w:pPr>
        <w:pStyle w:val="CommentText"/>
      </w:pPr>
      <w:r>
        <w:rPr>
          <w:rStyle w:val="CommentReference"/>
        </w:rPr>
        <w:annotationRef/>
      </w:r>
      <w:r>
        <w:t>Presumably according to their means rather than according to the no of their own poor residents?</w:t>
      </w:r>
    </w:p>
  </w:comment>
  <w:comment w:id="46" w:author="USER-PC" w:date="2014-12-16T13:05:00Z" w:initials="U">
    <w:p w:rsidR="00194B83" w:rsidRDefault="00194B83">
      <w:pPr>
        <w:pStyle w:val="CommentText"/>
      </w:pPr>
      <w:r>
        <w:rPr>
          <w:rStyle w:val="CommentReference"/>
        </w:rPr>
        <w:annotationRef/>
      </w:r>
      <w:r>
        <w:t xml:space="preserve"> STILL ONGOING: cost estimation of proposed MBP modes currently under way - decision on envisaged/ realistic MBP (conduct exercise with MOHSW decision makers under consultation of NHIF and NSSF) note: NSSF in process of conducting restructuring valuation of SHIP/ incl. costing</w:t>
      </w:r>
    </w:p>
  </w:comment>
  <w:comment w:id="47" w:author="Gemin Mtei" w:date="2014-12-04T14:18:00Z" w:initials="GM">
    <w:p w:rsidR="00194B83" w:rsidRDefault="00194B83">
      <w:pPr>
        <w:pStyle w:val="CommentText"/>
      </w:pPr>
      <w:r>
        <w:rPr>
          <w:rStyle w:val="CommentReference"/>
        </w:rPr>
        <w:annotationRef/>
      </w:r>
      <w:r>
        <w:t>Will Move to collection</w:t>
      </w:r>
    </w:p>
  </w:comment>
  <w:comment w:id="48" w:author="Gemin Mtei" w:date="2014-12-04T14:18:00Z" w:initials="GM">
    <w:p w:rsidR="00194B83" w:rsidRDefault="00194B83">
      <w:pPr>
        <w:pStyle w:val="CommentText"/>
      </w:pPr>
      <w:r>
        <w:rPr>
          <w:rStyle w:val="CommentReference"/>
        </w:rPr>
        <w:annotationRef/>
      </w:r>
      <w:r>
        <w:t>Will Move to structure of SNHI</w:t>
      </w:r>
    </w:p>
  </w:comment>
  <w:comment w:id="49" w:author="Gemin Mtei" w:date="2014-12-04T14:18:00Z" w:initials="GM">
    <w:p w:rsidR="00194B83" w:rsidRDefault="00194B83">
      <w:pPr>
        <w:pStyle w:val="CommentText"/>
      </w:pPr>
      <w:r>
        <w:rPr>
          <w:rStyle w:val="CommentReference"/>
        </w:rPr>
        <w:annotationRef/>
      </w:r>
      <w:r>
        <w:t>To revisit this</w:t>
      </w:r>
    </w:p>
  </w:comment>
  <w:comment w:id="50" w:author="Gemin Mtei" w:date="2014-12-04T14:19:00Z" w:initials="GM">
    <w:p w:rsidR="00194B83" w:rsidRDefault="00194B83">
      <w:pPr>
        <w:pStyle w:val="CommentText"/>
      </w:pPr>
      <w:r>
        <w:rPr>
          <w:rStyle w:val="CommentReference"/>
        </w:rPr>
        <w:annotationRef/>
      </w:r>
      <w:r>
        <w:t>To revisit this to make sure that unit cost reflect full capacity in provision</w:t>
      </w:r>
    </w:p>
  </w:comment>
  <w:comment w:id="52" w:author="USER-PC" w:date="2014-11-20T17:01:00Z" w:initials="U">
    <w:p w:rsidR="00194B83" w:rsidRDefault="00194B83">
      <w:pPr>
        <w:pStyle w:val="CommentText"/>
      </w:pPr>
      <w:r>
        <w:rPr>
          <w:rStyle w:val="CommentReference"/>
        </w:rPr>
        <w:annotationRef/>
      </w:r>
      <w:r>
        <w:t xml:space="preserve">Add </w:t>
      </w:r>
      <w:proofErr w:type="spellStart"/>
      <w:r>
        <w:t>sth</w:t>
      </w:r>
      <w:proofErr w:type="spellEnd"/>
      <w:r>
        <w:t xml:space="preserve"> on provider autonomy? Governance section?</w:t>
      </w:r>
    </w:p>
  </w:comment>
  <w:comment w:id="55" w:author="user" w:date="2014-11-20T17:01:00Z" w:initials="U">
    <w:p w:rsidR="00194B83" w:rsidRDefault="00194B83" w:rsidP="004F61CF">
      <w:pPr>
        <w:pStyle w:val="CommentText"/>
      </w:pPr>
      <w:r>
        <w:rPr>
          <w:rStyle w:val="CommentReference"/>
        </w:rPr>
        <w:annotationRef/>
      </w:r>
      <w:r>
        <w:t>Shift to the governance</w:t>
      </w:r>
    </w:p>
  </w:comment>
  <w:comment w:id="56" w:author="USER-PC" w:date="2014-11-20T17:01:00Z" w:initials="U">
    <w:p w:rsidR="00194B83" w:rsidRDefault="00194B83">
      <w:pPr>
        <w:pStyle w:val="CommentText"/>
      </w:pPr>
      <w:r>
        <w:rPr>
          <w:rStyle w:val="CommentReference"/>
        </w:rPr>
        <w:annotationRef/>
      </w:r>
      <w:r>
        <w:t>Auditing of the SNHI:</w:t>
      </w:r>
    </w:p>
  </w:comment>
  <w:comment w:id="57" w:author="sieger_nin1" w:date="2014-11-20T17:01:00Z" w:initials="NS">
    <w:p w:rsidR="00194B83" w:rsidRDefault="00194B83">
      <w:pPr>
        <w:pStyle w:val="CommentText"/>
      </w:pPr>
      <w:r>
        <w:rPr>
          <w:rStyle w:val="CommentReference"/>
        </w:rPr>
        <w:annotationRef/>
      </w:r>
      <w:r>
        <w:t>Include some concrete recommendations of the PFM paper</w:t>
      </w:r>
    </w:p>
  </w:comment>
  <w:comment w:id="59" w:author="user" w:date="2014-11-20T17:01:00Z" w:initials="U">
    <w:p w:rsidR="00194B83" w:rsidRDefault="00194B83" w:rsidP="004F61CF">
      <w:pPr>
        <w:pStyle w:val="CommentText"/>
      </w:pPr>
      <w:r>
        <w:rPr>
          <w:rStyle w:val="CommentReference"/>
        </w:rPr>
        <w:annotationRef/>
      </w:r>
      <w:r>
        <w:t>Should be a standalone strategy</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08BC290" w15:done="0"/>
  <w15:commentEx w15:paraId="5CBF0A4E" w15:done="0"/>
  <w15:commentEx w15:paraId="28E5D931" w15:done="0"/>
  <w15:commentEx w15:paraId="2D8F3D22" w15:done="0"/>
  <w15:commentEx w15:paraId="29CF3B85" w15:done="0"/>
  <w15:commentEx w15:paraId="1B0B84A7" w15:done="0"/>
  <w15:commentEx w15:paraId="194C1948" w15:done="0"/>
  <w15:commentEx w15:paraId="4F46A067" w15:done="0"/>
  <w15:commentEx w15:paraId="7AE6387A" w15:done="0"/>
  <w15:commentEx w15:paraId="2B93E488" w15:done="0"/>
  <w15:commentEx w15:paraId="2BAACB4A" w15:done="0"/>
  <w15:commentEx w15:paraId="27C2D762" w15:done="0"/>
  <w15:commentEx w15:paraId="2615E1BD" w15:done="0"/>
  <w15:commentEx w15:paraId="723D09E3" w15:done="0"/>
  <w15:commentEx w15:paraId="4AF11348" w15:done="0"/>
  <w15:commentEx w15:paraId="26120F16" w15:done="0"/>
  <w15:commentEx w15:paraId="2AA029E2" w15:done="0"/>
  <w15:commentEx w15:paraId="3F5EC054" w15:done="0"/>
  <w15:commentEx w15:paraId="31052F62" w15:done="0"/>
  <w15:commentEx w15:paraId="2EF7866A" w15:done="0"/>
  <w15:commentEx w15:paraId="633F2472" w15:done="0"/>
  <w15:commentEx w15:paraId="57B1F09B" w15:done="0"/>
  <w15:commentEx w15:paraId="3753BA15" w15:done="0"/>
  <w15:commentEx w15:paraId="671CC58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5E74" w:rsidRDefault="002F5E74" w:rsidP="00A34775">
      <w:pPr>
        <w:spacing w:line="240" w:lineRule="auto"/>
      </w:pPr>
      <w:r>
        <w:separator/>
      </w:r>
    </w:p>
  </w:endnote>
  <w:endnote w:type="continuationSeparator" w:id="0">
    <w:p w:rsidR="002F5E74" w:rsidRDefault="002F5E74" w:rsidP="00A3477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Gill Sans">
    <w:altName w:val="Gill Sans MT"/>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B83" w:rsidRDefault="00194B8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B83" w:rsidRPr="00194B83" w:rsidRDefault="00194B83">
    <w:pPr>
      <w:pStyle w:val="Footer"/>
      <w:pBdr>
        <w:top w:val="thinThickSmallGap" w:sz="24" w:space="1" w:color="622423" w:themeColor="accent2" w:themeShade="7F"/>
      </w:pBdr>
      <w:rPr>
        <w:rFonts w:eastAsiaTheme="majorEastAsia" w:cs="Arial"/>
        <w:sz w:val="20"/>
        <w:szCs w:val="20"/>
        <w:lang w:val="de-DE"/>
      </w:rPr>
    </w:pPr>
    <w:r w:rsidRPr="00194B83">
      <w:rPr>
        <w:rFonts w:eastAsiaTheme="majorEastAsia" w:cs="Arial"/>
        <w:sz w:val="20"/>
        <w:szCs w:val="20"/>
        <w:lang w:val="de-DE"/>
      </w:rPr>
      <w:t xml:space="preserve">HFS – 2nd </w:t>
    </w:r>
    <w:proofErr w:type="spellStart"/>
    <w:r w:rsidRPr="00194B83">
      <w:rPr>
        <w:rFonts w:eastAsiaTheme="majorEastAsia" w:cs="Arial"/>
        <w:sz w:val="20"/>
        <w:szCs w:val="20"/>
        <w:lang w:val="de-DE"/>
      </w:rPr>
      <w:t>draft</w:t>
    </w:r>
    <w:proofErr w:type="spellEnd"/>
    <w:r w:rsidRPr="00194B83">
      <w:rPr>
        <w:rFonts w:eastAsiaTheme="majorEastAsia" w:cs="Arial"/>
        <w:sz w:val="20"/>
        <w:szCs w:val="20"/>
        <w:lang w:val="de-DE"/>
      </w:rPr>
      <w:t xml:space="preserve"> November 2014</w:t>
    </w:r>
    <w:r w:rsidRPr="00BD52C4">
      <w:rPr>
        <w:rFonts w:eastAsiaTheme="majorEastAsia" w:cs="Arial"/>
        <w:sz w:val="20"/>
        <w:szCs w:val="20"/>
      </w:rPr>
      <w:ptab w:relativeTo="margin" w:alignment="right" w:leader="none"/>
    </w:r>
    <w:r w:rsidRPr="00194B83">
      <w:rPr>
        <w:rFonts w:eastAsiaTheme="majorEastAsia" w:cs="Arial"/>
        <w:sz w:val="20"/>
        <w:szCs w:val="20"/>
        <w:lang w:val="de-DE"/>
      </w:rPr>
      <w:t xml:space="preserve">Page </w:t>
    </w:r>
    <w:r w:rsidRPr="00BD52C4">
      <w:rPr>
        <w:rFonts w:eastAsiaTheme="minorEastAsia" w:cs="Arial"/>
        <w:sz w:val="20"/>
        <w:szCs w:val="20"/>
      </w:rPr>
      <w:fldChar w:fldCharType="begin"/>
    </w:r>
    <w:r w:rsidRPr="00194B83">
      <w:rPr>
        <w:rFonts w:cs="Arial"/>
        <w:sz w:val="20"/>
        <w:szCs w:val="20"/>
        <w:lang w:val="de-DE"/>
      </w:rPr>
      <w:instrText xml:space="preserve"> PAGE   \* MERGEFORMAT </w:instrText>
    </w:r>
    <w:r w:rsidRPr="00BD52C4">
      <w:rPr>
        <w:rFonts w:eastAsiaTheme="minorEastAsia" w:cs="Arial"/>
        <w:sz w:val="20"/>
        <w:szCs w:val="20"/>
      </w:rPr>
      <w:fldChar w:fldCharType="separate"/>
    </w:r>
    <w:r w:rsidR="00C15589" w:rsidRPr="00C15589">
      <w:rPr>
        <w:rFonts w:eastAsiaTheme="majorEastAsia" w:cs="Arial"/>
        <w:noProof/>
        <w:sz w:val="20"/>
        <w:szCs w:val="20"/>
        <w:lang w:val="de-DE"/>
      </w:rPr>
      <w:t>39</w:t>
    </w:r>
    <w:r w:rsidRPr="00BD52C4">
      <w:rPr>
        <w:rFonts w:eastAsiaTheme="majorEastAsia" w:cs="Arial"/>
        <w:noProof/>
        <w:sz w:val="20"/>
        <w:szCs w:val="20"/>
      </w:rPr>
      <w:fldChar w:fldCharType="end"/>
    </w:r>
  </w:p>
  <w:p w:rsidR="00194B83" w:rsidRPr="00194B83" w:rsidRDefault="00194B83">
    <w:pPr>
      <w:pStyle w:val="Footer"/>
      <w:rPr>
        <w:lang w:val="de-D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B83" w:rsidRDefault="00194B8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5E74" w:rsidRDefault="002F5E74" w:rsidP="00A34775">
      <w:pPr>
        <w:spacing w:line="240" w:lineRule="auto"/>
      </w:pPr>
      <w:r>
        <w:separator/>
      </w:r>
    </w:p>
  </w:footnote>
  <w:footnote w:type="continuationSeparator" w:id="0">
    <w:p w:rsidR="002F5E74" w:rsidRDefault="002F5E74" w:rsidP="00A34775">
      <w:pPr>
        <w:spacing w:line="240" w:lineRule="auto"/>
      </w:pPr>
      <w:r>
        <w:continuationSeparator/>
      </w:r>
    </w:p>
  </w:footnote>
  <w:footnote w:id="1">
    <w:p w:rsidR="00194B83" w:rsidRDefault="00194B83">
      <w:pPr>
        <w:pStyle w:val="FootnoteText"/>
      </w:pPr>
      <w:r>
        <w:rPr>
          <w:rStyle w:val="FootnoteReference"/>
        </w:rPr>
        <w:footnoteRef/>
      </w:r>
      <w:r>
        <w:t xml:space="preserve"> ISC Comprised of President Office-Public Service Management, Planning </w:t>
      </w:r>
      <w:proofErr w:type="spellStart"/>
      <w:r>
        <w:t>Commision</w:t>
      </w:r>
      <w:proofErr w:type="spellEnd"/>
      <w:r>
        <w:t xml:space="preserve">, Prime Minister Office, Prime Minister Office-Local Government Authority, Ministry of finance, Ministry of Industry of Trade, TACAIDS, Ministry of Labor, E-Government, NIDA, </w:t>
      </w:r>
    </w:p>
  </w:footnote>
  <w:footnote w:id="2">
    <w:p w:rsidR="00194B83" w:rsidRPr="00BD41A1" w:rsidRDefault="00194B83" w:rsidP="00F869D7">
      <w:pPr>
        <w:pStyle w:val="FootnoteText"/>
        <w:rPr>
          <w:lang w:val="en-GB"/>
        </w:rPr>
      </w:pPr>
      <w:r>
        <w:rPr>
          <w:rStyle w:val="FootnoteReference"/>
        </w:rPr>
        <w:footnoteRef/>
      </w:r>
      <w:r>
        <w:t xml:space="preserve"> </w:t>
      </w:r>
      <w:r>
        <w:rPr>
          <w:lang w:val="en-GB"/>
        </w:rPr>
        <w:t>All commissioned studies are included in the reference section</w:t>
      </w:r>
    </w:p>
  </w:footnote>
  <w:footnote w:id="3">
    <w:p w:rsidR="00194B83" w:rsidRDefault="00194B83" w:rsidP="0023565D">
      <w:pPr>
        <w:pStyle w:val="FootnoteText"/>
      </w:pPr>
      <w:r w:rsidRPr="00AD4C8A">
        <w:rPr>
          <w:rStyle w:val="FootnoteReference"/>
          <w:sz w:val="18"/>
          <w:szCs w:val="18"/>
        </w:rPr>
        <w:footnoteRef/>
      </w:r>
      <w:r w:rsidRPr="00AD4C8A">
        <w:rPr>
          <w:sz w:val="18"/>
          <w:szCs w:val="18"/>
        </w:rPr>
        <w:t xml:space="preserve"> </w:t>
      </w:r>
      <w:r w:rsidRPr="00AD4C8A">
        <w:rPr>
          <w:sz w:val="18"/>
          <w:szCs w:val="18"/>
          <w:lang w:val="en-GB"/>
        </w:rPr>
        <w:t>MTR HSSP III Financing Report (2013)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B83" w:rsidRDefault="00194B8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412201" o:spid="_x0000_s2053" type="#_x0000_t136" style="position:absolute;left:0;text-align:left;margin-left:0;margin-top:0;width:539.85pt;height:119.95pt;rotation:315;z-index:-251655168;mso-position-horizontal:center;mso-position-horizontal-relative:margin;mso-position-vertical:center;mso-position-vertical-relative:margin" o:allowincell="f" fillcolor="silver" stroked="f">
          <v:fill opacity=".5"/>
          <v:textpath style="font-family:&quot;Arial&quot;;font-size:1pt" string="2nd Draf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B83" w:rsidRDefault="00194B8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412202" o:spid="_x0000_s2054" type="#_x0000_t136" style="position:absolute;left:0;text-align:left;margin-left:0;margin-top:0;width:539.85pt;height:119.95pt;rotation:315;z-index:-251653120;mso-position-horizontal:center;mso-position-horizontal-relative:margin;mso-position-vertical:center;mso-position-vertical-relative:margin" o:allowincell="f" fillcolor="silver" stroked="f">
          <v:fill opacity=".5"/>
          <v:textpath style="font-family:&quot;Arial&quot;;font-size:1pt" string="2nd Draf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B83" w:rsidRDefault="00194B8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412200" o:spid="_x0000_s2052" type="#_x0000_t136" style="position:absolute;left:0;text-align:left;margin-left:0;margin-top:0;width:539.85pt;height:119.95pt;rotation:315;z-index:-251657216;mso-position-horizontal:center;mso-position-horizontal-relative:margin;mso-position-vertical:center;mso-position-vertical-relative:margin" o:allowincell="f" fillcolor="silver" stroked="f">
          <v:fill opacity=".5"/>
          <v:textpath style="font-family:&quot;Arial&quot;;font-size:1pt" string="2nd Draf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559ED"/>
    <w:multiLevelType w:val="hybridMultilevel"/>
    <w:tmpl w:val="5AA4DAE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02CC00FE"/>
    <w:multiLevelType w:val="hybridMultilevel"/>
    <w:tmpl w:val="92740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7E5B07"/>
    <w:multiLevelType w:val="hybridMultilevel"/>
    <w:tmpl w:val="BA1068E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093B51B6"/>
    <w:multiLevelType w:val="hybridMultilevel"/>
    <w:tmpl w:val="EB047C1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A1A3C83"/>
    <w:multiLevelType w:val="hybridMultilevel"/>
    <w:tmpl w:val="54A80B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A5C285F"/>
    <w:multiLevelType w:val="multilevel"/>
    <w:tmpl w:val="E0D4E93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val="0"/>
        <w:i w:val="0"/>
      </w:rPr>
    </w:lvl>
    <w:lvl w:ilvl="2">
      <w:start w:val="1"/>
      <w:numFmt w:val="decimal"/>
      <w:isLgl/>
      <w:lvlText w:val="%1.%2.%3"/>
      <w:lvlJc w:val="left"/>
      <w:pPr>
        <w:ind w:left="1440" w:hanging="720"/>
      </w:pPr>
      <w:rPr>
        <w:rFonts w:hint="default"/>
        <w:b/>
        <w:i w:val="0"/>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6">
    <w:nsid w:val="0CD74382"/>
    <w:multiLevelType w:val="hybridMultilevel"/>
    <w:tmpl w:val="904AE39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08E4D2E"/>
    <w:multiLevelType w:val="hybridMultilevel"/>
    <w:tmpl w:val="63E0FA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113C4BD0"/>
    <w:multiLevelType w:val="multilevel"/>
    <w:tmpl w:val="5600B43A"/>
    <w:lvl w:ilvl="0">
      <w:start w:val="3"/>
      <w:numFmt w:val="decimal"/>
      <w:lvlText w:val="%1"/>
      <w:lvlJc w:val="left"/>
      <w:pPr>
        <w:ind w:left="360" w:hanging="360"/>
      </w:pPr>
      <w:rPr>
        <w:rFonts w:hint="default"/>
      </w:rPr>
    </w:lvl>
    <w:lvl w:ilvl="1">
      <w:start w:val="5"/>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2960" w:hanging="1440"/>
      </w:pPr>
      <w:rPr>
        <w:rFonts w:hint="default"/>
      </w:rPr>
    </w:lvl>
  </w:abstractNum>
  <w:abstractNum w:abstractNumId="9">
    <w:nsid w:val="1329492B"/>
    <w:multiLevelType w:val="hybridMultilevel"/>
    <w:tmpl w:val="6BF06EDA"/>
    <w:lvl w:ilvl="0" w:tplc="04070001">
      <w:start w:val="1"/>
      <w:numFmt w:val="bullet"/>
      <w:lvlText w:val=""/>
      <w:lvlJc w:val="left"/>
      <w:pPr>
        <w:ind w:left="1440" w:hanging="360"/>
      </w:pPr>
      <w:rPr>
        <w:rFonts w:ascii="Symbol" w:hAnsi="Symbol" w:hint="default"/>
      </w:rPr>
    </w:lvl>
    <w:lvl w:ilvl="1" w:tplc="04070003">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0">
    <w:nsid w:val="145B1A80"/>
    <w:multiLevelType w:val="hybridMultilevel"/>
    <w:tmpl w:val="942E196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
    <w:nsid w:val="152731B2"/>
    <w:multiLevelType w:val="hybridMultilevel"/>
    <w:tmpl w:val="641844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162D6453"/>
    <w:multiLevelType w:val="hybridMultilevel"/>
    <w:tmpl w:val="67965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7F4451"/>
    <w:multiLevelType w:val="hybridMultilevel"/>
    <w:tmpl w:val="2C1A67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D684A83"/>
    <w:multiLevelType w:val="hybridMultilevel"/>
    <w:tmpl w:val="15606A2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nsid w:val="23163AC0"/>
    <w:multiLevelType w:val="hybridMultilevel"/>
    <w:tmpl w:val="529818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33D0F9C"/>
    <w:multiLevelType w:val="multilevel"/>
    <w:tmpl w:val="2A3A56B0"/>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81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7">
    <w:nsid w:val="23B0563C"/>
    <w:multiLevelType w:val="hybridMultilevel"/>
    <w:tmpl w:val="E578CA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8">
    <w:nsid w:val="26247D84"/>
    <w:multiLevelType w:val="hybridMultilevel"/>
    <w:tmpl w:val="2D40495C"/>
    <w:lvl w:ilvl="0" w:tplc="0407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27256043"/>
    <w:multiLevelType w:val="hybridMultilevel"/>
    <w:tmpl w:val="59AEF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1413FE6"/>
    <w:multiLevelType w:val="hybridMultilevel"/>
    <w:tmpl w:val="3856C5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47A623E"/>
    <w:multiLevelType w:val="hybridMultilevel"/>
    <w:tmpl w:val="6FB83F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352341A5"/>
    <w:multiLevelType w:val="hybridMultilevel"/>
    <w:tmpl w:val="3EACB8B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3">
    <w:nsid w:val="39691F5A"/>
    <w:multiLevelType w:val="hybridMultilevel"/>
    <w:tmpl w:val="FD8EBA9A"/>
    <w:lvl w:ilvl="0" w:tplc="BD7493CC">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FC11727"/>
    <w:multiLevelType w:val="hybridMultilevel"/>
    <w:tmpl w:val="B4EA2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17A28C5"/>
    <w:multiLevelType w:val="hybridMultilevel"/>
    <w:tmpl w:val="CD5E3E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45E10CA4"/>
    <w:multiLevelType w:val="hybridMultilevel"/>
    <w:tmpl w:val="3BAA52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6A6053E"/>
    <w:multiLevelType w:val="hybridMultilevel"/>
    <w:tmpl w:val="7A965D1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8">
    <w:nsid w:val="4857696F"/>
    <w:multiLevelType w:val="hybridMultilevel"/>
    <w:tmpl w:val="19567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98713C4"/>
    <w:multiLevelType w:val="hybridMultilevel"/>
    <w:tmpl w:val="18B08C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4F1343A4"/>
    <w:multiLevelType w:val="hybridMultilevel"/>
    <w:tmpl w:val="903CD8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F3A3741"/>
    <w:multiLevelType w:val="hybridMultilevel"/>
    <w:tmpl w:val="CBCE29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505C0DA9"/>
    <w:multiLevelType w:val="hybridMultilevel"/>
    <w:tmpl w:val="7416EDB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nsid w:val="516A09BD"/>
    <w:multiLevelType w:val="hybridMultilevel"/>
    <w:tmpl w:val="9828DC02"/>
    <w:lvl w:ilvl="0" w:tplc="EB4410BE">
      <w:start w:val="1"/>
      <w:numFmt w:val="bullet"/>
      <w:lvlText w:val=""/>
      <w:lvlJc w:val="left"/>
      <w:pPr>
        <w:ind w:left="1080" w:hanging="360"/>
      </w:pPr>
      <w:rPr>
        <w:rFonts w:ascii="Symbol" w:hAnsi="Symbol" w:hint="default"/>
        <w:sz w:val="14"/>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nsid w:val="5ABC1D44"/>
    <w:multiLevelType w:val="hybridMultilevel"/>
    <w:tmpl w:val="F97A5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EF0566E"/>
    <w:multiLevelType w:val="hybridMultilevel"/>
    <w:tmpl w:val="6EC4E704"/>
    <w:lvl w:ilvl="0" w:tplc="7294F8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6">
    <w:nsid w:val="6160584F"/>
    <w:multiLevelType w:val="hybridMultilevel"/>
    <w:tmpl w:val="2EC801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62AB0F19"/>
    <w:multiLevelType w:val="hybridMultilevel"/>
    <w:tmpl w:val="DC1A6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66A5162A"/>
    <w:multiLevelType w:val="hybridMultilevel"/>
    <w:tmpl w:val="EDFA37B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9">
    <w:nsid w:val="6A0D538C"/>
    <w:multiLevelType w:val="hybridMultilevel"/>
    <w:tmpl w:val="EFF8AA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90176DC"/>
    <w:multiLevelType w:val="hybridMultilevel"/>
    <w:tmpl w:val="68588D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nsid w:val="7A9161FC"/>
    <w:multiLevelType w:val="hybridMultilevel"/>
    <w:tmpl w:val="008E950A"/>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nsid w:val="7C2032EA"/>
    <w:multiLevelType w:val="hybridMultilevel"/>
    <w:tmpl w:val="CC88316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3">
    <w:nsid w:val="7C9813DA"/>
    <w:multiLevelType w:val="hybridMultilevel"/>
    <w:tmpl w:val="AEC2D81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nsid w:val="7D4225EC"/>
    <w:multiLevelType w:val="hybridMultilevel"/>
    <w:tmpl w:val="FD4A9816"/>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E0557BC"/>
    <w:multiLevelType w:val="hybridMultilevel"/>
    <w:tmpl w:val="3186317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7EEE4558"/>
    <w:multiLevelType w:val="hybridMultilevel"/>
    <w:tmpl w:val="F80A58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7F8E4E72"/>
    <w:multiLevelType w:val="hybridMultilevel"/>
    <w:tmpl w:val="42089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32"/>
  </w:num>
  <w:num w:numId="4">
    <w:abstractNumId w:val="37"/>
  </w:num>
  <w:num w:numId="5">
    <w:abstractNumId w:val="33"/>
  </w:num>
  <w:num w:numId="6">
    <w:abstractNumId w:val="44"/>
  </w:num>
  <w:num w:numId="7">
    <w:abstractNumId w:val="18"/>
  </w:num>
  <w:num w:numId="8">
    <w:abstractNumId w:val="11"/>
  </w:num>
  <w:num w:numId="9">
    <w:abstractNumId w:val="46"/>
  </w:num>
  <w:num w:numId="10">
    <w:abstractNumId w:val="25"/>
  </w:num>
  <w:num w:numId="11">
    <w:abstractNumId w:val="21"/>
  </w:num>
  <w:num w:numId="12">
    <w:abstractNumId w:val="7"/>
  </w:num>
  <w:num w:numId="13">
    <w:abstractNumId w:val="40"/>
  </w:num>
  <w:num w:numId="14">
    <w:abstractNumId w:val="29"/>
  </w:num>
  <w:num w:numId="15">
    <w:abstractNumId w:val="17"/>
  </w:num>
  <w:num w:numId="16">
    <w:abstractNumId w:val="42"/>
  </w:num>
  <w:num w:numId="17">
    <w:abstractNumId w:val="3"/>
  </w:num>
  <w:num w:numId="18">
    <w:abstractNumId w:val="45"/>
  </w:num>
  <w:num w:numId="19">
    <w:abstractNumId w:val="41"/>
  </w:num>
  <w:num w:numId="20">
    <w:abstractNumId w:val="36"/>
  </w:num>
  <w:num w:numId="21">
    <w:abstractNumId w:val="20"/>
  </w:num>
  <w:num w:numId="22">
    <w:abstractNumId w:val="10"/>
  </w:num>
  <w:num w:numId="23">
    <w:abstractNumId w:val="38"/>
  </w:num>
  <w:num w:numId="24">
    <w:abstractNumId w:val="2"/>
  </w:num>
  <w:num w:numId="25">
    <w:abstractNumId w:val="0"/>
  </w:num>
  <w:num w:numId="26">
    <w:abstractNumId w:val="43"/>
  </w:num>
  <w:num w:numId="27">
    <w:abstractNumId w:val="27"/>
  </w:num>
  <w:num w:numId="28">
    <w:abstractNumId w:val="22"/>
  </w:num>
  <w:num w:numId="29">
    <w:abstractNumId w:val="24"/>
  </w:num>
  <w:num w:numId="30">
    <w:abstractNumId w:val="14"/>
  </w:num>
  <w:num w:numId="31">
    <w:abstractNumId w:val="13"/>
  </w:num>
  <w:num w:numId="32">
    <w:abstractNumId w:val="9"/>
  </w:num>
  <w:num w:numId="33">
    <w:abstractNumId w:val="19"/>
  </w:num>
  <w:num w:numId="34">
    <w:abstractNumId w:val="39"/>
  </w:num>
  <w:num w:numId="35">
    <w:abstractNumId w:val="1"/>
  </w:num>
  <w:num w:numId="36">
    <w:abstractNumId w:val="12"/>
  </w:num>
  <w:num w:numId="37">
    <w:abstractNumId w:val="26"/>
  </w:num>
  <w:num w:numId="38">
    <w:abstractNumId w:val="15"/>
  </w:num>
  <w:num w:numId="39">
    <w:abstractNumId w:val="30"/>
  </w:num>
  <w:num w:numId="40">
    <w:abstractNumId w:val="31"/>
  </w:num>
  <w:num w:numId="41">
    <w:abstractNumId w:val="28"/>
  </w:num>
  <w:num w:numId="42">
    <w:abstractNumId w:val="34"/>
  </w:num>
  <w:num w:numId="43">
    <w:abstractNumId w:val="6"/>
  </w:num>
  <w:num w:numId="44">
    <w:abstractNumId w:val="35"/>
  </w:num>
  <w:num w:numId="45">
    <w:abstractNumId w:val="4"/>
  </w:num>
  <w:num w:numId="46">
    <w:abstractNumId w:val="23"/>
  </w:num>
  <w:num w:numId="47">
    <w:abstractNumId w:val="16"/>
  </w:num>
  <w:num w:numId="48">
    <w:abstractNumId w:val="16"/>
  </w:num>
  <w:num w:numId="49">
    <w:abstractNumId w:val="16"/>
    <w:lvlOverride w:ilvl="0">
      <w:startOverride w:val="7"/>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6"/>
  </w:num>
  <w:num w:numId="51">
    <w:abstractNumId w:val="16"/>
  </w:num>
  <w:num w:numId="52">
    <w:abstractNumId w:val="16"/>
  </w:num>
  <w:num w:numId="53">
    <w:abstractNumId w:val="47"/>
  </w:num>
  <w:num w:numId="54">
    <w:abstractNumId w:val="16"/>
  </w:num>
  <w:num w:numId="55">
    <w:abstractNumId w:val="16"/>
  </w:num>
  <w:num w:numId="56">
    <w:abstractNumId w:val="16"/>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13DF"/>
    <w:rsid w:val="000015A6"/>
    <w:rsid w:val="00002EAB"/>
    <w:rsid w:val="00005EAF"/>
    <w:rsid w:val="00010507"/>
    <w:rsid w:val="000108D3"/>
    <w:rsid w:val="0001383B"/>
    <w:rsid w:val="00015327"/>
    <w:rsid w:val="000153B9"/>
    <w:rsid w:val="000168BC"/>
    <w:rsid w:val="00023655"/>
    <w:rsid w:val="00023995"/>
    <w:rsid w:val="00026315"/>
    <w:rsid w:val="00026D4E"/>
    <w:rsid w:val="000404BF"/>
    <w:rsid w:val="000478C3"/>
    <w:rsid w:val="000530B2"/>
    <w:rsid w:val="00060BD9"/>
    <w:rsid w:val="00076B82"/>
    <w:rsid w:val="00081EE8"/>
    <w:rsid w:val="00082FCA"/>
    <w:rsid w:val="00084035"/>
    <w:rsid w:val="0009105C"/>
    <w:rsid w:val="000913DF"/>
    <w:rsid w:val="000935F1"/>
    <w:rsid w:val="00093CF1"/>
    <w:rsid w:val="00097F58"/>
    <w:rsid w:val="000A3D12"/>
    <w:rsid w:val="000A4D9F"/>
    <w:rsid w:val="000A5888"/>
    <w:rsid w:val="000A60D7"/>
    <w:rsid w:val="000B3D91"/>
    <w:rsid w:val="000C262C"/>
    <w:rsid w:val="000C7FB5"/>
    <w:rsid w:val="000D497F"/>
    <w:rsid w:val="000E216F"/>
    <w:rsid w:val="000E6602"/>
    <w:rsid w:val="000E7D6A"/>
    <w:rsid w:val="000F236E"/>
    <w:rsid w:val="000F240A"/>
    <w:rsid w:val="000F4A1D"/>
    <w:rsid w:val="000F6EF9"/>
    <w:rsid w:val="0010274E"/>
    <w:rsid w:val="0010365A"/>
    <w:rsid w:val="0010512E"/>
    <w:rsid w:val="00106541"/>
    <w:rsid w:val="00106893"/>
    <w:rsid w:val="00110643"/>
    <w:rsid w:val="00112E3E"/>
    <w:rsid w:val="0011521F"/>
    <w:rsid w:val="00121AB3"/>
    <w:rsid w:val="00123C78"/>
    <w:rsid w:val="00124264"/>
    <w:rsid w:val="00127FAF"/>
    <w:rsid w:val="001334EE"/>
    <w:rsid w:val="001368A2"/>
    <w:rsid w:val="00144215"/>
    <w:rsid w:val="00145F07"/>
    <w:rsid w:val="001514DE"/>
    <w:rsid w:val="00170579"/>
    <w:rsid w:val="00171E75"/>
    <w:rsid w:val="00183E26"/>
    <w:rsid w:val="00185C5A"/>
    <w:rsid w:val="00193D08"/>
    <w:rsid w:val="00194642"/>
    <w:rsid w:val="00194B83"/>
    <w:rsid w:val="00196B26"/>
    <w:rsid w:val="001A0126"/>
    <w:rsid w:val="001A6ED9"/>
    <w:rsid w:val="001B3B25"/>
    <w:rsid w:val="001B3F48"/>
    <w:rsid w:val="001C1732"/>
    <w:rsid w:val="001C432D"/>
    <w:rsid w:val="001C6C00"/>
    <w:rsid w:val="001D4B9E"/>
    <w:rsid w:val="001F2336"/>
    <w:rsid w:val="001F6179"/>
    <w:rsid w:val="00202820"/>
    <w:rsid w:val="00202C85"/>
    <w:rsid w:val="00206BDF"/>
    <w:rsid w:val="00217A6E"/>
    <w:rsid w:val="00227E1B"/>
    <w:rsid w:val="002307C4"/>
    <w:rsid w:val="00230E85"/>
    <w:rsid w:val="00231797"/>
    <w:rsid w:val="00232145"/>
    <w:rsid w:val="0023565D"/>
    <w:rsid w:val="002368C1"/>
    <w:rsid w:val="00246B18"/>
    <w:rsid w:val="002470B5"/>
    <w:rsid w:val="00250DA4"/>
    <w:rsid w:val="00257A6A"/>
    <w:rsid w:val="0026373A"/>
    <w:rsid w:val="00264B14"/>
    <w:rsid w:val="0026550B"/>
    <w:rsid w:val="00267347"/>
    <w:rsid w:val="002766DA"/>
    <w:rsid w:val="00280943"/>
    <w:rsid w:val="00291EB5"/>
    <w:rsid w:val="00296B29"/>
    <w:rsid w:val="002A066C"/>
    <w:rsid w:val="002A4649"/>
    <w:rsid w:val="002C3E91"/>
    <w:rsid w:val="002D2D9A"/>
    <w:rsid w:val="002D422A"/>
    <w:rsid w:val="002E054A"/>
    <w:rsid w:val="002E07C5"/>
    <w:rsid w:val="002E3DE1"/>
    <w:rsid w:val="002F41E2"/>
    <w:rsid w:val="002F5E74"/>
    <w:rsid w:val="002F7568"/>
    <w:rsid w:val="00310541"/>
    <w:rsid w:val="003132D7"/>
    <w:rsid w:val="00321C9F"/>
    <w:rsid w:val="00326E09"/>
    <w:rsid w:val="0033102B"/>
    <w:rsid w:val="003324EA"/>
    <w:rsid w:val="00336D5F"/>
    <w:rsid w:val="0034065C"/>
    <w:rsid w:val="00344738"/>
    <w:rsid w:val="00351BCB"/>
    <w:rsid w:val="0035303E"/>
    <w:rsid w:val="003628FC"/>
    <w:rsid w:val="00362C71"/>
    <w:rsid w:val="003635EA"/>
    <w:rsid w:val="0036490E"/>
    <w:rsid w:val="00364A24"/>
    <w:rsid w:val="00370757"/>
    <w:rsid w:val="0037273B"/>
    <w:rsid w:val="003742C0"/>
    <w:rsid w:val="003877AD"/>
    <w:rsid w:val="003926A3"/>
    <w:rsid w:val="00393F1C"/>
    <w:rsid w:val="00397577"/>
    <w:rsid w:val="003A18A8"/>
    <w:rsid w:val="003A55B6"/>
    <w:rsid w:val="003A77C0"/>
    <w:rsid w:val="003A7987"/>
    <w:rsid w:val="003B186F"/>
    <w:rsid w:val="003B3706"/>
    <w:rsid w:val="003B487A"/>
    <w:rsid w:val="003C530A"/>
    <w:rsid w:val="003D16B3"/>
    <w:rsid w:val="003D25D2"/>
    <w:rsid w:val="003D2CE4"/>
    <w:rsid w:val="003D5EDF"/>
    <w:rsid w:val="003E3C56"/>
    <w:rsid w:val="003E5A2A"/>
    <w:rsid w:val="003E5FA8"/>
    <w:rsid w:val="003F076E"/>
    <w:rsid w:val="003F2AF4"/>
    <w:rsid w:val="003F564E"/>
    <w:rsid w:val="00403CED"/>
    <w:rsid w:val="00404AAE"/>
    <w:rsid w:val="00411D5B"/>
    <w:rsid w:val="00413CBD"/>
    <w:rsid w:val="004152E6"/>
    <w:rsid w:val="00420559"/>
    <w:rsid w:val="004307A6"/>
    <w:rsid w:val="004315CA"/>
    <w:rsid w:val="00434E4F"/>
    <w:rsid w:val="0044393A"/>
    <w:rsid w:val="0044796F"/>
    <w:rsid w:val="004524CF"/>
    <w:rsid w:val="004555C9"/>
    <w:rsid w:val="0046131D"/>
    <w:rsid w:val="004622EA"/>
    <w:rsid w:val="004670EB"/>
    <w:rsid w:val="004751E8"/>
    <w:rsid w:val="00476E03"/>
    <w:rsid w:val="00482298"/>
    <w:rsid w:val="00487A04"/>
    <w:rsid w:val="00490D91"/>
    <w:rsid w:val="00490DC8"/>
    <w:rsid w:val="0049386D"/>
    <w:rsid w:val="00493C8C"/>
    <w:rsid w:val="0049535B"/>
    <w:rsid w:val="004A56BA"/>
    <w:rsid w:val="004B233D"/>
    <w:rsid w:val="004B315B"/>
    <w:rsid w:val="004B6DF8"/>
    <w:rsid w:val="004C52A2"/>
    <w:rsid w:val="004C6938"/>
    <w:rsid w:val="004D1D84"/>
    <w:rsid w:val="004D400A"/>
    <w:rsid w:val="004D613D"/>
    <w:rsid w:val="004E2D14"/>
    <w:rsid w:val="004E2EDD"/>
    <w:rsid w:val="004E33E8"/>
    <w:rsid w:val="004F346C"/>
    <w:rsid w:val="004F6006"/>
    <w:rsid w:val="004F61CF"/>
    <w:rsid w:val="00506C0A"/>
    <w:rsid w:val="00514918"/>
    <w:rsid w:val="005161E9"/>
    <w:rsid w:val="00516FCB"/>
    <w:rsid w:val="00526EFE"/>
    <w:rsid w:val="00527560"/>
    <w:rsid w:val="0054383D"/>
    <w:rsid w:val="00545E81"/>
    <w:rsid w:val="005505D0"/>
    <w:rsid w:val="00556535"/>
    <w:rsid w:val="0056016F"/>
    <w:rsid w:val="00560593"/>
    <w:rsid w:val="005607ED"/>
    <w:rsid w:val="0056345C"/>
    <w:rsid w:val="0056567B"/>
    <w:rsid w:val="005660AE"/>
    <w:rsid w:val="005660B7"/>
    <w:rsid w:val="00571D09"/>
    <w:rsid w:val="0058066E"/>
    <w:rsid w:val="00581E2A"/>
    <w:rsid w:val="0058433C"/>
    <w:rsid w:val="0059392F"/>
    <w:rsid w:val="00594F5F"/>
    <w:rsid w:val="0059568B"/>
    <w:rsid w:val="005A144D"/>
    <w:rsid w:val="005B0410"/>
    <w:rsid w:val="005C2B92"/>
    <w:rsid w:val="005D1F26"/>
    <w:rsid w:val="005D22C1"/>
    <w:rsid w:val="005D4257"/>
    <w:rsid w:val="005D51BE"/>
    <w:rsid w:val="005D764E"/>
    <w:rsid w:val="005E10E9"/>
    <w:rsid w:val="005E25B7"/>
    <w:rsid w:val="005E5054"/>
    <w:rsid w:val="005E630E"/>
    <w:rsid w:val="005E7148"/>
    <w:rsid w:val="005E7D05"/>
    <w:rsid w:val="005F1AB9"/>
    <w:rsid w:val="005F2136"/>
    <w:rsid w:val="005F338D"/>
    <w:rsid w:val="005F3ED6"/>
    <w:rsid w:val="00600E24"/>
    <w:rsid w:val="00606A63"/>
    <w:rsid w:val="00606DDA"/>
    <w:rsid w:val="0061117D"/>
    <w:rsid w:val="00611A58"/>
    <w:rsid w:val="0062432D"/>
    <w:rsid w:val="00625FB4"/>
    <w:rsid w:val="006322B8"/>
    <w:rsid w:val="0063392A"/>
    <w:rsid w:val="006359A4"/>
    <w:rsid w:val="006370CC"/>
    <w:rsid w:val="0064223D"/>
    <w:rsid w:val="0064404D"/>
    <w:rsid w:val="0064492C"/>
    <w:rsid w:val="00645378"/>
    <w:rsid w:val="0064699C"/>
    <w:rsid w:val="006511D9"/>
    <w:rsid w:val="00652E07"/>
    <w:rsid w:val="00656E22"/>
    <w:rsid w:val="00656F50"/>
    <w:rsid w:val="0066032E"/>
    <w:rsid w:val="00663565"/>
    <w:rsid w:val="00663C52"/>
    <w:rsid w:val="006670C3"/>
    <w:rsid w:val="00667D60"/>
    <w:rsid w:val="006733C4"/>
    <w:rsid w:val="006734C8"/>
    <w:rsid w:val="006735D4"/>
    <w:rsid w:val="00675D5C"/>
    <w:rsid w:val="00675E16"/>
    <w:rsid w:val="006878E5"/>
    <w:rsid w:val="006901AF"/>
    <w:rsid w:val="0069396B"/>
    <w:rsid w:val="00694191"/>
    <w:rsid w:val="00695196"/>
    <w:rsid w:val="006A2669"/>
    <w:rsid w:val="006A7D10"/>
    <w:rsid w:val="006B5589"/>
    <w:rsid w:val="006C5440"/>
    <w:rsid w:val="006C61CA"/>
    <w:rsid w:val="006C7C8D"/>
    <w:rsid w:val="006C7D03"/>
    <w:rsid w:val="006D32D8"/>
    <w:rsid w:val="006D3B28"/>
    <w:rsid w:val="006D6B48"/>
    <w:rsid w:val="006E51B1"/>
    <w:rsid w:val="00701530"/>
    <w:rsid w:val="007138B2"/>
    <w:rsid w:val="00714FBD"/>
    <w:rsid w:val="00717769"/>
    <w:rsid w:val="007212D0"/>
    <w:rsid w:val="0072536F"/>
    <w:rsid w:val="00730A9C"/>
    <w:rsid w:val="00731C14"/>
    <w:rsid w:val="0073284D"/>
    <w:rsid w:val="00740118"/>
    <w:rsid w:val="007450F4"/>
    <w:rsid w:val="00746385"/>
    <w:rsid w:val="00747C28"/>
    <w:rsid w:val="007559C9"/>
    <w:rsid w:val="007640BD"/>
    <w:rsid w:val="007657BF"/>
    <w:rsid w:val="00770FE2"/>
    <w:rsid w:val="0077459F"/>
    <w:rsid w:val="00774B30"/>
    <w:rsid w:val="00776040"/>
    <w:rsid w:val="007767FA"/>
    <w:rsid w:val="00781B01"/>
    <w:rsid w:val="007820A1"/>
    <w:rsid w:val="00784647"/>
    <w:rsid w:val="00785F22"/>
    <w:rsid w:val="00793C1A"/>
    <w:rsid w:val="00796DD0"/>
    <w:rsid w:val="00797BDA"/>
    <w:rsid w:val="00797EFD"/>
    <w:rsid w:val="007A1380"/>
    <w:rsid w:val="007A3E3D"/>
    <w:rsid w:val="007A4C99"/>
    <w:rsid w:val="007B5B28"/>
    <w:rsid w:val="007B7BDF"/>
    <w:rsid w:val="007C5089"/>
    <w:rsid w:val="007C58DF"/>
    <w:rsid w:val="007D40F1"/>
    <w:rsid w:val="007E2DFA"/>
    <w:rsid w:val="007E37CA"/>
    <w:rsid w:val="007F15B8"/>
    <w:rsid w:val="00805061"/>
    <w:rsid w:val="00805B17"/>
    <w:rsid w:val="008158F0"/>
    <w:rsid w:val="00822359"/>
    <w:rsid w:val="00826FA9"/>
    <w:rsid w:val="00827B57"/>
    <w:rsid w:val="00830EB8"/>
    <w:rsid w:val="00831398"/>
    <w:rsid w:val="00831933"/>
    <w:rsid w:val="0084790B"/>
    <w:rsid w:val="00850E3D"/>
    <w:rsid w:val="00851D6F"/>
    <w:rsid w:val="00861AA4"/>
    <w:rsid w:val="00861DC9"/>
    <w:rsid w:val="008641EC"/>
    <w:rsid w:val="008662F6"/>
    <w:rsid w:val="00871345"/>
    <w:rsid w:val="00871B7E"/>
    <w:rsid w:val="0087627F"/>
    <w:rsid w:val="00876458"/>
    <w:rsid w:val="00880261"/>
    <w:rsid w:val="00884410"/>
    <w:rsid w:val="00893BA9"/>
    <w:rsid w:val="00894733"/>
    <w:rsid w:val="008B445B"/>
    <w:rsid w:val="008B446A"/>
    <w:rsid w:val="008B44BC"/>
    <w:rsid w:val="008B66A8"/>
    <w:rsid w:val="008B6D3F"/>
    <w:rsid w:val="008B7306"/>
    <w:rsid w:val="008B7386"/>
    <w:rsid w:val="008C4FAA"/>
    <w:rsid w:val="008C69D5"/>
    <w:rsid w:val="008D0B7E"/>
    <w:rsid w:val="008D1498"/>
    <w:rsid w:val="008D21BC"/>
    <w:rsid w:val="008D4D14"/>
    <w:rsid w:val="008D688F"/>
    <w:rsid w:val="008D75B0"/>
    <w:rsid w:val="008E0E16"/>
    <w:rsid w:val="008E71F5"/>
    <w:rsid w:val="008E78B5"/>
    <w:rsid w:val="008F0E99"/>
    <w:rsid w:val="008F48A1"/>
    <w:rsid w:val="008F4B26"/>
    <w:rsid w:val="008F6B4B"/>
    <w:rsid w:val="008F6D15"/>
    <w:rsid w:val="00905546"/>
    <w:rsid w:val="0090644D"/>
    <w:rsid w:val="00912A65"/>
    <w:rsid w:val="009133D0"/>
    <w:rsid w:val="00913442"/>
    <w:rsid w:val="0091602A"/>
    <w:rsid w:val="00917C67"/>
    <w:rsid w:val="0092489F"/>
    <w:rsid w:val="00932A5F"/>
    <w:rsid w:val="00934F84"/>
    <w:rsid w:val="00935384"/>
    <w:rsid w:val="00945A77"/>
    <w:rsid w:val="00946A90"/>
    <w:rsid w:val="00947664"/>
    <w:rsid w:val="00950458"/>
    <w:rsid w:val="0095453D"/>
    <w:rsid w:val="00960DFE"/>
    <w:rsid w:val="00967245"/>
    <w:rsid w:val="00967CC8"/>
    <w:rsid w:val="0097229C"/>
    <w:rsid w:val="009820F8"/>
    <w:rsid w:val="00993DF9"/>
    <w:rsid w:val="0099451C"/>
    <w:rsid w:val="00994A20"/>
    <w:rsid w:val="00994C38"/>
    <w:rsid w:val="009B3EC3"/>
    <w:rsid w:val="009B6CBD"/>
    <w:rsid w:val="009C196F"/>
    <w:rsid w:val="009D2C75"/>
    <w:rsid w:val="009D6817"/>
    <w:rsid w:val="009E163C"/>
    <w:rsid w:val="009E3456"/>
    <w:rsid w:val="009F281B"/>
    <w:rsid w:val="009F52E7"/>
    <w:rsid w:val="009F57A0"/>
    <w:rsid w:val="00A02CB6"/>
    <w:rsid w:val="00A053C1"/>
    <w:rsid w:val="00A102A9"/>
    <w:rsid w:val="00A108D2"/>
    <w:rsid w:val="00A26332"/>
    <w:rsid w:val="00A32375"/>
    <w:rsid w:val="00A34775"/>
    <w:rsid w:val="00A36542"/>
    <w:rsid w:val="00A36889"/>
    <w:rsid w:val="00A37771"/>
    <w:rsid w:val="00A440A9"/>
    <w:rsid w:val="00A60055"/>
    <w:rsid w:val="00A61457"/>
    <w:rsid w:val="00A62A27"/>
    <w:rsid w:val="00A6781D"/>
    <w:rsid w:val="00A73DE0"/>
    <w:rsid w:val="00A75794"/>
    <w:rsid w:val="00A7608F"/>
    <w:rsid w:val="00A879CF"/>
    <w:rsid w:val="00A87ED4"/>
    <w:rsid w:val="00A9551F"/>
    <w:rsid w:val="00A95DC7"/>
    <w:rsid w:val="00AA2CE4"/>
    <w:rsid w:val="00AA37DB"/>
    <w:rsid w:val="00AB2450"/>
    <w:rsid w:val="00AB3BBE"/>
    <w:rsid w:val="00AB407A"/>
    <w:rsid w:val="00AC2962"/>
    <w:rsid w:val="00AC48C0"/>
    <w:rsid w:val="00AD1E58"/>
    <w:rsid w:val="00AD25B0"/>
    <w:rsid w:val="00AE046E"/>
    <w:rsid w:val="00AE51D7"/>
    <w:rsid w:val="00AE632A"/>
    <w:rsid w:val="00AF101F"/>
    <w:rsid w:val="00AF2BD7"/>
    <w:rsid w:val="00B0157C"/>
    <w:rsid w:val="00B04780"/>
    <w:rsid w:val="00B04838"/>
    <w:rsid w:val="00B14731"/>
    <w:rsid w:val="00B14C64"/>
    <w:rsid w:val="00B14EA7"/>
    <w:rsid w:val="00B213BC"/>
    <w:rsid w:val="00B218B4"/>
    <w:rsid w:val="00B270F8"/>
    <w:rsid w:val="00B411E4"/>
    <w:rsid w:val="00B43E65"/>
    <w:rsid w:val="00B4660B"/>
    <w:rsid w:val="00B505C2"/>
    <w:rsid w:val="00B523CA"/>
    <w:rsid w:val="00B55AC7"/>
    <w:rsid w:val="00B6095D"/>
    <w:rsid w:val="00B649A1"/>
    <w:rsid w:val="00B67430"/>
    <w:rsid w:val="00B67716"/>
    <w:rsid w:val="00B705D2"/>
    <w:rsid w:val="00B736CC"/>
    <w:rsid w:val="00B77A24"/>
    <w:rsid w:val="00B84941"/>
    <w:rsid w:val="00B85D2C"/>
    <w:rsid w:val="00B87BD3"/>
    <w:rsid w:val="00B94188"/>
    <w:rsid w:val="00BA17C1"/>
    <w:rsid w:val="00BA1AD1"/>
    <w:rsid w:val="00BA2396"/>
    <w:rsid w:val="00BA2962"/>
    <w:rsid w:val="00BA4A05"/>
    <w:rsid w:val="00BA56E4"/>
    <w:rsid w:val="00BB011D"/>
    <w:rsid w:val="00BB1AFC"/>
    <w:rsid w:val="00BB2BFB"/>
    <w:rsid w:val="00BC0213"/>
    <w:rsid w:val="00BC112E"/>
    <w:rsid w:val="00BC211B"/>
    <w:rsid w:val="00BC4C4A"/>
    <w:rsid w:val="00BD41A1"/>
    <w:rsid w:val="00BD52C4"/>
    <w:rsid w:val="00BD5C96"/>
    <w:rsid w:val="00BD710F"/>
    <w:rsid w:val="00BE04EC"/>
    <w:rsid w:val="00BE0B82"/>
    <w:rsid w:val="00BE0EA2"/>
    <w:rsid w:val="00BF246A"/>
    <w:rsid w:val="00BF2789"/>
    <w:rsid w:val="00BF4CAC"/>
    <w:rsid w:val="00BF69ED"/>
    <w:rsid w:val="00C006D8"/>
    <w:rsid w:val="00C01A39"/>
    <w:rsid w:val="00C027CD"/>
    <w:rsid w:val="00C04A9D"/>
    <w:rsid w:val="00C06FB8"/>
    <w:rsid w:val="00C10582"/>
    <w:rsid w:val="00C1131E"/>
    <w:rsid w:val="00C11645"/>
    <w:rsid w:val="00C11EDA"/>
    <w:rsid w:val="00C12B04"/>
    <w:rsid w:val="00C15589"/>
    <w:rsid w:val="00C23F87"/>
    <w:rsid w:val="00C2525B"/>
    <w:rsid w:val="00C34561"/>
    <w:rsid w:val="00C4693E"/>
    <w:rsid w:val="00C47CC2"/>
    <w:rsid w:val="00C514DF"/>
    <w:rsid w:val="00C5237C"/>
    <w:rsid w:val="00C629D6"/>
    <w:rsid w:val="00C67D82"/>
    <w:rsid w:val="00C7364E"/>
    <w:rsid w:val="00C7371C"/>
    <w:rsid w:val="00C86EF3"/>
    <w:rsid w:val="00C9039A"/>
    <w:rsid w:val="00C91E2D"/>
    <w:rsid w:val="00C92471"/>
    <w:rsid w:val="00C93296"/>
    <w:rsid w:val="00C9337F"/>
    <w:rsid w:val="00C94D13"/>
    <w:rsid w:val="00CA0211"/>
    <w:rsid w:val="00CA0C0B"/>
    <w:rsid w:val="00CA1A3E"/>
    <w:rsid w:val="00CA2D37"/>
    <w:rsid w:val="00CA3FD4"/>
    <w:rsid w:val="00CB149B"/>
    <w:rsid w:val="00CC70D0"/>
    <w:rsid w:val="00CD08C8"/>
    <w:rsid w:val="00CD2D42"/>
    <w:rsid w:val="00CE1D39"/>
    <w:rsid w:val="00CE213C"/>
    <w:rsid w:val="00CE3A3F"/>
    <w:rsid w:val="00CE4280"/>
    <w:rsid w:val="00CF5965"/>
    <w:rsid w:val="00D00468"/>
    <w:rsid w:val="00D10884"/>
    <w:rsid w:val="00D23FF5"/>
    <w:rsid w:val="00D3156F"/>
    <w:rsid w:val="00D3157C"/>
    <w:rsid w:val="00D4124A"/>
    <w:rsid w:val="00D42A41"/>
    <w:rsid w:val="00D447E5"/>
    <w:rsid w:val="00D4592B"/>
    <w:rsid w:val="00D46F88"/>
    <w:rsid w:val="00D514F7"/>
    <w:rsid w:val="00D56A34"/>
    <w:rsid w:val="00D6474C"/>
    <w:rsid w:val="00D64C9E"/>
    <w:rsid w:val="00D7733E"/>
    <w:rsid w:val="00D827C5"/>
    <w:rsid w:val="00D94F1D"/>
    <w:rsid w:val="00D977E1"/>
    <w:rsid w:val="00DA5685"/>
    <w:rsid w:val="00DA5D05"/>
    <w:rsid w:val="00DA78C0"/>
    <w:rsid w:val="00DB0BE7"/>
    <w:rsid w:val="00DB1201"/>
    <w:rsid w:val="00DB37B6"/>
    <w:rsid w:val="00DB4E21"/>
    <w:rsid w:val="00DB6CA2"/>
    <w:rsid w:val="00DB7FA2"/>
    <w:rsid w:val="00DC06D6"/>
    <w:rsid w:val="00DC2374"/>
    <w:rsid w:val="00DD4BBE"/>
    <w:rsid w:val="00DD61B6"/>
    <w:rsid w:val="00DE3147"/>
    <w:rsid w:val="00DE5476"/>
    <w:rsid w:val="00DF0F5D"/>
    <w:rsid w:val="00DF2353"/>
    <w:rsid w:val="00DF6800"/>
    <w:rsid w:val="00E01E41"/>
    <w:rsid w:val="00E04752"/>
    <w:rsid w:val="00E078AE"/>
    <w:rsid w:val="00E11DC7"/>
    <w:rsid w:val="00E1261E"/>
    <w:rsid w:val="00E17084"/>
    <w:rsid w:val="00E20319"/>
    <w:rsid w:val="00E256D9"/>
    <w:rsid w:val="00E30777"/>
    <w:rsid w:val="00E3278C"/>
    <w:rsid w:val="00E342DF"/>
    <w:rsid w:val="00E35931"/>
    <w:rsid w:val="00E37E2C"/>
    <w:rsid w:val="00E37F90"/>
    <w:rsid w:val="00E44E5E"/>
    <w:rsid w:val="00E50397"/>
    <w:rsid w:val="00E65845"/>
    <w:rsid w:val="00E665CA"/>
    <w:rsid w:val="00E66A06"/>
    <w:rsid w:val="00E710A9"/>
    <w:rsid w:val="00E72F43"/>
    <w:rsid w:val="00E756ED"/>
    <w:rsid w:val="00E75DE0"/>
    <w:rsid w:val="00E8350C"/>
    <w:rsid w:val="00E83D1A"/>
    <w:rsid w:val="00E90B98"/>
    <w:rsid w:val="00E93B35"/>
    <w:rsid w:val="00E97554"/>
    <w:rsid w:val="00EB0DD6"/>
    <w:rsid w:val="00EB1F0F"/>
    <w:rsid w:val="00EB4F0C"/>
    <w:rsid w:val="00EB674D"/>
    <w:rsid w:val="00EC1BCF"/>
    <w:rsid w:val="00EC5A9C"/>
    <w:rsid w:val="00ED0805"/>
    <w:rsid w:val="00EE0B09"/>
    <w:rsid w:val="00EE448C"/>
    <w:rsid w:val="00EE4505"/>
    <w:rsid w:val="00EE64AA"/>
    <w:rsid w:val="00F00E8D"/>
    <w:rsid w:val="00F07ECC"/>
    <w:rsid w:val="00F114B6"/>
    <w:rsid w:val="00F13329"/>
    <w:rsid w:val="00F1437F"/>
    <w:rsid w:val="00F1471E"/>
    <w:rsid w:val="00F17478"/>
    <w:rsid w:val="00F2277C"/>
    <w:rsid w:val="00F22F60"/>
    <w:rsid w:val="00F26925"/>
    <w:rsid w:val="00F27347"/>
    <w:rsid w:val="00F35309"/>
    <w:rsid w:val="00F361FE"/>
    <w:rsid w:val="00F40F43"/>
    <w:rsid w:val="00F45012"/>
    <w:rsid w:val="00F459F9"/>
    <w:rsid w:val="00F46CE5"/>
    <w:rsid w:val="00F51596"/>
    <w:rsid w:val="00F56E1C"/>
    <w:rsid w:val="00F57CB3"/>
    <w:rsid w:val="00F60BA4"/>
    <w:rsid w:val="00F651B4"/>
    <w:rsid w:val="00F653B9"/>
    <w:rsid w:val="00F6700F"/>
    <w:rsid w:val="00F674E9"/>
    <w:rsid w:val="00F72D1D"/>
    <w:rsid w:val="00F778AE"/>
    <w:rsid w:val="00F868BF"/>
    <w:rsid w:val="00F869D7"/>
    <w:rsid w:val="00F916A7"/>
    <w:rsid w:val="00F91A0F"/>
    <w:rsid w:val="00F936E6"/>
    <w:rsid w:val="00F94B83"/>
    <w:rsid w:val="00FB43E7"/>
    <w:rsid w:val="00FC2081"/>
    <w:rsid w:val="00FC53F9"/>
    <w:rsid w:val="00FC637C"/>
    <w:rsid w:val="00FC7709"/>
    <w:rsid w:val="00FD140C"/>
    <w:rsid w:val="00FD1D72"/>
    <w:rsid w:val="00FD36B3"/>
    <w:rsid w:val="00FD3B6D"/>
    <w:rsid w:val="00FD7171"/>
    <w:rsid w:val="00FE2EEC"/>
    <w:rsid w:val="00FF2C66"/>
    <w:rsid w:val="00FF3DF2"/>
    <w:rsid w:val="00FF636C"/>
  </w:rsids>
  <m:mathPr>
    <m:mathFont m:val="Cambria Math"/>
    <m:brkBin m:val="before"/>
    <m:brkBinSub m:val="--"/>
    <m:smallFrac m:val="0"/>
    <m:dispDef/>
    <m:lMargin m:val="0"/>
    <m:rMargin m:val="0"/>
    <m:defJc m:val="centerGroup"/>
    <m:wrapIndent m:val="1440"/>
    <m:intLim m:val="subSup"/>
    <m:naryLim m:val="undOvr"/>
  </m:mathPr>
  <w:themeFontLang w:val="sw-KE"/>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3C78"/>
    <w:pPr>
      <w:spacing w:after="0"/>
      <w:jc w:val="both"/>
    </w:pPr>
    <w:rPr>
      <w:rFonts w:ascii="Arial" w:hAnsi="Arial"/>
      <w:sz w:val="24"/>
    </w:rPr>
  </w:style>
  <w:style w:type="paragraph" w:styleId="Heading1">
    <w:name w:val="heading 1"/>
    <w:basedOn w:val="Normal"/>
    <w:next w:val="Normal"/>
    <w:link w:val="Heading1Char"/>
    <w:uiPriority w:val="9"/>
    <w:qFormat/>
    <w:rsid w:val="002C3E91"/>
    <w:pPr>
      <w:keepNext/>
      <w:keepLines/>
      <w:numPr>
        <w:numId w:val="47"/>
      </w:numPr>
      <w:spacing w:before="240" w:after="12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D52C4"/>
    <w:pPr>
      <w:keepNext/>
      <w:keepLines/>
      <w:numPr>
        <w:ilvl w:val="1"/>
        <w:numId w:val="47"/>
      </w:numPr>
      <w:spacing w:before="40" w:after="120"/>
      <w:outlineLvl w:val="1"/>
    </w:pPr>
    <w:rPr>
      <w:rFonts w:asciiTheme="majorHAnsi" w:eastAsiaTheme="majorEastAsia" w:hAnsiTheme="majorHAnsi" w:cstheme="majorBidi"/>
      <w:color w:val="365F91" w:themeColor="accent1" w:themeShade="BF"/>
      <w:sz w:val="28"/>
      <w:szCs w:val="26"/>
    </w:rPr>
  </w:style>
  <w:style w:type="paragraph" w:styleId="Heading3">
    <w:name w:val="heading 3"/>
    <w:basedOn w:val="Normal"/>
    <w:next w:val="Normal"/>
    <w:link w:val="Heading3Char"/>
    <w:uiPriority w:val="9"/>
    <w:unhideWhenUsed/>
    <w:qFormat/>
    <w:rsid w:val="001F6179"/>
    <w:pPr>
      <w:keepNext/>
      <w:keepLines/>
      <w:numPr>
        <w:ilvl w:val="2"/>
        <w:numId w:val="47"/>
      </w:numPr>
      <w:spacing w:before="200" w:after="12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1F6179"/>
    <w:pPr>
      <w:keepNext/>
      <w:keepLines/>
      <w:numPr>
        <w:ilvl w:val="3"/>
        <w:numId w:val="47"/>
      </w:numPr>
      <w:spacing w:before="200" w:after="12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2C3E91"/>
    <w:pPr>
      <w:keepNext/>
      <w:keepLines/>
      <w:numPr>
        <w:ilvl w:val="4"/>
        <w:numId w:val="47"/>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2C3E91"/>
    <w:pPr>
      <w:keepNext/>
      <w:keepLines/>
      <w:numPr>
        <w:ilvl w:val="5"/>
        <w:numId w:val="47"/>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2C3E91"/>
    <w:pPr>
      <w:keepNext/>
      <w:keepLines/>
      <w:numPr>
        <w:ilvl w:val="6"/>
        <w:numId w:val="47"/>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2C3E91"/>
    <w:pPr>
      <w:keepNext/>
      <w:keepLines/>
      <w:numPr>
        <w:ilvl w:val="7"/>
        <w:numId w:val="47"/>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2C3E91"/>
    <w:pPr>
      <w:keepNext/>
      <w:keepLines/>
      <w:numPr>
        <w:ilvl w:val="8"/>
        <w:numId w:val="47"/>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3F1C"/>
    <w:pPr>
      <w:ind w:left="720"/>
      <w:contextualSpacing/>
    </w:pPr>
  </w:style>
  <w:style w:type="character" w:styleId="CommentReference">
    <w:name w:val="annotation reference"/>
    <w:basedOn w:val="DefaultParagraphFont"/>
    <w:uiPriority w:val="99"/>
    <w:semiHidden/>
    <w:unhideWhenUsed/>
    <w:rsid w:val="000478C3"/>
    <w:rPr>
      <w:sz w:val="16"/>
      <w:szCs w:val="16"/>
    </w:rPr>
  </w:style>
  <w:style w:type="paragraph" w:styleId="CommentText">
    <w:name w:val="annotation text"/>
    <w:basedOn w:val="Normal"/>
    <w:link w:val="CommentTextChar"/>
    <w:uiPriority w:val="99"/>
    <w:semiHidden/>
    <w:unhideWhenUsed/>
    <w:rsid w:val="000478C3"/>
    <w:pPr>
      <w:spacing w:line="240" w:lineRule="auto"/>
    </w:pPr>
    <w:rPr>
      <w:sz w:val="20"/>
      <w:szCs w:val="20"/>
    </w:rPr>
  </w:style>
  <w:style w:type="character" w:customStyle="1" w:styleId="CommentTextChar">
    <w:name w:val="Comment Text Char"/>
    <w:basedOn w:val="DefaultParagraphFont"/>
    <w:link w:val="CommentText"/>
    <w:uiPriority w:val="99"/>
    <w:semiHidden/>
    <w:rsid w:val="000478C3"/>
    <w:rPr>
      <w:sz w:val="20"/>
      <w:szCs w:val="20"/>
    </w:rPr>
  </w:style>
  <w:style w:type="paragraph" w:styleId="CommentSubject">
    <w:name w:val="annotation subject"/>
    <w:basedOn w:val="CommentText"/>
    <w:next w:val="CommentText"/>
    <w:link w:val="CommentSubjectChar"/>
    <w:uiPriority w:val="99"/>
    <w:semiHidden/>
    <w:unhideWhenUsed/>
    <w:rsid w:val="000478C3"/>
    <w:rPr>
      <w:b/>
      <w:bCs/>
    </w:rPr>
  </w:style>
  <w:style w:type="character" w:customStyle="1" w:styleId="CommentSubjectChar">
    <w:name w:val="Comment Subject Char"/>
    <w:basedOn w:val="CommentTextChar"/>
    <w:link w:val="CommentSubject"/>
    <w:uiPriority w:val="99"/>
    <w:semiHidden/>
    <w:rsid w:val="000478C3"/>
    <w:rPr>
      <w:b/>
      <w:bCs/>
      <w:sz w:val="20"/>
      <w:szCs w:val="20"/>
    </w:rPr>
  </w:style>
  <w:style w:type="paragraph" w:styleId="BalloonText">
    <w:name w:val="Balloon Text"/>
    <w:basedOn w:val="Normal"/>
    <w:link w:val="BalloonTextChar"/>
    <w:uiPriority w:val="99"/>
    <w:semiHidden/>
    <w:unhideWhenUsed/>
    <w:rsid w:val="000478C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78C3"/>
    <w:rPr>
      <w:rFonts w:ascii="Tahoma" w:hAnsi="Tahoma" w:cs="Tahoma"/>
      <w:sz w:val="16"/>
      <w:szCs w:val="16"/>
    </w:rPr>
  </w:style>
  <w:style w:type="paragraph" w:styleId="FootnoteText">
    <w:name w:val="footnote text"/>
    <w:aliases w:val="FOOTNOTES Char,fn Char,single space Char,ALTS FOOTNOTE Char,footnote text Char,Footnote Text Char2 Char Char,Footnote Text Char1 Char Char Char,Footnote Text Char2 Char Char Char Char,Footnote Text Char1 Char"/>
    <w:basedOn w:val="Normal"/>
    <w:link w:val="FootnoteTextChar"/>
    <w:uiPriority w:val="99"/>
    <w:unhideWhenUsed/>
    <w:rsid w:val="00A34775"/>
    <w:pPr>
      <w:spacing w:line="240" w:lineRule="auto"/>
    </w:pPr>
    <w:rPr>
      <w:rFonts w:eastAsiaTheme="minorEastAsia"/>
      <w:sz w:val="20"/>
      <w:szCs w:val="20"/>
      <w:lang w:bidi="en-US"/>
    </w:rPr>
  </w:style>
  <w:style w:type="character" w:customStyle="1" w:styleId="FootnoteTextChar">
    <w:name w:val="Footnote Text Char"/>
    <w:aliases w:val="FOOTNOTES Char Char,fn Char Char,single space Char Char,ALTS FOOTNOTE Char Char,footnote text Char Char,Footnote Text Char2 Char Char Char,Footnote Text Char1 Char Char Char Char,Footnote Text Char2 Char Char Char Char Char"/>
    <w:basedOn w:val="DefaultParagraphFont"/>
    <w:link w:val="FootnoteText"/>
    <w:uiPriority w:val="99"/>
    <w:rsid w:val="00A34775"/>
    <w:rPr>
      <w:rFonts w:eastAsiaTheme="minorEastAsia"/>
      <w:sz w:val="20"/>
      <w:szCs w:val="20"/>
      <w:lang w:bidi="en-US"/>
    </w:rPr>
  </w:style>
  <w:style w:type="character" w:styleId="FootnoteReference">
    <w:name w:val="footnote reference"/>
    <w:basedOn w:val="DefaultParagraphFont"/>
    <w:uiPriority w:val="99"/>
    <w:unhideWhenUsed/>
    <w:rsid w:val="00A34775"/>
    <w:rPr>
      <w:vertAlign w:val="superscript"/>
    </w:rPr>
  </w:style>
  <w:style w:type="paragraph" w:styleId="Caption">
    <w:name w:val="caption"/>
    <w:basedOn w:val="Normal"/>
    <w:next w:val="Normal"/>
    <w:uiPriority w:val="35"/>
    <w:unhideWhenUsed/>
    <w:qFormat/>
    <w:rsid w:val="0095453D"/>
    <w:pPr>
      <w:spacing w:after="40" w:line="240" w:lineRule="auto"/>
    </w:pPr>
    <w:rPr>
      <w:rFonts w:eastAsiaTheme="minorEastAsia"/>
      <w:b/>
      <w:bCs/>
      <w:sz w:val="22"/>
      <w:szCs w:val="18"/>
      <w:lang w:bidi="en-US"/>
    </w:rPr>
  </w:style>
  <w:style w:type="table" w:styleId="TableGrid">
    <w:name w:val="Table Grid"/>
    <w:basedOn w:val="TableNormal"/>
    <w:uiPriority w:val="59"/>
    <w:rsid w:val="00A34775"/>
    <w:pPr>
      <w:spacing w:after="0" w:line="240" w:lineRule="auto"/>
      <w:jc w:val="both"/>
    </w:pPr>
    <w:rPr>
      <w:rFonts w:eastAsiaTheme="minorEastAsia"/>
      <w:sz w:val="20"/>
      <w:szCs w:val="20"/>
      <w:lang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Subtitles">
    <w:name w:val="Table Subtitles"/>
    <w:rsid w:val="0064404D"/>
    <w:pPr>
      <w:keepNext/>
      <w:keepLines/>
      <w:spacing w:before="80" w:after="40" w:line="240" w:lineRule="auto"/>
      <w:jc w:val="center"/>
    </w:pPr>
    <w:rPr>
      <w:rFonts w:ascii="Gill Sans MT" w:eastAsia="Times New Roman" w:hAnsi="Gill Sans MT" w:cs="Times New Roman"/>
      <w:b/>
      <w:noProof/>
      <w:sz w:val="18"/>
      <w:szCs w:val="20"/>
    </w:rPr>
  </w:style>
  <w:style w:type="paragraph" w:customStyle="1" w:styleId="TableBody">
    <w:name w:val="Table Body"/>
    <w:rsid w:val="0064404D"/>
    <w:pPr>
      <w:spacing w:after="0" w:line="240" w:lineRule="auto"/>
    </w:pPr>
    <w:rPr>
      <w:rFonts w:ascii="Gill Sans" w:eastAsia="Times New Roman" w:hAnsi="Gill Sans" w:cs="Times New Roman"/>
      <w:noProof/>
      <w:sz w:val="18"/>
      <w:szCs w:val="20"/>
    </w:rPr>
  </w:style>
  <w:style w:type="paragraph" w:customStyle="1" w:styleId="TableNumbers">
    <w:name w:val="Table Numbers"/>
    <w:basedOn w:val="TableBody"/>
    <w:rsid w:val="0064404D"/>
    <w:pPr>
      <w:ind w:right="144"/>
      <w:jc w:val="right"/>
    </w:pPr>
    <w:rPr>
      <w:color w:val="333333"/>
    </w:rPr>
  </w:style>
  <w:style w:type="table" w:customStyle="1" w:styleId="LightShading1">
    <w:name w:val="Light Shading1"/>
    <w:basedOn w:val="TableNormal"/>
    <w:uiPriority w:val="60"/>
    <w:rsid w:val="0064404D"/>
    <w:pPr>
      <w:spacing w:after="0" w:line="240" w:lineRule="auto"/>
      <w:jc w:val="both"/>
    </w:pPr>
    <w:rPr>
      <w:rFonts w:eastAsiaTheme="minorEastAsia"/>
      <w:color w:val="000000" w:themeColor="text1" w:themeShade="BF"/>
      <w:sz w:val="20"/>
      <w:szCs w:val="20"/>
      <w:lang w:bidi="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eading1Char">
    <w:name w:val="Heading 1 Char"/>
    <w:basedOn w:val="DefaultParagraphFont"/>
    <w:link w:val="Heading1"/>
    <w:uiPriority w:val="9"/>
    <w:rsid w:val="002C3E91"/>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BD52C4"/>
    <w:rPr>
      <w:rFonts w:asciiTheme="majorHAnsi" w:eastAsiaTheme="majorEastAsia" w:hAnsiTheme="majorHAnsi" w:cstheme="majorBidi"/>
      <w:color w:val="365F91" w:themeColor="accent1" w:themeShade="BF"/>
      <w:sz w:val="28"/>
      <w:szCs w:val="26"/>
    </w:rPr>
  </w:style>
  <w:style w:type="table" w:customStyle="1" w:styleId="TableGrid1">
    <w:name w:val="Table Grid1"/>
    <w:basedOn w:val="TableNormal"/>
    <w:next w:val="TableGrid"/>
    <w:uiPriority w:val="59"/>
    <w:rsid w:val="006339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6339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6339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611A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11A58"/>
    <w:pPr>
      <w:tabs>
        <w:tab w:val="center" w:pos="4680"/>
        <w:tab w:val="right" w:pos="9360"/>
      </w:tabs>
      <w:spacing w:line="240" w:lineRule="auto"/>
    </w:pPr>
  </w:style>
  <w:style w:type="character" w:customStyle="1" w:styleId="HeaderChar">
    <w:name w:val="Header Char"/>
    <w:basedOn w:val="DefaultParagraphFont"/>
    <w:link w:val="Header"/>
    <w:uiPriority w:val="99"/>
    <w:rsid w:val="00611A58"/>
  </w:style>
  <w:style w:type="paragraph" w:styleId="Footer">
    <w:name w:val="footer"/>
    <w:basedOn w:val="Normal"/>
    <w:link w:val="FooterChar"/>
    <w:uiPriority w:val="99"/>
    <w:unhideWhenUsed/>
    <w:rsid w:val="00611A58"/>
    <w:pPr>
      <w:tabs>
        <w:tab w:val="center" w:pos="4680"/>
        <w:tab w:val="right" w:pos="9360"/>
      </w:tabs>
      <w:spacing w:line="240" w:lineRule="auto"/>
    </w:pPr>
  </w:style>
  <w:style w:type="character" w:customStyle="1" w:styleId="FooterChar">
    <w:name w:val="Footer Char"/>
    <w:basedOn w:val="DefaultParagraphFont"/>
    <w:link w:val="Footer"/>
    <w:uiPriority w:val="99"/>
    <w:rsid w:val="00611A58"/>
  </w:style>
  <w:style w:type="paragraph" w:styleId="Title">
    <w:name w:val="Title"/>
    <w:basedOn w:val="Normal"/>
    <w:next w:val="Normal"/>
    <w:link w:val="TitleChar"/>
    <w:uiPriority w:val="10"/>
    <w:qFormat/>
    <w:rsid w:val="00BD52C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32"/>
      <w:szCs w:val="52"/>
    </w:rPr>
  </w:style>
  <w:style w:type="character" w:customStyle="1" w:styleId="TitleChar">
    <w:name w:val="Title Char"/>
    <w:basedOn w:val="DefaultParagraphFont"/>
    <w:link w:val="Title"/>
    <w:uiPriority w:val="10"/>
    <w:rsid w:val="00BD52C4"/>
    <w:rPr>
      <w:rFonts w:asciiTheme="majorHAnsi" w:eastAsiaTheme="majorEastAsia" w:hAnsiTheme="majorHAnsi" w:cstheme="majorBidi"/>
      <w:color w:val="17365D" w:themeColor="text2" w:themeShade="BF"/>
      <w:spacing w:val="5"/>
      <w:kern w:val="28"/>
      <w:sz w:val="32"/>
      <w:szCs w:val="52"/>
    </w:rPr>
  </w:style>
  <w:style w:type="character" w:customStyle="1" w:styleId="Heading3Char">
    <w:name w:val="Heading 3 Char"/>
    <w:basedOn w:val="DefaultParagraphFont"/>
    <w:link w:val="Heading3"/>
    <w:uiPriority w:val="9"/>
    <w:rsid w:val="001F6179"/>
    <w:rPr>
      <w:rFonts w:asciiTheme="majorHAnsi" w:eastAsiaTheme="majorEastAsia" w:hAnsiTheme="majorHAnsi" w:cstheme="majorBidi"/>
      <w:b/>
      <w:bCs/>
      <w:color w:val="4F81BD" w:themeColor="accent1"/>
      <w:sz w:val="24"/>
    </w:rPr>
  </w:style>
  <w:style w:type="character" w:customStyle="1" w:styleId="Heading4Char">
    <w:name w:val="Heading 4 Char"/>
    <w:basedOn w:val="DefaultParagraphFont"/>
    <w:link w:val="Heading4"/>
    <w:uiPriority w:val="9"/>
    <w:rsid w:val="001F6179"/>
    <w:rPr>
      <w:rFonts w:asciiTheme="majorHAnsi" w:eastAsiaTheme="majorEastAsia" w:hAnsiTheme="majorHAnsi" w:cstheme="majorBidi"/>
      <w:b/>
      <w:bCs/>
      <w:i/>
      <w:iCs/>
      <w:color w:val="4F81BD" w:themeColor="accent1"/>
      <w:sz w:val="24"/>
    </w:rPr>
  </w:style>
  <w:style w:type="paragraph" w:styleId="TOCHeading">
    <w:name w:val="TOC Heading"/>
    <w:basedOn w:val="Heading1"/>
    <w:next w:val="Normal"/>
    <w:uiPriority w:val="39"/>
    <w:semiHidden/>
    <w:unhideWhenUsed/>
    <w:qFormat/>
    <w:rsid w:val="00F45012"/>
    <w:pPr>
      <w:spacing w:before="480" w:after="0"/>
      <w:jc w:val="left"/>
      <w:outlineLvl w:val="9"/>
    </w:pPr>
    <w:rPr>
      <w:b/>
      <w:bCs/>
      <w:sz w:val="28"/>
      <w:szCs w:val="28"/>
      <w:lang w:eastAsia="ja-JP"/>
    </w:rPr>
  </w:style>
  <w:style w:type="paragraph" w:styleId="TOC1">
    <w:name w:val="toc 1"/>
    <w:basedOn w:val="Normal"/>
    <w:next w:val="Normal"/>
    <w:autoRedefine/>
    <w:uiPriority w:val="39"/>
    <w:unhideWhenUsed/>
    <w:rsid w:val="00F45012"/>
    <w:pPr>
      <w:spacing w:after="100"/>
    </w:pPr>
  </w:style>
  <w:style w:type="paragraph" w:styleId="TOC2">
    <w:name w:val="toc 2"/>
    <w:basedOn w:val="Normal"/>
    <w:next w:val="Normal"/>
    <w:autoRedefine/>
    <w:uiPriority w:val="39"/>
    <w:unhideWhenUsed/>
    <w:rsid w:val="00F45012"/>
    <w:pPr>
      <w:spacing w:after="100"/>
      <w:ind w:left="240"/>
    </w:pPr>
  </w:style>
  <w:style w:type="paragraph" w:styleId="TOC3">
    <w:name w:val="toc 3"/>
    <w:basedOn w:val="Normal"/>
    <w:next w:val="Normal"/>
    <w:autoRedefine/>
    <w:uiPriority w:val="39"/>
    <w:unhideWhenUsed/>
    <w:rsid w:val="00F45012"/>
    <w:pPr>
      <w:spacing w:after="100"/>
      <w:ind w:left="480"/>
    </w:pPr>
  </w:style>
  <w:style w:type="character" w:styleId="Hyperlink">
    <w:name w:val="Hyperlink"/>
    <w:basedOn w:val="DefaultParagraphFont"/>
    <w:uiPriority w:val="99"/>
    <w:unhideWhenUsed/>
    <w:rsid w:val="00F45012"/>
    <w:rPr>
      <w:color w:val="0000FF" w:themeColor="hyperlink"/>
      <w:u w:val="single"/>
    </w:rPr>
  </w:style>
  <w:style w:type="character" w:customStyle="1" w:styleId="Heading5Char">
    <w:name w:val="Heading 5 Char"/>
    <w:basedOn w:val="DefaultParagraphFont"/>
    <w:link w:val="Heading5"/>
    <w:uiPriority w:val="9"/>
    <w:semiHidden/>
    <w:rsid w:val="002C3E91"/>
    <w:rPr>
      <w:rFonts w:asciiTheme="majorHAnsi" w:eastAsiaTheme="majorEastAsia" w:hAnsiTheme="majorHAnsi" w:cstheme="majorBidi"/>
      <w:color w:val="243F60" w:themeColor="accent1" w:themeShade="7F"/>
      <w:sz w:val="24"/>
    </w:rPr>
  </w:style>
  <w:style w:type="character" w:customStyle="1" w:styleId="Heading6Char">
    <w:name w:val="Heading 6 Char"/>
    <w:basedOn w:val="DefaultParagraphFont"/>
    <w:link w:val="Heading6"/>
    <w:uiPriority w:val="9"/>
    <w:semiHidden/>
    <w:rsid w:val="002C3E91"/>
    <w:rPr>
      <w:rFonts w:asciiTheme="majorHAnsi" w:eastAsiaTheme="majorEastAsia" w:hAnsiTheme="majorHAnsi" w:cstheme="majorBidi"/>
      <w:i/>
      <w:iCs/>
      <w:color w:val="243F60" w:themeColor="accent1" w:themeShade="7F"/>
      <w:sz w:val="24"/>
    </w:rPr>
  </w:style>
  <w:style w:type="character" w:customStyle="1" w:styleId="Heading7Char">
    <w:name w:val="Heading 7 Char"/>
    <w:basedOn w:val="DefaultParagraphFont"/>
    <w:link w:val="Heading7"/>
    <w:uiPriority w:val="9"/>
    <w:semiHidden/>
    <w:rsid w:val="002C3E91"/>
    <w:rPr>
      <w:rFonts w:asciiTheme="majorHAnsi" w:eastAsiaTheme="majorEastAsia" w:hAnsiTheme="majorHAnsi" w:cstheme="majorBidi"/>
      <w:i/>
      <w:iCs/>
      <w:color w:val="404040" w:themeColor="text1" w:themeTint="BF"/>
      <w:sz w:val="24"/>
    </w:rPr>
  </w:style>
  <w:style w:type="character" w:customStyle="1" w:styleId="Heading8Char">
    <w:name w:val="Heading 8 Char"/>
    <w:basedOn w:val="DefaultParagraphFont"/>
    <w:link w:val="Heading8"/>
    <w:uiPriority w:val="9"/>
    <w:semiHidden/>
    <w:rsid w:val="002C3E91"/>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2C3E91"/>
    <w:rPr>
      <w:rFonts w:asciiTheme="majorHAnsi" w:eastAsiaTheme="majorEastAsia" w:hAnsiTheme="majorHAnsi" w:cstheme="majorBidi"/>
      <w:i/>
      <w:iCs/>
      <w:color w:val="404040" w:themeColor="text1" w:themeTint="BF"/>
      <w:sz w:val="20"/>
      <w:szCs w:val="20"/>
    </w:rPr>
  </w:style>
  <w:style w:type="table" w:customStyle="1" w:styleId="TableGrid5">
    <w:name w:val="Table Grid5"/>
    <w:basedOn w:val="TableNormal"/>
    <w:next w:val="TableGrid"/>
    <w:uiPriority w:val="59"/>
    <w:rsid w:val="006111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3C78"/>
    <w:pPr>
      <w:spacing w:after="0"/>
      <w:jc w:val="both"/>
    </w:pPr>
    <w:rPr>
      <w:rFonts w:ascii="Arial" w:hAnsi="Arial"/>
      <w:sz w:val="24"/>
    </w:rPr>
  </w:style>
  <w:style w:type="paragraph" w:styleId="Heading1">
    <w:name w:val="heading 1"/>
    <w:basedOn w:val="Normal"/>
    <w:next w:val="Normal"/>
    <w:link w:val="Heading1Char"/>
    <w:uiPriority w:val="9"/>
    <w:qFormat/>
    <w:rsid w:val="002C3E91"/>
    <w:pPr>
      <w:keepNext/>
      <w:keepLines/>
      <w:numPr>
        <w:numId w:val="47"/>
      </w:numPr>
      <w:spacing w:before="240" w:after="12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D52C4"/>
    <w:pPr>
      <w:keepNext/>
      <w:keepLines/>
      <w:numPr>
        <w:ilvl w:val="1"/>
        <w:numId w:val="47"/>
      </w:numPr>
      <w:spacing w:before="40" w:after="120"/>
      <w:outlineLvl w:val="1"/>
    </w:pPr>
    <w:rPr>
      <w:rFonts w:asciiTheme="majorHAnsi" w:eastAsiaTheme="majorEastAsia" w:hAnsiTheme="majorHAnsi" w:cstheme="majorBidi"/>
      <w:color w:val="365F91" w:themeColor="accent1" w:themeShade="BF"/>
      <w:sz w:val="28"/>
      <w:szCs w:val="26"/>
    </w:rPr>
  </w:style>
  <w:style w:type="paragraph" w:styleId="Heading3">
    <w:name w:val="heading 3"/>
    <w:basedOn w:val="Normal"/>
    <w:next w:val="Normal"/>
    <w:link w:val="Heading3Char"/>
    <w:uiPriority w:val="9"/>
    <w:unhideWhenUsed/>
    <w:qFormat/>
    <w:rsid w:val="001F6179"/>
    <w:pPr>
      <w:keepNext/>
      <w:keepLines/>
      <w:numPr>
        <w:ilvl w:val="2"/>
        <w:numId w:val="47"/>
      </w:numPr>
      <w:spacing w:before="200" w:after="12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1F6179"/>
    <w:pPr>
      <w:keepNext/>
      <w:keepLines/>
      <w:numPr>
        <w:ilvl w:val="3"/>
        <w:numId w:val="47"/>
      </w:numPr>
      <w:spacing w:before="200" w:after="12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2C3E91"/>
    <w:pPr>
      <w:keepNext/>
      <w:keepLines/>
      <w:numPr>
        <w:ilvl w:val="4"/>
        <w:numId w:val="47"/>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2C3E91"/>
    <w:pPr>
      <w:keepNext/>
      <w:keepLines/>
      <w:numPr>
        <w:ilvl w:val="5"/>
        <w:numId w:val="47"/>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2C3E91"/>
    <w:pPr>
      <w:keepNext/>
      <w:keepLines/>
      <w:numPr>
        <w:ilvl w:val="6"/>
        <w:numId w:val="47"/>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2C3E91"/>
    <w:pPr>
      <w:keepNext/>
      <w:keepLines/>
      <w:numPr>
        <w:ilvl w:val="7"/>
        <w:numId w:val="47"/>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2C3E91"/>
    <w:pPr>
      <w:keepNext/>
      <w:keepLines/>
      <w:numPr>
        <w:ilvl w:val="8"/>
        <w:numId w:val="47"/>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3F1C"/>
    <w:pPr>
      <w:ind w:left="720"/>
      <w:contextualSpacing/>
    </w:pPr>
  </w:style>
  <w:style w:type="character" w:styleId="CommentReference">
    <w:name w:val="annotation reference"/>
    <w:basedOn w:val="DefaultParagraphFont"/>
    <w:uiPriority w:val="99"/>
    <w:semiHidden/>
    <w:unhideWhenUsed/>
    <w:rsid w:val="000478C3"/>
    <w:rPr>
      <w:sz w:val="16"/>
      <w:szCs w:val="16"/>
    </w:rPr>
  </w:style>
  <w:style w:type="paragraph" w:styleId="CommentText">
    <w:name w:val="annotation text"/>
    <w:basedOn w:val="Normal"/>
    <w:link w:val="CommentTextChar"/>
    <w:uiPriority w:val="99"/>
    <w:semiHidden/>
    <w:unhideWhenUsed/>
    <w:rsid w:val="000478C3"/>
    <w:pPr>
      <w:spacing w:line="240" w:lineRule="auto"/>
    </w:pPr>
    <w:rPr>
      <w:sz w:val="20"/>
      <w:szCs w:val="20"/>
    </w:rPr>
  </w:style>
  <w:style w:type="character" w:customStyle="1" w:styleId="CommentTextChar">
    <w:name w:val="Comment Text Char"/>
    <w:basedOn w:val="DefaultParagraphFont"/>
    <w:link w:val="CommentText"/>
    <w:uiPriority w:val="99"/>
    <w:semiHidden/>
    <w:rsid w:val="000478C3"/>
    <w:rPr>
      <w:sz w:val="20"/>
      <w:szCs w:val="20"/>
    </w:rPr>
  </w:style>
  <w:style w:type="paragraph" w:styleId="CommentSubject">
    <w:name w:val="annotation subject"/>
    <w:basedOn w:val="CommentText"/>
    <w:next w:val="CommentText"/>
    <w:link w:val="CommentSubjectChar"/>
    <w:uiPriority w:val="99"/>
    <w:semiHidden/>
    <w:unhideWhenUsed/>
    <w:rsid w:val="000478C3"/>
    <w:rPr>
      <w:b/>
      <w:bCs/>
    </w:rPr>
  </w:style>
  <w:style w:type="character" w:customStyle="1" w:styleId="CommentSubjectChar">
    <w:name w:val="Comment Subject Char"/>
    <w:basedOn w:val="CommentTextChar"/>
    <w:link w:val="CommentSubject"/>
    <w:uiPriority w:val="99"/>
    <w:semiHidden/>
    <w:rsid w:val="000478C3"/>
    <w:rPr>
      <w:b/>
      <w:bCs/>
      <w:sz w:val="20"/>
      <w:szCs w:val="20"/>
    </w:rPr>
  </w:style>
  <w:style w:type="paragraph" w:styleId="BalloonText">
    <w:name w:val="Balloon Text"/>
    <w:basedOn w:val="Normal"/>
    <w:link w:val="BalloonTextChar"/>
    <w:uiPriority w:val="99"/>
    <w:semiHidden/>
    <w:unhideWhenUsed/>
    <w:rsid w:val="000478C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78C3"/>
    <w:rPr>
      <w:rFonts w:ascii="Tahoma" w:hAnsi="Tahoma" w:cs="Tahoma"/>
      <w:sz w:val="16"/>
      <w:szCs w:val="16"/>
    </w:rPr>
  </w:style>
  <w:style w:type="paragraph" w:styleId="FootnoteText">
    <w:name w:val="footnote text"/>
    <w:aliases w:val="FOOTNOTES Char,fn Char,single space Char,ALTS FOOTNOTE Char,footnote text Char,Footnote Text Char2 Char Char,Footnote Text Char1 Char Char Char,Footnote Text Char2 Char Char Char Char,Footnote Text Char1 Char"/>
    <w:basedOn w:val="Normal"/>
    <w:link w:val="FootnoteTextChar"/>
    <w:uiPriority w:val="99"/>
    <w:unhideWhenUsed/>
    <w:rsid w:val="00A34775"/>
    <w:pPr>
      <w:spacing w:line="240" w:lineRule="auto"/>
    </w:pPr>
    <w:rPr>
      <w:rFonts w:eastAsiaTheme="minorEastAsia"/>
      <w:sz w:val="20"/>
      <w:szCs w:val="20"/>
      <w:lang w:bidi="en-US"/>
    </w:rPr>
  </w:style>
  <w:style w:type="character" w:customStyle="1" w:styleId="FootnoteTextChar">
    <w:name w:val="Footnote Text Char"/>
    <w:aliases w:val="FOOTNOTES Char Char,fn Char Char,single space Char Char,ALTS FOOTNOTE Char Char,footnote text Char Char,Footnote Text Char2 Char Char Char,Footnote Text Char1 Char Char Char Char,Footnote Text Char2 Char Char Char Char Char"/>
    <w:basedOn w:val="DefaultParagraphFont"/>
    <w:link w:val="FootnoteText"/>
    <w:uiPriority w:val="99"/>
    <w:rsid w:val="00A34775"/>
    <w:rPr>
      <w:rFonts w:eastAsiaTheme="minorEastAsia"/>
      <w:sz w:val="20"/>
      <w:szCs w:val="20"/>
      <w:lang w:bidi="en-US"/>
    </w:rPr>
  </w:style>
  <w:style w:type="character" w:styleId="FootnoteReference">
    <w:name w:val="footnote reference"/>
    <w:basedOn w:val="DefaultParagraphFont"/>
    <w:uiPriority w:val="99"/>
    <w:unhideWhenUsed/>
    <w:rsid w:val="00A34775"/>
    <w:rPr>
      <w:vertAlign w:val="superscript"/>
    </w:rPr>
  </w:style>
  <w:style w:type="paragraph" w:styleId="Caption">
    <w:name w:val="caption"/>
    <w:basedOn w:val="Normal"/>
    <w:next w:val="Normal"/>
    <w:uiPriority w:val="35"/>
    <w:unhideWhenUsed/>
    <w:qFormat/>
    <w:rsid w:val="0095453D"/>
    <w:pPr>
      <w:spacing w:after="40" w:line="240" w:lineRule="auto"/>
    </w:pPr>
    <w:rPr>
      <w:rFonts w:eastAsiaTheme="minorEastAsia"/>
      <w:b/>
      <w:bCs/>
      <w:sz w:val="22"/>
      <w:szCs w:val="18"/>
      <w:lang w:bidi="en-US"/>
    </w:rPr>
  </w:style>
  <w:style w:type="table" w:styleId="TableGrid">
    <w:name w:val="Table Grid"/>
    <w:basedOn w:val="TableNormal"/>
    <w:uiPriority w:val="59"/>
    <w:rsid w:val="00A34775"/>
    <w:pPr>
      <w:spacing w:after="0" w:line="240" w:lineRule="auto"/>
      <w:jc w:val="both"/>
    </w:pPr>
    <w:rPr>
      <w:rFonts w:eastAsiaTheme="minorEastAsia"/>
      <w:sz w:val="20"/>
      <w:szCs w:val="20"/>
      <w:lang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Subtitles">
    <w:name w:val="Table Subtitles"/>
    <w:rsid w:val="0064404D"/>
    <w:pPr>
      <w:keepNext/>
      <w:keepLines/>
      <w:spacing w:before="80" w:after="40" w:line="240" w:lineRule="auto"/>
      <w:jc w:val="center"/>
    </w:pPr>
    <w:rPr>
      <w:rFonts w:ascii="Gill Sans MT" w:eastAsia="Times New Roman" w:hAnsi="Gill Sans MT" w:cs="Times New Roman"/>
      <w:b/>
      <w:noProof/>
      <w:sz w:val="18"/>
      <w:szCs w:val="20"/>
    </w:rPr>
  </w:style>
  <w:style w:type="paragraph" w:customStyle="1" w:styleId="TableBody">
    <w:name w:val="Table Body"/>
    <w:rsid w:val="0064404D"/>
    <w:pPr>
      <w:spacing w:after="0" w:line="240" w:lineRule="auto"/>
    </w:pPr>
    <w:rPr>
      <w:rFonts w:ascii="Gill Sans" w:eastAsia="Times New Roman" w:hAnsi="Gill Sans" w:cs="Times New Roman"/>
      <w:noProof/>
      <w:sz w:val="18"/>
      <w:szCs w:val="20"/>
    </w:rPr>
  </w:style>
  <w:style w:type="paragraph" w:customStyle="1" w:styleId="TableNumbers">
    <w:name w:val="Table Numbers"/>
    <w:basedOn w:val="TableBody"/>
    <w:rsid w:val="0064404D"/>
    <w:pPr>
      <w:ind w:right="144"/>
      <w:jc w:val="right"/>
    </w:pPr>
    <w:rPr>
      <w:color w:val="333333"/>
    </w:rPr>
  </w:style>
  <w:style w:type="table" w:customStyle="1" w:styleId="LightShading1">
    <w:name w:val="Light Shading1"/>
    <w:basedOn w:val="TableNormal"/>
    <w:uiPriority w:val="60"/>
    <w:rsid w:val="0064404D"/>
    <w:pPr>
      <w:spacing w:after="0" w:line="240" w:lineRule="auto"/>
      <w:jc w:val="both"/>
    </w:pPr>
    <w:rPr>
      <w:rFonts w:eastAsiaTheme="minorEastAsia"/>
      <w:color w:val="000000" w:themeColor="text1" w:themeShade="BF"/>
      <w:sz w:val="20"/>
      <w:szCs w:val="20"/>
      <w:lang w:bidi="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eading1Char">
    <w:name w:val="Heading 1 Char"/>
    <w:basedOn w:val="DefaultParagraphFont"/>
    <w:link w:val="Heading1"/>
    <w:uiPriority w:val="9"/>
    <w:rsid w:val="002C3E91"/>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BD52C4"/>
    <w:rPr>
      <w:rFonts w:asciiTheme="majorHAnsi" w:eastAsiaTheme="majorEastAsia" w:hAnsiTheme="majorHAnsi" w:cstheme="majorBidi"/>
      <w:color w:val="365F91" w:themeColor="accent1" w:themeShade="BF"/>
      <w:sz w:val="28"/>
      <w:szCs w:val="26"/>
    </w:rPr>
  </w:style>
  <w:style w:type="table" w:customStyle="1" w:styleId="TableGrid1">
    <w:name w:val="Table Grid1"/>
    <w:basedOn w:val="TableNormal"/>
    <w:next w:val="TableGrid"/>
    <w:uiPriority w:val="59"/>
    <w:rsid w:val="006339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6339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6339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611A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11A58"/>
    <w:pPr>
      <w:tabs>
        <w:tab w:val="center" w:pos="4680"/>
        <w:tab w:val="right" w:pos="9360"/>
      </w:tabs>
      <w:spacing w:line="240" w:lineRule="auto"/>
    </w:pPr>
  </w:style>
  <w:style w:type="character" w:customStyle="1" w:styleId="HeaderChar">
    <w:name w:val="Header Char"/>
    <w:basedOn w:val="DefaultParagraphFont"/>
    <w:link w:val="Header"/>
    <w:uiPriority w:val="99"/>
    <w:rsid w:val="00611A58"/>
  </w:style>
  <w:style w:type="paragraph" w:styleId="Footer">
    <w:name w:val="footer"/>
    <w:basedOn w:val="Normal"/>
    <w:link w:val="FooterChar"/>
    <w:uiPriority w:val="99"/>
    <w:unhideWhenUsed/>
    <w:rsid w:val="00611A58"/>
    <w:pPr>
      <w:tabs>
        <w:tab w:val="center" w:pos="4680"/>
        <w:tab w:val="right" w:pos="9360"/>
      </w:tabs>
      <w:spacing w:line="240" w:lineRule="auto"/>
    </w:pPr>
  </w:style>
  <w:style w:type="character" w:customStyle="1" w:styleId="FooterChar">
    <w:name w:val="Footer Char"/>
    <w:basedOn w:val="DefaultParagraphFont"/>
    <w:link w:val="Footer"/>
    <w:uiPriority w:val="99"/>
    <w:rsid w:val="00611A58"/>
  </w:style>
  <w:style w:type="paragraph" w:styleId="Title">
    <w:name w:val="Title"/>
    <w:basedOn w:val="Normal"/>
    <w:next w:val="Normal"/>
    <w:link w:val="TitleChar"/>
    <w:uiPriority w:val="10"/>
    <w:qFormat/>
    <w:rsid w:val="00BD52C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32"/>
      <w:szCs w:val="52"/>
    </w:rPr>
  </w:style>
  <w:style w:type="character" w:customStyle="1" w:styleId="TitleChar">
    <w:name w:val="Title Char"/>
    <w:basedOn w:val="DefaultParagraphFont"/>
    <w:link w:val="Title"/>
    <w:uiPriority w:val="10"/>
    <w:rsid w:val="00BD52C4"/>
    <w:rPr>
      <w:rFonts w:asciiTheme="majorHAnsi" w:eastAsiaTheme="majorEastAsia" w:hAnsiTheme="majorHAnsi" w:cstheme="majorBidi"/>
      <w:color w:val="17365D" w:themeColor="text2" w:themeShade="BF"/>
      <w:spacing w:val="5"/>
      <w:kern w:val="28"/>
      <w:sz w:val="32"/>
      <w:szCs w:val="52"/>
    </w:rPr>
  </w:style>
  <w:style w:type="character" w:customStyle="1" w:styleId="Heading3Char">
    <w:name w:val="Heading 3 Char"/>
    <w:basedOn w:val="DefaultParagraphFont"/>
    <w:link w:val="Heading3"/>
    <w:uiPriority w:val="9"/>
    <w:rsid w:val="001F6179"/>
    <w:rPr>
      <w:rFonts w:asciiTheme="majorHAnsi" w:eastAsiaTheme="majorEastAsia" w:hAnsiTheme="majorHAnsi" w:cstheme="majorBidi"/>
      <w:b/>
      <w:bCs/>
      <w:color w:val="4F81BD" w:themeColor="accent1"/>
      <w:sz w:val="24"/>
    </w:rPr>
  </w:style>
  <w:style w:type="character" w:customStyle="1" w:styleId="Heading4Char">
    <w:name w:val="Heading 4 Char"/>
    <w:basedOn w:val="DefaultParagraphFont"/>
    <w:link w:val="Heading4"/>
    <w:uiPriority w:val="9"/>
    <w:rsid w:val="001F6179"/>
    <w:rPr>
      <w:rFonts w:asciiTheme="majorHAnsi" w:eastAsiaTheme="majorEastAsia" w:hAnsiTheme="majorHAnsi" w:cstheme="majorBidi"/>
      <w:b/>
      <w:bCs/>
      <w:i/>
      <w:iCs/>
      <w:color w:val="4F81BD" w:themeColor="accent1"/>
      <w:sz w:val="24"/>
    </w:rPr>
  </w:style>
  <w:style w:type="paragraph" w:styleId="TOCHeading">
    <w:name w:val="TOC Heading"/>
    <w:basedOn w:val="Heading1"/>
    <w:next w:val="Normal"/>
    <w:uiPriority w:val="39"/>
    <w:semiHidden/>
    <w:unhideWhenUsed/>
    <w:qFormat/>
    <w:rsid w:val="00F45012"/>
    <w:pPr>
      <w:spacing w:before="480" w:after="0"/>
      <w:jc w:val="left"/>
      <w:outlineLvl w:val="9"/>
    </w:pPr>
    <w:rPr>
      <w:b/>
      <w:bCs/>
      <w:sz w:val="28"/>
      <w:szCs w:val="28"/>
      <w:lang w:eastAsia="ja-JP"/>
    </w:rPr>
  </w:style>
  <w:style w:type="paragraph" w:styleId="TOC1">
    <w:name w:val="toc 1"/>
    <w:basedOn w:val="Normal"/>
    <w:next w:val="Normal"/>
    <w:autoRedefine/>
    <w:uiPriority w:val="39"/>
    <w:unhideWhenUsed/>
    <w:rsid w:val="00F45012"/>
    <w:pPr>
      <w:spacing w:after="100"/>
    </w:pPr>
  </w:style>
  <w:style w:type="paragraph" w:styleId="TOC2">
    <w:name w:val="toc 2"/>
    <w:basedOn w:val="Normal"/>
    <w:next w:val="Normal"/>
    <w:autoRedefine/>
    <w:uiPriority w:val="39"/>
    <w:unhideWhenUsed/>
    <w:rsid w:val="00F45012"/>
    <w:pPr>
      <w:spacing w:after="100"/>
      <w:ind w:left="240"/>
    </w:pPr>
  </w:style>
  <w:style w:type="paragraph" w:styleId="TOC3">
    <w:name w:val="toc 3"/>
    <w:basedOn w:val="Normal"/>
    <w:next w:val="Normal"/>
    <w:autoRedefine/>
    <w:uiPriority w:val="39"/>
    <w:unhideWhenUsed/>
    <w:rsid w:val="00F45012"/>
    <w:pPr>
      <w:spacing w:after="100"/>
      <w:ind w:left="480"/>
    </w:pPr>
  </w:style>
  <w:style w:type="character" w:styleId="Hyperlink">
    <w:name w:val="Hyperlink"/>
    <w:basedOn w:val="DefaultParagraphFont"/>
    <w:uiPriority w:val="99"/>
    <w:unhideWhenUsed/>
    <w:rsid w:val="00F45012"/>
    <w:rPr>
      <w:color w:val="0000FF" w:themeColor="hyperlink"/>
      <w:u w:val="single"/>
    </w:rPr>
  </w:style>
  <w:style w:type="character" w:customStyle="1" w:styleId="Heading5Char">
    <w:name w:val="Heading 5 Char"/>
    <w:basedOn w:val="DefaultParagraphFont"/>
    <w:link w:val="Heading5"/>
    <w:uiPriority w:val="9"/>
    <w:semiHidden/>
    <w:rsid w:val="002C3E91"/>
    <w:rPr>
      <w:rFonts w:asciiTheme="majorHAnsi" w:eastAsiaTheme="majorEastAsia" w:hAnsiTheme="majorHAnsi" w:cstheme="majorBidi"/>
      <w:color w:val="243F60" w:themeColor="accent1" w:themeShade="7F"/>
      <w:sz w:val="24"/>
    </w:rPr>
  </w:style>
  <w:style w:type="character" w:customStyle="1" w:styleId="Heading6Char">
    <w:name w:val="Heading 6 Char"/>
    <w:basedOn w:val="DefaultParagraphFont"/>
    <w:link w:val="Heading6"/>
    <w:uiPriority w:val="9"/>
    <w:semiHidden/>
    <w:rsid w:val="002C3E91"/>
    <w:rPr>
      <w:rFonts w:asciiTheme="majorHAnsi" w:eastAsiaTheme="majorEastAsia" w:hAnsiTheme="majorHAnsi" w:cstheme="majorBidi"/>
      <w:i/>
      <w:iCs/>
      <w:color w:val="243F60" w:themeColor="accent1" w:themeShade="7F"/>
      <w:sz w:val="24"/>
    </w:rPr>
  </w:style>
  <w:style w:type="character" w:customStyle="1" w:styleId="Heading7Char">
    <w:name w:val="Heading 7 Char"/>
    <w:basedOn w:val="DefaultParagraphFont"/>
    <w:link w:val="Heading7"/>
    <w:uiPriority w:val="9"/>
    <w:semiHidden/>
    <w:rsid w:val="002C3E91"/>
    <w:rPr>
      <w:rFonts w:asciiTheme="majorHAnsi" w:eastAsiaTheme="majorEastAsia" w:hAnsiTheme="majorHAnsi" w:cstheme="majorBidi"/>
      <w:i/>
      <w:iCs/>
      <w:color w:val="404040" w:themeColor="text1" w:themeTint="BF"/>
      <w:sz w:val="24"/>
    </w:rPr>
  </w:style>
  <w:style w:type="character" w:customStyle="1" w:styleId="Heading8Char">
    <w:name w:val="Heading 8 Char"/>
    <w:basedOn w:val="DefaultParagraphFont"/>
    <w:link w:val="Heading8"/>
    <w:uiPriority w:val="9"/>
    <w:semiHidden/>
    <w:rsid w:val="002C3E91"/>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2C3E91"/>
    <w:rPr>
      <w:rFonts w:asciiTheme="majorHAnsi" w:eastAsiaTheme="majorEastAsia" w:hAnsiTheme="majorHAnsi" w:cstheme="majorBidi"/>
      <w:i/>
      <w:iCs/>
      <w:color w:val="404040" w:themeColor="text1" w:themeTint="BF"/>
      <w:sz w:val="20"/>
      <w:szCs w:val="20"/>
    </w:rPr>
  </w:style>
  <w:style w:type="table" w:customStyle="1" w:styleId="TableGrid5">
    <w:name w:val="Table Grid5"/>
    <w:basedOn w:val="TableNormal"/>
    <w:next w:val="TableGrid"/>
    <w:uiPriority w:val="59"/>
    <w:rsid w:val="006111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336732">
      <w:bodyDiv w:val="1"/>
      <w:marLeft w:val="0"/>
      <w:marRight w:val="0"/>
      <w:marTop w:val="0"/>
      <w:marBottom w:val="0"/>
      <w:divBdr>
        <w:top w:val="none" w:sz="0" w:space="0" w:color="auto"/>
        <w:left w:val="none" w:sz="0" w:space="0" w:color="auto"/>
        <w:bottom w:val="none" w:sz="0" w:space="0" w:color="auto"/>
        <w:right w:val="none" w:sz="0" w:space="0" w:color="auto"/>
      </w:divBdr>
    </w:div>
    <w:div w:id="261650292">
      <w:bodyDiv w:val="1"/>
      <w:marLeft w:val="0"/>
      <w:marRight w:val="0"/>
      <w:marTop w:val="0"/>
      <w:marBottom w:val="0"/>
      <w:divBdr>
        <w:top w:val="none" w:sz="0" w:space="0" w:color="auto"/>
        <w:left w:val="none" w:sz="0" w:space="0" w:color="auto"/>
        <w:bottom w:val="none" w:sz="0" w:space="0" w:color="auto"/>
        <w:right w:val="none" w:sz="0" w:space="0" w:color="auto"/>
      </w:divBdr>
    </w:div>
    <w:div w:id="974290723">
      <w:bodyDiv w:val="1"/>
      <w:marLeft w:val="0"/>
      <w:marRight w:val="0"/>
      <w:marTop w:val="0"/>
      <w:marBottom w:val="0"/>
      <w:divBdr>
        <w:top w:val="none" w:sz="0" w:space="0" w:color="auto"/>
        <w:left w:val="none" w:sz="0" w:space="0" w:color="auto"/>
        <w:bottom w:val="none" w:sz="0" w:space="0" w:color="auto"/>
        <w:right w:val="none" w:sz="0" w:space="0" w:color="auto"/>
      </w:divBdr>
    </w:div>
    <w:div w:id="1514028526">
      <w:bodyDiv w:val="1"/>
      <w:marLeft w:val="0"/>
      <w:marRight w:val="0"/>
      <w:marTop w:val="0"/>
      <w:marBottom w:val="0"/>
      <w:divBdr>
        <w:top w:val="none" w:sz="0" w:space="0" w:color="auto"/>
        <w:left w:val="none" w:sz="0" w:space="0" w:color="auto"/>
        <w:bottom w:val="none" w:sz="0" w:space="0" w:color="auto"/>
        <w:right w:val="none" w:sz="0" w:space="0" w:color="auto"/>
      </w:divBdr>
    </w:div>
    <w:div w:id="1925071458">
      <w:bodyDiv w:val="1"/>
      <w:marLeft w:val="0"/>
      <w:marRight w:val="0"/>
      <w:marTop w:val="0"/>
      <w:marBottom w:val="0"/>
      <w:divBdr>
        <w:top w:val="none" w:sz="0" w:space="0" w:color="auto"/>
        <w:left w:val="none" w:sz="0" w:space="0" w:color="auto"/>
        <w:bottom w:val="none" w:sz="0" w:space="0" w:color="auto"/>
        <w:right w:val="none" w:sz="0" w:space="0" w:color="auto"/>
      </w:divBdr>
    </w:div>
    <w:div w:id="2015108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header" Target="header3.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image" Target="media/image8.png"/><Relationship Id="rId28" Type="http://schemas.microsoft.com/office/2011/relationships/commentsExtended" Target="commentsExtended.xml"/><Relationship Id="rId10" Type="http://schemas.openxmlformats.org/officeDocument/2006/relationships/comments" Target="comments.xml"/><Relationship Id="rId19"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2.xml"/><Relationship Id="rId2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0B260-C788-4CB5-BFF4-BE13A47516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9907</Words>
  <Characters>62418</Characters>
  <Application>Microsoft Office Word</Application>
  <DocSecurity>0</DocSecurity>
  <Lines>520</Lines>
  <Paragraphs>144</Paragraphs>
  <ScaleCrop>false</ScaleCrop>
  <HeadingPairs>
    <vt:vector size="2" baseType="variant">
      <vt:variant>
        <vt:lpstr>Title</vt:lpstr>
      </vt:variant>
      <vt:variant>
        <vt:i4>1</vt:i4>
      </vt:variant>
    </vt:vector>
  </HeadingPairs>
  <TitlesOfParts>
    <vt:vector size="1" baseType="lpstr">
      <vt:lpstr/>
    </vt:vector>
  </TitlesOfParts>
  <Company>GIZ GmbH</Company>
  <LinksUpToDate>false</LinksUpToDate>
  <CharactersWithSpaces>72181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Dnaiel Ngowi</dc:creator>
  <cp:lastModifiedBy>sieger_nin1</cp:lastModifiedBy>
  <cp:revision>3</cp:revision>
  <cp:lastPrinted>2013-10-02T05:10:00Z</cp:lastPrinted>
  <dcterms:created xsi:type="dcterms:W3CDTF">2014-12-16T10:07:00Z</dcterms:created>
  <dcterms:modified xsi:type="dcterms:W3CDTF">2014-12-16T10:08:00Z</dcterms:modified>
</cp:coreProperties>
</file>