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4391" w:rsidRPr="00B64391" w:rsidRDefault="00B64391" w:rsidP="00B64391">
      <w:pPr>
        <w:pStyle w:val="Title"/>
        <w:rPr>
          <w:sz w:val="36"/>
        </w:rPr>
      </w:pPr>
      <w:r w:rsidRPr="00B64391">
        <w:rPr>
          <w:sz w:val="36"/>
        </w:rPr>
        <w:t>Rapport de la rencontre technique sur la prise en charge des soins de santé pour les enfants de moins de 5 ans</w:t>
      </w:r>
    </w:p>
    <w:p w:rsidR="00B64391" w:rsidRDefault="00B64391" w:rsidP="00B64391">
      <w:r w:rsidRPr="00E21AB1">
        <w:t>La rencontre s’est tenue le jeudi 12 juin dans la salle de réunion de l’OMS sous la présidence de la Représentante Résidente de l’OMS au Burkina FASO</w:t>
      </w:r>
      <w:r>
        <w:t xml:space="preserve"> qui, dans son mot d’ouverture a situé la nécessité et l’intérêt de cette rencontre technique. </w:t>
      </w:r>
    </w:p>
    <w:p w:rsidR="00B64391" w:rsidRDefault="00B64391" w:rsidP="00B64391">
      <w:r>
        <w:t xml:space="preserve">La rencontre a consisté aux points suivants : </w:t>
      </w:r>
    </w:p>
    <w:p w:rsidR="00B64391" w:rsidRDefault="00B64391" w:rsidP="00B64391">
      <w:pPr>
        <w:pStyle w:val="Heading2"/>
        <w:numPr>
          <w:ilvl w:val="0"/>
          <w:numId w:val="4"/>
        </w:numPr>
      </w:pPr>
      <w:r w:rsidRPr="00E21AB1">
        <w:t>Partage d’informations sur les rencontres d’intérêts particuliers</w:t>
      </w:r>
      <w:r>
        <w:t xml:space="preserve"> : </w:t>
      </w:r>
    </w:p>
    <w:p w:rsidR="00823B81" w:rsidRPr="00823B81" w:rsidRDefault="00823B81" w:rsidP="00823B81"/>
    <w:p w:rsidR="00B64391" w:rsidRDefault="00B64391" w:rsidP="00B64391">
      <w:pPr>
        <w:pStyle w:val="ListParagraph"/>
        <w:numPr>
          <w:ilvl w:val="0"/>
          <w:numId w:val="1"/>
        </w:numPr>
      </w:pPr>
      <w:r>
        <w:t>Mission d’évaluation de l’exemption au  paiement des soins en cours par le ministère de la santé dans les DS mettant en œuvre la subvention des soins.</w:t>
      </w:r>
    </w:p>
    <w:p w:rsidR="00B64391" w:rsidRDefault="00B64391" w:rsidP="00B64391">
      <w:pPr>
        <w:pStyle w:val="ListParagraph"/>
        <w:numPr>
          <w:ilvl w:val="0"/>
          <w:numId w:val="5"/>
        </w:numPr>
      </w:pPr>
      <w:r>
        <w:t>Objectif du ministère: se faire sa propre  idée du processus et des effets de l’exemption au paiement des soins sur le terrain.</w:t>
      </w:r>
    </w:p>
    <w:p w:rsidR="00B64391" w:rsidRDefault="00B64391" w:rsidP="00B64391">
      <w:pPr>
        <w:pStyle w:val="ListParagraph"/>
        <w:numPr>
          <w:ilvl w:val="0"/>
          <w:numId w:val="5"/>
        </w:numPr>
      </w:pPr>
      <w:r>
        <w:t xml:space="preserve">Les préoccupations des ONG sont bien prises en compte dans cette évaluation </w:t>
      </w:r>
    </w:p>
    <w:p w:rsidR="00B64391" w:rsidRDefault="00B64391" w:rsidP="003664C3">
      <w:pPr>
        <w:pStyle w:val="ListParagraph"/>
        <w:numPr>
          <w:ilvl w:val="0"/>
          <w:numId w:val="1"/>
        </w:numPr>
      </w:pPr>
      <w:r>
        <w:t>Rencontre MS-MASSN sur l’AMU. Rencontre importante, technique et très bénéfique qui a permis de confronter les deux approches sur le panier de soins (liste de prestations par niveau de soins) et le cadre de collaboration (</w:t>
      </w:r>
      <w:r w:rsidRPr="001E6424">
        <w:t>cadre</w:t>
      </w:r>
      <w:r>
        <w:t xml:space="preserve"> léger de dialogue entre les 2 ministères qui n’exclut pas les cadres formels déjà existants).</w:t>
      </w:r>
      <w:r w:rsidR="003664C3">
        <w:t xml:space="preserve"> </w:t>
      </w:r>
      <w:r w:rsidR="003664C3" w:rsidRPr="003664C3">
        <w:t>Il y a un accord que seulement les médicaments essentiels seront éligibles dans le cadre de l'AMU</w:t>
      </w:r>
    </w:p>
    <w:p w:rsidR="00B64391" w:rsidRDefault="00B64391" w:rsidP="00B64391">
      <w:pPr>
        <w:pStyle w:val="ListParagraph"/>
        <w:numPr>
          <w:ilvl w:val="0"/>
          <w:numId w:val="1"/>
        </w:numPr>
      </w:pPr>
      <w:r>
        <w:t>Rencontre MS-MEF sur l’AMU dont l’objectif est de planifier le démarrage d</w:t>
      </w:r>
      <w:r w:rsidR="003664C3">
        <w:t>u projet pilote</w:t>
      </w:r>
      <w:r w:rsidR="00E6472D">
        <w:t xml:space="preserve"> </w:t>
      </w:r>
      <w:r w:rsidR="003664C3">
        <w:t xml:space="preserve"> d</w:t>
      </w:r>
      <w:r>
        <w:t xml:space="preserve">e l’AMU pour les 2-3 premières </w:t>
      </w:r>
      <w:r w:rsidRPr="00ED3F8F">
        <w:t>années (</w:t>
      </w:r>
      <w:r w:rsidRPr="00823B81">
        <w:t>2015-</w:t>
      </w:r>
      <w:proofErr w:type="gramStart"/>
      <w:r w:rsidRPr="00823B81">
        <w:t>2017 )</w:t>
      </w:r>
      <w:proofErr w:type="gramEnd"/>
      <w:r w:rsidRPr="00823B81">
        <w:t>.</w:t>
      </w:r>
      <w:r>
        <w:t xml:space="preserve"> Le dossier suit son cours. </w:t>
      </w:r>
      <w:r w:rsidR="00E331C6">
        <w:t xml:space="preserve"> </w:t>
      </w:r>
      <w:bookmarkStart w:id="0" w:name="_GoBack"/>
      <w:bookmarkEnd w:id="0"/>
    </w:p>
    <w:p w:rsidR="00B64391" w:rsidRDefault="00B64391" w:rsidP="00B64391">
      <w:pPr>
        <w:pStyle w:val="ListParagraph"/>
        <w:numPr>
          <w:ilvl w:val="0"/>
          <w:numId w:val="1"/>
        </w:numPr>
      </w:pPr>
      <w:r>
        <w:t>Evaluation des SONU :</w:t>
      </w:r>
    </w:p>
    <w:p w:rsidR="00B64391" w:rsidRDefault="00B64391" w:rsidP="00B64391">
      <w:pPr>
        <w:pStyle w:val="ListParagraph"/>
        <w:numPr>
          <w:ilvl w:val="0"/>
          <w:numId w:val="6"/>
        </w:numPr>
      </w:pPr>
      <w:r>
        <w:t>Sorties terrain de l’Autorité Supérieure du Contrôle de l’Etat (ASCE) sur les CHR et d’un cabinet d’audit sur les CSPS</w:t>
      </w:r>
    </w:p>
    <w:p w:rsidR="003664C3" w:rsidRDefault="00B64391" w:rsidP="003664C3">
      <w:pPr>
        <w:pStyle w:val="ListParagraph"/>
        <w:numPr>
          <w:ilvl w:val="0"/>
          <w:numId w:val="6"/>
        </w:numPr>
      </w:pPr>
      <w:r>
        <w:t>Très peu d’information et de communication du ministère de la santé autour de la question.</w:t>
      </w:r>
      <w:r w:rsidR="003664C3">
        <w:t xml:space="preserve"> </w:t>
      </w:r>
      <w:r w:rsidR="003664C3" w:rsidRPr="003664C3">
        <w:t>Une commission parlementaire avait déjà pointé le fait que le montant reçu par les formations sanitaires ne correspond pas au montant payé aux districts. Les paiements sont aussi tardifs. A noter que la DSF ordonne les paiements aux districts et le DAF assure le paiement aux districts. Les paiements sont des avances qui doivent être ju</w:t>
      </w:r>
      <w:r w:rsidR="003664C3">
        <w:t>s</w:t>
      </w:r>
      <w:r w:rsidR="003664C3" w:rsidRPr="003664C3">
        <w:t>tifié</w:t>
      </w:r>
      <w:r w:rsidR="00E6472D">
        <w:t>e</w:t>
      </w:r>
      <w:r w:rsidR="003664C3" w:rsidRPr="003664C3">
        <w:t>s par le nombre d'accouchements et césariennes et ce nombre justifie curieusement le montant avancé. Des contrôles par l'inspection technique et par la DAF doivent être effectués mais ne se font pas et s'ils se font les rapports restent confidentiels</w:t>
      </w:r>
    </w:p>
    <w:p w:rsidR="00B64391" w:rsidRDefault="00B64391" w:rsidP="00B64391">
      <w:pPr>
        <w:pStyle w:val="ListParagraph"/>
        <w:numPr>
          <w:ilvl w:val="0"/>
          <w:numId w:val="1"/>
        </w:numPr>
      </w:pPr>
      <w:r>
        <w:t>Financement ECHO en cours :</w:t>
      </w:r>
    </w:p>
    <w:p w:rsidR="00B64391" w:rsidRDefault="00B64391" w:rsidP="00B64391">
      <w:pPr>
        <w:pStyle w:val="ListParagraph"/>
        <w:numPr>
          <w:ilvl w:val="0"/>
          <w:numId w:val="7"/>
        </w:numPr>
      </w:pPr>
      <w:r>
        <w:t xml:space="preserve">Le  financement complémentaire jusqu’en fin d’année est acquis mais l’enveloppe ne permettra pas de couvrir toutes les charge (3,2 millions au lieu de 3,6 millions estimés): il ya un risque que Décembre 2014 ne soit pas financé. </w:t>
      </w:r>
    </w:p>
    <w:p w:rsidR="00823B81" w:rsidRDefault="00B64391" w:rsidP="003664C3">
      <w:pPr>
        <w:pStyle w:val="ListParagraph"/>
        <w:numPr>
          <w:ilvl w:val="0"/>
          <w:numId w:val="7"/>
        </w:numPr>
      </w:pPr>
      <w:r>
        <w:t>Le financement ECHO 2015 et incertain : les ONG doivent initier des stratégies de sortie</w:t>
      </w:r>
      <w:r w:rsidR="003664C3">
        <w:t xml:space="preserve">. </w:t>
      </w:r>
      <w:r w:rsidR="003664C3" w:rsidRPr="003664C3">
        <w:t xml:space="preserve">Le financement AFD sur le projet 3S et le projet pilote AMU dans la région du boucle du </w:t>
      </w:r>
      <w:proofErr w:type="spellStart"/>
      <w:r w:rsidR="003664C3" w:rsidRPr="003664C3">
        <w:t>Mouhoun</w:t>
      </w:r>
      <w:proofErr w:type="spellEnd"/>
      <w:r w:rsidR="003664C3" w:rsidRPr="003664C3">
        <w:t xml:space="preserve">  pourraient reprendre une partie de ce financement sur 3 ans mais des économies devront en tout </w:t>
      </w:r>
      <w:r w:rsidR="003664C3">
        <w:t>c</w:t>
      </w:r>
      <w:r w:rsidR="003664C3" w:rsidRPr="003664C3">
        <w:t>as être appliquées</w:t>
      </w:r>
    </w:p>
    <w:p w:rsidR="00823B81" w:rsidRDefault="00823B81" w:rsidP="00823B81">
      <w:r>
        <w:br w:type="page"/>
      </w:r>
    </w:p>
    <w:p w:rsidR="00B64391" w:rsidRDefault="00B64391" w:rsidP="00B64391">
      <w:pPr>
        <w:pStyle w:val="Heading2"/>
        <w:numPr>
          <w:ilvl w:val="0"/>
          <w:numId w:val="4"/>
        </w:numPr>
      </w:pPr>
      <w:r>
        <w:lastRenderedPageBreak/>
        <w:t>Présentations des ONG</w:t>
      </w:r>
    </w:p>
    <w:p w:rsidR="00823B81" w:rsidRPr="00823B81" w:rsidRDefault="00823B81" w:rsidP="00823B81"/>
    <w:p w:rsidR="002F0DC1" w:rsidRDefault="00B64391" w:rsidP="002F0DC1">
      <w:pPr>
        <w:ind w:firstLine="360"/>
      </w:pPr>
      <w:r w:rsidRPr="00C7693A">
        <w:rPr>
          <w:b/>
          <w:u w:val="single"/>
        </w:rPr>
        <w:t>1</w:t>
      </w:r>
      <w:r w:rsidRPr="00C7693A">
        <w:rPr>
          <w:b/>
          <w:u w:val="single"/>
          <w:vertAlign w:val="superscript"/>
        </w:rPr>
        <w:t>ère</w:t>
      </w:r>
      <w:r w:rsidRPr="00C7693A">
        <w:rPr>
          <w:b/>
          <w:u w:val="single"/>
        </w:rPr>
        <w:t xml:space="preserve"> partie</w:t>
      </w:r>
      <w:r>
        <w:rPr>
          <w:b/>
          <w:u w:val="single"/>
        </w:rPr>
        <w:t xml:space="preserve"> : </w:t>
      </w:r>
      <w:r w:rsidRPr="00344C67">
        <w:t>elle a concerné (i) les prestations garanties</w:t>
      </w:r>
      <w:proofErr w:type="gramStart"/>
      <w:r w:rsidRPr="00344C67">
        <w:t>,(</w:t>
      </w:r>
      <w:proofErr w:type="gramEnd"/>
      <w:r w:rsidRPr="00344C67">
        <w:t>ii) les outils  de gestion (iii) les modalités tarifaires (bases de paiement) (iv) le nombre et la géographie des personnes couvertes et (i) Les coûts et fréquences par niveau sanitaire et par prestations. En résumé, on note que l’</w:t>
      </w:r>
      <w:r>
        <w:t>exemption de p</w:t>
      </w:r>
      <w:r w:rsidRPr="00344C67">
        <w:t>aiement pour les moins de 5</w:t>
      </w:r>
      <w:r>
        <w:t xml:space="preserve"> est mise en œuvre dans les DS de Tougan, Séguénéga, Dori, Sebba, Kaya et dans le Commune de Logobou à Diapaga. Elle prend en compte toutes les prestations relatives aux consultations curatives. </w:t>
      </w:r>
      <w:r w:rsidRPr="004C53F3">
        <w:t>Les prestations sont post payé et au réel, exception faite du DS de Sebba qui applique un forfait de 1300 à chaque consultation. Les coûts moyens oscillent entre 755 - 1260 frs pour une prise en charge dans un CSPS ; 12 600 - 19 500 au CMA et 20700 - 21 500 au CHR.</w:t>
      </w:r>
    </w:p>
    <w:p w:rsidR="00B64391" w:rsidRPr="00C7693A" w:rsidRDefault="00B64391" w:rsidP="00B64391">
      <w:pPr>
        <w:ind w:firstLine="360"/>
        <w:rPr>
          <w:b/>
          <w:u w:val="single"/>
        </w:rPr>
      </w:pPr>
      <w:r>
        <w:rPr>
          <w:b/>
          <w:u w:val="single"/>
        </w:rPr>
        <w:t>Economie des échanges :</w:t>
      </w:r>
    </w:p>
    <w:p w:rsidR="00B64391" w:rsidRDefault="00B64391" w:rsidP="00B64391">
      <w:pPr>
        <w:pStyle w:val="ListParagraph"/>
        <w:numPr>
          <w:ilvl w:val="0"/>
          <w:numId w:val="2"/>
        </w:numPr>
      </w:pPr>
      <w:r>
        <w:t>La notion d’évacuation : elle va du CSPS vers CMA, du CMA vers le  CHR ou du CSPS vers le CHR. Les modalités sont différentes selon les ONG : SCI et Help selon les tarifs définis par les districts, ACF paie le transport à raison de 125F/km, Tdh ne prend pas en charge l’évacuation.</w:t>
      </w:r>
    </w:p>
    <w:p w:rsidR="00B64391" w:rsidRDefault="00B64391" w:rsidP="00B64391">
      <w:pPr>
        <w:pStyle w:val="ListParagraph"/>
        <w:numPr>
          <w:ilvl w:val="0"/>
          <w:numId w:val="2"/>
        </w:numPr>
      </w:pPr>
      <w:r>
        <w:t>Le travail de contrôle est assuré par les contrôleurs des ONG appuyé parfois par des enquêteurs recrutés (contrôle auprès des bénéficiaires). Rôle des ECD ?</w:t>
      </w:r>
      <w:r w:rsidR="00823B81">
        <w:t xml:space="preserve"> (cf. partie 2 également)</w:t>
      </w:r>
    </w:p>
    <w:p w:rsidR="00B64391" w:rsidRDefault="00B64391" w:rsidP="00B64391">
      <w:pPr>
        <w:pStyle w:val="ListParagraph"/>
        <w:numPr>
          <w:ilvl w:val="0"/>
          <w:numId w:val="2"/>
        </w:numPr>
      </w:pPr>
      <w:r>
        <w:t>Le coût de la PEC d’un enfant dans un DS sans subvention est de 1 900 environ (source Tdh)</w:t>
      </w:r>
    </w:p>
    <w:p w:rsidR="00B64391" w:rsidRDefault="00B64391" w:rsidP="00B64391">
      <w:pPr>
        <w:pStyle w:val="ListParagraph"/>
        <w:numPr>
          <w:ilvl w:val="0"/>
          <w:numId w:val="2"/>
        </w:numPr>
      </w:pPr>
      <w:r>
        <w:t>L</w:t>
      </w:r>
      <w:r w:rsidRPr="00202D8B">
        <w:t xml:space="preserve">e forfait permet de simplifier la gestion </w:t>
      </w:r>
    </w:p>
    <w:p w:rsidR="00B64391" w:rsidRDefault="00B64391" w:rsidP="00B64391">
      <w:pPr>
        <w:pStyle w:val="ListParagraph"/>
        <w:numPr>
          <w:ilvl w:val="0"/>
          <w:numId w:val="2"/>
        </w:numPr>
      </w:pPr>
      <w:r>
        <w:t xml:space="preserve">Le coût moyen faible à Tdh s’explique par les contrôles assortis de sanctions en cas d’irrégularités, la formation des agents et la prescription au traitement (conditionnement thérapeutique). </w:t>
      </w:r>
    </w:p>
    <w:p w:rsidR="00B64391" w:rsidRDefault="00B64391" w:rsidP="00B64391">
      <w:pPr>
        <w:pStyle w:val="ListParagraph"/>
        <w:numPr>
          <w:ilvl w:val="0"/>
          <w:numId w:val="2"/>
        </w:numPr>
      </w:pPr>
      <w:r>
        <w:t>l’écart entre le nombre de contact de Dori et Sebba s’explique par le phénomène d’urbanisation (Dori est probablement plus riche et la population a moins d’enfants) et le leadership des ECD et des équipes de santé…</w:t>
      </w:r>
    </w:p>
    <w:p w:rsidR="00B64391" w:rsidRDefault="00B64391" w:rsidP="00B64391">
      <w:pPr>
        <w:pStyle w:val="ListParagraph"/>
        <w:numPr>
          <w:ilvl w:val="0"/>
          <w:numId w:val="2"/>
        </w:numPr>
      </w:pPr>
      <w:r>
        <w:t>Les ONG n’ont pas créé d’autres en dehors de ceux du système de santé. Les outils de gestion sont utilisés différemment et à la fois par les ONG.</w:t>
      </w:r>
    </w:p>
    <w:p w:rsidR="00800F69" w:rsidRDefault="00800F69" w:rsidP="00800F69">
      <w:pPr>
        <w:pStyle w:val="ListParagraph"/>
        <w:numPr>
          <w:ilvl w:val="0"/>
          <w:numId w:val="2"/>
        </w:numPr>
      </w:pPr>
      <w:r w:rsidRPr="00800F69">
        <w:t>Le paiement du 20% du coût estimé des SONU est payé de façon forfaitaire aux formations sanitaires sur base des statistiques vérifiés et ne tient pas forcement compte de ce qui est payé par l'Etat</w:t>
      </w:r>
    </w:p>
    <w:p w:rsidR="00B64391" w:rsidRDefault="00B64391" w:rsidP="00B64391">
      <w:pPr>
        <w:ind w:left="720"/>
        <w:rPr>
          <w:i/>
          <w:u w:val="single"/>
        </w:rPr>
      </w:pPr>
      <w:r w:rsidRPr="00344C67">
        <w:rPr>
          <w:i/>
          <w:u w:val="single"/>
        </w:rPr>
        <w:t xml:space="preserve">Des inquiétudes : </w:t>
      </w:r>
    </w:p>
    <w:p w:rsidR="00B64391" w:rsidRDefault="00B64391" w:rsidP="00B64391">
      <w:pPr>
        <w:pStyle w:val="ListParagraph"/>
        <w:numPr>
          <w:ilvl w:val="0"/>
          <w:numId w:val="11"/>
        </w:numPr>
      </w:pPr>
      <w:r>
        <w:t>identification des bénéficiaires</w:t>
      </w:r>
      <w:r w:rsidR="0056415F">
        <w:rPr>
          <w:rStyle w:val="FootnoteReference"/>
        </w:rPr>
        <w:footnoteReference w:id="1"/>
      </w:r>
      <w:r>
        <w:t xml:space="preserve"> : quel enfant on doit avoir affaire (combien de contact dans un registre ? d’où viennent les gens ? en terme de répartition géographique ?   A Dori et Sebba, des études sur le projet subvention Help menées par l´Université de Montréal se sont entre autres intéressé à la provenance des patients ainsi qu´à leur situation socio-économique. Il ressort que l´exemption de paiement profite au même degré à ceux qui habitent plus loin que 20 km d´un centre de santé qu`à ceux qui habitent plus proche et qu´elle profite plus aux plus pauvres qu´aux plus aisés. </w:t>
      </w:r>
    </w:p>
    <w:p w:rsidR="00B64391" w:rsidRDefault="00B64391" w:rsidP="00B64391">
      <w:pPr>
        <w:pStyle w:val="ListParagraph"/>
        <w:numPr>
          <w:ilvl w:val="0"/>
          <w:numId w:val="11"/>
        </w:numPr>
      </w:pPr>
      <w:r>
        <w:t>Comment faire le calcul du passage à l’échelle chez les enfants de moins de 5 ans : s’appuyer sur le coût moyen et  le nombre de contacts pour faire des projections ? Combien coute réellement la prise e charge d’un enfant ? Les coûts annexes ne sont pas pris en compte. Utiliser plutôt le terme « paiement à l’acte »</w:t>
      </w:r>
      <w:r w:rsidRPr="005140CF">
        <w:t xml:space="preserve"> </w:t>
      </w:r>
      <w:r>
        <w:t>au lieu de « paiement au réel » des prestations. Les éléments prises en compte dans le coût moyens ne sont pas les mêmes selon les ONG, il faut faire ressortir la composition exacte par ONG</w:t>
      </w:r>
      <w:r w:rsidRPr="004C53F3">
        <w:t>. Le coût moyen évolue selon le temps de mise en œuvre et selon les différentes étapes du contrôle. Détailler</w:t>
      </w:r>
      <w:r>
        <w:t xml:space="preserve"> cette évolution depuis le début de l´exemption (graphique).</w:t>
      </w:r>
    </w:p>
    <w:p w:rsidR="00B64391" w:rsidRDefault="00B64391" w:rsidP="00B64391">
      <w:pPr>
        <w:pStyle w:val="ListParagraph"/>
        <w:numPr>
          <w:ilvl w:val="0"/>
          <w:numId w:val="11"/>
        </w:numPr>
      </w:pPr>
      <w:r>
        <w:lastRenderedPageBreak/>
        <w:t>La répartition des rôles et des responsabilités des acteurs : q</w:t>
      </w:r>
      <w:r w:rsidRPr="001171FB">
        <w:t xml:space="preserve">ui prend où qui doit prendre </w:t>
      </w:r>
      <w:r>
        <w:t>quel</w:t>
      </w:r>
      <w:r w:rsidRPr="001171FB">
        <w:t xml:space="preserve"> risque? </w:t>
      </w:r>
      <w:r w:rsidR="00800F69">
        <w:t xml:space="preserve">Le paiement au forfait (DS </w:t>
      </w:r>
      <w:proofErr w:type="spellStart"/>
      <w:r w:rsidR="00800F69">
        <w:t>Sebba</w:t>
      </w:r>
      <w:proofErr w:type="spellEnd"/>
      <w:r w:rsidR="00800F69">
        <w:t>) transfert le risque vers les système</w:t>
      </w:r>
      <w:r w:rsidR="00E6472D">
        <w:t>s</w:t>
      </w:r>
      <w:r w:rsidR="00800F69">
        <w:t xml:space="preserve"> de santé car le forfait oblige la formation sanitaire à faire une gestion prévisionnelle financière et le DS </w:t>
      </w:r>
      <w:r w:rsidR="00E6472D">
        <w:t>à</w:t>
      </w:r>
      <w:r w:rsidR="00800F69">
        <w:t xml:space="preserve"> encadrer </w:t>
      </w:r>
      <w:r w:rsidRPr="001171FB">
        <w:t>la prescription et la qualité des soins</w:t>
      </w:r>
      <w:r w:rsidR="00800F69">
        <w:t xml:space="preserve">   </w:t>
      </w:r>
    </w:p>
    <w:p w:rsidR="00B64391" w:rsidRPr="0089750D" w:rsidRDefault="00B64391" w:rsidP="00B64391">
      <w:r w:rsidRPr="00C7693A">
        <w:rPr>
          <w:b/>
          <w:u w:val="single"/>
        </w:rPr>
        <w:t>2</w:t>
      </w:r>
      <w:r w:rsidRPr="00C7693A">
        <w:rPr>
          <w:b/>
          <w:u w:val="single"/>
          <w:vertAlign w:val="superscript"/>
        </w:rPr>
        <w:t>ème</w:t>
      </w:r>
      <w:r w:rsidRPr="00C7693A">
        <w:rPr>
          <w:b/>
          <w:u w:val="single"/>
        </w:rPr>
        <w:t xml:space="preserve"> partie</w:t>
      </w:r>
      <w:r>
        <w:rPr>
          <w:b/>
          <w:u w:val="single"/>
        </w:rPr>
        <w:t xml:space="preserve"> : le contrôle. </w:t>
      </w:r>
      <w:r w:rsidRPr="00344C67">
        <w:t>E</w:t>
      </w:r>
      <w:r w:rsidRPr="00752115">
        <w:t xml:space="preserve">lle a concerné (i) </w:t>
      </w:r>
      <w:r w:rsidRPr="00344C67">
        <w:t>Le type de système d’information/ Capitalisation</w:t>
      </w:r>
      <w:r w:rsidRPr="00752115">
        <w:t xml:space="preserve">, (ii) </w:t>
      </w:r>
      <w:r w:rsidRPr="005D5B57">
        <w:t>Les modalités de contrôle avant paiement</w:t>
      </w:r>
      <w:r>
        <w:t xml:space="preserve">, </w:t>
      </w:r>
      <w:r w:rsidRPr="00752115">
        <w:t xml:space="preserve">(iii) </w:t>
      </w:r>
      <w:r>
        <w:t>l</w:t>
      </w:r>
      <w:r w:rsidRPr="005D5B57">
        <w:t>es modalités de paiement</w:t>
      </w:r>
      <w:r w:rsidRPr="00752115">
        <w:t xml:space="preserve"> (iv) </w:t>
      </w:r>
      <w:r>
        <w:t>l</w:t>
      </w:r>
      <w:r w:rsidRPr="005D5B57">
        <w:t>es modalités de l’audit médical</w:t>
      </w:r>
      <w:r>
        <w:t xml:space="preserve">. </w:t>
      </w:r>
      <w:r w:rsidRPr="00344C67">
        <w:t>En résumé</w:t>
      </w:r>
      <w:r>
        <w:t>,</w:t>
      </w:r>
      <w:r w:rsidRPr="00344C67">
        <w:t xml:space="preserve"> </w:t>
      </w:r>
      <w:r w:rsidRPr="00C74B8D">
        <w:t>on note</w:t>
      </w:r>
      <w:r>
        <w:t xml:space="preserve"> l’existence de </w:t>
      </w:r>
      <w:r w:rsidR="002F0DC1">
        <w:t xml:space="preserve">plusieurs types </w:t>
      </w:r>
      <w:r>
        <w:t xml:space="preserve">de contrôles : (i) un contrôle sur pièces avant tout remboursement qui consiste à vérifier la régularité </w:t>
      </w:r>
      <w:r w:rsidR="002F0DC1">
        <w:t>administrative et comptable</w:t>
      </w:r>
      <w:r>
        <w:t xml:space="preserve"> et (ii) un contrôle </w:t>
      </w:r>
      <w:r w:rsidR="002F0DC1">
        <w:t xml:space="preserve">a </w:t>
      </w:r>
      <w:r>
        <w:t xml:space="preserve">posteriori </w:t>
      </w:r>
      <w:r w:rsidR="002F0DC1">
        <w:t xml:space="preserve">qui peut avoir plusieurs niveaux ; </w:t>
      </w:r>
      <w:r w:rsidR="00D3168B">
        <w:t xml:space="preserve">un </w:t>
      </w:r>
      <w:r w:rsidR="002F0DC1">
        <w:t>contrôle de l’effectivité des soins</w:t>
      </w:r>
      <w:r w:rsidR="00D3168B">
        <w:t xml:space="preserve"> (dont</w:t>
      </w:r>
      <w:r w:rsidR="00D3168B" w:rsidRPr="00D3168B">
        <w:t xml:space="preserve"> </w:t>
      </w:r>
      <w:r w:rsidR="00D3168B">
        <w:t>l’objectif est d’abord de s’assurer que les bénéficiaires existent, ne paient pas et ont réellement reçu ce qui est facturé</w:t>
      </w:r>
      <w:r w:rsidR="002F0DC1">
        <w:t>), un contrôle médical (ou audit) qui vérifie la pertinence de la prescription et la rationalité des soins administrés</w:t>
      </w:r>
      <w:r>
        <w:t xml:space="preserve">.  </w:t>
      </w:r>
      <w:r w:rsidR="002F0DC1">
        <w:t>D’autres contrôles sont nécessaires dans le cadre de la gestion financière (contrôle interne et contrôle externe général)</w:t>
      </w:r>
    </w:p>
    <w:p w:rsidR="00B64391" w:rsidRPr="005147CB" w:rsidRDefault="00B64391" w:rsidP="00B64391">
      <w:pPr>
        <w:pStyle w:val="ListParagraph"/>
        <w:numPr>
          <w:ilvl w:val="0"/>
          <w:numId w:val="3"/>
        </w:numPr>
      </w:pPr>
      <w:r w:rsidRPr="005147CB">
        <w:t>Capitalisation des expériences</w:t>
      </w:r>
    </w:p>
    <w:p w:rsidR="00B64391" w:rsidRPr="005147CB" w:rsidRDefault="00B64391" w:rsidP="00B64391">
      <w:pPr>
        <w:pStyle w:val="ListParagraph"/>
        <w:numPr>
          <w:ilvl w:val="0"/>
          <w:numId w:val="3"/>
        </w:numPr>
      </w:pPr>
      <w:r w:rsidRPr="005147CB">
        <w:t>Le contrôle par les pairs</w:t>
      </w:r>
    </w:p>
    <w:p w:rsidR="00B64391" w:rsidRDefault="00B64391" w:rsidP="00B64391">
      <w:pPr>
        <w:pStyle w:val="ListParagraph"/>
        <w:numPr>
          <w:ilvl w:val="0"/>
          <w:numId w:val="3"/>
        </w:numPr>
      </w:pPr>
      <w:r w:rsidRPr="005147CB">
        <w:t xml:space="preserve">Comparaison de la consommation théorique et réelle des médicaments </w:t>
      </w:r>
    </w:p>
    <w:p w:rsidR="00B64391" w:rsidRPr="00C7693A" w:rsidRDefault="00B64391" w:rsidP="00B64391">
      <w:pPr>
        <w:ind w:firstLine="360"/>
        <w:rPr>
          <w:b/>
          <w:u w:val="single"/>
        </w:rPr>
      </w:pPr>
      <w:r>
        <w:rPr>
          <w:b/>
          <w:u w:val="single"/>
        </w:rPr>
        <w:t>Economie des échanges :</w:t>
      </w:r>
    </w:p>
    <w:p w:rsidR="00B64391" w:rsidRDefault="00B64391" w:rsidP="00B64391">
      <w:pPr>
        <w:pStyle w:val="ListParagraph"/>
        <w:numPr>
          <w:ilvl w:val="0"/>
          <w:numId w:val="2"/>
        </w:numPr>
      </w:pPr>
      <w:r w:rsidRPr="00344C67">
        <w:t xml:space="preserve">Précision de terminologies : </w:t>
      </w:r>
      <w:r w:rsidRPr="003C3880">
        <w:t>il faut distinguer </w:t>
      </w:r>
    </w:p>
    <w:p w:rsidR="00B64391" w:rsidRDefault="00B64391" w:rsidP="00B64391">
      <w:pPr>
        <w:pStyle w:val="ListParagraph"/>
        <w:numPr>
          <w:ilvl w:val="0"/>
          <w:numId w:val="8"/>
        </w:numPr>
      </w:pPr>
      <w:r>
        <w:t xml:space="preserve">Le contrôle comptable = vérification financières des justificatifs de remboursement </w:t>
      </w:r>
    </w:p>
    <w:p w:rsidR="00B64391" w:rsidRDefault="00B64391" w:rsidP="00B64391">
      <w:pPr>
        <w:pStyle w:val="ListParagraph"/>
        <w:numPr>
          <w:ilvl w:val="0"/>
          <w:numId w:val="8"/>
        </w:numPr>
      </w:pPr>
      <w:r>
        <w:t>Audit médical = monitoring de la prescription (concordance entre diagnostic et prescription qui devrait être faite par un médecin)</w:t>
      </w:r>
    </w:p>
    <w:p w:rsidR="00B64391" w:rsidRDefault="00B64391" w:rsidP="00B64391">
      <w:pPr>
        <w:pStyle w:val="ListParagraph"/>
        <w:numPr>
          <w:ilvl w:val="0"/>
          <w:numId w:val="8"/>
        </w:numPr>
      </w:pPr>
      <w:r>
        <w:t>Contrôle de l’effectivité des soins = enquêtes et contrôles à posteriori menée par les ONG</w:t>
      </w:r>
    </w:p>
    <w:p w:rsidR="00B64391" w:rsidRDefault="00B64391" w:rsidP="00B64391">
      <w:pPr>
        <w:pStyle w:val="ListParagraph"/>
        <w:numPr>
          <w:ilvl w:val="0"/>
          <w:numId w:val="8"/>
        </w:numPr>
      </w:pPr>
      <w:r>
        <w:t xml:space="preserve">Contre-vérification (contre-contrôle)  =  enquêtes et contrôles menées par es ECD pour confirmer ou infirmer les résultats du contrôle de l’effectivité. </w:t>
      </w:r>
    </w:p>
    <w:p w:rsidR="00B64391" w:rsidRPr="00027EFC" w:rsidRDefault="00B64391" w:rsidP="00B64391">
      <w:pPr>
        <w:pStyle w:val="ListParagraph"/>
        <w:numPr>
          <w:ilvl w:val="0"/>
          <w:numId w:val="2"/>
        </w:numPr>
        <w:rPr>
          <w:b/>
        </w:rPr>
      </w:pPr>
      <w:r>
        <w:t xml:space="preserve">Tdh a publié </w:t>
      </w:r>
      <w:r w:rsidRPr="007B23AC">
        <w:t>en 2011</w:t>
      </w:r>
      <w:r>
        <w:t xml:space="preserve"> un manuel de procédures qui dé</w:t>
      </w:r>
      <w:r w:rsidRPr="007B23AC">
        <w:t>cri</w:t>
      </w:r>
      <w:r>
        <w:t>t à chaque étape l</w:t>
      </w:r>
      <w:r w:rsidRPr="007B23AC">
        <w:t>es rôles et responsabilit</w:t>
      </w:r>
      <w:r>
        <w:t>és</w:t>
      </w:r>
      <w:r w:rsidRPr="007B23AC">
        <w:t> </w:t>
      </w:r>
      <w:r>
        <w:t>de chaque acteur impliqué. Ce manuel définit aussi les</w:t>
      </w:r>
      <w:r w:rsidRPr="007B23AC">
        <w:t xml:space="preserve"> relation</w:t>
      </w:r>
      <w:r>
        <w:t>s</w:t>
      </w:r>
      <w:r w:rsidRPr="007B23AC">
        <w:t xml:space="preserve"> avec l’ECD, les ICP</w:t>
      </w:r>
      <w:r>
        <w:t>,</w:t>
      </w:r>
      <w:r w:rsidRPr="007B23AC">
        <w:t xml:space="preserve"> </w:t>
      </w:r>
      <w:r>
        <w:t>les agents de santé et les Communautaires (Coges et Gérants)</w:t>
      </w:r>
      <w:r w:rsidRPr="007B23AC">
        <w:t xml:space="preserve"> </w:t>
      </w:r>
    </w:p>
    <w:p w:rsidR="00B64391" w:rsidRPr="00027EFC" w:rsidRDefault="00B64391" w:rsidP="00B64391">
      <w:pPr>
        <w:pStyle w:val="ListParagraph"/>
        <w:numPr>
          <w:ilvl w:val="0"/>
          <w:numId w:val="2"/>
        </w:numPr>
      </w:pPr>
      <w:r>
        <w:t>Dans un système d’exemption de paiement, les ONG suppléent (ruptures, insuffisances de produits,…) aux</w:t>
      </w:r>
      <w:r w:rsidRPr="00344C67">
        <w:t xml:space="preserve"> gratuités en place</w:t>
      </w:r>
      <w:r>
        <w:t xml:space="preserve">. </w:t>
      </w:r>
      <w:r w:rsidRPr="00344C67">
        <w:t xml:space="preserve"> </w:t>
      </w:r>
    </w:p>
    <w:p w:rsidR="00B64391" w:rsidRDefault="00B64391" w:rsidP="00B64391">
      <w:pPr>
        <w:ind w:left="720"/>
        <w:rPr>
          <w:i/>
          <w:u w:val="single"/>
        </w:rPr>
      </w:pPr>
      <w:r w:rsidRPr="00344C67">
        <w:rPr>
          <w:i/>
          <w:u w:val="single"/>
        </w:rPr>
        <w:t xml:space="preserve">Des inquiétudes : </w:t>
      </w:r>
    </w:p>
    <w:p w:rsidR="00B64391" w:rsidRDefault="00B64391" w:rsidP="00B64391">
      <w:pPr>
        <w:pStyle w:val="ListParagraph"/>
        <w:numPr>
          <w:ilvl w:val="0"/>
          <w:numId w:val="2"/>
        </w:numPr>
      </w:pPr>
      <w:r>
        <w:t>Combien coûte un contrôle en termes de temps, personnel, volume de travail, nombre d’ordonnances, fréquences des monitorings, logistique déployée et charges annexes ? Vu que les ONG sont à des niveaux d’avancement différent, il importe de :</w:t>
      </w:r>
    </w:p>
    <w:p w:rsidR="00B64391" w:rsidRDefault="00B64391" w:rsidP="00B64391">
      <w:pPr>
        <w:pStyle w:val="ListParagraph"/>
        <w:numPr>
          <w:ilvl w:val="0"/>
          <w:numId w:val="9"/>
        </w:numPr>
      </w:pPr>
      <w:r>
        <w:t xml:space="preserve">décrire de façon spécifique ce qui est fait par ONG </w:t>
      </w:r>
      <w:r w:rsidR="00377A64">
        <w:t>et/ou le district et estimer le coût</w:t>
      </w:r>
    </w:p>
    <w:p w:rsidR="00B64391" w:rsidRDefault="00B64391" w:rsidP="00B64391">
      <w:pPr>
        <w:pStyle w:val="ListParagraph"/>
        <w:numPr>
          <w:ilvl w:val="0"/>
          <w:numId w:val="9"/>
        </w:numPr>
      </w:pPr>
      <w:r>
        <w:t>mettre en évidence les différences dans le contrôle dans un</w:t>
      </w:r>
      <w:r w:rsidRPr="005B01CF">
        <w:t xml:space="preserve"> tableau comparatif</w:t>
      </w:r>
    </w:p>
    <w:p w:rsidR="00B64391" w:rsidRDefault="00B64391" w:rsidP="00B64391">
      <w:pPr>
        <w:pStyle w:val="ListParagraph"/>
        <w:numPr>
          <w:ilvl w:val="0"/>
          <w:numId w:val="9"/>
        </w:numPr>
      </w:pPr>
      <w:r>
        <w:t xml:space="preserve"> mettre en évidence</w:t>
      </w:r>
      <w:r w:rsidRPr="00D973B9">
        <w:t xml:space="preserve"> </w:t>
      </w:r>
      <w:r w:rsidRPr="005B01CF">
        <w:t xml:space="preserve">le glissement progressif </w:t>
      </w:r>
      <w:r>
        <w:t>des</w:t>
      </w:r>
      <w:r w:rsidRPr="005B01CF">
        <w:t xml:space="preserve"> contrôle</w:t>
      </w:r>
      <w:r>
        <w:t>s</w:t>
      </w:r>
      <w:r w:rsidRPr="005B01CF">
        <w:t xml:space="preserve"> </w:t>
      </w:r>
      <w:r>
        <w:t>dans le temps</w:t>
      </w:r>
    </w:p>
    <w:p w:rsidR="0056415F" w:rsidRDefault="0056415F" w:rsidP="00B64391">
      <w:pPr>
        <w:pStyle w:val="ListParagraph"/>
        <w:numPr>
          <w:ilvl w:val="0"/>
          <w:numId w:val="9"/>
        </w:numPr>
      </w:pPr>
      <w:r>
        <w:t>Mettre en rapport le type de paiement (au tarif ou au forfait) avec le type de contrôle</w:t>
      </w:r>
    </w:p>
    <w:p w:rsidR="000672B8" w:rsidRDefault="00B64391" w:rsidP="00377A64">
      <w:pPr>
        <w:pStyle w:val="ListParagraph"/>
        <w:numPr>
          <w:ilvl w:val="0"/>
          <w:numId w:val="9"/>
        </w:numPr>
      </w:pPr>
      <w:r>
        <w:t xml:space="preserve">Réfléchir sur </w:t>
      </w:r>
      <w:r w:rsidRPr="005B01CF">
        <w:t xml:space="preserve">le rôle </w:t>
      </w:r>
      <w:r>
        <w:t>d</w:t>
      </w:r>
      <w:r w:rsidRPr="005B01CF">
        <w:t xml:space="preserve">es contrôleurs </w:t>
      </w:r>
      <w:r>
        <w:t xml:space="preserve">des ONG en termes de contribution au contrôle </w:t>
      </w:r>
      <w:r w:rsidRPr="005B01CF">
        <w:t>réel des ECD</w:t>
      </w:r>
      <w:r>
        <w:t xml:space="preserve">. </w:t>
      </w:r>
    </w:p>
    <w:p w:rsidR="00377A64" w:rsidRDefault="00E6472D" w:rsidP="00377A64">
      <w:pPr>
        <w:pStyle w:val="ListParagraph"/>
        <w:numPr>
          <w:ilvl w:val="0"/>
          <w:numId w:val="9"/>
        </w:numPr>
      </w:pPr>
      <w:r>
        <w:t>Réfléchir</w:t>
      </w:r>
      <w:r w:rsidR="00377A64">
        <w:t xml:space="preserve"> comment le coût du contrôle peut être rationalisé</w:t>
      </w:r>
    </w:p>
    <w:p w:rsidR="00B64391" w:rsidRPr="005B01CF" w:rsidRDefault="00B64391" w:rsidP="00B64391">
      <w:pPr>
        <w:pStyle w:val="ListParagraph"/>
        <w:numPr>
          <w:ilvl w:val="0"/>
          <w:numId w:val="2"/>
        </w:numPr>
      </w:pPr>
      <w:r w:rsidRPr="00344C67">
        <w:t xml:space="preserve">Comment </w:t>
      </w:r>
      <w:r w:rsidR="00377A64">
        <w:t xml:space="preserve">faire un compromis </w:t>
      </w:r>
      <w:r w:rsidRPr="00344C67">
        <w:t xml:space="preserve"> entre le contrôle très fin mené par les ONG dans le cadre de l’exemption de paiement et le contrôle en cours des SONU ? </w:t>
      </w:r>
    </w:p>
    <w:p w:rsidR="000672B8" w:rsidRDefault="00B64391" w:rsidP="00377A64">
      <w:pPr>
        <w:pStyle w:val="ListParagraph"/>
        <w:numPr>
          <w:ilvl w:val="0"/>
          <w:numId w:val="2"/>
        </w:numPr>
      </w:pPr>
      <w:r>
        <w:t xml:space="preserve">Quel est conceptuellement le rôle des ONG ? Qu’est-ce qu’un bureau d’achat de service doit faire ? Les ONG se positionnent comme des Acheteurs de services et donc du coté de l’adhérent ou de l’usager. A ce titre, elles outrepassent leur rôle en prenant sur elles les actions de contrôle </w:t>
      </w:r>
      <w:r>
        <w:lastRenderedPageBreak/>
        <w:t>et d’amélioration de la qualité des soins qui devraient revenir aux ECD. ne fallait-il pas dès le départ donner la place</w:t>
      </w:r>
      <w:r w:rsidRPr="00D973B9">
        <w:t xml:space="preserve"> </w:t>
      </w:r>
      <w:r>
        <w:t>technique aux ECD ? A la limite ne serait-ce pas envisageable d’inverser les rôles ? (attendre des ECD les résultats d’actions de contrôle et d’amélioration de la qualité des services) Comment aider les ECD à assumer leur rôle ? Que faut-il transférer aux ECD (comment aller dans un système sans le modifier tout en étant réaliste) ?</w:t>
      </w:r>
    </w:p>
    <w:p w:rsidR="00B64391" w:rsidRDefault="00B64391" w:rsidP="00B64391">
      <w:pPr>
        <w:pStyle w:val="Heading2"/>
        <w:numPr>
          <w:ilvl w:val="0"/>
          <w:numId w:val="4"/>
        </w:numPr>
      </w:pPr>
      <w:r>
        <w:t>Du Régime d’Assurance Maladie Universel et de l’exemption de paiement</w:t>
      </w:r>
    </w:p>
    <w:p w:rsidR="00823B81" w:rsidRDefault="00823B81" w:rsidP="00B64391"/>
    <w:p w:rsidR="00B64391" w:rsidRDefault="00B64391" w:rsidP="00B64391">
      <w:r>
        <w:t>Il faut retenir de l’exposé que :</w:t>
      </w:r>
    </w:p>
    <w:p w:rsidR="00B64391" w:rsidRDefault="00B64391" w:rsidP="00B64391">
      <w:pPr>
        <w:pStyle w:val="ListParagraph"/>
        <w:numPr>
          <w:ilvl w:val="0"/>
          <w:numId w:val="2"/>
        </w:numPr>
        <w:spacing w:after="0"/>
        <w:ind w:left="357" w:hanging="357"/>
      </w:pPr>
      <w:r>
        <w:t xml:space="preserve">Le RAMU </w:t>
      </w:r>
      <w:r w:rsidRPr="004D75B7">
        <w:t xml:space="preserve">est un régime </w:t>
      </w:r>
      <w:r>
        <w:t>qui</w:t>
      </w:r>
      <w:r w:rsidRPr="004D75B7">
        <w:t xml:space="preserve"> concerne l’ensemble de la population</w:t>
      </w:r>
      <w:r>
        <w:t xml:space="preserve"> y compris les enfants </w:t>
      </w:r>
    </w:p>
    <w:p w:rsidR="009C0835" w:rsidRDefault="00B64391" w:rsidP="00B64391">
      <w:proofErr w:type="gramStart"/>
      <w:r>
        <w:t>de</w:t>
      </w:r>
      <w:proofErr w:type="gramEnd"/>
      <w:r>
        <w:t xml:space="preserve"> moins de 5 ans. </w:t>
      </w:r>
      <w:r w:rsidR="009C0835">
        <w:t>Selon les propositions en cours</w:t>
      </w:r>
      <w:r>
        <w:t xml:space="preserve">, il </w:t>
      </w:r>
      <w:r w:rsidR="009C0835">
        <w:t>pourrait prévoir le partage des coûts</w:t>
      </w:r>
      <w:r w:rsidR="00006940">
        <w:t xml:space="preserve"> d’</w:t>
      </w:r>
      <w:r w:rsidR="00D8165A">
        <w:t>une prime individuelle d’</w:t>
      </w:r>
      <w:r w:rsidR="00006940">
        <w:t>environ 7500 FCFA par personne et par an</w:t>
      </w:r>
      <w:r w:rsidR="009C0835">
        <w:t xml:space="preserve"> ainsi que suit :</w:t>
      </w:r>
    </w:p>
    <w:p w:rsidR="009C0835" w:rsidRDefault="009C0835" w:rsidP="00823B81">
      <w:pPr>
        <w:pStyle w:val="ListParagraph"/>
        <w:numPr>
          <w:ilvl w:val="0"/>
          <w:numId w:val="12"/>
        </w:numPr>
      </w:pPr>
      <w:r>
        <w:t>prise en charge à 100% du quintile le plus pauvre (une population qui ne cotiserait donc pas) par l’Etat</w:t>
      </w:r>
    </w:p>
    <w:p w:rsidR="009C0835" w:rsidRDefault="009C0835" w:rsidP="00823B81">
      <w:pPr>
        <w:pStyle w:val="ListParagraph"/>
        <w:numPr>
          <w:ilvl w:val="0"/>
          <w:numId w:val="12"/>
        </w:numPr>
      </w:pPr>
      <w:r>
        <w:t>paiement d’une cotisation couvrant le coût de leur prise en charge (et de celle de leurs ayant</w:t>
      </w:r>
      <w:r w:rsidR="00D8165A">
        <w:t>s</w:t>
      </w:r>
      <w:r>
        <w:t>-droit) par les</w:t>
      </w:r>
      <w:r w:rsidR="00B64391">
        <w:t xml:space="preserve"> 10% </w:t>
      </w:r>
      <w:r>
        <w:t>que représente la population du secteur formel (employés du public et du privés) sur la base d’</w:t>
      </w:r>
      <w:r w:rsidR="00006940">
        <w:t>un % de leur</w:t>
      </w:r>
      <w:r>
        <w:t xml:space="preserve"> salaire</w:t>
      </w:r>
      <w:r w:rsidR="00006940">
        <w:t>,</w:t>
      </w:r>
      <w:r>
        <w:t xml:space="preserve"> partagé entre employeur et employé,</w:t>
      </w:r>
      <w:r w:rsidR="00B64391">
        <w:t xml:space="preserve"> </w:t>
      </w:r>
    </w:p>
    <w:p w:rsidR="00B64391" w:rsidRDefault="009C0835" w:rsidP="009C0835">
      <w:pPr>
        <w:pStyle w:val="ListParagraph"/>
        <w:numPr>
          <w:ilvl w:val="0"/>
          <w:numId w:val="2"/>
        </w:numPr>
        <w:spacing w:after="0"/>
        <w:ind w:left="357" w:hanging="357"/>
      </w:pPr>
      <w:r>
        <w:t xml:space="preserve">Subvention par l’Etat de la prime d’assurance  du </w:t>
      </w:r>
      <w:r w:rsidR="00B64391">
        <w:t>secteur informel non pauvre</w:t>
      </w:r>
      <w:r>
        <w:t xml:space="preserve"> (qui représenterait 80% de la population), à hauteur de 3/4</w:t>
      </w:r>
      <w:r w:rsidR="00006940">
        <w:t xml:space="preserve"> du montant</w:t>
      </w:r>
      <w:r w:rsidR="00B64391">
        <w:t xml:space="preserve">. C’est un panier de soins qui couvre le maximum de soins. </w:t>
      </w:r>
      <w:r w:rsidR="00D8165A">
        <w:t>I</w:t>
      </w:r>
      <w:r w:rsidR="00B64391">
        <w:t>l est nécessaire que la réflexion soit menée de façon conjointe entre la mise en œuvre du RAMU et le passage à l’échelle de l’exemption de paiement des soins pour plusieurs raisons :</w:t>
      </w:r>
    </w:p>
    <w:p w:rsidR="00B64391" w:rsidRDefault="00B64391" w:rsidP="00B64391">
      <w:pPr>
        <w:pStyle w:val="ListParagraph"/>
        <w:numPr>
          <w:ilvl w:val="0"/>
          <w:numId w:val="10"/>
        </w:numPr>
      </w:pPr>
      <w:r>
        <w:t xml:space="preserve">du point de vue panier des soins, il y a au moins un minimum de panier commun aux enfants et aux autres assurés. </w:t>
      </w:r>
    </w:p>
    <w:p w:rsidR="00006940" w:rsidRDefault="00B64391" w:rsidP="00B64391">
      <w:pPr>
        <w:pStyle w:val="ListParagraph"/>
        <w:numPr>
          <w:ilvl w:val="0"/>
          <w:numId w:val="10"/>
        </w:numPr>
      </w:pPr>
      <w:r>
        <w:t xml:space="preserve">du point de vue </w:t>
      </w:r>
      <w:r w:rsidR="00D8165A">
        <w:t>du financement et du coût pour les familles</w:t>
      </w:r>
      <w:r>
        <w:t>:</w:t>
      </w:r>
      <w:r w:rsidR="00D8165A">
        <w:t xml:space="preserve"> le choix d’exemption a une conséquence immédiate sur le coût prise en charge qui incombe à la famille puisqu’il signifie que l’Etat prend en charge les soins pour cette catégorie.</w:t>
      </w:r>
    </w:p>
    <w:p w:rsidR="00B64391" w:rsidRDefault="00006940" w:rsidP="00B64391">
      <w:pPr>
        <w:pStyle w:val="ListParagraph"/>
        <w:numPr>
          <w:ilvl w:val="0"/>
          <w:numId w:val="10"/>
        </w:numPr>
      </w:pPr>
      <w:r>
        <w:t xml:space="preserve">Dans le cadre du dispositif de </w:t>
      </w:r>
      <w:r w:rsidR="00B64391">
        <w:t xml:space="preserve"> </w:t>
      </w:r>
      <w:proofErr w:type="spellStart"/>
      <w:r w:rsidR="00B64391">
        <w:t>co</w:t>
      </w:r>
      <w:proofErr w:type="spellEnd"/>
      <w:r w:rsidR="00B64391">
        <w:t xml:space="preserve">-paiement </w:t>
      </w:r>
      <w:r w:rsidR="00D8165A">
        <w:t>que prévoit</w:t>
      </w:r>
      <w:r>
        <w:t xml:space="preserve"> l’AMU et que l’on pourrait ne pas vouloir appliquer aux enfants de moins de 5 ans</w:t>
      </w:r>
      <w:r w:rsidR="00B64391">
        <w:t>.</w:t>
      </w:r>
    </w:p>
    <w:p w:rsidR="00B64391" w:rsidRDefault="00B64391" w:rsidP="00B64391">
      <w:pPr>
        <w:pStyle w:val="ListParagraph"/>
        <w:numPr>
          <w:ilvl w:val="0"/>
          <w:numId w:val="2"/>
        </w:numPr>
        <w:spacing w:after="0"/>
        <w:ind w:left="357" w:hanging="357"/>
      </w:pPr>
      <w:r>
        <w:t xml:space="preserve">Le RAMU et l’exemption au paiement des soins sont, individuellement pris,  deux </w:t>
      </w:r>
      <w:r w:rsidR="00006940">
        <w:t xml:space="preserve">visions différentes des priorités </w:t>
      </w:r>
      <w:r>
        <w:t xml:space="preserve">qu’il faut </w:t>
      </w:r>
      <w:r w:rsidR="00006940">
        <w:t>connecter dans le temps (la politique de subvention par niveau de revenu peut se faire après une période qui suit une politique qui assume une priorité de cible de tranche d’âge)</w:t>
      </w:r>
      <w:r>
        <w:t xml:space="preserve">. </w:t>
      </w:r>
    </w:p>
    <w:p w:rsidR="00B64391" w:rsidRDefault="00B64391" w:rsidP="00B64391">
      <w:pPr>
        <w:pStyle w:val="ListParagraph"/>
        <w:numPr>
          <w:ilvl w:val="0"/>
          <w:numId w:val="2"/>
        </w:numPr>
        <w:spacing w:after="0"/>
        <w:ind w:left="357" w:hanging="357"/>
      </w:pPr>
      <w:r>
        <w:t xml:space="preserve">Du contrôle </w:t>
      </w:r>
      <w:r w:rsidR="00006940">
        <w:t>dans le cadre du</w:t>
      </w:r>
      <w:r>
        <w:t xml:space="preserve"> RAMU : il est plus que nécessaire et devrait consister </w:t>
      </w:r>
      <w:r w:rsidR="00006940">
        <w:t>notamment en </w:t>
      </w:r>
      <w:r>
        <w:t xml:space="preserve">: </w:t>
      </w:r>
    </w:p>
    <w:p w:rsidR="00B64391" w:rsidRDefault="00B64391" w:rsidP="00B64391">
      <w:pPr>
        <w:pStyle w:val="ListParagraph"/>
        <w:numPr>
          <w:ilvl w:val="0"/>
          <w:numId w:val="10"/>
        </w:numPr>
      </w:pPr>
      <w:r>
        <w:t xml:space="preserve">Un contrôle de l’effectivité des prestations qui pourrait être </w:t>
      </w:r>
      <w:r w:rsidR="00006940">
        <w:t xml:space="preserve">réalisé en </w:t>
      </w:r>
      <w:r>
        <w:t xml:space="preserve"> interne, </w:t>
      </w:r>
      <w:r w:rsidR="00006940">
        <w:t>ou confié aux</w:t>
      </w:r>
      <w:r>
        <w:t xml:space="preserve"> organisation</w:t>
      </w:r>
      <w:r w:rsidR="00006940">
        <w:t>s</w:t>
      </w:r>
      <w:r>
        <w:t xml:space="preserve"> mutualiste</w:t>
      </w:r>
      <w:r w:rsidR="00006940">
        <w:t>s</w:t>
      </w:r>
      <w:r>
        <w:t xml:space="preserve"> ou</w:t>
      </w:r>
      <w:r w:rsidR="00006940">
        <w:t xml:space="preserve"> encore</w:t>
      </w:r>
      <w:r>
        <w:t xml:space="preserve"> un </w:t>
      </w:r>
      <w:r w:rsidR="00006940">
        <w:t>organisme de gestion délégué</w:t>
      </w:r>
      <w:r>
        <w:t xml:space="preserve">. </w:t>
      </w:r>
    </w:p>
    <w:p w:rsidR="00B64391" w:rsidRDefault="00B64391" w:rsidP="00B64391">
      <w:pPr>
        <w:pStyle w:val="ListParagraph"/>
        <w:numPr>
          <w:ilvl w:val="0"/>
          <w:numId w:val="10"/>
        </w:numPr>
      </w:pPr>
      <w:r>
        <w:t>Un contrôle de gestion</w:t>
      </w:r>
      <w:r w:rsidR="00006940">
        <w:t xml:space="preserve"> financière général</w:t>
      </w:r>
      <w:r>
        <w:t xml:space="preserve"> qui devrait être </w:t>
      </w:r>
      <w:r w:rsidR="00006940">
        <w:t xml:space="preserve">partie intégrante du pilotage </w:t>
      </w:r>
      <w:r>
        <w:t>par l’ARAMU (Agence de Régulation de l’AMU) en tant qu’autorité de régulation</w:t>
      </w:r>
      <w:r w:rsidR="00006940">
        <w:t xml:space="preserve"> de l’AMU</w:t>
      </w:r>
      <w:r>
        <w:t xml:space="preserve">. </w:t>
      </w:r>
    </w:p>
    <w:p w:rsidR="00B64391" w:rsidRDefault="00B64391" w:rsidP="00B64391">
      <w:pPr>
        <w:pStyle w:val="ListParagraph"/>
        <w:numPr>
          <w:ilvl w:val="0"/>
          <w:numId w:val="2"/>
        </w:numPr>
        <w:spacing w:after="0"/>
        <w:ind w:left="360"/>
      </w:pPr>
      <w:r>
        <w:t xml:space="preserve">L’AMU prévoit un déploiement progressif qui pourrait commencer par un projet anticipé dit de catégorie A. Le projet de qui sera conduit sous forme pilote  concernera d’abord les régions sanitaires du </w:t>
      </w:r>
      <w:proofErr w:type="spellStart"/>
      <w:r>
        <w:t>Mouhoun</w:t>
      </w:r>
      <w:proofErr w:type="spellEnd"/>
      <w:r>
        <w:t xml:space="preserve">, </w:t>
      </w:r>
      <w:r w:rsidR="00D8165A">
        <w:t>le</w:t>
      </w:r>
      <w:r w:rsidR="006E4338">
        <w:t xml:space="preserve"> Centr</w:t>
      </w:r>
      <w:r w:rsidR="00D8165A">
        <w:t>e</w:t>
      </w:r>
      <w:r>
        <w:t xml:space="preserve"> et le DS de </w:t>
      </w:r>
      <w:proofErr w:type="spellStart"/>
      <w:r>
        <w:t>Zabré</w:t>
      </w:r>
      <w:proofErr w:type="spellEnd"/>
      <w:r w:rsidR="00006940">
        <w:t xml:space="preserve"> pour le secteur informel, mais tout le pays pour le secteur formel.</w:t>
      </w:r>
    </w:p>
    <w:p w:rsidR="00B64391" w:rsidRDefault="00006940" w:rsidP="00B64391">
      <w:pPr>
        <w:pStyle w:val="ListParagraph"/>
        <w:numPr>
          <w:ilvl w:val="0"/>
          <w:numId w:val="2"/>
        </w:numPr>
        <w:spacing w:after="0"/>
        <w:ind w:left="360"/>
      </w:pPr>
      <w:r>
        <w:t>On peut</w:t>
      </w:r>
      <w:r w:rsidR="00B64391">
        <w:t xml:space="preserve"> imaginer </w:t>
      </w:r>
      <w:r>
        <w:t xml:space="preserve">que l’organe de gestion de l’AMU mette immédiatement en œuvre la prise en charge d’un RAMU totalement pris en charge par l’Etat pour les enfants de </w:t>
      </w:r>
      <w:r w:rsidR="00B64391">
        <w:t xml:space="preserve">moins de cinq ans, </w:t>
      </w:r>
      <w:r>
        <w:t>comme il le fera potentiellement pour les pauvres, avec la difficulté d’identification en moins</w:t>
      </w:r>
      <w:r w:rsidR="00D8165A">
        <w:t>, ou encore comme il le fera pour le secteur formel, l’enregistrement a priori et la récupération des cotisations en moins</w:t>
      </w:r>
      <w:r w:rsidR="00B64391">
        <w:t>.</w:t>
      </w:r>
      <w:r w:rsidR="00D8165A">
        <w:t xml:space="preserve"> La prise en charge des enfants de moins de 5 ans bénéficie alors immédiatement du système de contrôle et de paiement que l’AMU se doit de mettre en place dès 2015.</w:t>
      </w:r>
      <w:r w:rsidR="00B64391">
        <w:t xml:space="preserve"> </w:t>
      </w:r>
    </w:p>
    <w:p w:rsidR="00377A64" w:rsidRDefault="00377A64" w:rsidP="00B64391">
      <w:pPr>
        <w:pStyle w:val="ListParagraph"/>
        <w:numPr>
          <w:ilvl w:val="0"/>
          <w:numId w:val="2"/>
        </w:numPr>
        <w:spacing w:after="0"/>
        <w:ind w:left="360"/>
      </w:pPr>
      <w:r>
        <w:lastRenderedPageBreak/>
        <w:t>On peut envisager que la recherche opérationnelle dan</w:t>
      </w:r>
      <w:r w:rsidR="00E6472D">
        <w:t>s</w:t>
      </w:r>
      <w:r>
        <w:t xml:space="preserve"> le cadre de l'AMU soit régionalisé sous la coordination d'un comité de pilotage avec la par</w:t>
      </w:r>
      <w:r w:rsidR="00E6472D">
        <w:t>t</w:t>
      </w:r>
      <w:r>
        <w:t>icipation des ONG</w:t>
      </w:r>
      <w:r w:rsidR="0056415F">
        <w:rPr>
          <w:rStyle w:val="FootnoteReference"/>
        </w:rPr>
        <w:footnoteReference w:id="2"/>
      </w:r>
    </w:p>
    <w:p w:rsidR="00B64391" w:rsidRDefault="00B64391" w:rsidP="00B64391">
      <w:pPr>
        <w:pStyle w:val="ListParagraph"/>
        <w:numPr>
          <w:ilvl w:val="0"/>
          <w:numId w:val="2"/>
        </w:numPr>
        <w:spacing w:after="0"/>
        <w:ind w:left="360"/>
      </w:pPr>
      <w:r>
        <w:t>L’</w:t>
      </w:r>
      <w:r w:rsidRPr="004D75B7">
        <w:t>Av</w:t>
      </w:r>
      <w:r>
        <w:t>a</w:t>
      </w:r>
      <w:r w:rsidRPr="004D75B7">
        <w:t>nt projet de loi sur la création d</w:t>
      </w:r>
      <w:r>
        <w:t xml:space="preserve">u </w:t>
      </w:r>
      <w:r w:rsidRPr="004D75B7">
        <w:t>RAMU</w:t>
      </w:r>
      <w:r>
        <w:t xml:space="preserve"> a été adopté en conseil de ministres et sera soumis à l’Assemblée Nationale.</w:t>
      </w:r>
      <w:r w:rsidR="00D8165A">
        <w:t xml:space="preserve"> L’inclusion de la préoccupation spécifique des moins de 5 ans dans le projet RAMU doit se faire au moment des débats et être ensuite transcrite dans les décrets d’application.</w:t>
      </w:r>
    </w:p>
    <w:p w:rsidR="00B64391" w:rsidRDefault="00B64391" w:rsidP="00B64391">
      <w:pPr>
        <w:pStyle w:val="ListParagraph"/>
        <w:spacing w:after="0"/>
        <w:ind w:left="360"/>
      </w:pPr>
    </w:p>
    <w:p w:rsidR="00B64391" w:rsidRDefault="00B64391" w:rsidP="00B64391">
      <w:pPr>
        <w:ind w:left="720"/>
        <w:rPr>
          <w:i/>
          <w:u w:val="single"/>
        </w:rPr>
      </w:pPr>
      <w:r w:rsidRPr="00344C67">
        <w:rPr>
          <w:i/>
          <w:u w:val="single"/>
        </w:rPr>
        <w:t xml:space="preserve">Des inquiétudes </w:t>
      </w:r>
    </w:p>
    <w:p w:rsidR="00B64391" w:rsidRDefault="00B64391" w:rsidP="00B64391">
      <w:pPr>
        <w:pStyle w:val="ListParagraph"/>
        <w:numPr>
          <w:ilvl w:val="0"/>
          <w:numId w:val="2"/>
        </w:numPr>
        <w:spacing w:after="0"/>
        <w:ind w:left="360"/>
      </w:pPr>
      <w:r>
        <w:t>Comment marier l’exemption avec le déploiement du RAMU au secteur informel</w:t>
      </w:r>
      <w:r w:rsidR="00377A64">
        <w:t xml:space="preserve">, entre autres comment prendre en compte les enfants des ménages non adhérents </w:t>
      </w:r>
      <w:r w:rsidR="00E6472D">
        <w:t>(ici l’OMS se veut rassurante, sans entrer dans les détails, expliquant que les décrets peuvent aménager les conditions)</w:t>
      </w:r>
    </w:p>
    <w:p w:rsidR="00B64391" w:rsidRDefault="00B64391" w:rsidP="00B64391">
      <w:pPr>
        <w:pStyle w:val="ListParagraph"/>
        <w:numPr>
          <w:ilvl w:val="0"/>
          <w:numId w:val="2"/>
        </w:numPr>
        <w:spacing w:after="0"/>
        <w:ind w:left="360"/>
      </w:pPr>
      <w:r>
        <w:t xml:space="preserve">Le paquet de soins concilier exemption et RAMU si le paquet de soins ne couvre pas toutes les prestations </w:t>
      </w:r>
      <w:r w:rsidR="00AB12E8">
        <w:t>et frais indirect</w:t>
      </w:r>
      <w:r w:rsidR="00377A64">
        <w:t xml:space="preserve">s (transport, hôtellerie) </w:t>
      </w:r>
      <w:r>
        <w:t xml:space="preserve">chez les enfants ? </w:t>
      </w:r>
    </w:p>
    <w:p w:rsidR="00B64391" w:rsidRDefault="00B64391" w:rsidP="00B64391">
      <w:pPr>
        <w:pStyle w:val="ListParagraph"/>
        <w:numPr>
          <w:ilvl w:val="0"/>
          <w:numId w:val="2"/>
        </w:numPr>
        <w:spacing w:after="0"/>
        <w:ind w:left="360"/>
      </w:pPr>
      <w:r>
        <w:t>Quel est le rôle du Ministère de la Santé dans les deux systèmes ?</w:t>
      </w:r>
    </w:p>
    <w:p w:rsidR="00B64391" w:rsidRDefault="00B64391" w:rsidP="00B64391">
      <w:pPr>
        <w:pStyle w:val="ListParagraph"/>
        <w:numPr>
          <w:ilvl w:val="0"/>
          <w:numId w:val="2"/>
        </w:numPr>
        <w:spacing w:after="0"/>
        <w:ind w:left="360"/>
      </w:pPr>
      <w:r>
        <w:t>Les Crédits délégués pourraient-ils être utilisés pour l’amélioration de la qualité des prestations sanitaires</w:t>
      </w:r>
      <w:r w:rsidR="00AB12E8">
        <w:t>, c’est-à-dire sous forme de financement basé sur le résultat</w:t>
      </w:r>
      <w:r>
        <w:t xml:space="preserve"> ? </w:t>
      </w:r>
    </w:p>
    <w:p w:rsidR="00B64391" w:rsidRDefault="00B64391" w:rsidP="00B64391">
      <w:pPr>
        <w:spacing w:after="0"/>
      </w:pPr>
    </w:p>
    <w:p w:rsidR="00B64391" w:rsidRPr="00BB1E17" w:rsidRDefault="00B64391" w:rsidP="00B64391">
      <w:pPr>
        <w:rPr>
          <w:b/>
        </w:rPr>
      </w:pPr>
      <w:r w:rsidRPr="00BB1E17">
        <w:rPr>
          <w:b/>
        </w:rPr>
        <w:t>Que retenir de cette rencontre </w:t>
      </w:r>
      <w:r>
        <w:rPr>
          <w:b/>
        </w:rPr>
        <w:t xml:space="preserve">pour l’action </w:t>
      </w:r>
      <w:r w:rsidRPr="00BB1E17">
        <w:rPr>
          <w:b/>
        </w:rPr>
        <w:t>?</w:t>
      </w:r>
    </w:p>
    <w:p w:rsidR="00B64391" w:rsidRPr="004C55FC" w:rsidRDefault="00B64391" w:rsidP="00B64391">
      <w:pPr>
        <w:pStyle w:val="ListParagraph"/>
        <w:numPr>
          <w:ilvl w:val="0"/>
          <w:numId w:val="2"/>
        </w:numPr>
      </w:pPr>
      <w:r w:rsidRPr="00344C67">
        <w:t>Evaluer aussi exhaustivement que possible les coûts annexes des systèmes d’exemption par ONG</w:t>
      </w:r>
    </w:p>
    <w:p w:rsidR="00B64391" w:rsidRPr="004C55FC" w:rsidRDefault="00B64391" w:rsidP="00B64391">
      <w:pPr>
        <w:pStyle w:val="ListParagraph"/>
        <w:numPr>
          <w:ilvl w:val="0"/>
          <w:numId w:val="2"/>
        </w:numPr>
      </w:pPr>
      <w:r w:rsidRPr="00344C67">
        <w:t xml:space="preserve">Evaluer aussi exhaustivement que possible les charges des contrôles par ONG (prenant en compte le glissement dans le temps)  et établir un tableau comparatif des structures. Voir </w:t>
      </w:r>
      <w:r w:rsidR="00E6472D">
        <w:t xml:space="preserve">proposition de </w:t>
      </w:r>
      <w:r w:rsidRPr="00344C67">
        <w:t>canevas d’estimation des coûts annexes de chaque ONG en annexes.</w:t>
      </w:r>
    </w:p>
    <w:p w:rsidR="00B64391" w:rsidRDefault="00B64391" w:rsidP="00B64391">
      <w:pPr>
        <w:pStyle w:val="ListParagraph"/>
        <w:numPr>
          <w:ilvl w:val="0"/>
          <w:numId w:val="2"/>
        </w:numPr>
      </w:pPr>
      <w:r>
        <w:t>Etablir un tableau comparatif par district en spécifiant le volume, la fréquence et les coûts</w:t>
      </w:r>
    </w:p>
    <w:p w:rsidR="00B64391" w:rsidRDefault="00B64391" w:rsidP="00B64391">
      <w:pPr>
        <w:pStyle w:val="ListParagraph"/>
        <w:numPr>
          <w:ilvl w:val="0"/>
          <w:numId w:val="2"/>
        </w:numPr>
      </w:pPr>
      <w:r>
        <w:t>faire ressortir la composition exacte des éléments prise en compte pour le calcul du coût moyen par ONG</w:t>
      </w:r>
      <w:r w:rsidR="00E6472D">
        <w:t xml:space="preserve"> (tarifs, forfait, base tarifaire, autre)</w:t>
      </w:r>
    </w:p>
    <w:p w:rsidR="00B64391" w:rsidRDefault="00B64391" w:rsidP="00B64391">
      <w:pPr>
        <w:pStyle w:val="ListParagraph"/>
        <w:numPr>
          <w:ilvl w:val="0"/>
          <w:numId w:val="2"/>
        </w:numPr>
      </w:pPr>
      <w:r>
        <w:t>Détailler l´évolution du coût moyen depuis le début de l´exemption (graphique).</w:t>
      </w:r>
    </w:p>
    <w:p w:rsidR="00B64391" w:rsidRDefault="00B64391" w:rsidP="00B64391">
      <w:pPr>
        <w:pStyle w:val="ListParagraph"/>
        <w:numPr>
          <w:ilvl w:val="0"/>
          <w:numId w:val="2"/>
        </w:numPr>
      </w:pPr>
      <w:r>
        <w:t>Détailler l´évolution du taux d´utilisation depuis le début de l´exemption (graphique)</w:t>
      </w:r>
    </w:p>
    <w:p w:rsidR="00B64391" w:rsidRDefault="00E6472D" w:rsidP="00B64391">
      <w:pPr>
        <w:pStyle w:val="ListParagraph"/>
        <w:numPr>
          <w:ilvl w:val="0"/>
          <w:numId w:val="2"/>
        </w:numPr>
      </w:pPr>
      <w:r>
        <w:t>Faire un « </w:t>
      </w:r>
      <w:proofErr w:type="spellStart"/>
      <w:r>
        <w:t>mapping</w:t>
      </w:r>
      <w:proofErr w:type="spellEnd"/>
      <w:r>
        <w:t> » des</w:t>
      </w:r>
      <w:r w:rsidR="00B64391">
        <w:t xml:space="preserve"> fréquences de couverture</w:t>
      </w:r>
      <w:r w:rsidR="00AB12E8">
        <w:t xml:space="preserve"> </w:t>
      </w:r>
    </w:p>
    <w:p w:rsidR="00B64391" w:rsidRDefault="00B64391" w:rsidP="00B64391">
      <w:pPr>
        <w:pStyle w:val="ListParagraph"/>
        <w:numPr>
          <w:ilvl w:val="0"/>
          <w:numId w:val="2"/>
        </w:numPr>
      </w:pPr>
      <w:r>
        <w:t xml:space="preserve">Le calendrier de déploiement </w:t>
      </w:r>
      <w:r w:rsidR="00AB12E8">
        <w:t xml:space="preserve">administratif </w:t>
      </w:r>
      <w:r>
        <w:t xml:space="preserve">de l’AMU est intense durant les trois mois à venir. les partenaires ne devraient pas manquer cette opportunité de se faire entendre ; d’où la nécessité de se réunir régulièrement  dans les 3 prochains mois.  </w:t>
      </w:r>
    </w:p>
    <w:p w:rsidR="00B64391" w:rsidRDefault="00B64391" w:rsidP="00B64391">
      <w:pPr>
        <w:pStyle w:val="ListParagraph"/>
        <w:numPr>
          <w:ilvl w:val="0"/>
          <w:numId w:val="2"/>
        </w:numPr>
      </w:pPr>
      <w:r>
        <w:t xml:space="preserve">Réfléchir sur </w:t>
      </w:r>
      <w:r w:rsidR="00D8165A">
        <w:t xml:space="preserve">un appui concerté aux choix politiques et stratégiques sur cette double question du RAMU et de l’exemption </w:t>
      </w:r>
      <w:r w:rsidR="00ED3F8F">
        <w:t>pour éventuellement donner suite à la proposition envisagée ici : une prise en charge des enfants de moins de 5 ans dans le cadre du RAMU aménagé pour eux de sorte que ce régime s’applique sans condition d’enregistrement familial (ni donc de paiement de la cotisation familiale).</w:t>
      </w:r>
    </w:p>
    <w:p w:rsidR="00B64391" w:rsidRDefault="00B64391" w:rsidP="00B64391">
      <w:pPr>
        <w:pStyle w:val="ListParagraph"/>
        <w:numPr>
          <w:ilvl w:val="0"/>
          <w:numId w:val="2"/>
        </w:numPr>
      </w:pPr>
      <w:r>
        <w:t xml:space="preserve">Réfléchir à un système relativement simple de contrôle qui donnerait aux ECD tout le rôle qui est attendu d’eux. </w:t>
      </w:r>
    </w:p>
    <w:p w:rsidR="00B64391" w:rsidRDefault="00B64391" w:rsidP="00B64391">
      <w:pPr>
        <w:pStyle w:val="ListParagraph"/>
        <w:numPr>
          <w:ilvl w:val="0"/>
          <w:numId w:val="2"/>
        </w:numPr>
      </w:pPr>
      <w:r>
        <w:t>Fournir aux parties prenantes les informations régulières sur le RAMU</w:t>
      </w:r>
    </w:p>
    <w:p w:rsidR="00823B81" w:rsidRDefault="00E6472D" w:rsidP="00B64391">
      <w:pPr>
        <w:pStyle w:val="ListParagraph"/>
        <w:numPr>
          <w:ilvl w:val="0"/>
          <w:numId w:val="2"/>
        </w:numPr>
      </w:pPr>
      <w:r>
        <w:t xml:space="preserve">Revenir </w:t>
      </w:r>
      <w:r w:rsidR="00B64391">
        <w:t>sur la qualité de l’offre dans un contexte d’augmentation de la demande dans le cadre de l’AMU</w:t>
      </w:r>
    </w:p>
    <w:p w:rsidR="00823B81" w:rsidRDefault="00823B81" w:rsidP="00823B81">
      <w:r>
        <w:br w:type="page"/>
      </w:r>
    </w:p>
    <w:p w:rsidR="00B64391" w:rsidRDefault="00B64391" w:rsidP="00823B81">
      <w:pPr>
        <w:pStyle w:val="ListParagraph"/>
        <w:ind w:left="718"/>
      </w:pPr>
    </w:p>
    <w:p w:rsidR="00B64391" w:rsidRDefault="00B64391" w:rsidP="00B64391">
      <w:pPr>
        <w:pStyle w:val="ListParagraph"/>
        <w:ind w:left="718"/>
        <w:rPr>
          <w:b/>
          <w:u w:val="single"/>
        </w:rPr>
      </w:pPr>
      <w:r w:rsidRPr="00EB7416">
        <w:rPr>
          <w:b/>
          <w:u w:val="single"/>
        </w:rPr>
        <w:t>Perspectives :</w:t>
      </w:r>
    </w:p>
    <w:p w:rsidR="00B64391" w:rsidRDefault="00D8165A" w:rsidP="00B64391">
      <w:pPr>
        <w:pStyle w:val="ListParagraph"/>
        <w:numPr>
          <w:ilvl w:val="0"/>
          <w:numId w:val="2"/>
        </w:numPr>
      </w:pPr>
      <w:r>
        <w:t>Poursuite de la capitalisation de leur travail par les ONG</w:t>
      </w:r>
    </w:p>
    <w:p w:rsidR="00B64391" w:rsidRDefault="00B64391" w:rsidP="00B64391">
      <w:pPr>
        <w:pStyle w:val="ListParagraph"/>
        <w:numPr>
          <w:ilvl w:val="0"/>
          <w:numId w:val="2"/>
        </w:numPr>
      </w:pPr>
      <w:r>
        <w:t>Prochaine rencontre : lundi 30 juin à 15 h00 dans les locaux de l’OMS</w:t>
      </w:r>
      <w:r w:rsidR="00E6472D">
        <w:t xml:space="preserve"> pour définir la marche à suivre sur :</w:t>
      </w:r>
    </w:p>
    <w:p w:rsidR="00E6472D" w:rsidRDefault="00E6472D" w:rsidP="00823B81">
      <w:pPr>
        <w:pStyle w:val="ListParagraph"/>
        <w:numPr>
          <w:ilvl w:val="1"/>
          <w:numId w:val="2"/>
        </w:numPr>
      </w:pPr>
      <w:r>
        <w:t>Les travaux supplémentaires suggérés portant sur les expériences locales</w:t>
      </w:r>
    </w:p>
    <w:p w:rsidR="00E6472D" w:rsidRDefault="00E6472D" w:rsidP="00823B81">
      <w:pPr>
        <w:pStyle w:val="ListParagraph"/>
        <w:numPr>
          <w:ilvl w:val="1"/>
          <w:numId w:val="2"/>
        </w:numPr>
      </w:pPr>
      <w:r>
        <w:t>Le dialogue politique, teneur et modalité</w:t>
      </w:r>
    </w:p>
    <w:p w:rsidR="00B64391" w:rsidRDefault="00E6472D" w:rsidP="00823B81">
      <w:pPr>
        <w:pStyle w:val="ListParagraph"/>
        <w:numPr>
          <w:ilvl w:val="1"/>
          <w:numId w:val="2"/>
        </w:numPr>
      </w:pPr>
      <w:r>
        <w:t>L’approfondissement des questions techniques dans le cadre du sous-groupe PTF « accès financier »</w:t>
      </w:r>
    </w:p>
    <w:p w:rsidR="00823B81" w:rsidRDefault="00823B81" w:rsidP="00823B81">
      <w:pPr>
        <w:pStyle w:val="ListParagraph"/>
        <w:ind w:left="1438"/>
      </w:pPr>
    </w:p>
    <w:p w:rsidR="00B64391" w:rsidRDefault="00B64391" w:rsidP="00B64391">
      <w:pPr>
        <w:pStyle w:val="ListParagraph"/>
        <w:ind w:left="718"/>
      </w:pPr>
      <w:r>
        <w:t xml:space="preserve">Les rapporteurs : </w:t>
      </w:r>
    </w:p>
    <w:p w:rsidR="00B64391" w:rsidRDefault="00B64391" w:rsidP="00B64391">
      <w:pPr>
        <w:pStyle w:val="ListParagraph"/>
        <w:ind w:left="718"/>
      </w:pPr>
    </w:p>
    <w:p w:rsidR="00B64391" w:rsidRDefault="00B64391" w:rsidP="00B64391">
      <w:pPr>
        <w:pStyle w:val="ListParagraph"/>
        <w:ind w:left="718"/>
      </w:pPr>
      <w:r>
        <w:t xml:space="preserve">Bruno NEBIE           </w:t>
      </w:r>
    </w:p>
    <w:p w:rsidR="00B64391" w:rsidRDefault="00B64391" w:rsidP="00B64391">
      <w:pPr>
        <w:pStyle w:val="ListParagraph"/>
        <w:ind w:left="718"/>
      </w:pPr>
      <w:r>
        <w:t>Alfred NACOULMA</w:t>
      </w:r>
    </w:p>
    <w:p w:rsidR="00E269A7" w:rsidRDefault="00E269A7"/>
    <w:sectPr w:rsidR="00E269A7" w:rsidSect="00DA4775">
      <w:pgSz w:w="11906" w:h="16838"/>
      <w:pgMar w:top="567" w:right="991" w:bottom="85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1F89" w:rsidRDefault="008B1F89" w:rsidP="0056415F">
      <w:pPr>
        <w:spacing w:after="0" w:line="240" w:lineRule="auto"/>
      </w:pPr>
      <w:r>
        <w:separator/>
      </w:r>
    </w:p>
  </w:endnote>
  <w:endnote w:type="continuationSeparator" w:id="0">
    <w:p w:rsidR="008B1F89" w:rsidRDefault="008B1F89" w:rsidP="00564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1F89" w:rsidRDefault="008B1F89" w:rsidP="0056415F">
      <w:pPr>
        <w:spacing w:after="0" w:line="240" w:lineRule="auto"/>
      </w:pPr>
      <w:r>
        <w:separator/>
      </w:r>
    </w:p>
  </w:footnote>
  <w:footnote w:type="continuationSeparator" w:id="0">
    <w:p w:rsidR="008B1F89" w:rsidRDefault="008B1F89" w:rsidP="0056415F">
      <w:pPr>
        <w:spacing w:after="0" w:line="240" w:lineRule="auto"/>
      </w:pPr>
      <w:r>
        <w:continuationSeparator/>
      </w:r>
    </w:p>
  </w:footnote>
  <w:footnote w:id="1">
    <w:p w:rsidR="0056415F" w:rsidRDefault="0056415F">
      <w:pPr>
        <w:pStyle w:val="FootnoteText"/>
      </w:pPr>
      <w:r>
        <w:rPr>
          <w:rStyle w:val="FootnoteReference"/>
        </w:rPr>
        <w:footnoteRef/>
      </w:r>
      <w:r>
        <w:t xml:space="preserve"> Save the </w:t>
      </w:r>
      <w:proofErr w:type="spellStart"/>
      <w:r>
        <w:t>Children</w:t>
      </w:r>
      <w:proofErr w:type="spellEnd"/>
      <w:r>
        <w:t xml:space="preserve"> a créé une application pour l’identification, l’enregistrement et le suivi des bénéficiaires avec une carte pré numérotée</w:t>
      </w:r>
    </w:p>
  </w:footnote>
  <w:footnote w:id="2">
    <w:p w:rsidR="0056415F" w:rsidRDefault="0056415F" w:rsidP="00823B81">
      <w:pPr>
        <w:pStyle w:val="CommentText"/>
      </w:pPr>
      <w:r>
        <w:rPr>
          <w:rStyle w:val="FootnoteReference"/>
        </w:rPr>
        <w:footnoteRef/>
      </w:r>
      <w:r>
        <w:t xml:space="preserve"> Un arrêté du Gouverneur a mis en place un comité de pilotage de l’exemption de paiement dans la région du Centre Nord</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5pt;height:11.5pt" o:bullet="t">
        <v:imagedata r:id="rId1" o:title="msoA565"/>
      </v:shape>
    </w:pict>
  </w:numPicBullet>
  <w:abstractNum w:abstractNumId="0">
    <w:nsid w:val="13FA1DD6"/>
    <w:multiLevelType w:val="hybridMultilevel"/>
    <w:tmpl w:val="98708448"/>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
    <w:nsid w:val="1CA51231"/>
    <w:multiLevelType w:val="hybridMultilevel"/>
    <w:tmpl w:val="367E1102"/>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30E16116"/>
    <w:multiLevelType w:val="hybridMultilevel"/>
    <w:tmpl w:val="B3A2D092"/>
    <w:lvl w:ilvl="0" w:tplc="040C0001">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
    <w:nsid w:val="32ED72B1"/>
    <w:multiLevelType w:val="hybridMultilevel"/>
    <w:tmpl w:val="A724784E"/>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nsid w:val="3D260FD4"/>
    <w:multiLevelType w:val="hybridMultilevel"/>
    <w:tmpl w:val="B536823A"/>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
    <w:nsid w:val="41116644"/>
    <w:multiLevelType w:val="hybridMultilevel"/>
    <w:tmpl w:val="3852F8A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nsid w:val="45DD040C"/>
    <w:multiLevelType w:val="hybridMultilevel"/>
    <w:tmpl w:val="C34CEBA0"/>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4CF940FC"/>
    <w:multiLevelType w:val="hybridMultilevel"/>
    <w:tmpl w:val="28C0A72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59043BEB"/>
    <w:multiLevelType w:val="hybridMultilevel"/>
    <w:tmpl w:val="B07AEC48"/>
    <w:lvl w:ilvl="0" w:tplc="040C000D">
      <w:start w:val="1"/>
      <w:numFmt w:val="bullet"/>
      <w:lvlText w:val=""/>
      <w:lvlJc w:val="left"/>
      <w:pPr>
        <w:ind w:left="1068" w:hanging="360"/>
      </w:pPr>
      <w:rPr>
        <w:rFonts w:ascii="Wingdings" w:hAnsi="Wingdings"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9">
    <w:nsid w:val="5AAD71A2"/>
    <w:multiLevelType w:val="hybridMultilevel"/>
    <w:tmpl w:val="32928A62"/>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0">
    <w:nsid w:val="625F29F8"/>
    <w:multiLevelType w:val="hybridMultilevel"/>
    <w:tmpl w:val="A56253DA"/>
    <w:lvl w:ilvl="0" w:tplc="07C6A438">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7A515238"/>
    <w:multiLevelType w:val="hybridMultilevel"/>
    <w:tmpl w:val="CF8CC284"/>
    <w:lvl w:ilvl="0" w:tplc="040C000B">
      <w:start w:val="1"/>
      <w:numFmt w:val="bullet"/>
      <w:lvlText w:val=""/>
      <w:lvlJc w:val="left"/>
      <w:pPr>
        <w:ind w:left="718" w:hanging="360"/>
      </w:pPr>
      <w:rPr>
        <w:rFonts w:ascii="Wingdings" w:hAnsi="Wingdings" w:hint="default"/>
      </w:rPr>
    </w:lvl>
    <w:lvl w:ilvl="1" w:tplc="040C0003">
      <w:start w:val="1"/>
      <w:numFmt w:val="bullet"/>
      <w:lvlText w:val="o"/>
      <w:lvlJc w:val="left"/>
      <w:pPr>
        <w:ind w:left="1438" w:hanging="360"/>
      </w:pPr>
      <w:rPr>
        <w:rFonts w:ascii="Courier New" w:hAnsi="Courier New" w:cs="Courier New" w:hint="default"/>
      </w:rPr>
    </w:lvl>
    <w:lvl w:ilvl="2" w:tplc="040C0005" w:tentative="1">
      <w:start w:val="1"/>
      <w:numFmt w:val="bullet"/>
      <w:lvlText w:val=""/>
      <w:lvlJc w:val="left"/>
      <w:pPr>
        <w:ind w:left="2158" w:hanging="360"/>
      </w:pPr>
      <w:rPr>
        <w:rFonts w:ascii="Wingdings" w:hAnsi="Wingdings" w:hint="default"/>
      </w:rPr>
    </w:lvl>
    <w:lvl w:ilvl="3" w:tplc="040C0001" w:tentative="1">
      <w:start w:val="1"/>
      <w:numFmt w:val="bullet"/>
      <w:lvlText w:val=""/>
      <w:lvlJc w:val="left"/>
      <w:pPr>
        <w:ind w:left="2878" w:hanging="360"/>
      </w:pPr>
      <w:rPr>
        <w:rFonts w:ascii="Symbol" w:hAnsi="Symbol" w:hint="default"/>
      </w:rPr>
    </w:lvl>
    <w:lvl w:ilvl="4" w:tplc="040C0003" w:tentative="1">
      <w:start w:val="1"/>
      <w:numFmt w:val="bullet"/>
      <w:lvlText w:val="o"/>
      <w:lvlJc w:val="left"/>
      <w:pPr>
        <w:ind w:left="3598" w:hanging="360"/>
      </w:pPr>
      <w:rPr>
        <w:rFonts w:ascii="Courier New" w:hAnsi="Courier New" w:cs="Courier New" w:hint="default"/>
      </w:rPr>
    </w:lvl>
    <w:lvl w:ilvl="5" w:tplc="040C0005" w:tentative="1">
      <w:start w:val="1"/>
      <w:numFmt w:val="bullet"/>
      <w:lvlText w:val=""/>
      <w:lvlJc w:val="left"/>
      <w:pPr>
        <w:ind w:left="4318" w:hanging="360"/>
      </w:pPr>
      <w:rPr>
        <w:rFonts w:ascii="Wingdings" w:hAnsi="Wingdings" w:hint="default"/>
      </w:rPr>
    </w:lvl>
    <w:lvl w:ilvl="6" w:tplc="040C0001" w:tentative="1">
      <w:start w:val="1"/>
      <w:numFmt w:val="bullet"/>
      <w:lvlText w:val=""/>
      <w:lvlJc w:val="left"/>
      <w:pPr>
        <w:ind w:left="5038" w:hanging="360"/>
      </w:pPr>
      <w:rPr>
        <w:rFonts w:ascii="Symbol" w:hAnsi="Symbol" w:hint="default"/>
      </w:rPr>
    </w:lvl>
    <w:lvl w:ilvl="7" w:tplc="040C0003" w:tentative="1">
      <w:start w:val="1"/>
      <w:numFmt w:val="bullet"/>
      <w:lvlText w:val="o"/>
      <w:lvlJc w:val="left"/>
      <w:pPr>
        <w:ind w:left="5758" w:hanging="360"/>
      </w:pPr>
      <w:rPr>
        <w:rFonts w:ascii="Courier New" w:hAnsi="Courier New" w:cs="Courier New" w:hint="default"/>
      </w:rPr>
    </w:lvl>
    <w:lvl w:ilvl="8" w:tplc="040C0005" w:tentative="1">
      <w:start w:val="1"/>
      <w:numFmt w:val="bullet"/>
      <w:lvlText w:val=""/>
      <w:lvlJc w:val="left"/>
      <w:pPr>
        <w:ind w:left="6478" w:hanging="360"/>
      </w:pPr>
      <w:rPr>
        <w:rFonts w:ascii="Wingdings" w:hAnsi="Wingdings" w:hint="default"/>
      </w:rPr>
    </w:lvl>
  </w:abstractNum>
  <w:num w:numId="1">
    <w:abstractNumId w:val="7"/>
  </w:num>
  <w:num w:numId="2">
    <w:abstractNumId w:val="11"/>
  </w:num>
  <w:num w:numId="3">
    <w:abstractNumId w:val="6"/>
  </w:num>
  <w:num w:numId="4">
    <w:abstractNumId w:val="1"/>
  </w:num>
  <w:num w:numId="5">
    <w:abstractNumId w:val="4"/>
  </w:num>
  <w:num w:numId="6">
    <w:abstractNumId w:val="3"/>
  </w:num>
  <w:num w:numId="7">
    <w:abstractNumId w:val="0"/>
  </w:num>
  <w:num w:numId="8">
    <w:abstractNumId w:val="5"/>
  </w:num>
  <w:num w:numId="9">
    <w:abstractNumId w:val="2"/>
  </w:num>
  <w:num w:numId="10">
    <w:abstractNumId w:val="9"/>
  </w:num>
  <w:num w:numId="11">
    <w:abstractNumId w:val="8"/>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391"/>
    <w:rsid w:val="00006940"/>
    <w:rsid w:val="000672B8"/>
    <w:rsid w:val="0016016A"/>
    <w:rsid w:val="002F0DC1"/>
    <w:rsid w:val="003664C3"/>
    <w:rsid w:val="00377A64"/>
    <w:rsid w:val="004671D5"/>
    <w:rsid w:val="004C53F3"/>
    <w:rsid w:val="005316CA"/>
    <w:rsid w:val="0056415F"/>
    <w:rsid w:val="005D5956"/>
    <w:rsid w:val="00686E8E"/>
    <w:rsid w:val="006C0FB4"/>
    <w:rsid w:val="006E4338"/>
    <w:rsid w:val="00800F69"/>
    <w:rsid w:val="00823B81"/>
    <w:rsid w:val="008B1F89"/>
    <w:rsid w:val="009C0835"/>
    <w:rsid w:val="009D6834"/>
    <w:rsid w:val="00AB12E8"/>
    <w:rsid w:val="00B64391"/>
    <w:rsid w:val="00B6655C"/>
    <w:rsid w:val="00C752F5"/>
    <w:rsid w:val="00D1632A"/>
    <w:rsid w:val="00D3168B"/>
    <w:rsid w:val="00D8165A"/>
    <w:rsid w:val="00DF1589"/>
    <w:rsid w:val="00E269A7"/>
    <w:rsid w:val="00E331C6"/>
    <w:rsid w:val="00E6472D"/>
    <w:rsid w:val="00ED3F8F"/>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B643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643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B64391"/>
    <w:pPr>
      <w:ind w:left="720"/>
      <w:contextualSpacing/>
    </w:pPr>
  </w:style>
  <w:style w:type="paragraph" w:styleId="Title">
    <w:name w:val="Title"/>
    <w:basedOn w:val="Normal"/>
    <w:next w:val="Normal"/>
    <w:link w:val="TitleChar"/>
    <w:uiPriority w:val="10"/>
    <w:qFormat/>
    <w:rsid w:val="00B6439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64391"/>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9C08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0835"/>
    <w:rPr>
      <w:rFonts w:ascii="Tahoma" w:hAnsi="Tahoma" w:cs="Tahoma"/>
      <w:sz w:val="16"/>
      <w:szCs w:val="16"/>
    </w:rPr>
  </w:style>
  <w:style w:type="character" w:styleId="CommentReference">
    <w:name w:val="annotation reference"/>
    <w:basedOn w:val="DefaultParagraphFont"/>
    <w:uiPriority w:val="99"/>
    <w:semiHidden/>
    <w:unhideWhenUsed/>
    <w:rsid w:val="00D8165A"/>
    <w:rPr>
      <w:sz w:val="16"/>
      <w:szCs w:val="16"/>
    </w:rPr>
  </w:style>
  <w:style w:type="paragraph" w:styleId="CommentText">
    <w:name w:val="annotation text"/>
    <w:basedOn w:val="Normal"/>
    <w:link w:val="CommentTextChar"/>
    <w:uiPriority w:val="99"/>
    <w:unhideWhenUsed/>
    <w:rsid w:val="00D8165A"/>
    <w:pPr>
      <w:spacing w:line="240" w:lineRule="auto"/>
    </w:pPr>
    <w:rPr>
      <w:sz w:val="20"/>
      <w:szCs w:val="20"/>
    </w:rPr>
  </w:style>
  <w:style w:type="character" w:customStyle="1" w:styleId="CommentTextChar">
    <w:name w:val="Comment Text Char"/>
    <w:basedOn w:val="DefaultParagraphFont"/>
    <w:link w:val="CommentText"/>
    <w:uiPriority w:val="99"/>
    <w:rsid w:val="00D8165A"/>
    <w:rPr>
      <w:sz w:val="20"/>
      <w:szCs w:val="20"/>
    </w:rPr>
  </w:style>
  <w:style w:type="paragraph" w:styleId="CommentSubject">
    <w:name w:val="annotation subject"/>
    <w:basedOn w:val="CommentText"/>
    <w:next w:val="CommentText"/>
    <w:link w:val="CommentSubjectChar"/>
    <w:uiPriority w:val="99"/>
    <w:semiHidden/>
    <w:unhideWhenUsed/>
    <w:rsid w:val="00D8165A"/>
    <w:rPr>
      <w:b/>
      <w:bCs/>
    </w:rPr>
  </w:style>
  <w:style w:type="character" w:customStyle="1" w:styleId="CommentSubjectChar">
    <w:name w:val="Comment Subject Char"/>
    <w:basedOn w:val="CommentTextChar"/>
    <w:link w:val="CommentSubject"/>
    <w:uiPriority w:val="99"/>
    <w:semiHidden/>
    <w:rsid w:val="00D8165A"/>
    <w:rPr>
      <w:b/>
      <w:bCs/>
      <w:sz w:val="20"/>
      <w:szCs w:val="20"/>
    </w:rPr>
  </w:style>
  <w:style w:type="paragraph" w:styleId="FootnoteText">
    <w:name w:val="footnote text"/>
    <w:basedOn w:val="Normal"/>
    <w:link w:val="FootnoteTextChar"/>
    <w:uiPriority w:val="99"/>
    <w:semiHidden/>
    <w:unhideWhenUsed/>
    <w:rsid w:val="0056415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6415F"/>
    <w:rPr>
      <w:sz w:val="20"/>
      <w:szCs w:val="20"/>
    </w:rPr>
  </w:style>
  <w:style w:type="character" w:styleId="FootnoteReference">
    <w:name w:val="footnote reference"/>
    <w:basedOn w:val="DefaultParagraphFont"/>
    <w:uiPriority w:val="99"/>
    <w:semiHidden/>
    <w:unhideWhenUsed/>
    <w:rsid w:val="0056415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B643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643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B64391"/>
    <w:pPr>
      <w:ind w:left="720"/>
      <w:contextualSpacing/>
    </w:pPr>
  </w:style>
  <w:style w:type="paragraph" w:styleId="Title">
    <w:name w:val="Title"/>
    <w:basedOn w:val="Normal"/>
    <w:next w:val="Normal"/>
    <w:link w:val="TitleChar"/>
    <w:uiPriority w:val="10"/>
    <w:qFormat/>
    <w:rsid w:val="00B6439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64391"/>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9C08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0835"/>
    <w:rPr>
      <w:rFonts w:ascii="Tahoma" w:hAnsi="Tahoma" w:cs="Tahoma"/>
      <w:sz w:val="16"/>
      <w:szCs w:val="16"/>
    </w:rPr>
  </w:style>
  <w:style w:type="character" w:styleId="CommentReference">
    <w:name w:val="annotation reference"/>
    <w:basedOn w:val="DefaultParagraphFont"/>
    <w:uiPriority w:val="99"/>
    <w:semiHidden/>
    <w:unhideWhenUsed/>
    <w:rsid w:val="00D8165A"/>
    <w:rPr>
      <w:sz w:val="16"/>
      <w:szCs w:val="16"/>
    </w:rPr>
  </w:style>
  <w:style w:type="paragraph" w:styleId="CommentText">
    <w:name w:val="annotation text"/>
    <w:basedOn w:val="Normal"/>
    <w:link w:val="CommentTextChar"/>
    <w:uiPriority w:val="99"/>
    <w:unhideWhenUsed/>
    <w:rsid w:val="00D8165A"/>
    <w:pPr>
      <w:spacing w:line="240" w:lineRule="auto"/>
    </w:pPr>
    <w:rPr>
      <w:sz w:val="20"/>
      <w:szCs w:val="20"/>
    </w:rPr>
  </w:style>
  <w:style w:type="character" w:customStyle="1" w:styleId="CommentTextChar">
    <w:name w:val="Comment Text Char"/>
    <w:basedOn w:val="DefaultParagraphFont"/>
    <w:link w:val="CommentText"/>
    <w:uiPriority w:val="99"/>
    <w:rsid w:val="00D8165A"/>
    <w:rPr>
      <w:sz w:val="20"/>
      <w:szCs w:val="20"/>
    </w:rPr>
  </w:style>
  <w:style w:type="paragraph" w:styleId="CommentSubject">
    <w:name w:val="annotation subject"/>
    <w:basedOn w:val="CommentText"/>
    <w:next w:val="CommentText"/>
    <w:link w:val="CommentSubjectChar"/>
    <w:uiPriority w:val="99"/>
    <w:semiHidden/>
    <w:unhideWhenUsed/>
    <w:rsid w:val="00D8165A"/>
    <w:rPr>
      <w:b/>
      <w:bCs/>
    </w:rPr>
  </w:style>
  <w:style w:type="character" w:customStyle="1" w:styleId="CommentSubjectChar">
    <w:name w:val="Comment Subject Char"/>
    <w:basedOn w:val="CommentTextChar"/>
    <w:link w:val="CommentSubject"/>
    <w:uiPriority w:val="99"/>
    <w:semiHidden/>
    <w:rsid w:val="00D8165A"/>
    <w:rPr>
      <w:b/>
      <w:bCs/>
      <w:sz w:val="20"/>
      <w:szCs w:val="20"/>
    </w:rPr>
  </w:style>
  <w:style w:type="paragraph" w:styleId="FootnoteText">
    <w:name w:val="footnote text"/>
    <w:basedOn w:val="Normal"/>
    <w:link w:val="FootnoteTextChar"/>
    <w:uiPriority w:val="99"/>
    <w:semiHidden/>
    <w:unhideWhenUsed/>
    <w:rsid w:val="0056415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6415F"/>
    <w:rPr>
      <w:sz w:val="20"/>
      <w:szCs w:val="20"/>
    </w:rPr>
  </w:style>
  <w:style w:type="character" w:styleId="FootnoteReference">
    <w:name w:val="footnote reference"/>
    <w:basedOn w:val="DefaultParagraphFont"/>
    <w:uiPriority w:val="99"/>
    <w:semiHidden/>
    <w:unhideWhenUsed/>
    <w:rsid w:val="0056415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00C676-20DF-484A-AD33-F4E5A723EE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2515</Words>
  <Characters>14338</Characters>
  <Application>Microsoft Office Word</Application>
  <DocSecurity>0</DocSecurity>
  <Lines>119</Lines>
  <Paragraphs>33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16820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NEBIE</dc:creator>
  <cp:lastModifiedBy>MEYER, Claude</cp:lastModifiedBy>
  <cp:revision>2</cp:revision>
  <dcterms:created xsi:type="dcterms:W3CDTF">2014-06-30T14:33:00Z</dcterms:created>
  <dcterms:modified xsi:type="dcterms:W3CDTF">2014-06-30T14:33:00Z</dcterms:modified>
</cp:coreProperties>
</file>